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354345612"/>
        <w:docPartObj>
          <w:docPartGallery w:val="Cover Pages"/>
          <w:docPartUnique/>
        </w:docPartObj>
      </w:sdtPr>
      <w:sdtEndPr>
        <w:rPr>
          <w:rStyle w:val="Hyperlink"/>
          <w:rFonts w:eastAsiaTheme="minorHAnsi"/>
          <w:noProof/>
          <w:color w:val="0563C1" w:themeColor="hyperlink"/>
          <w:sz w:val="22"/>
          <w:u w:val="single"/>
          <w:lang w:val="en-GB"/>
        </w:rPr>
      </w:sdtEndPr>
      <w:sdtContent>
        <w:p w14:paraId="1E1C3788" w14:textId="316E7451" w:rsidR="001631BC" w:rsidRDefault="001631BC">
          <w:pPr>
            <w:pStyle w:val="NoSpacing"/>
            <w:rPr>
              <w:sz w:val="2"/>
            </w:rPr>
          </w:pPr>
        </w:p>
        <w:p w14:paraId="3B8B2D08" w14:textId="77777777" w:rsidR="001631BC" w:rsidRDefault="001631BC">
          <w:r>
            <w:rPr>
              <w:noProof/>
            </w:rPr>
            <mc:AlternateContent>
              <mc:Choice Requires="wps">
                <w:drawing>
                  <wp:anchor distT="0" distB="0" distL="114300" distR="114300" simplePos="0" relativeHeight="251673600" behindDoc="0" locked="0" layoutInCell="1" allowOverlap="1" wp14:anchorId="654B5BF7" wp14:editId="171402F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D4C6AD" w14:textId="3965281E" w:rsidR="001631BC" w:rsidRDefault="001631B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Concepts of Teaching and learning (ctl)</w:t>
                                    </w:r>
                                  </w:p>
                                </w:sdtContent>
                              </w:sdt>
                              <w:p w14:paraId="39D6D8F4" w14:textId="77FE90CB" w:rsidR="001631BC" w:rsidRDefault="001631B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Postgraduate Certificate in Education (PCET)</w:t>
                                    </w:r>
                                  </w:sdtContent>
                                </w:sdt>
                                <w:r>
                                  <w:rPr>
                                    <w:noProof/>
                                  </w:rPr>
                                  <w:t xml:space="preserve"> </w:t>
                                </w:r>
                              </w:p>
                              <w:p w14:paraId="024DD718" w14:textId="77777777" w:rsidR="001631BC" w:rsidRDefault="001631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4B5BF7" id="_x0000_t202" coordsize="21600,21600" o:spt="202" path="m,l,21600r21600,l21600,xe">
                    <v:stroke joinstyle="miter"/>
                    <v:path gradientshapeok="t" o:connecttype="rect"/>
                  </v:shapetype>
                  <v:shape id="Text Box 62" o:spid="_x0000_s1026" type="#_x0000_t202" style="position:absolute;margin-left:0;margin-top:0;width:468pt;height:1in;z-index:25167360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tZq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diQYGru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72bWan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D4C6AD" w14:textId="3965281E" w:rsidR="001631BC" w:rsidRDefault="001631B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Concepts of Teaching and learning (ctl)</w:t>
                              </w:r>
                            </w:p>
                          </w:sdtContent>
                        </w:sdt>
                        <w:p w14:paraId="39D6D8F4" w14:textId="77FE90CB" w:rsidR="001631BC" w:rsidRDefault="001631B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Postgraduate Certificate in Education (PCET)</w:t>
                              </w:r>
                            </w:sdtContent>
                          </w:sdt>
                          <w:r>
                            <w:rPr>
                              <w:noProof/>
                            </w:rPr>
                            <w:t xml:space="preserve"> </w:t>
                          </w:r>
                        </w:p>
                        <w:p w14:paraId="024DD718" w14:textId="77777777" w:rsidR="001631BC" w:rsidRDefault="001631B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72576" behindDoc="1" locked="0" layoutInCell="1" allowOverlap="1" wp14:anchorId="75C2E80A" wp14:editId="514CC2D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BAF3C9" id="Group 2" o:spid="_x0000_s1026" style="position:absolute;margin-left:0;margin-top:0;width:432.65pt;height:448.55pt;z-index:-25164390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71552" behindDoc="0" locked="0" layoutInCell="1" allowOverlap="1" wp14:anchorId="08DA9715" wp14:editId="44E2BB3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64F13" w14:textId="002473F6" w:rsidR="001631BC" w:rsidRDefault="001631B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Laura James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4B43830" w14:textId="5E47AD00" w:rsidR="001631BC" w:rsidRDefault="001631BC">
                                    <w:pPr>
                                      <w:pStyle w:val="NoSpacing"/>
                                      <w:jc w:val="right"/>
                                      <w:rPr>
                                        <w:color w:val="4472C4" w:themeColor="accent1"/>
                                        <w:sz w:val="36"/>
                                        <w:szCs w:val="36"/>
                                      </w:rPr>
                                    </w:pPr>
                                    <w:r>
                                      <w:rPr>
                                        <w:color w:val="4472C4" w:themeColor="accent1"/>
                                        <w:sz w:val="36"/>
                                        <w:szCs w:val="36"/>
                                      </w:rPr>
                                      <w:t>Student Number: 1401873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8DA9715" id="Text Box 69" o:spid="_x0000_s1027" type="#_x0000_t202" style="position:absolute;margin-left:0;margin-top:0;width:468pt;height:29.5pt;z-index:25167155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AuAdw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" filled="f" stroked="f" strokeweight=".5pt">
                    <v:textbox style="mso-fit-shape-to-text:t" inset="0,0,0,0">
                      <w:txbxContent>
                        <w:p w14:paraId="0C264F13" w14:textId="002473F6" w:rsidR="001631BC" w:rsidRDefault="001631B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Laura James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4B43830" w14:textId="5E47AD00" w:rsidR="001631BC" w:rsidRDefault="001631BC">
                              <w:pPr>
                                <w:pStyle w:val="NoSpacing"/>
                                <w:jc w:val="right"/>
                                <w:rPr>
                                  <w:color w:val="4472C4" w:themeColor="accent1"/>
                                  <w:sz w:val="36"/>
                                  <w:szCs w:val="36"/>
                                </w:rPr>
                              </w:pPr>
                              <w:r>
                                <w:rPr>
                                  <w:color w:val="4472C4" w:themeColor="accent1"/>
                                  <w:sz w:val="36"/>
                                  <w:szCs w:val="36"/>
                                </w:rPr>
                                <w:t>Student Number: 1401873</w:t>
                              </w:r>
                            </w:p>
                          </w:sdtContent>
                        </w:sdt>
                      </w:txbxContent>
                    </v:textbox>
                    <w10:wrap anchorx="page" anchory="margin"/>
                  </v:shape>
                </w:pict>
              </mc:Fallback>
            </mc:AlternateContent>
          </w:r>
        </w:p>
        <w:p w14:paraId="5A078060" w14:textId="5B06DD8E" w:rsidR="001631BC" w:rsidRDefault="001631BC">
          <w:pPr>
            <w:rPr>
              <w:rStyle w:val="Hyperlink"/>
              <w:noProof/>
            </w:rPr>
          </w:pPr>
          <w:r>
            <w:rPr>
              <w:rStyle w:val="Hyperlink"/>
              <w:noProof/>
            </w:rPr>
            <w:br w:type="page"/>
          </w:r>
        </w:p>
        <w:bookmarkStart w:id="0" w:name="_GoBack" w:displacedByCustomXml="next"/>
        <w:bookmarkEnd w:id="0" w:displacedByCustomXml="next"/>
      </w:sdtContent>
    </w:sdt>
    <w:sdt>
      <w:sdtPr>
        <w:id w:val="-21240622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0B68F0" w14:textId="2EB46806" w:rsidR="001631BC" w:rsidRDefault="001631BC">
          <w:pPr>
            <w:pStyle w:val="TOCHeading"/>
          </w:pPr>
          <w:r>
            <w:t>Table of Contents</w:t>
          </w:r>
        </w:p>
        <w:p w14:paraId="132A719B" w14:textId="6EE4703E" w:rsidR="00AA1B72" w:rsidRDefault="001631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548470" w:history="1">
            <w:r w:rsidR="00AA1B72" w:rsidRPr="003601EF">
              <w:rPr>
                <w:rStyle w:val="Hyperlink"/>
                <w:noProof/>
              </w:rPr>
              <w:t>Part 1: Analysis of the Curriculum in Carmarthen Business School</w:t>
            </w:r>
            <w:r w:rsidR="00AA1B72">
              <w:rPr>
                <w:noProof/>
                <w:webHidden/>
              </w:rPr>
              <w:tab/>
            </w:r>
            <w:r w:rsidR="00AA1B72">
              <w:rPr>
                <w:noProof/>
                <w:webHidden/>
              </w:rPr>
              <w:fldChar w:fldCharType="begin"/>
            </w:r>
            <w:r w:rsidR="00AA1B72">
              <w:rPr>
                <w:noProof/>
                <w:webHidden/>
              </w:rPr>
              <w:instrText xml:space="preserve"> PAGEREF _Toc506548470 \h </w:instrText>
            </w:r>
            <w:r w:rsidR="00AA1B72">
              <w:rPr>
                <w:noProof/>
                <w:webHidden/>
              </w:rPr>
            </w:r>
            <w:r w:rsidR="00AA1B72">
              <w:rPr>
                <w:noProof/>
                <w:webHidden/>
              </w:rPr>
              <w:fldChar w:fldCharType="separate"/>
            </w:r>
            <w:r w:rsidR="00AA1B72">
              <w:rPr>
                <w:noProof/>
                <w:webHidden/>
              </w:rPr>
              <w:t>2</w:t>
            </w:r>
            <w:r w:rsidR="00AA1B72">
              <w:rPr>
                <w:noProof/>
                <w:webHidden/>
              </w:rPr>
              <w:fldChar w:fldCharType="end"/>
            </w:r>
          </w:hyperlink>
        </w:p>
        <w:p w14:paraId="5E54FE9B" w14:textId="7ED2B0EB" w:rsidR="00AA1B72" w:rsidRDefault="00AA1B72">
          <w:pPr>
            <w:pStyle w:val="TOC1"/>
            <w:tabs>
              <w:tab w:val="right" w:leader="dot" w:pos="9016"/>
            </w:tabs>
            <w:rPr>
              <w:rFonts w:eastAsiaTheme="minorEastAsia"/>
              <w:noProof/>
              <w:lang w:eastAsia="en-GB"/>
            </w:rPr>
          </w:pPr>
          <w:hyperlink w:anchor="_Toc506548471" w:history="1">
            <w:r w:rsidRPr="003601EF">
              <w:rPr>
                <w:rStyle w:val="Hyperlink"/>
                <w:noProof/>
              </w:rPr>
              <w:t>Part 2: Rationale for Sustainability Leadership</w:t>
            </w:r>
            <w:r>
              <w:rPr>
                <w:noProof/>
                <w:webHidden/>
              </w:rPr>
              <w:tab/>
            </w:r>
            <w:r>
              <w:rPr>
                <w:noProof/>
                <w:webHidden/>
              </w:rPr>
              <w:fldChar w:fldCharType="begin"/>
            </w:r>
            <w:r>
              <w:rPr>
                <w:noProof/>
                <w:webHidden/>
              </w:rPr>
              <w:instrText xml:space="preserve"> PAGEREF _Toc506548471 \h </w:instrText>
            </w:r>
            <w:r>
              <w:rPr>
                <w:noProof/>
                <w:webHidden/>
              </w:rPr>
            </w:r>
            <w:r>
              <w:rPr>
                <w:noProof/>
                <w:webHidden/>
              </w:rPr>
              <w:fldChar w:fldCharType="separate"/>
            </w:r>
            <w:r>
              <w:rPr>
                <w:noProof/>
                <w:webHidden/>
              </w:rPr>
              <w:t>5</w:t>
            </w:r>
            <w:r>
              <w:rPr>
                <w:noProof/>
                <w:webHidden/>
              </w:rPr>
              <w:fldChar w:fldCharType="end"/>
            </w:r>
          </w:hyperlink>
        </w:p>
        <w:p w14:paraId="7DB85C18" w14:textId="332BFC7C" w:rsidR="00AA1B72" w:rsidRDefault="00AA1B72">
          <w:pPr>
            <w:pStyle w:val="TOC2"/>
            <w:tabs>
              <w:tab w:val="right" w:leader="dot" w:pos="9016"/>
            </w:tabs>
            <w:rPr>
              <w:rFonts w:eastAsiaTheme="minorEastAsia"/>
              <w:noProof/>
              <w:lang w:eastAsia="en-GB"/>
            </w:rPr>
          </w:pPr>
          <w:hyperlink w:anchor="_Toc506548472" w:history="1">
            <w:r w:rsidRPr="003601EF">
              <w:rPr>
                <w:rStyle w:val="Hyperlink"/>
                <w:noProof/>
              </w:rPr>
              <w:t>2.1 Course Description</w:t>
            </w:r>
            <w:r>
              <w:rPr>
                <w:noProof/>
                <w:webHidden/>
              </w:rPr>
              <w:tab/>
            </w:r>
            <w:r>
              <w:rPr>
                <w:noProof/>
                <w:webHidden/>
              </w:rPr>
              <w:fldChar w:fldCharType="begin"/>
            </w:r>
            <w:r>
              <w:rPr>
                <w:noProof/>
                <w:webHidden/>
              </w:rPr>
              <w:instrText xml:space="preserve"> PAGEREF _Toc506548472 \h </w:instrText>
            </w:r>
            <w:r>
              <w:rPr>
                <w:noProof/>
                <w:webHidden/>
              </w:rPr>
            </w:r>
            <w:r>
              <w:rPr>
                <w:noProof/>
                <w:webHidden/>
              </w:rPr>
              <w:fldChar w:fldCharType="separate"/>
            </w:r>
            <w:r>
              <w:rPr>
                <w:noProof/>
                <w:webHidden/>
              </w:rPr>
              <w:t>5</w:t>
            </w:r>
            <w:r>
              <w:rPr>
                <w:noProof/>
                <w:webHidden/>
              </w:rPr>
              <w:fldChar w:fldCharType="end"/>
            </w:r>
          </w:hyperlink>
        </w:p>
        <w:p w14:paraId="24B1F21E" w14:textId="4B6E66D2" w:rsidR="00AA1B72" w:rsidRDefault="00AA1B72">
          <w:pPr>
            <w:pStyle w:val="TOC2"/>
            <w:tabs>
              <w:tab w:val="right" w:leader="dot" w:pos="9016"/>
            </w:tabs>
            <w:rPr>
              <w:rFonts w:eastAsiaTheme="minorEastAsia"/>
              <w:noProof/>
              <w:lang w:eastAsia="en-GB"/>
            </w:rPr>
          </w:pPr>
          <w:hyperlink w:anchor="_Toc506548473" w:history="1">
            <w:r w:rsidRPr="003601EF">
              <w:rPr>
                <w:rStyle w:val="Hyperlink"/>
                <w:noProof/>
              </w:rPr>
              <w:t>2.2 Target Audience</w:t>
            </w:r>
            <w:r>
              <w:rPr>
                <w:noProof/>
                <w:webHidden/>
              </w:rPr>
              <w:tab/>
            </w:r>
            <w:r>
              <w:rPr>
                <w:noProof/>
                <w:webHidden/>
              </w:rPr>
              <w:fldChar w:fldCharType="begin"/>
            </w:r>
            <w:r>
              <w:rPr>
                <w:noProof/>
                <w:webHidden/>
              </w:rPr>
              <w:instrText xml:space="preserve"> PAGEREF _Toc506548473 \h </w:instrText>
            </w:r>
            <w:r>
              <w:rPr>
                <w:noProof/>
                <w:webHidden/>
              </w:rPr>
            </w:r>
            <w:r>
              <w:rPr>
                <w:noProof/>
                <w:webHidden/>
              </w:rPr>
              <w:fldChar w:fldCharType="separate"/>
            </w:r>
            <w:r>
              <w:rPr>
                <w:noProof/>
                <w:webHidden/>
              </w:rPr>
              <w:t>5</w:t>
            </w:r>
            <w:r>
              <w:rPr>
                <w:noProof/>
                <w:webHidden/>
              </w:rPr>
              <w:fldChar w:fldCharType="end"/>
            </w:r>
          </w:hyperlink>
        </w:p>
        <w:p w14:paraId="59A223DE" w14:textId="3EB6FFB2" w:rsidR="00AA1B72" w:rsidRDefault="00AA1B72">
          <w:pPr>
            <w:pStyle w:val="TOC2"/>
            <w:tabs>
              <w:tab w:val="right" w:leader="dot" w:pos="9016"/>
            </w:tabs>
            <w:rPr>
              <w:rFonts w:eastAsiaTheme="minorEastAsia"/>
              <w:noProof/>
              <w:lang w:eastAsia="en-GB"/>
            </w:rPr>
          </w:pPr>
          <w:hyperlink w:anchor="_Toc506548474" w:history="1">
            <w:r w:rsidRPr="003601EF">
              <w:rPr>
                <w:rStyle w:val="Hyperlink"/>
                <w:noProof/>
              </w:rPr>
              <w:t>2.3 Learning Objectives</w:t>
            </w:r>
            <w:r>
              <w:rPr>
                <w:noProof/>
                <w:webHidden/>
              </w:rPr>
              <w:tab/>
            </w:r>
            <w:r>
              <w:rPr>
                <w:noProof/>
                <w:webHidden/>
              </w:rPr>
              <w:fldChar w:fldCharType="begin"/>
            </w:r>
            <w:r>
              <w:rPr>
                <w:noProof/>
                <w:webHidden/>
              </w:rPr>
              <w:instrText xml:space="preserve"> PAGEREF _Toc506548474 \h </w:instrText>
            </w:r>
            <w:r>
              <w:rPr>
                <w:noProof/>
                <w:webHidden/>
              </w:rPr>
            </w:r>
            <w:r>
              <w:rPr>
                <w:noProof/>
                <w:webHidden/>
              </w:rPr>
              <w:fldChar w:fldCharType="separate"/>
            </w:r>
            <w:r>
              <w:rPr>
                <w:noProof/>
                <w:webHidden/>
              </w:rPr>
              <w:t>6</w:t>
            </w:r>
            <w:r>
              <w:rPr>
                <w:noProof/>
                <w:webHidden/>
              </w:rPr>
              <w:fldChar w:fldCharType="end"/>
            </w:r>
          </w:hyperlink>
        </w:p>
        <w:p w14:paraId="3C46D39D" w14:textId="60AE491D" w:rsidR="00AA1B72" w:rsidRDefault="00AA1B72">
          <w:pPr>
            <w:pStyle w:val="TOC3"/>
            <w:tabs>
              <w:tab w:val="right" w:leader="dot" w:pos="9016"/>
            </w:tabs>
            <w:rPr>
              <w:rFonts w:eastAsiaTheme="minorEastAsia"/>
              <w:noProof/>
              <w:lang w:eastAsia="en-GB"/>
            </w:rPr>
          </w:pPr>
          <w:hyperlink w:anchor="_Toc506548475" w:history="1">
            <w:r w:rsidRPr="003601EF">
              <w:rPr>
                <w:rStyle w:val="Hyperlink"/>
                <w:noProof/>
              </w:rPr>
              <w:t>2.3.1: LO1</w:t>
            </w:r>
            <w:r>
              <w:rPr>
                <w:noProof/>
                <w:webHidden/>
              </w:rPr>
              <w:tab/>
            </w:r>
            <w:r>
              <w:rPr>
                <w:noProof/>
                <w:webHidden/>
              </w:rPr>
              <w:fldChar w:fldCharType="begin"/>
            </w:r>
            <w:r>
              <w:rPr>
                <w:noProof/>
                <w:webHidden/>
              </w:rPr>
              <w:instrText xml:space="preserve"> PAGEREF _Toc506548475 \h </w:instrText>
            </w:r>
            <w:r>
              <w:rPr>
                <w:noProof/>
                <w:webHidden/>
              </w:rPr>
            </w:r>
            <w:r>
              <w:rPr>
                <w:noProof/>
                <w:webHidden/>
              </w:rPr>
              <w:fldChar w:fldCharType="separate"/>
            </w:r>
            <w:r>
              <w:rPr>
                <w:noProof/>
                <w:webHidden/>
              </w:rPr>
              <w:t>6</w:t>
            </w:r>
            <w:r>
              <w:rPr>
                <w:noProof/>
                <w:webHidden/>
              </w:rPr>
              <w:fldChar w:fldCharType="end"/>
            </w:r>
          </w:hyperlink>
        </w:p>
        <w:p w14:paraId="04311152" w14:textId="5BA25CC3" w:rsidR="00AA1B72" w:rsidRDefault="00AA1B72">
          <w:pPr>
            <w:pStyle w:val="TOC3"/>
            <w:tabs>
              <w:tab w:val="right" w:leader="dot" w:pos="9016"/>
            </w:tabs>
            <w:rPr>
              <w:rFonts w:eastAsiaTheme="minorEastAsia"/>
              <w:noProof/>
              <w:lang w:eastAsia="en-GB"/>
            </w:rPr>
          </w:pPr>
          <w:hyperlink w:anchor="_Toc506548476" w:history="1">
            <w:r w:rsidRPr="003601EF">
              <w:rPr>
                <w:rStyle w:val="Hyperlink"/>
                <w:noProof/>
              </w:rPr>
              <w:t>2.3.2: LO2</w:t>
            </w:r>
            <w:r>
              <w:rPr>
                <w:noProof/>
                <w:webHidden/>
              </w:rPr>
              <w:tab/>
            </w:r>
            <w:r>
              <w:rPr>
                <w:noProof/>
                <w:webHidden/>
              </w:rPr>
              <w:fldChar w:fldCharType="begin"/>
            </w:r>
            <w:r>
              <w:rPr>
                <w:noProof/>
                <w:webHidden/>
              </w:rPr>
              <w:instrText xml:space="preserve"> PAGEREF _Toc506548476 \h </w:instrText>
            </w:r>
            <w:r>
              <w:rPr>
                <w:noProof/>
                <w:webHidden/>
              </w:rPr>
            </w:r>
            <w:r>
              <w:rPr>
                <w:noProof/>
                <w:webHidden/>
              </w:rPr>
              <w:fldChar w:fldCharType="separate"/>
            </w:r>
            <w:r>
              <w:rPr>
                <w:noProof/>
                <w:webHidden/>
              </w:rPr>
              <w:t>6</w:t>
            </w:r>
            <w:r>
              <w:rPr>
                <w:noProof/>
                <w:webHidden/>
              </w:rPr>
              <w:fldChar w:fldCharType="end"/>
            </w:r>
          </w:hyperlink>
        </w:p>
        <w:p w14:paraId="69721DC0" w14:textId="586C16EF" w:rsidR="00AA1B72" w:rsidRDefault="00AA1B72">
          <w:pPr>
            <w:pStyle w:val="TOC3"/>
            <w:tabs>
              <w:tab w:val="right" w:leader="dot" w:pos="9016"/>
            </w:tabs>
            <w:rPr>
              <w:rFonts w:eastAsiaTheme="minorEastAsia"/>
              <w:noProof/>
              <w:lang w:eastAsia="en-GB"/>
            </w:rPr>
          </w:pPr>
          <w:hyperlink w:anchor="_Toc506548477" w:history="1">
            <w:r w:rsidRPr="003601EF">
              <w:rPr>
                <w:rStyle w:val="Hyperlink"/>
                <w:noProof/>
              </w:rPr>
              <w:t>2.3.3: LO3</w:t>
            </w:r>
            <w:r>
              <w:rPr>
                <w:noProof/>
                <w:webHidden/>
              </w:rPr>
              <w:tab/>
            </w:r>
            <w:r>
              <w:rPr>
                <w:noProof/>
                <w:webHidden/>
              </w:rPr>
              <w:fldChar w:fldCharType="begin"/>
            </w:r>
            <w:r>
              <w:rPr>
                <w:noProof/>
                <w:webHidden/>
              </w:rPr>
              <w:instrText xml:space="preserve"> PAGEREF _Toc506548477 \h </w:instrText>
            </w:r>
            <w:r>
              <w:rPr>
                <w:noProof/>
                <w:webHidden/>
              </w:rPr>
            </w:r>
            <w:r>
              <w:rPr>
                <w:noProof/>
                <w:webHidden/>
              </w:rPr>
              <w:fldChar w:fldCharType="separate"/>
            </w:r>
            <w:r>
              <w:rPr>
                <w:noProof/>
                <w:webHidden/>
              </w:rPr>
              <w:t>6</w:t>
            </w:r>
            <w:r>
              <w:rPr>
                <w:noProof/>
                <w:webHidden/>
              </w:rPr>
              <w:fldChar w:fldCharType="end"/>
            </w:r>
          </w:hyperlink>
        </w:p>
        <w:p w14:paraId="59EC39F9" w14:textId="110E32A5" w:rsidR="00AA1B72" w:rsidRDefault="00AA1B72">
          <w:pPr>
            <w:pStyle w:val="TOC3"/>
            <w:tabs>
              <w:tab w:val="right" w:leader="dot" w:pos="9016"/>
            </w:tabs>
            <w:rPr>
              <w:rFonts w:eastAsiaTheme="minorEastAsia"/>
              <w:noProof/>
              <w:lang w:eastAsia="en-GB"/>
            </w:rPr>
          </w:pPr>
          <w:hyperlink w:anchor="_Toc506548478" w:history="1">
            <w:r w:rsidRPr="003601EF">
              <w:rPr>
                <w:rStyle w:val="Hyperlink"/>
                <w:noProof/>
              </w:rPr>
              <w:t>2.3.4: LO4</w:t>
            </w:r>
            <w:r>
              <w:rPr>
                <w:noProof/>
                <w:webHidden/>
              </w:rPr>
              <w:tab/>
            </w:r>
            <w:r>
              <w:rPr>
                <w:noProof/>
                <w:webHidden/>
              </w:rPr>
              <w:fldChar w:fldCharType="begin"/>
            </w:r>
            <w:r>
              <w:rPr>
                <w:noProof/>
                <w:webHidden/>
              </w:rPr>
              <w:instrText xml:space="preserve"> PAGEREF _Toc506548478 \h </w:instrText>
            </w:r>
            <w:r>
              <w:rPr>
                <w:noProof/>
                <w:webHidden/>
              </w:rPr>
            </w:r>
            <w:r>
              <w:rPr>
                <w:noProof/>
                <w:webHidden/>
              </w:rPr>
              <w:fldChar w:fldCharType="separate"/>
            </w:r>
            <w:r>
              <w:rPr>
                <w:noProof/>
                <w:webHidden/>
              </w:rPr>
              <w:t>6</w:t>
            </w:r>
            <w:r>
              <w:rPr>
                <w:noProof/>
                <w:webHidden/>
              </w:rPr>
              <w:fldChar w:fldCharType="end"/>
            </w:r>
          </w:hyperlink>
        </w:p>
        <w:p w14:paraId="5678DC86" w14:textId="42F0A14F" w:rsidR="00AA1B72" w:rsidRDefault="00AA1B72">
          <w:pPr>
            <w:pStyle w:val="TOC3"/>
            <w:tabs>
              <w:tab w:val="right" w:leader="dot" w:pos="9016"/>
            </w:tabs>
            <w:rPr>
              <w:rFonts w:eastAsiaTheme="minorEastAsia"/>
              <w:noProof/>
              <w:lang w:eastAsia="en-GB"/>
            </w:rPr>
          </w:pPr>
          <w:hyperlink w:anchor="_Toc506548479" w:history="1">
            <w:r w:rsidRPr="003601EF">
              <w:rPr>
                <w:rStyle w:val="Hyperlink"/>
                <w:noProof/>
              </w:rPr>
              <w:t>2.3.5: LO5</w:t>
            </w:r>
            <w:r>
              <w:rPr>
                <w:noProof/>
                <w:webHidden/>
              </w:rPr>
              <w:tab/>
            </w:r>
            <w:r>
              <w:rPr>
                <w:noProof/>
                <w:webHidden/>
              </w:rPr>
              <w:fldChar w:fldCharType="begin"/>
            </w:r>
            <w:r>
              <w:rPr>
                <w:noProof/>
                <w:webHidden/>
              </w:rPr>
              <w:instrText xml:space="preserve"> PAGEREF _Toc506548479 \h </w:instrText>
            </w:r>
            <w:r>
              <w:rPr>
                <w:noProof/>
                <w:webHidden/>
              </w:rPr>
            </w:r>
            <w:r>
              <w:rPr>
                <w:noProof/>
                <w:webHidden/>
              </w:rPr>
              <w:fldChar w:fldCharType="separate"/>
            </w:r>
            <w:r>
              <w:rPr>
                <w:noProof/>
                <w:webHidden/>
              </w:rPr>
              <w:t>6</w:t>
            </w:r>
            <w:r>
              <w:rPr>
                <w:noProof/>
                <w:webHidden/>
              </w:rPr>
              <w:fldChar w:fldCharType="end"/>
            </w:r>
          </w:hyperlink>
        </w:p>
        <w:p w14:paraId="75B0DD10" w14:textId="280A2295" w:rsidR="00AA1B72" w:rsidRDefault="00AA1B72">
          <w:pPr>
            <w:pStyle w:val="TOC3"/>
            <w:tabs>
              <w:tab w:val="right" w:leader="dot" w:pos="9016"/>
            </w:tabs>
            <w:rPr>
              <w:rFonts w:eastAsiaTheme="minorEastAsia"/>
              <w:noProof/>
              <w:lang w:eastAsia="en-GB"/>
            </w:rPr>
          </w:pPr>
          <w:hyperlink w:anchor="_Toc506548480" w:history="1">
            <w:r w:rsidRPr="003601EF">
              <w:rPr>
                <w:rStyle w:val="Hyperlink"/>
                <w:noProof/>
              </w:rPr>
              <w:t>2.3.6: LO6</w:t>
            </w:r>
            <w:r>
              <w:rPr>
                <w:noProof/>
                <w:webHidden/>
              </w:rPr>
              <w:tab/>
            </w:r>
            <w:r>
              <w:rPr>
                <w:noProof/>
                <w:webHidden/>
              </w:rPr>
              <w:fldChar w:fldCharType="begin"/>
            </w:r>
            <w:r>
              <w:rPr>
                <w:noProof/>
                <w:webHidden/>
              </w:rPr>
              <w:instrText xml:space="preserve"> PAGEREF _Toc506548480 \h </w:instrText>
            </w:r>
            <w:r>
              <w:rPr>
                <w:noProof/>
                <w:webHidden/>
              </w:rPr>
            </w:r>
            <w:r>
              <w:rPr>
                <w:noProof/>
                <w:webHidden/>
              </w:rPr>
              <w:fldChar w:fldCharType="separate"/>
            </w:r>
            <w:r>
              <w:rPr>
                <w:noProof/>
                <w:webHidden/>
              </w:rPr>
              <w:t>6</w:t>
            </w:r>
            <w:r>
              <w:rPr>
                <w:noProof/>
                <w:webHidden/>
              </w:rPr>
              <w:fldChar w:fldCharType="end"/>
            </w:r>
          </w:hyperlink>
        </w:p>
        <w:p w14:paraId="1D1DAD98" w14:textId="4EDF9E61" w:rsidR="00AA1B72" w:rsidRDefault="00AA1B72">
          <w:pPr>
            <w:pStyle w:val="TOC3"/>
            <w:tabs>
              <w:tab w:val="right" w:leader="dot" w:pos="9016"/>
            </w:tabs>
            <w:rPr>
              <w:rFonts w:eastAsiaTheme="minorEastAsia"/>
              <w:noProof/>
              <w:lang w:eastAsia="en-GB"/>
            </w:rPr>
          </w:pPr>
          <w:hyperlink w:anchor="_Toc506548481" w:history="1">
            <w:r w:rsidRPr="003601EF">
              <w:rPr>
                <w:rStyle w:val="Hyperlink"/>
                <w:noProof/>
              </w:rPr>
              <w:t>2.3.7: LO7</w:t>
            </w:r>
            <w:r>
              <w:rPr>
                <w:noProof/>
                <w:webHidden/>
              </w:rPr>
              <w:tab/>
            </w:r>
            <w:r>
              <w:rPr>
                <w:noProof/>
                <w:webHidden/>
              </w:rPr>
              <w:fldChar w:fldCharType="begin"/>
            </w:r>
            <w:r>
              <w:rPr>
                <w:noProof/>
                <w:webHidden/>
              </w:rPr>
              <w:instrText xml:space="preserve"> PAGEREF _Toc506548481 \h </w:instrText>
            </w:r>
            <w:r>
              <w:rPr>
                <w:noProof/>
                <w:webHidden/>
              </w:rPr>
            </w:r>
            <w:r>
              <w:rPr>
                <w:noProof/>
                <w:webHidden/>
              </w:rPr>
              <w:fldChar w:fldCharType="separate"/>
            </w:r>
            <w:r>
              <w:rPr>
                <w:noProof/>
                <w:webHidden/>
              </w:rPr>
              <w:t>7</w:t>
            </w:r>
            <w:r>
              <w:rPr>
                <w:noProof/>
                <w:webHidden/>
              </w:rPr>
              <w:fldChar w:fldCharType="end"/>
            </w:r>
          </w:hyperlink>
        </w:p>
        <w:p w14:paraId="16996096" w14:textId="5D9A94B5" w:rsidR="00AA1B72" w:rsidRDefault="00AA1B72">
          <w:pPr>
            <w:pStyle w:val="TOC3"/>
            <w:tabs>
              <w:tab w:val="right" w:leader="dot" w:pos="9016"/>
            </w:tabs>
            <w:rPr>
              <w:rFonts w:eastAsiaTheme="minorEastAsia"/>
              <w:noProof/>
              <w:lang w:eastAsia="en-GB"/>
            </w:rPr>
          </w:pPr>
          <w:hyperlink w:anchor="_Toc506548482" w:history="1">
            <w:r w:rsidRPr="003601EF">
              <w:rPr>
                <w:rStyle w:val="Hyperlink"/>
                <w:noProof/>
              </w:rPr>
              <w:t>2.3.8: LO8</w:t>
            </w:r>
            <w:r>
              <w:rPr>
                <w:noProof/>
                <w:webHidden/>
              </w:rPr>
              <w:tab/>
            </w:r>
            <w:r>
              <w:rPr>
                <w:noProof/>
                <w:webHidden/>
              </w:rPr>
              <w:fldChar w:fldCharType="begin"/>
            </w:r>
            <w:r>
              <w:rPr>
                <w:noProof/>
                <w:webHidden/>
              </w:rPr>
              <w:instrText xml:space="preserve"> PAGEREF _Toc506548482 \h </w:instrText>
            </w:r>
            <w:r>
              <w:rPr>
                <w:noProof/>
                <w:webHidden/>
              </w:rPr>
            </w:r>
            <w:r>
              <w:rPr>
                <w:noProof/>
                <w:webHidden/>
              </w:rPr>
              <w:fldChar w:fldCharType="separate"/>
            </w:r>
            <w:r>
              <w:rPr>
                <w:noProof/>
                <w:webHidden/>
              </w:rPr>
              <w:t>7</w:t>
            </w:r>
            <w:r>
              <w:rPr>
                <w:noProof/>
                <w:webHidden/>
              </w:rPr>
              <w:fldChar w:fldCharType="end"/>
            </w:r>
          </w:hyperlink>
        </w:p>
        <w:p w14:paraId="151B0F18" w14:textId="7AD3F381" w:rsidR="00AA1B72" w:rsidRDefault="00AA1B72">
          <w:pPr>
            <w:pStyle w:val="TOC3"/>
            <w:tabs>
              <w:tab w:val="right" w:leader="dot" w:pos="9016"/>
            </w:tabs>
            <w:rPr>
              <w:rFonts w:eastAsiaTheme="minorEastAsia"/>
              <w:noProof/>
              <w:lang w:eastAsia="en-GB"/>
            </w:rPr>
          </w:pPr>
          <w:hyperlink w:anchor="_Toc506548483" w:history="1">
            <w:r w:rsidRPr="003601EF">
              <w:rPr>
                <w:rStyle w:val="Hyperlink"/>
                <w:noProof/>
              </w:rPr>
              <w:t>2.3.9: LO9</w:t>
            </w:r>
            <w:r>
              <w:rPr>
                <w:noProof/>
                <w:webHidden/>
              </w:rPr>
              <w:tab/>
            </w:r>
            <w:r>
              <w:rPr>
                <w:noProof/>
                <w:webHidden/>
              </w:rPr>
              <w:fldChar w:fldCharType="begin"/>
            </w:r>
            <w:r>
              <w:rPr>
                <w:noProof/>
                <w:webHidden/>
              </w:rPr>
              <w:instrText xml:space="preserve"> PAGEREF _Toc506548483 \h </w:instrText>
            </w:r>
            <w:r>
              <w:rPr>
                <w:noProof/>
                <w:webHidden/>
              </w:rPr>
            </w:r>
            <w:r>
              <w:rPr>
                <w:noProof/>
                <w:webHidden/>
              </w:rPr>
              <w:fldChar w:fldCharType="separate"/>
            </w:r>
            <w:r>
              <w:rPr>
                <w:noProof/>
                <w:webHidden/>
              </w:rPr>
              <w:t>7</w:t>
            </w:r>
            <w:r>
              <w:rPr>
                <w:noProof/>
                <w:webHidden/>
              </w:rPr>
              <w:fldChar w:fldCharType="end"/>
            </w:r>
          </w:hyperlink>
        </w:p>
        <w:p w14:paraId="4A1ED2D3" w14:textId="5D512BD1" w:rsidR="00AA1B72" w:rsidRDefault="00AA1B72">
          <w:pPr>
            <w:pStyle w:val="TOC3"/>
            <w:tabs>
              <w:tab w:val="right" w:leader="dot" w:pos="9016"/>
            </w:tabs>
            <w:rPr>
              <w:rFonts w:eastAsiaTheme="minorEastAsia"/>
              <w:noProof/>
              <w:lang w:eastAsia="en-GB"/>
            </w:rPr>
          </w:pPr>
          <w:hyperlink w:anchor="_Toc506548484" w:history="1">
            <w:r w:rsidRPr="003601EF">
              <w:rPr>
                <w:rStyle w:val="Hyperlink"/>
                <w:noProof/>
              </w:rPr>
              <w:t>2.3.10 LO10</w:t>
            </w:r>
            <w:r>
              <w:rPr>
                <w:noProof/>
                <w:webHidden/>
              </w:rPr>
              <w:tab/>
            </w:r>
            <w:r>
              <w:rPr>
                <w:noProof/>
                <w:webHidden/>
              </w:rPr>
              <w:fldChar w:fldCharType="begin"/>
            </w:r>
            <w:r>
              <w:rPr>
                <w:noProof/>
                <w:webHidden/>
              </w:rPr>
              <w:instrText xml:space="preserve"> PAGEREF _Toc506548484 \h </w:instrText>
            </w:r>
            <w:r>
              <w:rPr>
                <w:noProof/>
                <w:webHidden/>
              </w:rPr>
            </w:r>
            <w:r>
              <w:rPr>
                <w:noProof/>
                <w:webHidden/>
              </w:rPr>
              <w:fldChar w:fldCharType="separate"/>
            </w:r>
            <w:r>
              <w:rPr>
                <w:noProof/>
                <w:webHidden/>
              </w:rPr>
              <w:t>7</w:t>
            </w:r>
            <w:r>
              <w:rPr>
                <w:noProof/>
                <w:webHidden/>
              </w:rPr>
              <w:fldChar w:fldCharType="end"/>
            </w:r>
          </w:hyperlink>
        </w:p>
        <w:p w14:paraId="1B8AD0F4" w14:textId="0FFD8141" w:rsidR="00AA1B72" w:rsidRDefault="00AA1B72">
          <w:pPr>
            <w:pStyle w:val="TOC3"/>
            <w:tabs>
              <w:tab w:val="right" w:leader="dot" w:pos="9016"/>
            </w:tabs>
            <w:rPr>
              <w:rFonts w:eastAsiaTheme="minorEastAsia"/>
              <w:noProof/>
              <w:lang w:eastAsia="en-GB"/>
            </w:rPr>
          </w:pPr>
          <w:hyperlink w:anchor="_Toc506548485" w:history="1">
            <w:r w:rsidRPr="003601EF">
              <w:rPr>
                <w:rStyle w:val="Hyperlink"/>
                <w:noProof/>
              </w:rPr>
              <w:t>2.3.11: LO11</w:t>
            </w:r>
            <w:r>
              <w:rPr>
                <w:noProof/>
                <w:webHidden/>
              </w:rPr>
              <w:tab/>
            </w:r>
            <w:r>
              <w:rPr>
                <w:noProof/>
                <w:webHidden/>
              </w:rPr>
              <w:fldChar w:fldCharType="begin"/>
            </w:r>
            <w:r>
              <w:rPr>
                <w:noProof/>
                <w:webHidden/>
              </w:rPr>
              <w:instrText xml:space="preserve"> PAGEREF _Toc506548485 \h </w:instrText>
            </w:r>
            <w:r>
              <w:rPr>
                <w:noProof/>
                <w:webHidden/>
              </w:rPr>
            </w:r>
            <w:r>
              <w:rPr>
                <w:noProof/>
                <w:webHidden/>
              </w:rPr>
              <w:fldChar w:fldCharType="separate"/>
            </w:r>
            <w:r>
              <w:rPr>
                <w:noProof/>
                <w:webHidden/>
              </w:rPr>
              <w:t>7</w:t>
            </w:r>
            <w:r>
              <w:rPr>
                <w:noProof/>
                <w:webHidden/>
              </w:rPr>
              <w:fldChar w:fldCharType="end"/>
            </w:r>
          </w:hyperlink>
        </w:p>
        <w:p w14:paraId="377EF47C" w14:textId="5C29D791" w:rsidR="00AA1B72" w:rsidRDefault="00AA1B72">
          <w:pPr>
            <w:pStyle w:val="TOC2"/>
            <w:tabs>
              <w:tab w:val="right" w:leader="dot" w:pos="9016"/>
            </w:tabs>
            <w:rPr>
              <w:rFonts w:eastAsiaTheme="minorEastAsia"/>
              <w:noProof/>
              <w:lang w:eastAsia="en-GB"/>
            </w:rPr>
          </w:pPr>
          <w:hyperlink w:anchor="_Toc506548486" w:history="1">
            <w:r w:rsidRPr="003601EF">
              <w:rPr>
                <w:rStyle w:val="Hyperlink"/>
                <w:noProof/>
              </w:rPr>
              <w:t>2.4 Alignment with QAA</w:t>
            </w:r>
            <w:r>
              <w:rPr>
                <w:noProof/>
                <w:webHidden/>
              </w:rPr>
              <w:tab/>
            </w:r>
            <w:r>
              <w:rPr>
                <w:noProof/>
                <w:webHidden/>
              </w:rPr>
              <w:fldChar w:fldCharType="begin"/>
            </w:r>
            <w:r>
              <w:rPr>
                <w:noProof/>
                <w:webHidden/>
              </w:rPr>
              <w:instrText xml:space="preserve"> PAGEREF _Toc506548486 \h </w:instrText>
            </w:r>
            <w:r>
              <w:rPr>
                <w:noProof/>
                <w:webHidden/>
              </w:rPr>
            </w:r>
            <w:r>
              <w:rPr>
                <w:noProof/>
                <w:webHidden/>
              </w:rPr>
              <w:fldChar w:fldCharType="separate"/>
            </w:r>
            <w:r>
              <w:rPr>
                <w:noProof/>
                <w:webHidden/>
              </w:rPr>
              <w:t>7</w:t>
            </w:r>
            <w:r>
              <w:rPr>
                <w:noProof/>
                <w:webHidden/>
              </w:rPr>
              <w:fldChar w:fldCharType="end"/>
            </w:r>
          </w:hyperlink>
        </w:p>
        <w:p w14:paraId="1C761CB4" w14:textId="07D3CB24" w:rsidR="00AA1B72" w:rsidRDefault="00AA1B72">
          <w:pPr>
            <w:pStyle w:val="TOC2"/>
            <w:tabs>
              <w:tab w:val="right" w:leader="dot" w:pos="9016"/>
            </w:tabs>
            <w:rPr>
              <w:rFonts w:eastAsiaTheme="minorEastAsia"/>
              <w:noProof/>
              <w:lang w:eastAsia="en-GB"/>
            </w:rPr>
          </w:pPr>
          <w:hyperlink w:anchor="_Toc506548487" w:history="1">
            <w:r w:rsidRPr="003601EF">
              <w:rPr>
                <w:rStyle w:val="Hyperlink"/>
                <w:noProof/>
              </w:rPr>
              <w:t>2.5 Cross-Cutting Themes</w:t>
            </w:r>
            <w:r>
              <w:rPr>
                <w:noProof/>
                <w:webHidden/>
              </w:rPr>
              <w:tab/>
            </w:r>
            <w:r>
              <w:rPr>
                <w:noProof/>
                <w:webHidden/>
              </w:rPr>
              <w:fldChar w:fldCharType="begin"/>
            </w:r>
            <w:r>
              <w:rPr>
                <w:noProof/>
                <w:webHidden/>
              </w:rPr>
              <w:instrText xml:space="preserve"> PAGEREF _Toc506548487 \h </w:instrText>
            </w:r>
            <w:r>
              <w:rPr>
                <w:noProof/>
                <w:webHidden/>
              </w:rPr>
            </w:r>
            <w:r>
              <w:rPr>
                <w:noProof/>
                <w:webHidden/>
              </w:rPr>
              <w:fldChar w:fldCharType="separate"/>
            </w:r>
            <w:r>
              <w:rPr>
                <w:noProof/>
                <w:webHidden/>
              </w:rPr>
              <w:t>7</w:t>
            </w:r>
            <w:r>
              <w:rPr>
                <w:noProof/>
                <w:webHidden/>
              </w:rPr>
              <w:fldChar w:fldCharType="end"/>
            </w:r>
          </w:hyperlink>
        </w:p>
        <w:p w14:paraId="7A37EF31" w14:textId="422BC49F" w:rsidR="00AA1B72" w:rsidRDefault="00AA1B72">
          <w:pPr>
            <w:pStyle w:val="TOC3"/>
            <w:tabs>
              <w:tab w:val="right" w:leader="dot" w:pos="9016"/>
            </w:tabs>
            <w:rPr>
              <w:rFonts w:eastAsiaTheme="minorEastAsia"/>
              <w:noProof/>
              <w:lang w:eastAsia="en-GB"/>
            </w:rPr>
          </w:pPr>
          <w:hyperlink w:anchor="_Toc506548488" w:history="1">
            <w:r w:rsidRPr="003601EF">
              <w:rPr>
                <w:rStyle w:val="Hyperlink"/>
                <w:noProof/>
              </w:rPr>
              <w:t>2.5.1 Corporate Social Responsibility (CSR)</w:t>
            </w:r>
            <w:r>
              <w:rPr>
                <w:noProof/>
                <w:webHidden/>
              </w:rPr>
              <w:tab/>
            </w:r>
            <w:r>
              <w:rPr>
                <w:noProof/>
                <w:webHidden/>
              </w:rPr>
              <w:fldChar w:fldCharType="begin"/>
            </w:r>
            <w:r>
              <w:rPr>
                <w:noProof/>
                <w:webHidden/>
              </w:rPr>
              <w:instrText xml:space="preserve"> PAGEREF _Toc506548488 \h </w:instrText>
            </w:r>
            <w:r>
              <w:rPr>
                <w:noProof/>
                <w:webHidden/>
              </w:rPr>
            </w:r>
            <w:r>
              <w:rPr>
                <w:noProof/>
                <w:webHidden/>
              </w:rPr>
              <w:fldChar w:fldCharType="separate"/>
            </w:r>
            <w:r>
              <w:rPr>
                <w:noProof/>
                <w:webHidden/>
              </w:rPr>
              <w:t>7</w:t>
            </w:r>
            <w:r>
              <w:rPr>
                <w:noProof/>
                <w:webHidden/>
              </w:rPr>
              <w:fldChar w:fldCharType="end"/>
            </w:r>
          </w:hyperlink>
        </w:p>
        <w:p w14:paraId="4EE027C8" w14:textId="1542A00C" w:rsidR="00AA1B72" w:rsidRDefault="00AA1B72">
          <w:pPr>
            <w:pStyle w:val="TOC3"/>
            <w:tabs>
              <w:tab w:val="right" w:leader="dot" w:pos="9016"/>
            </w:tabs>
            <w:rPr>
              <w:rFonts w:eastAsiaTheme="minorEastAsia"/>
              <w:noProof/>
              <w:lang w:eastAsia="en-GB"/>
            </w:rPr>
          </w:pPr>
          <w:hyperlink w:anchor="_Toc506548489" w:history="1">
            <w:r w:rsidRPr="003601EF">
              <w:rPr>
                <w:rStyle w:val="Hyperlink"/>
                <w:noProof/>
              </w:rPr>
              <w:t>2.5.2 Global responsible Citizenship</w:t>
            </w:r>
            <w:r>
              <w:rPr>
                <w:noProof/>
                <w:webHidden/>
              </w:rPr>
              <w:tab/>
            </w:r>
            <w:r>
              <w:rPr>
                <w:noProof/>
                <w:webHidden/>
              </w:rPr>
              <w:fldChar w:fldCharType="begin"/>
            </w:r>
            <w:r>
              <w:rPr>
                <w:noProof/>
                <w:webHidden/>
              </w:rPr>
              <w:instrText xml:space="preserve"> PAGEREF _Toc506548489 \h </w:instrText>
            </w:r>
            <w:r>
              <w:rPr>
                <w:noProof/>
                <w:webHidden/>
              </w:rPr>
            </w:r>
            <w:r>
              <w:rPr>
                <w:noProof/>
                <w:webHidden/>
              </w:rPr>
              <w:fldChar w:fldCharType="separate"/>
            </w:r>
            <w:r>
              <w:rPr>
                <w:noProof/>
                <w:webHidden/>
              </w:rPr>
              <w:t>8</w:t>
            </w:r>
            <w:r>
              <w:rPr>
                <w:noProof/>
                <w:webHidden/>
              </w:rPr>
              <w:fldChar w:fldCharType="end"/>
            </w:r>
          </w:hyperlink>
        </w:p>
        <w:p w14:paraId="0862FC9A" w14:textId="6B0BF35C" w:rsidR="00AA1B72" w:rsidRDefault="00AA1B72">
          <w:pPr>
            <w:pStyle w:val="TOC3"/>
            <w:tabs>
              <w:tab w:val="right" w:leader="dot" w:pos="9016"/>
            </w:tabs>
            <w:rPr>
              <w:rFonts w:eastAsiaTheme="minorEastAsia"/>
              <w:noProof/>
              <w:lang w:eastAsia="en-GB"/>
            </w:rPr>
          </w:pPr>
          <w:hyperlink w:anchor="_Toc506548490" w:history="1">
            <w:r w:rsidRPr="003601EF">
              <w:rPr>
                <w:rStyle w:val="Hyperlink"/>
                <w:noProof/>
              </w:rPr>
              <w:t>2.5.3 Ethical Considerations</w:t>
            </w:r>
            <w:r>
              <w:rPr>
                <w:noProof/>
                <w:webHidden/>
              </w:rPr>
              <w:tab/>
            </w:r>
            <w:r>
              <w:rPr>
                <w:noProof/>
                <w:webHidden/>
              </w:rPr>
              <w:fldChar w:fldCharType="begin"/>
            </w:r>
            <w:r>
              <w:rPr>
                <w:noProof/>
                <w:webHidden/>
              </w:rPr>
              <w:instrText xml:space="preserve"> PAGEREF _Toc506548490 \h </w:instrText>
            </w:r>
            <w:r>
              <w:rPr>
                <w:noProof/>
                <w:webHidden/>
              </w:rPr>
            </w:r>
            <w:r>
              <w:rPr>
                <w:noProof/>
                <w:webHidden/>
              </w:rPr>
              <w:fldChar w:fldCharType="separate"/>
            </w:r>
            <w:r>
              <w:rPr>
                <w:noProof/>
                <w:webHidden/>
              </w:rPr>
              <w:t>8</w:t>
            </w:r>
            <w:r>
              <w:rPr>
                <w:noProof/>
                <w:webHidden/>
              </w:rPr>
              <w:fldChar w:fldCharType="end"/>
            </w:r>
          </w:hyperlink>
        </w:p>
        <w:p w14:paraId="5881445C" w14:textId="4EB88113" w:rsidR="00AA1B72" w:rsidRDefault="00AA1B72">
          <w:pPr>
            <w:pStyle w:val="TOC3"/>
            <w:tabs>
              <w:tab w:val="right" w:leader="dot" w:pos="9016"/>
            </w:tabs>
            <w:rPr>
              <w:rFonts w:eastAsiaTheme="minorEastAsia"/>
              <w:noProof/>
              <w:lang w:eastAsia="en-GB"/>
            </w:rPr>
          </w:pPr>
          <w:hyperlink w:anchor="_Toc506548491" w:history="1">
            <w:r w:rsidRPr="003601EF">
              <w:rPr>
                <w:rStyle w:val="Hyperlink"/>
                <w:noProof/>
              </w:rPr>
              <w:t>2.5.4 Sustainability; Understanding of Business’ Impact</w:t>
            </w:r>
            <w:r>
              <w:rPr>
                <w:noProof/>
                <w:webHidden/>
              </w:rPr>
              <w:tab/>
            </w:r>
            <w:r>
              <w:rPr>
                <w:noProof/>
                <w:webHidden/>
              </w:rPr>
              <w:fldChar w:fldCharType="begin"/>
            </w:r>
            <w:r>
              <w:rPr>
                <w:noProof/>
                <w:webHidden/>
              </w:rPr>
              <w:instrText xml:space="preserve"> PAGEREF _Toc506548491 \h </w:instrText>
            </w:r>
            <w:r>
              <w:rPr>
                <w:noProof/>
                <w:webHidden/>
              </w:rPr>
            </w:r>
            <w:r>
              <w:rPr>
                <w:noProof/>
                <w:webHidden/>
              </w:rPr>
              <w:fldChar w:fldCharType="separate"/>
            </w:r>
            <w:r>
              <w:rPr>
                <w:noProof/>
                <w:webHidden/>
              </w:rPr>
              <w:t>8</w:t>
            </w:r>
            <w:r>
              <w:rPr>
                <w:noProof/>
                <w:webHidden/>
              </w:rPr>
              <w:fldChar w:fldCharType="end"/>
            </w:r>
          </w:hyperlink>
        </w:p>
        <w:p w14:paraId="722861E6" w14:textId="72C868FA" w:rsidR="00AA1B72" w:rsidRDefault="00AA1B72">
          <w:pPr>
            <w:pStyle w:val="TOC3"/>
            <w:tabs>
              <w:tab w:val="right" w:leader="dot" w:pos="9016"/>
            </w:tabs>
            <w:rPr>
              <w:rFonts w:eastAsiaTheme="minorEastAsia"/>
              <w:noProof/>
              <w:lang w:eastAsia="en-GB"/>
            </w:rPr>
          </w:pPr>
          <w:hyperlink w:anchor="_Toc506548492" w:history="1">
            <w:r w:rsidRPr="003601EF">
              <w:rPr>
                <w:rStyle w:val="Hyperlink"/>
                <w:noProof/>
              </w:rPr>
              <w:t>2.5.5 Skills for the Workplace</w:t>
            </w:r>
            <w:r>
              <w:rPr>
                <w:noProof/>
                <w:webHidden/>
              </w:rPr>
              <w:tab/>
            </w:r>
            <w:r>
              <w:rPr>
                <w:noProof/>
                <w:webHidden/>
              </w:rPr>
              <w:fldChar w:fldCharType="begin"/>
            </w:r>
            <w:r>
              <w:rPr>
                <w:noProof/>
                <w:webHidden/>
              </w:rPr>
              <w:instrText xml:space="preserve"> PAGEREF _Toc506548492 \h </w:instrText>
            </w:r>
            <w:r>
              <w:rPr>
                <w:noProof/>
                <w:webHidden/>
              </w:rPr>
            </w:r>
            <w:r>
              <w:rPr>
                <w:noProof/>
                <w:webHidden/>
              </w:rPr>
              <w:fldChar w:fldCharType="separate"/>
            </w:r>
            <w:r>
              <w:rPr>
                <w:noProof/>
                <w:webHidden/>
              </w:rPr>
              <w:t>8</w:t>
            </w:r>
            <w:r>
              <w:rPr>
                <w:noProof/>
                <w:webHidden/>
              </w:rPr>
              <w:fldChar w:fldCharType="end"/>
            </w:r>
          </w:hyperlink>
        </w:p>
        <w:p w14:paraId="1240A4A7" w14:textId="37F7049A" w:rsidR="00AA1B72" w:rsidRDefault="00AA1B72">
          <w:pPr>
            <w:pStyle w:val="TOC2"/>
            <w:tabs>
              <w:tab w:val="right" w:leader="dot" w:pos="9016"/>
            </w:tabs>
            <w:rPr>
              <w:rFonts w:eastAsiaTheme="minorEastAsia"/>
              <w:noProof/>
              <w:lang w:eastAsia="en-GB"/>
            </w:rPr>
          </w:pPr>
          <w:hyperlink w:anchor="_Toc506548493" w:history="1">
            <w:r w:rsidRPr="003601EF">
              <w:rPr>
                <w:rStyle w:val="Hyperlink"/>
                <w:noProof/>
              </w:rPr>
              <w:t>2.6 Teaching and Learning Strategies</w:t>
            </w:r>
            <w:r>
              <w:rPr>
                <w:noProof/>
                <w:webHidden/>
              </w:rPr>
              <w:tab/>
            </w:r>
            <w:r>
              <w:rPr>
                <w:noProof/>
                <w:webHidden/>
              </w:rPr>
              <w:fldChar w:fldCharType="begin"/>
            </w:r>
            <w:r>
              <w:rPr>
                <w:noProof/>
                <w:webHidden/>
              </w:rPr>
              <w:instrText xml:space="preserve"> PAGEREF _Toc506548493 \h </w:instrText>
            </w:r>
            <w:r>
              <w:rPr>
                <w:noProof/>
                <w:webHidden/>
              </w:rPr>
            </w:r>
            <w:r>
              <w:rPr>
                <w:noProof/>
                <w:webHidden/>
              </w:rPr>
              <w:fldChar w:fldCharType="separate"/>
            </w:r>
            <w:r>
              <w:rPr>
                <w:noProof/>
                <w:webHidden/>
              </w:rPr>
              <w:t>8</w:t>
            </w:r>
            <w:r>
              <w:rPr>
                <w:noProof/>
                <w:webHidden/>
              </w:rPr>
              <w:fldChar w:fldCharType="end"/>
            </w:r>
          </w:hyperlink>
        </w:p>
        <w:p w14:paraId="54F943F4" w14:textId="4E5AADCA" w:rsidR="00AA1B72" w:rsidRDefault="00AA1B72">
          <w:pPr>
            <w:pStyle w:val="TOC2"/>
            <w:tabs>
              <w:tab w:val="right" w:leader="dot" w:pos="9016"/>
            </w:tabs>
            <w:rPr>
              <w:rFonts w:eastAsiaTheme="minorEastAsia"/>
              <w:noProof/>
              <w:lang w:eastAsia="en-GB"/>
            </w:rPr>
          </w:pPr>
          <w:hyperlink w:anchor="_Toc506548494" w:history="1">
            <w:r w:rsidRPr="003601EF">
              <w:rPr>
                <w:rStyle w:val="Hyperlink"/>
                <w:noProof/>
              </w:rPr>
              <w:t>2.7 Assessment Strategies</w:t>
            </w:r>
            <w:r>
              <w:rPr>
                <w:noProof/>
                <w:webHidden/>
              </w:rPr>
              <w:tab/>
            </w:r>
            <w:r>
              <w:rPr>
                <w:noProof/>
                <w:webHidden/>
              </w:rPr>
              <w:fldChar w:fldCharType="begin"/>
            </w:r>
            <w:r>
              <w:rPr>
                <w:noProof/>
                <w:webHidden/>
              </w:rPr>
              <w:instrText xml:space="preserve"> PAGEREF _Toc506548494 \h </w:instrText>
            </w:r>
            <w:r>
              <w:rPr>
                <w:noProof/>
                <w:webHidden/>
              </w:rPr>
            </w:r>
            <w:r>
              <w:rPr>
                <w:noProof/>
                <w:webHidden/>
              </w:rPr>
              <w:fldChar w:fldCharType="separate"/>
            </w:r>
            <w:r>
              <w:rPr>
                <w:noProof/>
                <w:webHidden/>
              </w:rPr>
              <w:t>10</w:t>
            </w:r>
            <w:r>
              <w:rPr>
                <w:noProof/>
                <w:webHidden/>
              </w:rPr>
              <w:fldChar w:fldCharType="end"/>
            </w:r>
          </w:hyperlink>
        </w:p>
        <w:p w14:paraId="79B0C4B3" w14:textId="1D1652A7" w:rsidR="00AA1B72" w:rsidRDefault="00AA1B72">
          <w:pPr>
            <w:pStyle w:val="TOC3"/>
            <w:tabs>
              <w:tab w:val="right" w:leader="dot" w:pos="9016"/>
            </w:tabs>
            <w:rPr>
              <w:rFonts w:eastAsiaTheme="minorEastAsia"/>
              <w:noProof/>
              <w:lang w:eastAsia="en-GB"/>
            </w:rPr>
          </w:pPr>
          <w:hyperlink w:anchor="_Toc506548495" w:history="1">
            <w:r w:rsidRPr="003601EF">
              <w:rPr>
                <w:rStyle w:val="Hyperlink"/>
                <w:noProof/>
              </w:rPr>
              <w:t>2.7.1 Formative</w:t>
            </w:r>
            <w:r>
              <w:rPr>
                <w:noProof/>
                <w:webHidden/>
              </w:rPr>
              <w:tab/>
            </w:r>
            <w:r>
              <w:rPr>
                <w:noProof/>
                <w:webHidden/>
              </w:rPr>
              <w:fldChar w:fldCharType="begin"/>
            </w:r>
            <w:r>
              <w:rPr>
                <w:noProof/>
                <w:webHidden/>
              </w:rPr>
              <w:instrText xml:space="preserve"> PAGEREF _Toc506548495 \h </w:instrText>
            </w:r>
            <w:r>
              <w:rPr>
                <w:noProof/>
                <w:webHidden/>
              </w:rPr>
            </w:r>
            <w:r>
              <w:rPr>
                <w:noProof/>
                <w:webHidden/>
              </w:rPr>
              <w:fldChar w:fldCharType="separate"/>
            </w:r>
            <w:r>
              <w:rPr>
                <w:noProof/>
                <w:webHidden/>
              </w:rPr>
              <w:t>10</w:t>
            </w:r>
            <w:r>
              <w:rPr>
                <w:noProof/>
                <w:webHidden/>
              </w:rPr>
              <w:fldChar w:fldCharType="end"/>
            </w:r>
          </w:hyperlink>
        </w:p>
        <w:p w14:paraId="0D76F7CC" w14:textId="3AB68E99" w:rsidR="00AA1B72" w:rsidRDefault="00AA1B72">
          <w:pPr>
            <w:pStyle w:val="TOC3"/>
            <w:tabs>
              <w:tab w:val="right" w:leader="dot" w:pos="9016"/>
            </w:tabs>
            <w:rPr>
              <w:rFonts w:eastAsiaTheme="minorEastAsia"/>
              <w:noProof/>
              <w:lang w:eastAsia="en-GB"/>
            </w:rPr>
          </w:pPr>
          <w:hyperlink w:anchor="_Toc506548496" w:history="1">
            <w:r w:rsidRPr="003601EF">
              <w:rPr>
                <w:rStyle w:val="Hyperlink"/>
                <w:noProof/>
              </w:rPr>
              <w:t>2.7.2 Summative</w:t>
            </w:r>
            <w:r>
              <w:rPr>
                <w:noProof/>
                <w:webHidden/>
              </w:rPr>
              <w:tab/>
            </w:r>
            <w:r>
              <w:rPr>
                <w:noProof/>
                <w:webHidden/>
              </w:rPr>
              <w:fldChar w:fldCharType="begin"/>
            </w:r>
            <w:r>
              <w:rPr>
                <w:noProof/>
                <w:webHidden/>
              </w:rPr>
              <w:instrText xml:space="preserve"> PAGEREF _Toc506548496 \h </w:instrText>
            </w:r>
            <w:r>
              <w:rPr>
                <w:noProof/>
                <w:webHidden/>
              </w:rPr>
            </w:r>
            <w:r>
              <w:rPr>
                <w:noProof/>
                <w:webHidden/>
              </w:rPr>
              <w:fldChar w:fldCharType="separate"/>
            </w:r>
            <w:r>
              <w:rPr>
                <w:noProof/>
                <w:webHidden/>
              </w:rPr>
              <w:t>11</w:t>
            </w:r>
            <w:r>
              <w:rPr>
                <w:noProof/>
                <w:webHidden/>
              </w:rPr>
              <w:fldChar w:fldCharType="end"/>
            </w:r>
          </w:hyperlink>
        </w:p>
        <w:p w14:paraId="280D0ED3" w14:textId="44497CC9" w:rsidR="00AA1B72" w:rsidRDefault="00AA1B72">
          <w:pPr>
            <w:pStyle w:val="TOC2"/>
            <w:tabs>
              <w:tab w:val="right" w:leader="dot" w:pos="9016"/>
            </w:tabs>
            <w:rPr>
              <w:rFonts w:eastAsiaTheme="minorEastAsia"/>
              <w:noProof/>
              <w:lang w:eastAsia="en-GB"/>
            </w:rPr>
          </w:pPr>
          <w:hyperlink w:anchor="_Toc506548497" w:history="1">
            <w:r w:rsidRPr="003601EF">
              <w:rPr>
                <w:rStyle w:val="Hyperlink"/>
                <w:noProof/>
              </w:rPr>
              <w:t>Evaluation Technique</w:t>
            </w:r>
            <w:r>
              <w:rPr>
                <w:noProof/>
                <w:webHidden/>
              </w:rPr>
              <w:tab/>
            </w:r>
            <w:r>
              <w:rPr>
                <w:noProof/>
                <w:webHidden/>
              </w:rPr>
              <w:fldChar w:fldCharType="begin"/>
            </w:r>
            <w:r>
              <w:rPr>
                <w:noProof/>
                <w:webHidden/>
              </w:rPr>
              <w:instrText xml:space="preserve"> PAGEREF _Toc506548497 \h </w:instrText>
            </w:r>
            <w:r>
              <w:rPr>
                <w:noProof/>
                <w:webHidden/>
              </w:rPr>
            </w:r>
            <w:r>
              <w:rPr>
                <w:noProof/>
                <w:webHidden/>
              </w:rPr>
              <w:fldChar w:fldCharType="separate"/>
            </w:r>
            <w:r>
              <w:rPr>
                <w:noProof/>
                <w:webHidden/>
              </w:rPr>
              <w:t>11</w:t>
            </w:r>
            <w:r>
              <w:rPr>
                <w:noProof/>
                <w:webHidden/>
              </w:rPr>
              <w:fldChar w:fldCharType="end"/>
            </w:r>
          </w:hyperlink>
        </w:p>
        <w:p w14:paraId="17FE7398" w14:textId="7AAC9236" w:rsidR="00AA1B72" w:rsidRDefault="00AA1B72">
          <w:pPr>
            <w:pStyle w:val="TOC1"/>
            <w:tabs>
              <w:tab w:val="right" w:leader="dot" w:pos="9016"/>
            </w:tabs>
            <w:rPr>
              <w:rFonts w:eastAsiaTheme="minorEastAsia"/>
              <w:noProof/>
              <w:lang w:eastAsia="en-GB"/>
            </w:rPr>
          </w:pPr>
          <w:hyperlink w:anchor="_Toc506548498" w:history="1">
            <w:r w:rsidRPr="003601EF">
              <w:rPr>
                <w:rStyle w:val="Hyperlink"/>
                <w:noProof/>
              </w:rPr>
              <w:t>Part 3 Scheme of Work</w:t>
            </w:r>
            <w:r>
              <w:rPr>
                <w:noProof/>
                <w:webHidden/>
              </w:rPr>
              <w:tab/>
            </w:r>
            <w:r>
              <w:rPr>
                <w:noProof/>
                <w:webHidden/>
              </w:rPr>
              <w:fldChar w:fldCharType="begin"/>
            </w:r>
            <w:r>
              <w:rPr>
                <w:noProof/>
                <w:webHidden/>
              </w:rPr>
              <w:instrText xml:space="preserve"> PAGEREF _Toc506548498 \h </w:instrText>
            </w:r>
            <w:r>
              <w:rPr>
                <w:noProof/>
                <w:webHidden/>
              </w:rPr>
            </w:r>
            <w:r>
              <w:rPr>
                <w:noProof/>
                <w:webHidden/>
              </w:rPr>
              <w:fldChar w:fldCharType="separate"/>
            </w:r>
            <w:r>
              <w:rPr>
                <w:noProof/>
                <w:webHidden/>
              </w:rPr>
              <w:t>12</w:t>
            </w:r>
            <w:r>
              <w:rPr>
                <w:noProof/>
                <w:webHidden/>
              </w:rPr>
              <w:fldChar w:fldCharType="end"/>
            </w:r>
          </w:hyperlink>
        </w:p>
        <w:p w14:paraId="17A557E0" w14:textId="1DBFC8D0" w:rsidR="00AA1B72" w:rsidRDefault="00AA1B72">
          <w:pPr>
            <w:pStyle w:val="TOC1"/>
            <w:tabs>
              <w:tab w:val="right" w:leader="dot" w:pos="9016"/>
            </w:tabs>
            <w:rPr>
              <w:rFonts w:eastAsiaTheme="minorEastAsia"/>
              <w:noProof/>
              <w:lang w:eastAsia="en-GB"/>
            </w:rPr>
          </w:pPr>
          <w:hyperlink w:anchor="_Toc506548499" w:history="1">
            <w:r w:rsidRPr="003601EF">
              <w:rPr>
                <w:rStyle w:val="Hyperlink"/>
                <w:noProof/>
              </w:rPr>
              <w:t>Part 4 Learning Theory</w:t>
            </w:r>
            <w:r>
              <w:rPr>
                <w:noProof/>
                <w:webHidden/>
              </w:rPr>
              <w:tab/>
            </w:r>
            <w:r>
              <w:rPr>
                <w:noProof/>
                <w:webHidden/>
              </w:rPr>
              <w:fldChar w:fldCharType="begin"/>
            </w:r>
            <w:r>
              <w:rPr>
                <w:noProof/>
                <w:webHidden/>
              </w:rPr>
              <w:instrText xml:space="preserve"> PAGEREF _Toc506548499 \h </w:instrText>
            </w:r>
            <w:r>
              <w:rPr>
                <w:noProof/>
                <w:webHidden/>
              </w:rPr>
            </w:r>
            <w:r>
              <w:rPr>
                <w:noProof/>
                <w:webHidden/>
              </w:rPr>
              <w:fldChar w:fldCharType="separate"/>
            </w:r>
            <w:r>
              <w:rPr>
                <w:noProof/>
                <w:webHidden/>
              </w:rPr>
              <w:t>12</w:t>
            </w:r>
            <w:r>
              <w:rPr>
                <w:noProof/>
                <w:webHidden/>
              </w:rPr>
              <w:fldChar w:fldCharType="end"/>
            </w:r>
          </w:hyperlink>
        </w:p>
        <w:p w14:paraId="3D28F50E" w14:textId="3CA2C4B8" w:rsidR="00AA1B72" w:rsidRDefault="00AA1B72">
          <w:pPr>
            <w:pStyle w:val="TOC1"/>
            <w:tabs>
              <w:tab w:val="right" w:leader="dot" w:pos="9016"/>
            </w:tabs>
            <w:rPr>
              <w:rFonts w:eastAsiaTheme="minorEastAsia"/>
              <w:noProof/>
              <w:lang w:eastAsia="en-GB"/>
            </w:rPr>
          </w:pPr>
          <w:hyperlink w:anchor="_Toc506548500" w:history="1">
            <w:r w:rsidRPr="003601EF">
              <w:rPr>
                <w:rStyle w:val="Hyperlink"/>
                <w:noProof/>
              </w:rPr>
              <w:t>References</w:t>
            </w:r>
            <w:r>
              <w:rPr>
                <w:noProof/>
                <w:webHidden/>
              </w:rPr>
              <w:tab/>
            </w:r>
            <w:r>
              <w:rPr>
                <w:noProof/>
                <w:webHidden/>
              </w:rPr>
              <w:fldChar w:fldCharType="begin"/>
            </w:r>
            <w:r>
              <w:rPr>
                <w:noProof/>
                <w:webHidden/>
              </w:rPr>
              <w:instrText xml:space="preserve"> PAGEREF _Toc506548500 \h </w:instrText>
            </w:r>
            <w:r>
              <w:rPr>
                <w:noProof/>
                <w:webHidden/>
              </w:rPr>
            </w:r>
            <w:r>
              <w:rPr>
                <w:noProof/>
                <w:webHidden/>
              </w:rPr>
              <w:fldChar w:fldCharType="separate"/>
            </w:r>
            <w:r>
              <w:rPr>
                <w:noProof/>
                <w:webHidden/>
              </w:rPr>
              <w:t>19</w:t>
            </w:r>
            <w:r>
              <w:rPr>
                <w:noProof/>
                <w:webHidden/>
              </w:rPr>
              <w:fldChar w:fldCharType="end"/>
            </w:r>
          </w:hyperlink>
        </w:p>
        <w:p w14:paraId="674DFB44" w14:textId="71025FF7" w:rsidR="00AA1B72" w:rsidRDefault="00AA1B72">
          <w:pPr>
            <w:pStyle w:val="TOC1"/>
            <w:tabs>
              <w:tab w:val="right" w:leader="dot" w:pos="9016"/>
            </w:tabs>
            <w:rPr>
              <w:rFonts w:eastAsiaTheme="minorEastAsia"/>
              <w:noProof/>
              <w:lang w:eastAsia="en-GB"/>
            </w:rPr>
          </w:pPr>
          <w:hyperlink w:anchor="_Toc506548501" w:history="1">
            <w:r w:rsidRPr="003601EF">
              <w:rPr>
                <w:rStyle w:val="Hyperlink"/>
                <w:noProof/>
              </w:rPr>
              <w:t>Appendices</w:t>
            </w:r>
            <w:r>
              <w:rPr>
                <w:noProof/>
                <w:webHidden/>
              </w:rPr>
              <w:tab/>
            </w:r>
            <w:r>
              <w:rPr>
                <w:noProof/>
                <w:webHidden/>
              </w:rPr>
              <w:fldChar w:fldCharType="begin"/>
            </w:r>
            <w:r>
              <w:rPr>
                <w:noProof/>
                <w:webHidden/>
              </w:rPr>
              <w:instrText xml:space="preserve"> PAGEREF _Toc506548501 \h </w:instrText>
            </w:r>
            <w:r>
              <w:rPr>
                <w:noProof/>
                <w:webHidden/>
              </w:rPr>
            </w:r>
            <w:r>
              <w:rPr>
                <w:noProof/>
                <w:webHidden/>
              </w:rPr>
              <w:fldChar w:fldCharType="separate"/>
            </w:r>
            <w:r>
              <w:rPr>
                <w:noProof/>
                <w:webHidden/>
              </w:rPr>
              <w:t>24</w:t>
            </w:r>
            <w:r>
              <w:rPr>
                <w:noProof/>
                <w:webHidden/>
              </w:rPr>
              <w:fldChar w:fldCharType="end"/>
            </w:r>
          </w:hyperlink>
        </w:p>
        <w:p w14:paraId="48C596C7" w14:textId="15EF29FC" w:rsidR="001631BC" w:rsidRDefault="001631BC">
          <w:r>
            <w:rPr>
              <w:b/>
              <w:bCs/>
              <w:noProof/>
            </w:rPr>
            <w:fldChar w:fldCharType="end"/>
          </w:r>
        </w:p>
      </w:sdtContent>
    </w:sdt>
    <w:p w14:paraId="12FE3D4F" w14:textId="52F7D36E" w:rsidR="00EB4E5E" w:rsidRPr="00627929" w:rsidRDefault="00EA4728" w:rsidP="008E32F7">
      <w:pPr>
        <w:pStyle w:val="Heading1"/>
        <w:spacing w:line="360" w:lineRule="auto"/>
        <w:jc w:val="both"/>
        <w:rPr>
          <w:sz w:val="24"/>
          <w:szCs w:val="24"/>
        </w:rPr>
      </w:pPr>
      <w:bookmarkStart w:id="1" w:name="_Toc506548470"/>
      <w:r w:rsidRPr="00627929">
        <w:rPr>
          <w:sz w:val="24"/>
          <w:szCs w:val="24"/>
        </w:rPr>
        <w:t>Part 1: Analysis of the Curriculum in Carmarthen Business School</w:t>
      </w:r>
      <w:bookmarkEnd w:id="1"/>
    </w:p>
    <w:p w14:paraId="0889A074" w14:textId="77777777" w:rsidR="00F77D29" w:rsidRPr="00627929" w:rsidRDefault="00F77D29" w:rsidP="008E32F7">
      <w:pPr>
        <w:spacing w:line="360" w:lineRule="auto"/>
        <w:jc w:val="both"/>
        <w:rPr>
          <w:sz w:val="24"/>
          <w:szCs w:val="24"/>
        </w:rPr>
      </w:pPr>
      <w:r w:rsidRPr="00627929">
        <w:rPr>
          <w:sz w:val="24"/>
          <w:szCs w:val="24"/>
        </w:rPr>
        <w:t>The Teaching Practise element of this course took place in Carmarthen Business School which is based in the University of Wales Trinity Saint David (UWTSD). As a starting point to this analysis, UWTSD declare that their vision and mission is to transform lives whilst putting the learner as the central element to the university (UWTSD, 2018). This is indeed an amiable vision which echoes elements of the Process Model of curriculum, encouraging learners to have an influence on the nature of activities undertaken (Stenhouse, 1975) (Neary, 2002). Although this vision is a welcome foresight into the culture bestowed upon students at UWTSD, it is in nature a broad university wide ambition. Carmarthen Business School’s curriculum must fit in line with the vision of the university however, it is important to analyse their own individual curriculum.</w:t>
      </w:r>
    </w:p>
    <w:p w14:paraId="22DD42BB" w14:textId="77777777" w:rsidR="00F77D29" w:rsidRPr="00627929" w:rsidRDefault="00F77D29" w:rsidP="008E32F7">
      <w:pPr>
        <w:spacing w:line="360" w:lineRule="auto"/>
        <w:jc w:val="both"/>
        <w:rPr>
          <w:sz w:val="24"/>
          <w:szCs w:val="24"/>
        </w:rPr>
      </w:pPr>
      <w:r w:rsidRPr="00627929">
        <w:rPr>
          <w:sz w:val="24"/>
          <w:szCs w:val="24"/>
        </w:rPr>
        <w:t>The definition and meaning behind the word ‘Curriculum’ is one which is often misconstrued as being a set of guidelines and scheme of work for educational facilities to follow. However, Pollard and Triggs (1997) argue that to understand curriculum we must consider four conceptions of curriculum (supported by Horn, 2002); The official curriculum (a definition which is familiar to many), The hidden curriculum, The observed curriculum and the curriculum as experienced. By analysis of all of these elements, an image of the curriculum can be created.</w:t>
      </w:r>
    </w:p>
    <w:p w14:paraId="1D55C971" w14:textId="77777777" w:rsidR="00F77D29" w:rsidRPr="00627929" w:rsidRDefault="00F77D29" w:rsidP="008E32F7">
      <w:pPr>
        <w:spacing w:line="360" w:lineRule="auto"/>
        <w:jc w:val="both"/>
        <w:rPr>
          <w:sz w:val="24"/>
          <w:szCs w:val="24"/>
        </w:rPr>
      </w:pPr>
      <w:r w:rsidRPr="00627929">
        <w:rPr>
          <w:sz w:val="24"/>
          <w:szCs w:val="24"/>
        </w:rPr>
        <w:t xml:space="preserve">CBS formalise their curriculum in the form of the Programme Document, which encompasses all the undergraduate degree programmes for the Faculty of Business. All of this teaching practice was conducted on the BA Business and Management programme and so this will be the element under scrutiny. </w:t>
      </w:r>
    </w:p>
    <w:p w14:paraId="7F1DAECB" w14:textId="203A82E3" w:rsidR="00F77D29" w:rsidRPr="00627929" w:rsidRDefault="00F77D29" w:rsidP="008E32F7">
      <w:pPr>
        <w:spacing w:line="360" w:lineRule="auto"/>
        <w:jc w:val="both"/>
        <w:rPr>
          <w:sz w:val="24"/>
          <w:szCs w:val="24"/>
        </w:rPr>
      </w:pPr>
      <w:r w:rsidRPr="00627929">
        <w:rPr>
          <w:sz w:val="24"/>
          <w:szCs w:val="24"/>
        </w:rPr>
        <w:t xml:space="preserve">At first glance, the curriculum offers a deep level of consideration for learner environment. The overall design of the curriculum offers a clear vision of objectives for the learners, which cover a wide portfolio. As an example, the Curriculum mentions a definitive the participative approach to teaching strategies. The curriculum declares that it offers a level of flexibility within both the design and delivery which is centred around a transformational learning approach which, according to the programme document, is one which new students will benefit from. Transformational learning as an approach is one which is praised by some within adult learning (Merriam, 2011) and is often perceived as the catalyst for a </w:t>
      </w:r>
      <w:r w:rsidR="008E32F7" w:rsidRPr="00627929">
        <w:rPr>
          <w:sz w:val="24"/>
          <w:szCs w:val="24"/>
        </w:rPr>
        <w:t>learner’s</w:t>
      </w:r>
      <w:r w:rsidRPr="00627929">
        <w:rPr>
          <w:sz w:val="24"/>
          <w:szCs w:val="24"/>
        </w:rPr>
        <w:t xml:space="preserve"> self-actualisation (Pixel, 2015). It is evident through analysis of this curriculum that self-actualisation is one of the desired objectives of the programme and one which does emerge throughout the curriculum. This step towards a transformational approach could suggest that the curriculum familiarises itself with the Process Model. The Process model of curriculum is believed to be focussed around the role of the teacher, Student centred activities and the conditions where learning takes place, a theory supported by Stenhoue (1975) and Elliott and Norris (2012). CBS’s curriculum pays </w:t>
      </w:r>
      <w:r w:rsidR="008E32F7" w:rsidRPr="00627929">
        <w:rPr>
          <w:sz w:val="24"/>
          <w:szCs w:val="24"/>
        </w:rPr>
        <w:t>attention</w:t>
      </w:r>
      <w:r w:rsidRPr="00627929">
        <w:rPr>
          <w:sz w:val="24"/>
          <w:szCs w:val="24"/>
        </w:rPr>
        <w:t xml:space="preserve"> to the role of the teacher as a facilitator and discusses the learning strategy as collaborative where the students learn from one another through development of a shared creation of knowledge. The learning atmosphere and experience could be, however, more open to criticism as they </w:t>
      </w:r>
      <w:r w:rsidR="008E32F7" w:rsidRPr="00627929">
        <w:rPr>
          <w:sz w:val="24"/>
          <w:szCs w:val="24"/>
        </w:rPr>
        <w:t>aren’t</w:t>
      </w:r>
      <w:r w:rsidRPr="00627929">
        <w:rPr>
          <w:sz w:val="24"/>
          <w:szCs w:val="24"/>
        </w:rPr>
        <w:t xml:space="preserve"> </w:t>
      </w:r>
      <w:r w:rsidR="008E32F7" w:rsidRPr="00627929">
        <w:rPr>
          <w:sz w:val="24"/>
          <w:szCs w:val="24"/>
        </w:rPr>
        <w:t>discussed</w:t>
      </w:r>
      <w:r w:rsidRPr="00627929">
        <w:rPr>
          <w:sz w:val="24"/>
          <w:szCs w:val="24"/>
        </w:rPr>
        <w:t xml:space="preserve"> within the curriculum in as much detail. The Process Model pays attention to a more individualised </w:t>
      </w:r>
      <w:r w:rsidR="008E32F7" w:rsidRPr="00627929">
        <w:rPr>
          <w:sz w:val="24"/>
          <w:szCs w:val="24"/>
        </w:rPr>
        <w:t>atmosphere</w:t>
      </w:r>
      <w:r w:rsidRPr="00627929">
        <w:rPr>
          <w:sz w:val="24"/>
          <w:szCs w:val="24"/>
        </w:rPr>
        <w:t xml:space="preserve"> and operates around the assumption that learners have unique responses to various learning experiences. However, it is also argued that the Process Model of curriculum and the environment that it </w:t>
      </w:r>
      <w:r w:rsidR="008E32F7" w:rsidRPr="00627929">
        <w:rPr>
          <w:sz w:val="24"/>
          <w:szCs w:val="24"/>
        </w:rPr>
        <w:t>succeeds</w:t>
      </w:r>
      <w:r w:rsidRPr="00627929">
        <w:rPr>
          <w:sz w:val="24"/>
          <w:szCs w:val="24"/>
        </w:rPr>
        <w:t xml:space="preserve"> within is that of communication, critical thinking and listening (Glatthorn et al, 2015). This being the case, CBS’ curriculum fosters this </w:t>
      </w:r>
      <w:r w:rsidR="008E32F7" w:rsidRPr="00627929">
        <w:rPr>
          <w:sz w:val="24"/>
          <w:szCs w:val="24"/>
        </w:rPr>
        <w:t>guidance</w:t>
      </w:r>
      <w:r w:rsidRPr="00627929">
        <w:rPr>
          <w:sz w:val="24"/>
          <w:szCs w:val="24"/>
        </w:rPr>
        <w:t xml:space="preserve"> throughout by designing the programme to support and enhance critical thinking and applying a variety of communicative techniques. </w:t>
      </w:r>
    </w:p>
    <w:p w14:paraId="30C78B2C" w14:textId="214FE39E" w:rsidR="00F77D29" w:rsidRPr="00627929" w:rsidRDefault="00F77D29" w:rsidP="008E32F7">
      <w:pPr>
        <w:spacing w:line="360" w:lineRule="auto"/>
        <w:jc w:val="both"/>
        <w:rPr>
          <w:sz w:val="24"/>
          <w:szCs w:val="24"/>
        </w:rPr>
      </w:pPr>
      <w:r w:rsidRPr="00627929">
        <w:rPr>
          <w:sz w:val="24"/>
          <w:szCs w:val="24"/>
        </w:rPr>
        <w:t xml:space="preserve">Through analysis, and as discussed earlier, CBS appear to be adopting a more ‘Process’ driven Model within their curriculum. This model in itself acquires its own advantages and criticisms which will undoubtedly have an impact. The nature of process curriculum indicates that the content of the curriculum plays a smaller role than the learning activities and by putting such emphasis on these activities, learners will achieve the curriculum objectives (Neary, 2002). The very nature then of this advantage provokes a disadvantage where appropriate consideration for content may be neglected and could be viewed as insufficient, particularly within higher education. This theoretical argument, however, can be ignored when considering CBS as primary research and </w:t>
      </w:r>
      <w:r w:rsidR="008E32F7" w:rsidRPr="00627929">
        <w:rPr>
          <w:sz w:val="24"/>
          <w:szCs w:val="24"/>
        </w:rPr>
        <w:t>first-hand</w:t>
      </w:r>
      <w:r w:rsidRPr="00627929">
        <w:rPr>
          <w:sz w:val="24"/>
          <w:szCs w:val="24"/>
        </w:rPr>
        <w:t xml:space="preserve"> experience of the curriculum being taught here provide enough evidence of appropriate content. It is also suggested that there is often difficulty in applying the Process Model in certain areas. This may be the case for other Faculties or indeed </w:t>
      </w:r>
      <w:r w:rsidR="008E32F7" w:rsidRPr="00627929">
        <w:rPr>
          <w:sz w:val="24"/>
          <w:szCs w:val="24"/>
        </w:rPr>
        <w:t>Universities</w:t>
      </w:r>
      <w:r w:rsidRPr="00627929">
        <w:rPr>
          <w:sz w:val="24"/>
          <w:szCs w:val="24"/>
        </w:rPr>
        <w:t xml:space="preserve">, however, CBS has been given high level support to conduct all of its programmes and modules through participative and </w:t>
      </w:r>
      <w:r w:rsidR="008E32F7" w:rsidRPr="00627929">
        <w:rPr>
          <w:sz w:val="24"/>
          <w:szCs w:val="24"/>
        </w:rPr>
        <w:t>transformational</w:t>
      </w:r>
      <w:r w:rsidRPr="00627929">
        <w:rPr>
          <w:sz w:val="24"/>
          <w:szCs w:val="24"/>
        </w:rPr>
        <w:t xml:space="preserve"> learning and so this clearly </w:t>
      </w:r>
      <w:r w:rsidR="008E32F7" w:rsidRPr="00627929">
        <w:rPr>
          <w:sz w:val="24"/>
          <w:szCs w:val="24"/>
        </w:rPr>
        <w:t>doesn’t</w:t>
      </w:r>
      <w:r w:rsidRPr="00627929">
        <w:rPr>
          <w:sz w:val="24"/>
          <w:szCs w:val="24"/>
        </w:rPr>
        <w:t xml:space="preserve"> pose a problem. Interestingly, Srivastava (2005) argues that assessment becomes more difficult in a Process driven curriculum as a less ‘formal’ approach is </w:t>
      </w:r>
      <w:r w:rsidR="008E32F7" w:rsidRPr="00627929">
        <w:rPr>
          <w:sz w:val="24"/>
          <w:szCs w:val="24"/>
        </w:rPr>
        <w:t>taken,</w:t>
      </w:r>
      <w:r w:rsidRPr="00627929">
        <w:rPr>
          <w:sz w:val="24"/>
          <w:szCs w:val="24"/>
        </w:rPr>
        <w:t xml:space="preserve"> and so strict </w:t>
      </w:r>
      <w:r w:rsidR="008E32F7" w:rsidRPr="00627929">
        <w:rPr>
          <w:sz w:val="24"/>
          <w:szCs w:val="24"/>
        </w:rPr>
        <w:t>guidelines</w:t>
      </w:r>
      <w:r w:rsidRPr="00627929">
        <w:rPr>
          <w:sz w:val="24"/>
          <w:szCs w:val="24"/>
        </w:rPr>
        <w:t xml:space="preserve"> cannot be outlined. CBS, through analysis of their assessment strategies within the Curriculum, show that there is a set of clear guidelines and criteria for assessment when considering Summative assessment. However, Formative assessment within the CBS curriculum falls to the teacher to include regular assessments throughout the modules which requires an element of trust.   Another advantage of using the Process Model for the curriculum is the emphasis it has on the set of life skills this curriculum offers. It is clear within CBS’ curriculum that the skills that learners adopt or are encouraged to develop within the curriculum activities are important and identify as important life skills. These include Communicative skills, Collaboration etc. </w:t>
      </w:r>
    </w:p>
    <w:p w14:paraId="7232E056" w14:textId="7E475505" w:rsidR="00F77D29" w:rsidRPr="00627929" w:rsidRDefault="00F77D29" w:rsidP="008E32F7">
      <w:pPr>
        <w:spacing w:line="360" w:lineRule="auto"/>
        <w:jc w:val="both"/>
        <w:rPr>
          <w:sz w:val="24"/>
          <w:szCs w:val="24"/>
        </w:rPr>
      </w:pPr>
      <w:r w:rsidRPr="00627929">
        <w:rPr>
          <w:sz w:val="24"/>
          <w:szCs w:val="24"/>
        </w:rPr>
        <w:t xml:space="preserve">Upon consideration of the curriculum within </w:t>
      </w:r>
      <w:r w:rsidR="008E32F7" w:rsidRPr="00627929">
        <w:rPr>
          <w:sz w:val="24"/>
          <w:szCs w:val="24"/>
        </w:rPr>
        <w:t>CBS, Praxi’s</w:t>
      </w:r>
      <w:r w:rsidRPr="00627929">
        <w:rPr>
          <w:sz w:val="24"/>
          <w:szCs w:val="24"/>
        </w:rPr>
        <w:t xml:space="preserve"> view of the curriculum also resonates. Praxi’s view requires two dimensions within the curriculum- theory and practise (Scales and Kelly, 2012). This theory emphasises that one is not valid without the other and that a curriculum considers </w:t>
      </w:r>
      <w:r w:rsidR="008E32F7" w:rsidRPr="00627929">
        <w:rPr>
          <w:sz w:val="24"/>
          <w:szCs w:val="24"/>
        </w:rPr>
        <w:t>several</w:t>
      </w:r>
      <w:r w:rsidRPr="00627929">
        <w:rPr>
          <w:sz w:val="24"/>
          <w:szCs w:val="24"/>
        </w:rPr>
        <w:t xml:space="preserve"> factors which include; the learners lived experiences, preplanning of the content of the curriculum and is based on reflection. This identifies itself within CBS’ curriculum as consideration is given to all of these aspects. </w:t>
      </w:r>
    </w:p>
    <w:p w14:paraId="24D53CC7" w14:textId="3342189B" w:rsidR="00F77D29" w:rsidRPr="00627929" w:rsidRDefault="00F77D29" w:rsidP="008E32F7">
      <w:pPr>
        <w:spacing w:line="360" w:lineRule="auto"/>
        <w:jc w:val="both"/>
        <w:rPr>
          <w:sz w:val="24"/>
          <w:szCs w:val="24"/>
        </w:rPr>
      </w:pPr>
      <w:r w:rsidRPr="00627929">
        <w:rPr>
          <w:sz w:val="24"/>
          <w:szCs w:val="24"/>
        </w:rPr>
        <w:t xml:space="preserve">Analysis of the curriculum in CBS offers an insight into the school’s aims and objectives whilst giving a flavour of how all elements of the curriculum is set out to be delivered to the students. It is clear that although criticisms exist for the various models of curriculum, CBS have created and designed a curriculum that takes into consideration all aspects of the curriculum and not just the official curriculum. Having both taught and observed this curriculum in action, it is an advantage to be able to offer primary experience of the curriculum. It is fair to say that the curriculum is delivered in the most part in the way in which it has been designed. However, the teaching strategies designed to </w:t>
      </w:r>
      <w:r w:rsidR="008E32F7" w:rsidRPr="00627929">
        <w:rPr>
          <w:sz w:val="24"/>
          <w:szCs w:val="24"/>
        </w:rPr>
        <w:t>complement</w:t>
      </w:r>
      <w:r w:rsidRPr="00627929">
        <w:rPr>
          <w:sz w:val="24"/>
          <w:szCs w:val="24"/>
        </w:rPr>
        <w:t xml:space="preserve"> the curriculum are </w:t>
      </w:r>
      <w:r w:rsidR="008E32F7" w:rsidRPr="00627929">
        <w:rPr>
          <w:sz w:val="24"/>
          <w:szCs w:val="24"/>
        </w:rPr>
        <w:t>delivered</w:t>
      </w:r>
      <w:r w:rsidRPr="00627929">
        <w:rPr>
          <w:sz w:val="24"/>
          <w:szCs w:val="24"/>
        </w:rPr>
        <w:t xml:space="preserve"> to varying degrees dependant on </w:t>
      </w:r>
      <w:r w:rsidR="008E32F7" w:rsidRPr="00627929">
        <w:rPr>
          <w:sz w:val="24"/>
          <w:szCs w:val="24"/>
        </w:rPr>
        <w:t>several</w:t>
      </w:r>
      <w:r w:rsidRPr="00627929">
        <w:rPr>
          <w:sz w:val="24"/>
          <w:szCs w:val="24"/>
        </w:rPr>
        <w:t xml:space="preserve"> factors including; Module subject, Teaching style etc.  In the most part, although this curriculum is a relatively new curriculum (designed and first delivered in Academic year 2017-2018) itis clear that it offers an exciting opportunity to learners to expand their mind-set and develop their skills whilst </w:t>
      </w:r>
      <w:r w:rsidR="008E32F7" w:rsidRPr="00627929">
        <w:rPr>
          <w:sz w:val="24"/>
          <w:szCs w:val="24"/>
        </w:rPr>
        <w:t>achieving</w:t>
      </w:r>
      <w:r w:rsidRPr="00627929">
        <w:rPr>
          <w:sz w:val="24"/>
          <w:szCs w:val="24"/>
        </w:rPr>
        <w:t xml:space="preserve"> the relevant qualification. The success of this curriculum is most likely to be tangible in three </w:t>
      </w:r>
      <w:r w:rsidR="008E32F7" w:rsidRPr="00627929">
        <w:rPr>
          <w:sz w:val="24"/>
          <w:szCs w:val="24"/>
        </w:rPr>
        <w:t>years’ time</w:t>
      </w:r>
      <w:r w:rsidRPr="00627929">
        <w:rPr>
          <w:sz w:val="24"/>
          <w:szCs w:val="24"/>
        </w:rPr>
        <w:t xml:space="preserve"> when the its first learners have completed the programme although early indicators are promising.</w:t>
      </w:r>
    </w:p>
    <w:p w14:paraId="087707E5" w14:textId="77777777" w:rsidR="00F77D29" w:rsidRPr="00627929" w:rsidRDefault="00F77D29" w:rsidP="008E32F7">
      <w:pPr>
        <w:spacing w:line="360" w:lineRule="auto"/>
        <w:jc w:val="both"/>
        <w:rPr>
          <w:sz w:val="24"/>
          <w:szCs w:val="24"/>
        </w:rPr>
      </w:pPr>
    </w:p>
    <w:p w14:paraId="4CB33F3F" w14:textId="28647EA5" w:rsidR="00EA4728" w:rsidRPr="00627929" w:rsidRDefault="00EA4728" w:rsidP="008E32F7">
      <w:pPr>
        <w:pStyle w:val="Heading1"/>
        <w:spacing w:line="360" w:lineRule="auto"/>
        <w:jc w:val="both"/>
        <w:rPr>
          <w:sz w:val="24"/>
          <w:szCs w:val="24"/>
        </w:rPr>
      </w:pPr>
      <w:bookmarkStart w:id="2" w:name="_Toc506548471"/>
      <w:r w:rsidRPr="00627929">
        <w:rPr>
          <w:sz w:val="24"/>
          <w:szCs w:val="24"/>
        </w:rPr>
        <w:t>Part 2: Rationale for Sustainability Leadership</w:t>
      </w:r>
      <w:bookmarkEnd w:id="2"/>
    </w:p>
    <w:p w14:paraId="325B3A03" w14:textId="3ABC289D" w:rsidR="00EA4728" w:rsidRPr="00627929" w:rsidRDefault="00EA4728" w:rsidP="008E32F7">
      <w:pPr>
        <w:pStyle w:val="Heading2"/>
        <w:spacing w:line="360" w:lineRule="auto"/>
        <w:jc w:val="both"/>
        <w:rPr>
          <w:sz w:val="24"/>
          <w:szCs w:val="24"/>
        </w:rPr>
      </w:pPr>
      <w:bookmarkStart w:id="3" w:name="_Toc506548472"/>
      <w:r w:rsidRPr="00627929">
        <w:rPr>
          <w:sz w:val="24"/>
          <w:szCs w:val="24"/>
        </w:rPr>
        <w:t>2.1 Course Description</w:t>
      </w:r>
      <w:bookmarkEnd w:id="3"/>
    </w:p>
    <w:p w14:paraId="5F6EE86C" w14:textId="338DBE2B" w:rsidR="00021080" w:rsidRPr="00627929" w:rsidRDefault="00021080" w:rsidP="008E32F7">
      <w:pPr>
        <w:spacing w:line="360" w:lineRule="auto"/>
        <w:jc w:val="both"/>
        <w:rPr>
          <w:sz w:val="24"/>
          <w:szCs w:val="24"/>
        </w:rPr>
      </w:pPr>
      <w:r w:rsidRPr="00627929">
        <w:rPr>
          <w:sz w:val="24"/>
          <w:szCs w:val="24"/>
        </w:rPr>
        <w:t xml:space="preserve">This </w:t>
      </w:r>
      <w:r w:rsidR="008E32F7" w:rsidRPr="00627929">
        <w:rPr>
          <w:sz w:val="24"/>
          <w:szCs w:val="24"/>
        </w:rPr>
        <w:t>ten-week</w:t>
      </w:r>
      <w:r w:rsidRPr="00627929">
        <w:rPr>
          <w:sz w:val="24"/>
          <w:szCs w:val="24"/>
        </w:rPr>
        <w:t xml:space="preserve"> programme/module is designed to provoke thought around Sustainability Leadership. Sitting within the Business and Management Undergraduate Degree Programme within Carmarthen Business School (UWTSD), this module echoes the underlying theme of sustainability which the school infuses throughout their modules. Due to the high level of critique and analytical thinking required, the module is best suited to Level 6 students within the Undergraduate Degree Programme. </w:t>
      </w:r>
      <w:r w:rsidR="008E32F7" w:rsidRPr="00627929">
        <w:rPr>
          <w:sz w:val="24"/>
          <w:szCs w:val="24"/>
        </w:rPr>
        <w:t>Its</w:t>
      </w:r>
      <w:r w:rsidRPr="00627929">
        <w:rPr>
          <w:sz w:val="24"/>
          <w:szCs w:val="24"/>
        </w:rPr>
        <w:t xml:space="preserve"> design is to encourage students to explore and critique the traditional leadership values against the emerging contemporary influences of Sustainability Leadership. Throughout this journey, learners will engage in a variety of activities provoking perceptive thinking of how leaders should act. Learners will be encouraged to question traditional leadership and gain a deeper understanding of how sustainability leadership impacts business and its influences on sustainability in a broader spectrum. It is empirical that the overall design of the course combines a variety of teaching strategies encompassing participative learning (DiSalvo et al, 2017) as these go a long way to incite innovative thinking. The move to Sustainability Leadership, albeit a contemporary migration, is one which business is recognising as fundamental moving forward (Dyer and Dyer, 2017). The relevance and importance, then, of this programme within the Undergraduate Degree is profound and with regular adaptations to include current issues and developments, will continue to remain relevant in future years.</w:t>
      </w:r>
    </w:p>
    <w:p w14:paraId="77447E73" w14:textId="4D5E9009" w:rsidR="00EA4728" w:rsidRPr="00627929" w:rsidRDefault="00EA4728" w:rsidP="008E32F7">
      <w:pPr>
        <w:pStyle w:val="Heading2"/>
        <w:spacing w:line="360" w:lineRule="auto"/>
        <w:jc w:val="both"/>
        <w:rPr>
          <w:sz w:val="24"/>
          <w:szCs w:val="24"/>
        </w:rPr>
      </w:pPr>
      <w:bookmarkStart w:id="4" w:name="_Toc506548473"/>
      <w:r w:rsidRPr="00627929">
        <w:rPr>
          <w:sz w:val="24"/>
          <w:szCs w:val="24"/>
        </w:rPr>
        <w:t>2.2 Target Audience</w:t>
      </w:r>
      <w:bookmarkEnd w:id="4"/>
    </w:p>
    <w:p w14:paraId="73FF2C51" w14:textId="77777777" w:rsidR="00021080" w:rsidRPr="00627929" w:rsidRDefault="00021080" w:rsidP="008E32F7">
      <w:pPr>
        <w:spacing w:line="360" w:lineRule="auto"/>
        <w:jc w:val="both"/>
        <w:rPr>
          <w:sz w:val="24"/>
          <w:szCs w:val="24"/>
        </w:rPr>
      </w:pPr>
      <w:r w:rsidRPr="00627929">
        <w:rPr>
          <w:sz w:val="24"/>
          <w:szCs w:val="24"/>
        </w:rPr>
        <w:t xml:space="preserve">The target audience for this programme will be Level 6 Business and Management students based in UWTSD Carmarthen Business School. Although this programme can be delivered within any business school, the nature and underlying theme of sustainability throughout the programme has been specifically designed for Carmarthen Business School who deliver all programmes with a sustainability driven ethos. Level 6 students will have already studied Business Management for two years with sustainability weaved throughout, therefore, Sustainability Leadership would also assist in consolidating their understanding of the potential impact that future leaders can have. </w:t>
      </w:r>
    </w:p>
    <w:p w14:paraId="3FC8856F" w14:textId="1F5418BD" w:rsidR="00021080" w:rsidRPr="00627929" w:rsidRDefault="00021080" w:rsidP="008E32F7">
      <w:pPr>
        <w:spacing w:line="360" w:lineRule="auto"/>
        <w:jc w:val="both"/>
        <w:rPr>
          <w:sz w:val="24"/>
          <w:szCs w:val="24"/>
        </w:rPr>
      </w:pPr>
      <w:r w:rsidRPr="00627929">
        <w:rPr>
          <w:sz w:val="24"/>
          <w:szCs w:val="24"/>
        </w:rPr>
        <w:t>This programme is designed to give learners vital skills and attributes to take into their careers following graduation from the degree. Leaners will gain insight into what it takes to become a sustainable leader and what activities such leadership promote/requires. Sustainability within business is a factor progressively viewed as essential by employers (Ahmed Umar et al, 2015) and recognition is now given for students who have studied within this field. Many of the graduates of the Business and Management degree will inevitably become leaders in business and so will find Sustainability Leadership useful to identify what leader they want to be through self-reflection and evaluation. This fits in well with the QAA Framework for the education for sustainable development which insists that Higher Education must equip graduates with the knowledge and skills to meet the changing demands of the environment (QAA, 2014).</w:t>
      </w:r>
    </w:p>
    <w:p w14:paraId="4F874790" w14:textId="270F1137" w:rsidR="00EA4728" w:rsidRPr="00627929" w:rsidRDefault="00EA4728" w:rsidP="008E32F7">
      <w:pPr>
        <w:pStyle w:val="Heading2"/>
        <w:spacing w:line="360" w:lineRule="auto"/>
        <w:jc w:val="both"/>
        <w:rPr>
          <w:sz w:val="24"/>
          <w:szCs w:val="24"/>
        </w:rPr>
      </w:pPr>
      <w:bookmarkStart w:id="5" w:name="_Toc506548474"/>
      <w:r w:rsidRPr="00627929">
        <w:rPr>
          <w:sz w:val="24"/>
          <w:szCs w:val="24"/>
        </w:rPr>
        <w:t>2.3 Learning Objectives</w:t>
      </w:r>
      <w:bookmarkEnd w:id="5"/>
    </w:p>
    <w:p w14:paraId="08143922" w14:textId="1F413409" w:rsidR="00021080" w:rsidRPr="00627929" w:rsidRDefault="00021080" w:rsidP="008E32F7">
      <w:pPr>
        <w:spacing w:line="360" w:lineRule="auto"/>
        <w:jc w:val="both"/>
        <w:rPr>
          <w:sz w:val="24"/>
          <w:szCs w:val="24"/>
        </w:rPr>
      </w:pPr>
      <w:r w:rsidRPr="00627929">
        <w:rPr>
          <w:sz w:val="24"/>
          <w:szCs w:val="24"/>
        </w:rPr>
        <w:t>The Learning Objectives for this Programme are aligned with the QAA standards as identified later in this document. The Learning Objectives are outlined as follows:</w:t>
      </w:r>
    </w:p>
    <w:p w14:paraId="22F91CD2" w14:textId="2376050E" w:rsidR="00EA4728" w:rsidRPr="00627929" w:rsidRDefault="00EA4728" w:rsidP="008E32F7">
      <w:pPr>
        <w:pStyle w:val="Heading3"/>
        <w:spacing w:line="360" w:lineRule="auto"/>
        <w:jc w:val="both"/>
      </w:pPr>
      <w:bookmarkStart w:id="6" w:name="_Toc506548475"/>
      <w:r w:rsidRPr="00627929">
        <w:t>2.3.1: LO1</w:t>
      </w:r>
      <w:bookmarkEnd w:id="6"/>
    </w:p>
    <w:p w14:paraId="01AC9E04" w14:textId="6F2DFE42" w:rsidR="00021080" w:rsidRPr="00627929" w:rsidRDefault="00021080" w:rsidP="008E32F7">
      <w:pPr>
        <w:spacing w:line="360" w:lineRule="auto"/>
        <w:jc w:val="both"/>
        <w:rPr>
          <w:sz w:val="24"/>
          <w:szCs w:val="24"/>
        </w:rPr>
      </w:pPr>
      <w:r w:rsidRPr="00627929">
        <w:rPr>
          <w:sz w:val="24"/>
          <w:szCs w:val="24"/>
        </w:rPr>
        <w:t>Students should be able to recognise and evaluate what Sustainability Leadership is and why it’s relevant in today’s environment.</w:t>
      </w:r>
    </w:p>
    <w:p w14:paraId="3AD1D9F4" w14:textId="52801054" w:rsidR="00EA4728" w:rsidRPr="00627929" w:rsidRDefault="00EA4728" w:rsidP="008E32F7">
      <w:pPr>
        <w:pStyle w:val="Heading3"/>
        <w:spacing w:line="360" w:lineRule="auto"/>
        <w:jc w:val="both"/>
      </w:pPr>
      <w:bookmarkStart w:id="7" w:name="_Toc506548476"/>
      <w:r w:rsidRPr="00627929">
        <w:t>2.3.2: LO2</w:t>
      </w:r>
      <w:bookmarkEnd w:id="7"/>
    </w:p>
    <w:p w14:paraId="15FF4527" w14:textId="372A87A3" w:rsidR="00021080" w:rsidRPr="00627929" w:rsidRDefault="00021080" w:rsidP="008E32F7">
      <w:pPr>
        <w:spacing w:line="360" w:lineRule="auto"/>
        <w:jc w:val="both"/>
        <w:rPr>
          <w:sz w:val="24"/>
          <w:szCs w:val="24"/>
        </w:rPr>
      </w:pPr>
      <w:r w:rsidRPr="00627929">
        <w:rPr>
          <w:sz w:val="24"/>
          <w:szCs w:val="24"/>
        </w:rPr>
        <w:t>Students will be equipped with the tools and knowledge to take Sustainability Leadership out into the world of work following graduation from the Undergraduate Degree.</w:t>
      </w:r>
    </w:p>
    <w:p w14:paraId="01D48610" w14:textId="75A2483C" w:rsidR="00EA4728" w:rsidRPr="00627929" w:rsidRDefault="00EA4728" w:rsidP="008E32F7">
      <w:pPr>
        <w:pStyle w:val="Heading3"/>
        <w:spacing w:line="360" w:lineRule="auto"/>
        <w:jc w:val="both"/>
      </w:pPr>
      <w:bookmarkStart w:id="8" w:name="_Toc506548477"/>
      <w:r w:rsidRPr="00627929">
        <w:t>2.3.3: LO3</w:t>
      </w:r>
      <w:bookmarkEnd w:id="8"/>
    </w:p>
    <w:p w14:paraId="6DBA25B2" w14:textId="3E90437F" w:rsidR="00021080" w:rsidRPr="00627929" w:rsidRDefault="00021080" w:rsidP="008E32F7">
      <w:pPr>
        <w:spacing w:line="360" w:lineRule="auto"/>
        <w:jc w:val="both"/>
        <w:rPr>
          <w:sz w:val="24"/>
          <w:szCs w:val="24"/>
        </w:rPr>
      </w:pPr>
      <w:r w:rsidRPr="00627929">
        <w:rPr>
          <w:sz w:val="24"/>
          <w:szCs w:val="24"/>
        </w:rPr>
        <w:t>Critique various leadership approaches in relation TO Sustainability and assess their development through the Honey Bee and Locust Approach.</w:t>
      </w:r>
    </w:p>
    <w:p w14:paraId="332EC90E" w14:textId="3F7A2F16" w:rsidR="00EA4728" w:rsidRPr="00627929" w:rsidRDefault="00EA4728" w:rsidP="008E32F7">
      <w:pPr>
        <w:pStyle w:val="Heading3"/>
        <w:spacing w:line="360" w:lineRule="auto"/>
        <w:jc w:val="both"/>
      </w:pPr>
      <w:bookmarkStart w:id="9" w:name="_Toc506548478"/>
      <w:r w:rsidRPr="00627929">
        <w:t>2.3.4: LO4</w:t>
      </w:r>
      <w:bookmarkEnd w:id="9"/>
    </w:p>
    <w:p w14:paraId="4D6D3190" w14:textId="3DD012B7" w:rsidR="00021080" w:rsidRPr="00627929" w:rsidRDefault="00021080" w:rsidP="008E32F7">
      <w:pPr>
        <w:spacing w:line="360" w:lineRule="auto"/>
        <w:jc w:val="both"/>
        <w:rPr>
          <w:sz w:val="24"/>
          <w:szCs w:val="24"/>
        </w:rPr>
      </w:pPr>
      <w:r w:rsidRPr="00627929">
        <w:rPr>
          <w:sz w:val="24"/>
          <w:szCs w:val="24"/>
        </w:rPr>
        <w:t>Discuss and evaluate what makes a sustainable leader whilst critically analysing what traits are required.</w:t>
      </w:r>
    </w:p>
    <w:p w14:paraId="23604BDE" w14:textId="726ACF58" w:rsidR="00EA4728" w:rsidRPr="00627929" w:rsidRDefault="00EA4728" w:rsidP="008E32F7">
      <w:pPr>
        <w:pStyle w:val="Heading3"/>
        <w:spacing w:line="360" w:lineRule="auto"/>
        <w:jc w:val="both"/>
      </w:pPr>
      <w:bookmarkStart w:id="10" w:name="_Toc506548479"/>
      <w:r w:rsidRPr="00627929">
        <w:t>2.3.5: LO5</w:t>
      </w:r>
      <w:bookmarkEnd w:id="10"/>
    </w:p>
    <w:p w14:paraId="06A14D25" w14:textId="16793BF8" w:rsidR="00021080" w:rsidRPr="00627929" w:rsidRDefault="00021080" w:rsidP="008E32F7">
      <w:pPr>
        <w:spacing w:line="360" w:lineRule="auto"/>
        <w:jc w:val="both"/>
        <w:rPr>
          <w:sz w:val="24"/>
          <w:szCs w:val="24"/>
        </w:rPr>
      </w:pPr>
      <w:r w:rsidRPr="00627929">
        <w:rPr>
          <w:sz w:val="24"/>
          <w:szCs w:val="24"/>
        </w:rPr>
        <w:t>Create a proforma ranking a leader within sustainability leadership framework.</w:t>
      </w:r>
    </w:p>
    <w:p w14:paraId="4916EF50" w14:textId="43FE47B3" w:rsidR="00EA4728" w:rsidRPr="00627929" w:rsidRDefault="00EA4728" w:rsidP="008E32F7">
      <w:pPr>
        <w:pStyle w:val="Heading3"/>
        <w:spacing w:line="360" w:lineRule="auto"/>
        <w:jc w:val="both"/>
      </w:pPr>
      <w:bookmarkStart w:id="11" w:name="_Toc506548480"/>
      <w:r w:rsidRPr="00627929">
        <w:t>2.3.6: LO6</w:t>
      </w:r>
      <w:bookmarkEnd w:id="11"/>
    </w:p>
    <w:p w14:paraId="0D11771F" w14:textId="46C0B262" w:rsidR="00021080" w:rsidRPr="00627929" w:rsidRDefault="00021080" w:rsidP="008E32F7">
      <w:pPr>
        <w:spacing w:line="360" w:lineRule="auto"/>
        <w:jc w:val="both"/>
        <w:rPr>
          <w:sz w:val="24"/>
          <w:szCs w:val="24"/>
        </w:rPr>
      </w:pPr>
      <w:r w:rsidRPr="00627929">
        <w:rPr>
          <w:sz w:val="24"/>
          <w:szCs w:val="24"/>
        </w:rPr>
        <w:t>Understand how sustainability leadership may evolve and develop within an organisations CSR policy whilst analysing and evaluating CSR policies from any given organisation.</w:t>
      </w:r>
    </w:p>
    <w:p w14:paraId="2B03CA31" w14:textId="698821E8" w:rsidR="00EA4728" w:rsidRPr="00627929" w:rsidRDefault="00EA4728" w:rsidP="008E32F7">
      <w:pPr>
        <w:pStyle w:val="Heading3"/>
        <w:spacing w:line="360" w:lineRule="auto"/>
        <w:jc w:val="both"/>
      </w:pPr>
      <w:bookmarkStart w:id="12" w:name="_Toc506548481"/>
      <w:r w:rsidRPr="00627929">
        <w:t>2.3.7: LO7</w:t>
      </w:r>
      <w:bookmarkEnd w:id="12"/>
    </w:p>
    <w:p w14:paraId="2689A5FD" w14:textId="005FD183" w:rsidR="00021080" w:rsidRPr="00627929" w:rsidRDefault="00021080" w:rsidP="008E32F7">
      <w:pPr>
        <w:spacing w:line="360" w:lineRule="auto"/>
        <w:jc w:val="both"/>
        <w:rPr>
          <w:sz w:val="24"/>
          <w:szCs w:val="24"/>
        </w:rPr>
      </w:pPr>
      <w:r w:rsidRPr="00627929">
        <w:rPr>
          <w:sz w:val="24"/>
          <w:szCs w:val="24"/>
        </w:rPr>
        <w:t>Create a</w:t>
      </w:r>
      <w:r w:rsidR="007D07C3" w:rsidRPr="00627929">
        <w:rPr>
          <w:sz w:val="24"/>
          <w:szCs w:val="24"/>
        </w:rPr>
        <w:t xml:space="preserve"> </w:t>
      </w:r>
      <w:r w:rsidRPr="00627929">
        <w:rPr>
          <w:sz w:val="24"/>
          <w:szCs w:val="24"/>
        </w:rPr>
        <w:t>working CSR template.</w:t>
      </w:r>
    </w:p>
    <w:p w14:paraId="492A9A18" w14:textId="76F551CC" w:rsidR="00EA4728" w:rsidRPr="00627929" w:rsidRDefault="00EA4728" w:rsidP="008E32F7">
      <w:pPr>
        <w:pStyle w:val="Heading3"/>
        <w:spacing w:line="360" w:lineRule="auto"/>
        <w:jc w:val="both"/>
      </w:pPr>
      <w:bookmarkStart w:id="13" w:name="_Toc506548482"/>
      <w:r w:rsidRPr="00627929">
        <w:t>2.3.8: LO8</w:t>
      </w:r>
      <w:bookmarkEnd w:id="13"/>
    </w:p>
    <w:p w14:paraId="3C4FFCB1" w14:textId="43D7C327" w:rsidR="007D07C3" w:rsidRPr="00627929" w:rsidRDefault="007D07C3" w:rsidP="008E32F7">
      <w:pPr>
        <w:spacing w:line="360" w:lineRule="auto"/>
        <w:jc w:val="both"/>
        <w:rPr>
          <w:sz w:val="24"/>
          <w:szCs w:val="24"/>
        </w:rPr>
      </w:pPr>
      <w:r w:rsidRPr="00627929">
        <w:rPr>
          <w:sz w:val="24"/>
          <w:szCs w:val="24"/>
        </w:rPr>
        <w:t>Consider the challenges faced for Sustainability Leadership and evaluate ways of overcoming these obstacles.</w:t>
      </w:r>
    </w:p>
    <w:p w14:paraId="609E4EBD" w14:textId="47669811" w:rsidR="00EA4728" w:rsidRPr="00627929" w:rsidRDefault="00EA4728" w:rsidP="008E32F7">
      <w:pPr>
        <w:pStyle w:val="Heading3"/>
        <w:spacing w:line="360" w:lineRule="auto"/>
        <w:jc w:val="both"/>
      </w:pPr>
      <w:bookmarkStart w:id="14" w:name="_Toc506548483"/>
      <w:r w:rsidRPr="00627929">
        <w:t>2.3.9: LO9</w:t>
      </w:r>
      <w:bookmarkEnd w:id="14"/>
    </w:p>
    <w:p w14:paraId="45E4A967" w14:textId="4BBA47F4" w:rsidR="007D07C3" w:rsidRPr="00627929" w:rsidRDefault="007D07C3" w:rsidP="008E32F7">
      <w:pPr>
        <w:spacing w:line="360" w:lineRule="auto"/>
        <w:jc w:val="both"/>
        <w:rPr>
          <w:sz w:val="24"/>
          <w:szCs w:val="24"/>
        </w:rPr>
      </w:pPr>
      <w:r w:rsidRPr="00627929">
        <w:rPr>
          <w:sz w:val="24"/>
          <w:szCs w:val="24"/>
        </w:rPr>
        <w:t>Critique what the shift to sustainability leadership looks like and understand the variety of reasons and causes for the shift.</w:t>
      </w:r>
    </w:p>
    <w:p w14:paraId="03829332" w14:textId="44672C7D" w:rsidR="00EA4728" w:rsidRPr="00627929" w:rsidRDefault="00EA4728" w:rsidP="008E32F7">
      <w:pPr>
        <w:pStyle w:val="Heading3"/>
        <w:spacing w:line="360" w:lineRule="auto"/>
        <w:jc w:val="both"/>
      </w:pPr>
      <w:bookmarkStart w:id="15" w:name="_Toc506548484"/>
      <w:r w:rsidRPr="00627929">
        <w:t>2.3.10 LO10</w:t>
      </w:r>
      <w:bookmarkEnd w:id="15"/>
    </w:p>
    <w:p w14:paraId="452290E0" w14:textId="30B2428D" w:rsidR="007D07C3" w:rsidRPr="00627929" w:rsidRDefault="007D07C3" w:rsidP="008E32F7">
      <w:pPr>
        <w:spacing w:line="360" w:lineRule="auto"/>
        <w:jc w:val="both"/>
        <w:rPr>
          <w:sz w:val="24"/>
          <w:szCs w:val="24"/>
        </w:rPr>
      </w:pPr>
      <w:r w:rsidRPr="00627929">
        <w:rPr>
          <w:sz w:val="24"/>
          <w:szCs w:val="24"/>
        </w:rPr>
        <w:t>Understand and discuss the notion of Best Practice to Next Practice.</w:t>
      </w:r>
    </w:p>
    <w:p w14:paraId="6AB7CA6D" w14:textId="41AFE10E" w:rsidR="00EA4728" w:rsidRPr="00627929" w:rsidRDefault="00EA4728" w:rsidP="008E32F7">
      <w:pPr>
        <w:pStyle w:val="Heading3"/>
        <w:spacing w:line="360" w:lineRule="auto"/>
        <w:jc w:val="both"/>
      </w:pPr>
      <w:bookmarkStart w:id="16" w:name="_Toc506548485"/>
      <w:r w:rsidRPr="00627929">
        <w:t>2.3.11: LO11</w:t>
      </w:r>
      <w:bookmarkEnd w:id="16"/>
    </w:p>
    <w:p w14:paraId="1359BB04" w14:textId="2E407FA5" w:rsidR="007D07C3" w:rsidRPr="00627929" w:rsidRDefault="007D07C3" w:rsidP="008E32F7">
      <w:pPr>
        <w:spacing w:line="360" w:lineRule="auto"/>
        <w:jc w:val="both"/>
        <w:rPr>
          <w:sz w:val="24"/>
          <w:szCs w:val="24"/>
        </w:rPr>
      </w:pPr>
      <w:r w:rsidRPr="00627929">
        <w:rPr>
          <w:sz w:val="24"/>
          <w:szCs w:val="24"/>
        </w:rPr>
        <w:t xml:space="preserve">Develop life skills such as reflective practices and </w:t>
      </w:r>
      <w:r w:rsidR="008E32F7" w:rsidRPr="00627929">
        <w:rPr>
          <w:sz w:val="24"/>
          <w:szCs w:val="24"/>
        </w:rPr>
        <w:t>self-evaluation</w:t>
      </w:r>
      <w:r w:rsidRPr="00627929">
        <w:rPr>
          <w:sz w:val="24"/>
          <w:szCs w:val="24"/>
        </w:rPr>
        <w:t xml:space="preserve"> and how to apply these.</w:t>
      </w:r>
    </w:p>
    <w:p w14:paraId="7CE5D8BD" w14:textId="47C529B4" w:rsidR="00EA4728" w:rsidRPr="00627929" w:rsidRDefault="00EA4728" w:rsidP="008E32F7">
      <w:pPr>
        <w:pStyle w:val="Heading2"/>
        <w:spacing w:line="360" w:lineRule="auto"/>
        <w:jc w:val="both"/>
        <w:rPr>
          <w:sz w:val="24"/>
          <w:szCs w:val="24"/>
        </w:rPr>
      </w:pPr>
      <w:bookmarkStart w:id="17" w:name="_Toc506548486"/>
      <w:r w:rsidRPr="00627929">
        <w:rPr>
          <w:sz w:val="24"/>
          <w:szCs w:val="24"/>
        </w:rPr>
        <w:t>2.4 Alignment with QAA</w:t>
      </w:r>
      <w:bookmarkEnd w:id="17"/>
    </w:p>
    <w:p w14:paraId="71DDCA49" w14:textId="3A29545A" w:rsidR="007D07C3" w:rsidRPr="00627929" w:rsidRDefault="007D07C3" w:rsidP="008E32F7">
      <w:pPr>
        <w:spacing w:line="360" w:lineRule="auto"/>
        <w:jc w:val="both"/>
        <w:rPr>
          <w:sz w:val="24"/>
          <w:szCs w:val="24"/>
        </w:rPr>
      </w:pPr>
      <w:r w:rsidRPr="00627929">
        <w:rPr>
          <w:sz w:val="24"/>
          <w:szCs w:val="24"/>
        </w:rPr>
        <w:t>This programme has been designed to align with the Business and Management Subject Benchmark (QAA, 2015), The Education for Sustainable Development (QAA, 2014) and the UK Quality Code for Higher Education (Level Descriptors) Framework (QAA, 2014). Please see Appendices for the cross-reference of these frameworks.</w:t>
      </w:r>
    </w:p>
    <w:p w14:paraId="190EAB55" w14:textId="2AED7E0F" w:rsidR="00EA4728" w:rsidRPr="00627929" w:rsidRDefault="00EA4728" w:rsidP="008E32F7">
      <w:pPr>
        <w:pStyle w:val="Heading2"/>
        <w:spacing w:line="360" w:lineRule="auto"/>
        <w:jc w:val="both"/>
        <w:rPr>
          <w:sz w:val="24"/>
          <w:szCs w:val="24"/>
        </w:rPr>
      </w:pPr>
      <w:bookmarkStart w:id="18" w:name="_Toc506548487"/>
      <w:r w:rsidRPr="00627929">
        <w:rPr>
          <w:sz w:val="24"/>
          <w:szCs w:val="24"/>
        </w:rPr>
        <w:t>2.5 Cross-Cutting Themes</w:t>
      </w:r>
      <w:bookmarkEnd w:id="18"/>
    </w:p>
    <w:p w14:paraId="7409D8B1" w14:textId="3B322685" w:rsidR="009020F5" w:rsidRPr="00627929" w:rsidRDefault="009020F5" w:rsidP="008E32F7">
      <w:pPr>
        <w:spacing w:line="360" w:lineRule="auto"/>
        <w:jc w:val="both"/>
        <w:rPr>
          <w:sz w:val="24"/>
          <w:szCs w:val="24"/>
        </w:rPr>
      </w:pPr>
      <w:r w:rsidRPr="00627929">
        <w:rPr>
          <w:sz w:val="24"/>
          <w:szCs w:val="24"/>
        </w:rPr>
        <w:t xml:space="preserve">Due to the nature of the programme there are a number of Cross-cutting themes that emerge throughout the </w:t>
      </w:r>
      <w:r w:rsidR="008E32F7" w:rsidRPr="00627929">
        <w:rPr>
          <w:sz w:val="24"/>
          <w:szCs w:val="24"/>
        </w:rPr>
        <w:t>ten-week</w:t>
      </w:r>
      <w:r w:rsidRPr="00627929">
        <w:rPr>
          <w:sz w:val="24"/>
          <w:szCs w:val="24"/>
        </w:rPr>
        <w:t xml:space="preserve"> structure which also align with the Education for Sustainable Development framework (QAA, 2014). The following Cross-Cutting themes have been identified within this programme;</w:t>
      </w:r>
    </w:p>
    <w:p w14:paraId="71E058A1" w14:textId="04A6513F" w:rsidR="00EA4728" w:rsidRPr="00627929" w:rsidRDefault="00EA4728" w:rsidP="008E32F7">
      <w:pPr>
        <w:pStyle w:val="Heading3"/>
        <w:spacing w:line="360" w:lineRule="auto"/>
        <w:jc w:val="both"/>
      </w:pPr>
      <w:bookmarkStart w:id="19" w:name="_Toc506548488"/>
      <w:r w:rsidRPr="00627929">
        <w:t>2.5.1 Corporate Social Responsibility (CSR)</w:t>
      </w:r>
      <w:bookmarkEnd w:id="19"/>
    </w:p>
    <w:p w14:paraId="7B879C26" w14:textId="1C6DFAAC" w:rsidR="009020F5" w:rsidRPr="00627929" w:rsidRDefault="009020F5" w:rsidP="008E32F7">
      <w:pPr>
        <w:spacing w:line="360" w:lineRule="auto"/>
        <w:jc w:val="both"/>
        <w:rPr>
          <w:sz w:val="24"/>
          <w:szCs w:val="24"/>
        </w:rPr>
      </w:pPr>
      <w:r w:rsidRPr="00627929">
        <w:rPr>
          <w:sz w:val="24"/>
          <w:szCs w:val="24"/>
        </w:rPr>
        <w:t xml:space="preserve">Corporate Social Responsibility (CSR) is incorporated as a cross-cutting theme throughout the entire Sustainability Leadership programme. Each session sees the encouragement of students to consider what responsibility organisations and business has socially. Learners are also prepared for critiquing whether CSR policies are based in ethical consideration or merely used for competitive advantage. Students will consider these variations within CSR from a traditional leadership perspective and also from a sustainability leadership perspective.  </w:t>
      </w:r>
    </w:p>
    <w:p w14:paraId="2CDB91B7" w14:textId="42365840" w:rsidR="00EA4728" w:rsidRPr="00627929" w:rsidRDefault="00EA4728" w:rsidP="008E32F7">
      <w:pPr>
        <w:pStyle w:val="Heading3"/>
        <w:spacing w:line="360" w:lineRule="auto"/>
        <w:jc w:val="both"/>
      </w:pPr>
      <w:bookmarkStart w:id="20" w:name="_Toc506548489"/>
      <w:r w:rsidRPr="00627929">
        <w:t>2.5.2 Global responsible Citizenship</w:t>
      </w:r>
      <w:bookmarkEnd w:id="20"/>
    </w:p>
    <w:p w14:paraId="39E458D5" w14:textId="7D72324B" w:rsidR="009020F5" w:rsidRPr="00627929" w:rsidRDefault="009020F5" w:rsidP="008E32F7">
      <w:pPr>
        <w:spacing w:line="360" w:lineRule="auto"/>
        <w:jc w:val="both"/>
        <w:rPr>
          <w:sz w:val="24"/>
          <w:szCs w:val="24"/>
        </w:rPr>
      </w:pPr>
      <w:r w:rsidRPr="00627929">
        <w:rPr>
          <w:sz w:val="24"/>
          <w:szCs w:val="24"/>
        </w:rPr>
        <w:t>It is imperative that graduates from Carmarthen Business School become globally responsible citizens and gain an understanding of their responsibility towards sustainability. This cross-cutting theme is built upon throughout the programme by allowing and encouraging the students to consider and reflect on the theme of responsibility and the impact that human activity can have.</w:t>
      </w:r>
    </w:p>
    <w:p w14:paraId="0F5F2F2B" w14:textId="21006F65" w:rsidR="00EA4728" w:rsidRPr="00627929" w:rsidRDefault="00EA4728" w:rsidP="008E32F7">
      <w:pPr>
        <w:pStyle w:val="Heading3"/>
        <w:spacing w:line="360" w:lineRule="auto"/>
        <w:jc w:val="both"/>
      </w:pPr>
      <w:bookmarkStart w:id="21" w:name="_Toc506548490"/>
      <w:r w:rsidRPr="00627929">
        <w:t>2.5.3 Ethical Considerations</w:t>
      </w:r>
      <w:bookmarkEnd w:id="21"/>
    </w:p>
    <w:p w14:paraId="28BE2AD1" w14:textId="633CC725" w:rsidR="009020F5" w:rsidRPr="00627929" w:rsidRDefault="009020F5" w:rsidP="008E32F7">
      <w:pPr>
        <w:spacing w:line="360" w:lineRule="auto"/>
        <w:jc w:val="both"/>
        <w:rPr>
          <w:sz w:val="24"/>
          <w:szCs w:val="24"/>
        </w:rPr>
      </w:pPr>
      <w:r w:rsidRPr="00627929">
        <w:rPr>
          <w:sz w:val="24"/>
          <w:szCs w:val="24"/>
        </w:rPr>
        <w:t xml:space="preserve">A number of the sessions within this programme consider the ethical considerations and decisions that are required within sustainability leadership. This concentration on ethics underlies the programme and through discussion and self-reflection, learners will be challenged on a </w:t>
      </w:r>
      <w:r w:rsidR="008E32F7" w:rsidRPr="00627929">
        <w:rPr>
          <w:sz w:val="24"/>
          <w:szCs w:val="24"/>
        </w:rPr>
        <w:t>leader’s</w:t>
      </w:r>
      <w:r w:rsidRPr="00627929">
        <w:rPr>
          <w:sz w:val="24"/>
          <w:szCs w:val="24"/>
        </w:rPr>
        <w:t xml:space="preserve"> ethical position and asked to critique it. This draws the learner to consider their own individual ethical consideration and the impact of such.</w:t>
      </w:r>
    </w:p>
    <w:p w14:paraId="28B8F4AE" w14:textId="6F16E3F0" w:rsidR="00EA4728" w:rsidRPr="00627929" w:rsidRDefault="00EA4728" w:rsidP="008E32F7">
      <w:pPr>
        <w:pStyle w:val="Heading3"/>
        <w:spacing w:line="360" w:lineRule="auto"/>
        <w:jc w:val="both"/>
      </w:pPr>
      <w:bookmarkStart w:id="22" w:name="_Toc506548491"/>
      <w:r w:rsidRPr="00627929">
        <w:t xml:space="preserve">2.5.4 </w:t>
      </w:r>
      <w:r w:rsidR="008E32F7" w:rsidRPr="00627929">
        <w:t>Sustainability;</w:t>
      </w:r>
      <w:r w:rsidRPr="00627929">
        <w:t xml:space="preserve"> Understanding of Business’ Impact</w:t>
      </w:r>
      <w:bookmarkEnd w:id="22"/>
    </w:p>
    <w:p w14:paraId="652AA762" w14:textId="60B616CB" w:rsidR="009020F5" w:rsidRPr="00627929" w:rsidRDefault="009020F5" w:rsidP="008E32F7">
      <w:pPr>
        <w:spacing w:line="360" w:lineRule="auto"/>
        <w:jc w:val="both"/>
        <w:rPr>
          <w:sz w:val="24"/>
          <w:szCs w:val="24"/>
        </w:rPr>
      </w:pPr>
      <w:r w:rsidRPr="00627929">
        <w:rPr>
          <w:sz w:val="24"/>
          <w:szCs w:val="24"/>
        </w:rPr>
        <w:t>Learners will be urged to consider the impact that an organisations decision/s can have on sustainability. In alignment with the Education for Sustainable Development Framework (QAA, 2014) students will have to think systemically in order to ascertain that an organisations actions can have consequences on different levels.</w:t>
      </w:r>
    </w:p>
    <w:p w14:paraId="6A2C0057" w14:textId="449552F2" w:rsidR="00EA4728" w:rsidRPr="00627929" w:rsidRDefault="00EA4728" w:rsidP="008E32F7">
      <w:pPr>
        <w:pStyle w:val="Heading3"/>
        <w:spacing w:line="360" w:lineRule="auto"/>
        <w:jc w:val="both"/>
      </w:pPr>
      <w:bookmarkStart w:id="23" w:name="_Toc506548492"/>
      <w:r w:rsidRPr="00627929">
        <w:t>2.5.5 Skills for the Workplace</w:t>
      </w:r>
      <w:bookmarkEnd w:id="23"/>
    </w:p>
    <w:p w14:paraId="2F9BE8A7" w14:textId="05DA42BC" w:rsidR="009020F5" w:rsidRPr="00627929" w:rsidRDefault="009020F5" w:rsidP="008E32F7">
      <w:pPr>
        <w:spacing w:line="360" w:lineRule="auto"/>
        <w:jc w:val="both"/>
        <w:rPr>
          <w:sz w:val="24"/>
          <w:szCs w:val="24"/>
        </w:rPr>
      </w:pPr>
      <w:r w:rsidRPr="00627929">
        <w:rPr>
          <w:sz w:val="24"/>
          <w:szCs w:val="24"/>
        </w:rPr>
        <w:t xml:space="preserve">Due to the nature of the undergraduate degree that this programme sits within, it is vital that students are given the opportunity to gain relevant skills for the workplace. This cross-cutting theme is highlighted in point 2.1 of the Business and Management QAA Framework (QAA, 2015) which mentions the requirement for preparation of the students for the business workplace. During this programme, students will be required to look at the world of business through a </w:t>
      </w:r>
      <w:r w:rsidR="008E32F7" w:rsidRPr="00627929">
        <w:rPr>
          <w:sz w:val="24"/>
          <w:szCs w:val="24"/>
        </w:rPr>
        <w:t>leader’s</w:t>
      </w:r>
      <w:r w:rsidRPr="00627929">
        <w:rPr>
          <w:sz w:val="24"/>
          <w:szCs w:val="24"/>
        </w:rPr>
        <w:t xml:space="preserve"> eyes. This offers the students the opportunity to gain insight into the arena of leadership and achieve a level of experience through mindful consideration.  In addition, learners will be learning how to learn as well as getting time to practice techniques such as groupwork and debate etc.</w:t>
      </w:r>
    </w:p>
    <w:p w14:paraId="1A41F580" w14:textId="19529CAB" w:rsidR="00EA4728" w:rsidRPr="00627929" w:rsidRDefault="00EA4728" w:rsidP="008E32F7">
      <w:pPr>
        <w:pStyle w:val="Heading2"/>
        <w:spacing w:line="360" w:lineRule="auto"/>
        <w:jc w:val="both"/>
        <w:rPr>
          <w:sz w:val="24"/>
          <w:szCs w:val="24"/>
        </w:rPr>
      </w:pPr>
      <w:bookmarkStart w:id="24" w:name="_Toc506548493"/>
      <w:r w:rsidRPr="00627929">
        <w:rPr>
          <w:sz w:val="24"/>
          <w:szCs w:val="24"/>
        </w:rPr>
        <w:t>2.6 Teaching and Learning Strategies</w:t>
      </w:r>
      <w:bookmarkEnd w:id="24"/>
    </w:p>
    <w:p w14:paraId="37F12904" w14:textId="0141291C" w:rsidR="009020F5" w:rsidRPr="00627929" w:rsidRDefault="009020F5" w:rsidP="008E32F7">
      <w:pPr>
        <w:spacing w:line="360" w:lineRule="auto"/>
        <w:jc w:val="both"/>
        <w:rPr>
          <w:sz w:val="24"/>
          <w:szCs w:val="24"/>
        </w:rPr>
      </w:pPr>
      <w:r w:rsidRPr="00627929">
        <w:rPr>
          <w:sz w:val="24"/>
          <w:szCs w:val="24"/>
        </w:rPr>
        <w:t xml:space="preserve">The teaching and learning strategies that will be utilised within this programme will be varied. It is, however, important that the primary teaching strategy throughout the programme fits in with Carmarthen Business Schools adaptation of Flipped Learning. To integrate within this undergraduate degree, each </w:t>
      </w:r>
      <w:r w:rsidR="008E32F7" w:rsidRPr="00627929">
        <w:rPr>
          <w:sz w:val="24"/>
          <w:szCs w:val="24"/>
        </w:rPr>
        <w:t>three-hour</w:t>
      </w:r>
      <w:r w:rsidRPr="00627929">
        <w:rPr>
          <w:sz w:val="24"/>
          <w:szCs w:val="24"/>
        </w:rPr>
        <w:t xml:space="preserve"> lecture will be split as follows;</w:t>
      </w:r>
    </w:p>
    <w:p w14:paraId="39BF4350" w14:textId="1EDDA931" w:rsidR="009020F5" w:rsidRPr="00627929" w:rsidRDefault="009020F5" w:rsidP="008E32F7">
      <w:pPr>
        <w:spacing w:line="360" w:lineRule="auto"/>
        <w:jc w:val="both"/>
        <w:rPr>
          <w:sz w:val="24"/>
          <w:szCs w:val="24"/>
        </w:rPr>
      </w:pPr>
      <w:r w:rsidRPr="00627929">
        <w:rPr>
          <w:sz w:val="24"/>
          <w:szCs w:val="24"/>
        </w:rPr>
        <w:t>1.</w:t>
      </w:r>
      <w:r w:rsidRPr="00627929">
        <w:rPr>
          <w:sz w:val="24"/>
          <w:szCs w:val="24"/>
        </w:rPr>
        <w:tab/>
      </w:r>
      <w:r w:rsidR="008E32F7" w:rsidRPr="00627929">
        <w:rPr>
          <w:sz w:val="24"/>
          <w:szCs w:val="24"/>
        </w:rPr>
        <w:t>1-hour</w:t>
      </w:r>
      <w:r w:rsidRPr="00627929">
        <w:rPr>
          <w:sz w:val="24"/>
          <w:szCs w:val="24"/>
        </w:rPr>
        <w:t xml:space="preserve"> Pre-Lecture activities (set and given a week in advance)</w:t>
      </w:r>
    </w:p>
    <w:p w14:paraId="79862B20" w14:textId="77777777" w:rsidR="009020F5" w:rsidRPr="00627929" w:rsidRDefault="009020F5" w:rsidP="008E32F7">
      <w:pPr>
        <w:spacing w:line="360" w:lineRule="auto"/>
        <w:jc w:val="both"/>
        <w:rPr>
          <w:sz w:val="24"/>
          <w:szCs w:val="24"/>
        </w:rPr>
      </w:pPr>
      <w:r w:rsidRPr="00627929">
        <w:rPr>
          <w:sz w:val="24"/>
          <w:szCs w:val="24"/>
        </w:rPr>
        <w:t>2.</w:t>
      </w:r>
      <w:r w:rsidRPr="00627929">
        <w:rPr>
          <w:sz w:val="24"/>
          <w:szCs w:val="24"/>
        </w:rPr>
        <w:tab/>
        <w:t>2 Hour Lecture which is divided into two groups (15 within each group)</w:t>
      </w:r>
    </w:p>
    <w:p w14:paraId="2B316D60" w14:textId="77777777" w:rsidR="009020F5" w:rsidRPr="00627929" w:rsidRDefault="009020F5" w:rsidP="008E32F7">
      <w:pPr>
        <w:spacing w:line="360" w:lineRule="auto"/>
        <w:jc w:val="both"/>
        <w:rPr>
          <w:sz w:val="24"/>
          <w:szCs w:val="24"/>
        </w:rPr>
      </w:pPr>
      <w:r w:rsidRPr="00627929">
        <w:rPr>
          <w:sz w:val="24"/>
          <w:szCs w:val="24"/>
        </w:rPr>
        <w:t xml:space="preserve">This mirrors the delivery of existing modules and aids in the focus on participative learning which this programme adheres to. It is imperative that this programme is delivered through these participative learning strategies as not only do they adhere to CBS’ requirements but are also considered essential for adult learners (Wang, 2010) and the manner in which they learn (Edwards et al, 2013). As research suggests, adult learners demand a different teaching style to that of pedagogical theory (Lovejoy, 2002).  Upon design of this programme, a combination of teaching and learning strategies are used. </w:t>
      </w:r>
    </w:p>
    <w:p w14:paraId="223DD45E" w14:textId="63434BCD" w:rsidR="009020F5" w:rsidRPr="00627929" w:rsidRDefault="009020F5" w:rsidP="008E32F7">
      <w:pPr>
        <w:spacing w:line="360" w:lineRule="auto"/>
        <w:jc w:val="both"/>
        <w:rPr>
          <w:sz w:val="24"/>
          <w:szCs w:val="24"/>
        </w:rPr>
      </w:pPr>
      <w:r w:rsidRPr="00627929">
        <w:rPr>
          <w:sz w:val="24"/>
          <w:szCs w:val="24"/>
        </w:rPr>
        <w:t xml:space="preserve">One of the Teaching strategies used within the programme is Cooperative learning, and more specifically, the Jigsaw approach. This strategy, whilst being praised for its use with adult learners (Agarwal, 2010) is also favourable when considering the topic of Sustainability Leadership. The programme requires the students to critique leadership values and draw from experience and research to develop conclusions and understanding of the subject. This is heightened </w:t>
      </w:r>
      <w:r w:rsidR="008E32F7" w:rsidRPr="00627929">
        <w:rPr>
          <w:sz w:val="24"/>
          <w:szCs w:val="24"/>
        </w:rPr>
        <w:t>using</w:t>
      </w:r>
      <w:r w:rsidRPr="00627929">
        <w:rPr>
          <w:sz w:val="24"/>
          <w:szCs w:val="24"/>
        </w:rPr>
        <w:t xml:space="preserve"> the Jigsaw element of Cooperative learning where each learner undertakes a different role/responsibility within the group discussion which will encourage the students to observe the situation from alternative perspectives. Each student will become ‘experts’ during the group discussion with pre-prepared questions to guide the group work (Crawford, 2005).</w:t>
      </w:r>
    </w:p>
    <w:p w14:paraId="3908E17B" w14:textId="06408B0E" w:rsidR="009020F5" w:rsidRPr="00627929" w:rsidRDefault="009020F5" w:rsidP="008E32F7">
      <w:pPr>
        <w:spacing w:line="360" w:lineRule="auto"/>
        <w:jc w:val="both"/>
        <w:rPr>
          <w:sz w:val="24"/>
          <w:szCs w:val="24"/>
        </w:rPr>
      </w:pPr>
      <w:r w:rsidRPr="00627929">
        <w:rPr>
          <w:sz w:val="24"/>
          <w:szCs w:val="24"/>
        </w:rPr>
        <w:t xml:space="preserve">In addition, </w:t>
      </w:r>
      <w:r w:rsidR="008E32F7" w:rsidRPr="00627929">
        <w:rPr>
          <w:sz w:val="24"/>
          <w:szCs w:val="24"/>
        </w:rPr>
        <w:t>inquiry-based</w:t>
      </w:r>
      <w:r w:rsidRPr="00627929">
        <w:rPr>
          <w:sz w:val="24"/>
          <w:szCs w:val="24"/>
        </w:rPr>
        <w:t xml:space="preserve"> learning will be used to facilitate the students to work through a problem or scenario by partaking in this active form and encouraging higher level thinking thus instigating cognitive activation (OECD, 2016).</w:t>
      </w:r>
    </w:p>
    <w:p w14:paraId="24BF0287" w14:textId="77777777" w:rsidR="009020F5" w:rsidRPr="00627929" w:rsidRDefault="009020F5" w:rsidP="008E32F7">
      <w:pPr>
        <w:spacing w:line="360" w:lineRule="auto"/>
        <w:jc w:val="both"/>
        <w:rPr>
          <w:sz w:val="24"/>
          <w:szCs w:val="24"/>
        </w:rPr>
      </w:pPr>
      <w:r w:rsidRPr="00627929">
        <w:rPr>
          <w:sz w:val="24"/>
          <w:szCs w:val="24"/>
        </w:rPr>
        <w:t xml:space="preserve"> During this programme, students will be given the opportunity to develop essential skills and competencies in taking a scenario and working through it in order to create useful recommendations and observations (Coffman, 2017).</w:t>
      </w:r>
    </w:p>
    <w:p w14:paraId="1150FC9A" w14:textId="4ED0BC86" w:rsidR="009020F5" w:rsidRPr="00627929" w:rsidRDefault="009020F5" w:rsidP="008E32F7">
      <w:pPr>
        <w:spacing w:line="360" w:lineRule="auto"/>
        <w:jc w:val="both"/>
        <w:rPr>
          <w:sz w:val="24"/>
          <w:szCs w:val="24"/>
        </w:rPr>
      </w:pPr>
      <w:r w:rsidRPr="00627929">
        <w:rPr>
          <w:sz w:val="24"/>
          <w:szCs w:val="24"/>
        </w:rPr>
        <w:t>Amidst these teaching strategies, a number of activities will take place such as classroom debate, group work, guest lecturers, field trips etc. In order to maintain a high level of participation, enthusiasm and intrigue into the topic area, it is felt that an array of activities and strategies should be used.</w:t>
      </w:r>
    </w:p>
    <w:p w14:paraId="1BA25E66" w14:textId="38DD4576" w:rsidR="00EA4728" w:rsidRPr="00627929" w:rsidRDefault="00EA4728" w:rsidP="008E32F7">
      <w:pPr>
        <w:pStyle w:val="Heading2"/>
        <w:spacing w:line="360" w:lineRule="auto"/>
        <w:jc w:val="both"/>
        <w:rPr>
          <w:sz w:val="24"/>
          <w:szCs w:val="24"/>
        </w:rPr>
      </w:pPr>
      <w:bookmarkStart w:id="25" w:name="_Toc506548494"/>
      <w:r w:rsidRPr="00627929">
        <w:rPr>
          <w:sz w:val="24"/>
          <w:szCs w:val="24"/>
        </w:rPr>
        <w:t>2.7 Assessment Strategies</w:t>
      </w:r>
      <w:bookmarkEnd w:id="25"/>
    </w:p>
    <w:p w14:paraId="1BBE7F1C" w14:textId="66D73C51" w:rsidR="009020F5" w:rsidRPr="00627929" w:rsidRDefault="00564EE2" w:rsidP="008E32F7">
      <w:pPr>
        <w:spacing w:line="360" w:lineRule="auto"/>
        <w:jc w:val="both"/>
        <w:rPr>
          <w:sz w:val="24"/>
          <w:szCs w:val="24"/>
        </w:rPr>
      </w:pPr>
      <w:r w:rsidRPr="00627929">
        <w:rPr>
          <w:sz w:val="24"/>
          <w:szCs w:val="24"/>
        </w:rPr>
        <w:t xml:space="preserve">As with any programme, the importance of having clear, well defined and tangible assessment strategies in place are of high importance (McMillan, 2012) </w:t>
      </w:r>
      <w:r w:rsidR="008E32F7" w:rsidRPr="00627929">
        <w:rPr>
          <w:sz w:val="24"/>
          <w:szCs w:val="24"/>
        </w:rPr>
        <w:t>to</w:t>
      </w:r>
      <w:r w:rsidRPr="00627929">
        <w:rPr>
          <w:sz w:val="24"/>
          <w:szCs w:val="24"/>
        </w:rPr>
        <w:t xml:space="preserve"> gauge the level of understanding. Both Formative and Summative assessments are used within this programme to ensure that there is a good level of understanding throughout. Should the level of understanding not be where it is anticipated to be then action can be taken to adapt the teaching to bridge the gap in knowledge.</w:t>
      </w:r>
    </w:p>
    <w:p w14:paraId="7F88741D" w14:textId="0386F627" w:rsidR="00EA4728" w:rsidRPr="00627929" w:rsidRDefault="00EA4728" w:rsidP="008E32F7">
      <w:pPr>
        <w:pStyle w:val="Heading3"/>
        <w:spacing w:line="360" w:lineRule="auto"/>
        <w:jc w:val="both"/>
      </w:pPr>
      <w:bookmarkStart w:id="26" w:name="_Toc506548495"/>
      <w:r w:rsidRPr="00627929">
        <w:t>2.7.1 Formative</w:t>
      </w:r>
      <w:bookmarkEnd w:id="26"/>
    </w:p>
    <w:p w14:paraId="35587096" w14:textId="77777777" w:rsidR="00564EE2" w:rsidRPr="00627929" w:rsidRDefault="00564EE2" w:rsidP="008E32F7">
      <w:pPr>
        <w:spacing w:line="360" w:lineRule="auto"/>
        <w:jc w:val="both"/>
        <w:rPr>
          <w:sz w:val="24"/>
          <w:szCs w:val="24"/>
        </w:rPr>
      </w:pPr>
    </w:p>
    <w:p w14:paraId="1CE3EA2F" w14:textId="77777777" w:rsidR="00564EE2" w:rsidRPr="00627929" w:rsidRDefault="00564EE2" w:rsidP="008E32F7">
      <w:pPr>
        <w:spacing w:line="360" w:lineRule="auto"/>
        <w:jc w:val="both"/>
        <w:rPr>
          <w:sz w:val="24"/>
          <w:szCs w:val="24"/>
        </w:rPr>
      </w:pPr>
      <w:r w:rsidRPr="00627929">
        <w:rPr>
          <w:sz w:val="24"/>
          <w:szCs w:val="24"/>
        </w:rPr>
        <w:t xml:space="preserve">This variation on flipped learning offers a fantastic opportunity to integrate formative assessment regularly as the learners will be demonstrating their knowledge to the class on a number of occasions (Bergmann and Sams, 2014) (Scheg, 2015).  For example, the teacher will integrate formative assessment within group work by using strategic questioning during the activity to both assess understanding and stretch the students which facilitates differentiation, a method supported by Gayle (2011). Questioning can also be used following student delivery of a topic to the class. To support this formative assessment strategy further, students will each be asked to pose one question to the speaker following their delivery to the class. This will not only ensure that the student delivering the piece has the required understanding, but that the students posing the questions do also. </w:t>
      </w:r>
    </w:p>
    <w:p w14:paraId="6E9BCFAF" w14:textId="77777777" w:rsidR="00564EE2" w:rsidRPr="00627929" w:rsidRDefault="00564EE2" w:rsidP="008E32F7">
      <w:pPr>
        <w:spacing w:line="360" w:lineRule="auto"/>
        <w:jc w:val="both"/>
        <w:rPr>
          <w:sz w:val="24"/>
          <w:szCs w:val="24"/>
        </w:rPr>
      </w:pPr>
      <w:r w:rsidRPr="00627929">
        <w:rPr>
          <w:sz w:val="24"/>
          <w:szCs w:val="24"/>
        </w:rPr>
        <w:t>Learners will also be asked to do a weekly Blog/Vlog discussing a topic that has been discussed that week which will be formatively assessed by the teacher. Blogging has proved to be a successful way of assessing understanding and a positive form of reflection for students (Bhattacharya and Chauhan, 2010).</w:t>
      </w:r>
    </w:p>
    <w:p w14:paraId="6B9DDC74" w14:textId="6A7B58C5" w:rsidR="00564EE2" w:rsidRPr="00627929" w:rsidRDefault="00564EE2" w:rsidP="008E32F7">
      <w:pPr>
        <w:spacing w:line="360" w:lineRule="auto"/>
        <w:jc w:val="both"/>
        <w:rPr>
          <w:sz w:val="24"/>
          <w:szCs w:val="24"/>
        </w:rPr>
      </w:pPr>
      <w:r w:rsidRPr="00627929">
        <w:rPr>
          <w:sz w:val="24"/>
          <w:szCs w:val="24"/>
        </w:rPr>
        <w:t>Finally, at the end of each lesson, the students will be asked for one piece of information/ idea that they have learnt that day that they would like to take forward. This could be that they would like to speak to a Leader that they know and ask them about the CSR policy, for example. This element of the 3-2-1 countdown (Watanabe-Crockett, 2016) will help to assess the students understanding and provide a starting point for the next lesson.</w:t>
      </w:r>
    </w:p>
    <w:p w14:paraId="02FE2759" w14:textId="1909627F" w:rsidR="00EA4728" w:rsidRPr="00627929" w:rsidRDefault="00EA4728" w:rsidP="008E32F7">
      <w:pPr>
        <w:pStyle w:val="Heading3"/>
        <w:spacing w:line="360" w:lineRule="auto"/>
        <w:jc w:val="both"/>
      </w:pPr>
      <w:bookmarkStart w:id="27" w:name="_Toc506548496"/>
      <w:r w:rsidRPr="00627929">
        <w:t>2.7.2 Summative</w:t>
      </w:r>
      <w:bookmarkEnd w:id="27"/>
    </w:p>
    <w:p w14:paraId="735F0162" w14:textId="77777777" w:rsidR="00564EE2" w:rsidRPr="00627929" w:rsidRDefault="00564EE2" w:rsidP="008E32F7">
      <w:pPr>
        <w:spacing w:line="360" w:lineRule="auto"/>
        <w:jc w:val="both"/>
        <w:rPr>
          <w:sz w:val="24"/>
          <w:szCs w:val="24"/>
        </w:rPr>
      </w:pPr>
      <w:r w:rsidRPr="00627929">
        <w:rPr>
          <w:sz w:val="24"/>
          <w:szCs w:val="24"/>
        </w:rPr>
        <w:t xml:space="preserve">The summative assessment used for the ‘Sustainability Leadership’ programme will be in two parts. The first summative assessment is in the form of a self-reflection assignment. Sustainability Leadership looks at the way that Leaders act towards a variety of topics within their responsibilities and so students will be encouraged to self-evaluate what their leadership style was at the beginning of the Sustainability Leadership journey and what changes/ differences they have made. Students will be encouraged to write a Blog or Vlog (either private or public) throughout the 10-week programme to discuss each week the themes that were discussed in class. This will then be used by the student to build on their self-reflection at the end of the programme. This can then also be used as Formative assessment as the teacher can check the Blog/Vlog on a weekly basis and assess understanding. </w:t>
      </w:r>
    </w:p>
    <w:p w14:paraId="18146F51" w14:textId="1EC4EFE2" w:rsidR="00564EE2" w:rsidRPr="00627929" w:rsidRDefault="00564EE2" w:rsidP="008E32F7">
      <w:pPr>
        <w:spacing w:line="360" w:lineRule="auto"/>
        <w:jc w:val="both"/>
        <w:rPr>
          <w:sz w:val="24"/>
          <w:szCs w:val="24"/>
        </w:rPr>
      </w:pPr>
      <w:r w:rsidRPr="00627929">
        <w:rPr>
          <w:sz w:val="24"/>
          <w:szCs w:val="24"/>
        </w:rPr>
        <w:t>Secondly, learners will research a leader and use their proforma built in week 2 to apply an academic critique of sustainability leadership as a case study. Students will then consider what has caused the leader to become a sustainability leader and to evaluate how sustainable the leader actually is.</w:t>
      </w:r>
    </w:p>
    <w:p w14:paraId="4FC5B8A1" w14:textId="04337E82" w:rsidR="00EA4728" w:rsidRPr="00627929" w:rsidRDefault="00EA4728" w:rsidP="008E32F7">
      <w:pPr>
        <w:pStyle w:val="Heading2"/>
        <w:spacing w:line="360" w:lineRule="auto"/>
        <w:jc w:val="both"/>
        <w:rPr>
          <w:sz w:val="24"/>
          <w:szCs w:val="24"/>
        </w:rPr>
      </w:pPr>
      <w:bookmarkStart w:id="28" w:name="_Toc506548497"/>
      <w:r w:rsidRPr="00627929">
        <w:rPr>
          <w:sz w:val="24"/>
          <w:szCs w:val="24"/>
        </w:rPr>
        <w:t>Evaluation Technique</w:t>
      </w:r>
      <w:bookmarkEnd w:id="28"/>
    </w:p>
    <w:p w14:paraId="55D62341" w14:textId="77777777" w:rsidR="00564EE2" w:rsidRPr="00627929" w:rsidRDefault="00564EE2" w:rsidP="008E32F7">
      <w:pPr>
        <w:spacing w:line="360" w:lineRule="auto"/>
        <w:jc w:val="both"/>
        <w:rPr>
          <w:sz w:val="24"/>
          <w:szCs w:val="24"/>
        </w:rPr>
      </w:pPr>
    </w:p>
    <w:p w14:paraId="4688E6B1" w14:textId="1C767C41" w:rsidR="00564EE2" w:rsidRPr="00627929" w:rsidRDefault="00564EE2" w:rsidP="008E32F7">
      <w:pPr>
        <w:spacing w:line="360" w:lineRule="auto"/>
        <w:jc w:val="both"/>
        <w:rPr>
          <w:sz w:val="24"/>
          <w:szCs w:val="24"/>
        </w:rPr>
      </w:pPr>
      <w:r w:rsidRPr="00627929">
        <w:rPr>
          <w:sz w:val="24"/>
          <w:szCs w:val="24"/>
        </w:rPr>
        <w:t xml:space="preserve">Evaluation will be facilitated through more than one technique. To fit into the Universities and School of Business standards, a student feedback form will be issued to each student for anonymous completion at the end of the programme. This feedback form asks a variety of questions around the teaching experience. Biggs (2011) argues that feedback forms alone are not a competent enough method for evaluation and only offer a very static view. </w:t>
      </w:r>
      <w:r w:rsidR="008E32F7" w:rsidRPr="00627929">
        <w:rPr>
          <w:sz w:val="24"/>
          <w:szCs w:val="24"/>
        </w:rPr>
        <w:t>To</w:t>
      </w:r>
      <w:r w:rsidRPr="00627929">
        <w:rPr>
          <w:sz w:val="24"/>
          <w:szCs w:val="24"/>
        </w:rPr>
        <w:t xml:space="preserve"> address this potential gap, another evaluation technique will be applied. Following each session, the teacher will perform a self-evaluation and reflection </w:t>
      </w:r>
      <w:r w:rsidR="008E32F7" w:rsidRPr="00627929">
        <w:rPr>
          <w:sz w:val="24"/>
          <w:szCs w:val="24"/>
        </w:rPr>
        <w:t>to</w:t>
      </w:r>
      <w:r w:rsidRPr="00627929">
        <w:rPr>
          <w:sz w:val="24"/>
          <w:szCs w:val="24"/>
        </w:rPr>
        <w:t xml:space="preserve"> determine the effectiveness of the lesson (Race, 2014). These evaluations will be done directly following each lesson to ensure that the reflection is valid and correct at the time. These will then be gathered at the end of the programme to create one final evaluation by the teacher which will then be used in conjunction with the student feedback forms.</w:t>
      </w:r>
    </w:p>
    <w:p w14:paraId="383B0DDE" w14:textId="6426BFD6" w:rsidR="00EA4728" w:rsidRPr="00627929" w:rsidRDefault="00EA4728" w:rsidP="008E32F7">
      <w:pPr>
        <w:pStyle w:val="Heading1"/>
        <w:spacing w:line="360" w:lineRule="auto"/>
        <w:jc w:val="both"/>
        <w:rPr>
          <w:sz w:val="24"/>
          <w:szCs w:val="24"/>
        </w:rPr>
      </w:pPr>
      <w:bookmarkStart w:id="29" w:name="_Toc506548498"/>
      <w:r w:rsidRPr="00627929">
        <w:rPr>
          <w:sz w:val="24"/>
          <w:szCs w:val="24"/>
        </w:rPr>
        <w:t>Part 3 Scheme of Work</w:t>
      </w:r>
      <w:bookmarkEnd w:id="29"/>
    </w:p>
    <w:p w14:paraId="3D9A6CDA" w14:textId="783128E4" w:rsidR="00321A80" w:rsidRPr="00627929" w:rsidRDefault="00321A80" w:rsidP="008E32F7">
      <w:pPr>
        <w:spacing w:line="360" w:lineRule="auto"/>
        <w:jc w:val="both"/>
        <w:rPr>
          <w:sz w:val="24"/>
          <w:szCs w:val="24"/>
        </w:rPr>
      </w:pPr>
      <w:r w:rsidRPr="00627929">
        <w:rPr>
          <w:sz w:val="24"/>
          <w:szCs w:val="24"/>
        </w:rPr>
        <w:t>Please see separate document for the detailed scheme of work.</w:t>
      </w:r>
    </w:p>
    <w:p w14:paraId="02EBF238" w14:textId="65E87748" w:rsidR="00EA4728" w:rsidRPr="00627929" w:rsidRDefault="00EA4728" w:rsidP="008E32F7">
      <w:pPr>
        <w:pStyle w:val="Heading1"/>
        <w:spacing w:line="360" w:lineRule="auto"/>
        <w:jc w:val="both"/>
        <w:rPr>
          <w:sz w:val="24"/>
          <w:szCs w:val="24"/>
        </w:rPr>
      </w:pPr>
      <w:bookmarkStart w:id="30" w:name="_Toc506548499"/>
      <w:r w:rsidRPr="00627929">
        <w:rPr>
          <w:sz w:val="24"/>
          <w:szCs w:val="24"/>
        </w:rPr>
        <w:t xml:space="preserve">Part 4 Learning </w:t>
      </w:r>
      <w:r w:rsidR="00FB27EA" w:rsidRPr="00627929">
        <w:rPr>
          <w:sz w:val="24"/>
          <w:szCs w:val="24"/>
        </w:rPr>
        <w:t>Theory</w:t>
      </w:r>
      <w:bookmarkEnd w:id="30"/>
    </w:p>
    <w:p w14:paraId="70D44AB4" w14:textId="77777777" w:rsidR="00395F93" w:rsidRPr="00627929" w:rsidRDefault="00395F93" w:rsidP="008E32F7">
      <w:pPr>
        <w:spacing w:line="360" w:lineRule="auto"/>
        <w:jc w:val="both"/>
        <w:rPr>
          <w:b/>
          <w:sz w:val="24"/>
          <w:szCs w:val="24"/>
          <w:u w:val="single"/>
        </w:rPr>
      </w:pPr>
      <w:r w:rsidRPr="00627929">
        <w:rPr>
          <w:b/>
          <w:sz w:val="24"/>
          <w:szCs w:val="24"/>
          <w:u w:val="single"/>
        </w:rPr>
        <w:t>Teaching and Learning Strategies</w:t>
      </w:r>
    </w:p>
    <w:p w14:paraId="1B42BC0D" w14:textId="77777777" w:rsidR="00395F93" w:rsidRPr="00627929" w:rsidRDefault="00395F93" w:rsidP="008E32F7">
      <w:pPr>
        <w:spacing w:line="360" w:lineRule="auto"/>
        <w:jc w:val="both"/>
        <w:rPr>
          <w:b/>
          <w:sz w:val="24"/>
          <w:szCs w:val="24"/>
          <w:u w:val="single"/>
        </w:rPr>
      </w:pPr>
    </w:p>
    <w:p w14:paraId="6A34FE7C" w14:textId="77777777" w:rsidR="00395F93" w:rsidRPr="00627929" w:rsidRDefault="00395F93" w:rsidP="008E32F7">
      <w:pPr>
        <w:spacing w:line="360" w:lineRule="auto"/>
        <w:jc w:val="both"/>
        <w:rPr>
          <w:sz w:val="24"/>
          <w:szCs w:val="24"/>
        </w:rPr>
      </w:pPr>
      <w:r w:rsidRPr="00627929">
        <w:rPr>
          <w:sz w:val="24"/>
          <w:szCs w:val="24"/>
        </w:rPr>
        <w:t xml:space="preserve">When using the Matrix of Perspectives in relation to this module (Bowler </w:t>
      </w:r>
      <w:r w:rsidRPr="00627929">
        <w:rPr>
          <w:i/>
          <w:sz w:val="24"/>
          <w:szCs w:val="24"/>
        </w:rPr>
        <w:t xml:space="preserve">et al, </w:t>
      </w:r>
      <w:r w:rsidRPr="00627929">
        <w:rPr>
          <w:sz w:val="24"/>
          <w:szCs w:val="24"/>
        </w:rPr>
        <w:t>2007), the essence of it resonates with both Learner active and interactive, as visualised below;</w:t>
      </w:r>
    </w:p>
    <w:p w14:paraId="0E13CAFE" w14:textId="77777777" w:rsidR="00395F93" w:rsidRPr="00627929" w:rsidRDefault="00395F93" w:rsidP="008E32F7">
      <w:pPr>
        <w:spacing w:line="360" w:lineRule="auto"/>
        <w:jc w:val="both"/>
        <w:rPr>
          <w:sz w:val="24"/>
          <w:szCs w:val="24"/>
        </w:rPr>
      </w:pPr>
    </w:p>
    <w:p w14:paraId="285F33FD" w14:textId="77777777" w:rsidR="00395F93" w:rsidRPr="00627929" w:rsidRDefault="00395F93" w:rsidP="008E32F7">
      <w:pPr>
        <w:spacing w:line="360" w:lineRule="auto"/>
        <w:jc w:val="both"/>
        <w:rPr>
          <w:b/>
          <w:sz w:val="24"/>
          <w:szCs w:val="24"/>
          <w:u w:val="single"/>
        </w:rPr>
      </w:pPr>
      <w:r w:rsidRPr="00627929">
        <w:rPr>
          <w:b/>
          <w:sz w:val="24"/>
          <w:szCs w:val="24"/>
          <w:u w:val="single"/>
        </w:rPr>
        <w:t>Diagram 1: Matrix of Perspectives</w:t>
      </w:r>
    </w:p>
    <w:p w14:paraId="675A2FD9" w14:textId="77777777" w:rsidR="00395F93" w:rsidRPr="00627929" w:rsidRDefault="00395F93" w:rsidP="008E32F7">
      <w:pPr>
        <w:spacing w:line="360" w:lineRule="auto"/>
        <w:jc w:val="both"/>
        <w:rPr>
          <w:b/>
          <w:sz w:val="24"/>
          <w:szCs w:val="24"/>
          <w:u w:val="single"/>
        </w:rPr>
      </w:pPr>
      <w:r w:rsidRPr="00627929">
        <w:rPr>
          <w:b/>
          <w:noProof/>
          <w:sz w:val="24"/>
          <w:szCs w:val="24"/>
          <w:u w:val="single"/>
          <w:lang w:eastAsia="en-GB"/>
        </w:rPr>
        <mc:AlternateContent>
          <mc:Choice Requires="wps">
            <w:drawing>
              <wp:anchor distT="0" distB="0" distL="114300" distR="114300" simplePos="0" relativeHeight="251669504" behindDoc="0" locked="0" layoutInCell="1" allowOverlap="1" wp14:anchorId="4BB3EE13" wp14:editId="50C13DCC">
                <wp:simplePos x="0" y="0"/>
                <wp:positionH relativeFrom="column">
                  <wp:posOffset>228600</wp:posOffset>
                </wp:positionH>
                <wp:positionV relativeFrom="paragraph">
                  <wp:posOffset>264794</wp:posOffset>
                </wp:positionV>
                <wp:extent cx="714375" cy="923925"/>
                <wp:effectExtent l="0" t="0" r="66675" b="47625"/>
                <wp:wrapNone/>
                <wp:docPr id="14" name="Straight Arrow Connector 14"/>
                <wp:cNvGraphicFramePr/>
                <a:graphic xmlns:a="http://schemas.openxmlformats.org/drawingml/2006/main">
                  <a:graphicData uri="http://schemas.microsoft.com/office/word/2010/wordprocessingShape">
                    <wps:wsp>
                      <wps:cNvCnPr/>
                      <wps:spPr>
                        <a:xfrm>
                          <a:off x="0" y="0"/>
                          <a:ext cx="714375" cy="923925"/>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type w14:anchorId="7B9B223A" id="_x0000_t32" coordsize="21600,21600" o:spt="32" o:oned="t" path="m,l21600,21600e" filled="f">
                <v:path arrowok="t" fillok="f" o:connecttype="none"/>
                <o:lock v:ext="edit" shapetype="t"/>
              </v:shapetype>
              <v:shape id="Straight Arrow Connector 14" o:spid="_x0000_s1026" type="#_x0000_t32" style="position:absolute;margin-left:18pt;margin-top:20.85pt;width:56.25pt;height:72.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" strokecolor="#ed7d31" strokeweight="1.5pt">
                <v:stroke endarrow="block" joinstyle="miter"/>
              </v:shape>
            </w:pict>
          </mc:Fallback>
        </mc:AlternateContent>
      </w:r>
    </w:p>
    <w:p w14:paraId="09EA87DA" w14:textId="77777777" w:rsidR="00395F93" w:rsidRPr="00627929" w:rsidRDefault="00395F93" w:rsidP="008E32F7">
      <w:pPr>
        <w:spacing w:line="360" w:lineRule="auto"/>
        <w:jc w:val="both"/>
        <w:rPr>
          <w:b/>
          <w:sz w:val="24"/>
          <w:szCs w:val="24"/>
          <w:u w:val="single"/>
        </w:rPr>
      </w:pPr>
      <w:r w:rsidRPr="00627929">
        <w:rPr>
          <w:noProof/>
          <w:sz w:val="24"/>
          <w:szCs w:val="24"/>
          <w:lang w:eastAsia="en-GB"/>
        </w:rPr>
        <mc:AlternateContent>
          <mc:Choice Requires="wps">
            <w:drawing>
              <wp:anchor distT="0" distB="0" distL="114300" distR="114300" simplePos="0" relativeHeight="251668480" behindDoc="0" locked="0" layoutInCell="1" allowOverlap="1" wp14:anchorId="206C8E5B" wp14:editId="7F9E0B54">
                <wp:simplePos x="0" y="0"/>
                <wp:positionH relativeFrom="column">
                  <wp:posOffset>4743450</wp:posOffset>
                </wp:positionH>
                <wp:positionV relativeFrom="paragraph">
                  <wp:posOffset>45720</wp:posOffset>
                </wp:positionV>
                <wp:extent cx="600075" cy="647700"/>
                <wp:effectExtent l="38100" t="0" r="28575" b="57150"/>
                <wp:wrapNone/>
                <wp:docPr id="13" name="Straight Arrow Connector 13"/>
                <wp:cNvGraphicFramePr/>
                <a:graphic xmlns:a="http://schemas.openxmlformats.org/drawingml/2006/main">
                  <a:graphicData uri="http://schemas.microsoft.com/office/word/2010/wordprocessingShape">
                    <wps:wsp>
                      <wps:cNvCnPr/>
                      <wps:spPr>
                        <a:xfrm flipH="1">
                          <a:off x="0" y="0"/>
                          <a:ext cx="600075" cy="647700"/>
                        </a:xfrm>
                        <a:prstGeom prst="straightConnector1">
                          <a:avLst/>
                        </a:prstGeom>
                        <a:noFill/>
                        <a:ln w="190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4E6646" id="Straight Arrow Connector 13" o:spid="_x0000_s1026" type="#_x0000_t32" style="position:absolute;margin-left:373.5pt;margin-top:3.6pt;width:47.25pt;height:51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" strokecolor="#ed7d31" strokeweight="1.5pt">
                <v:stroke endarrow="block" joinstyle="miter"/>
              </v:shape>
            </w:pict>
          </mc:Fallback>
        </mc:AlternateContent>
      </w:r>
      <w:r w:rsidRPr="00627929">
        <w:rPr>
          <w:noProof/>
          <w:sz w:val="24"/>
          <w:szCs w:val="24"/>
          <w:lang w:eastAsia="en-GB"/>
        </w:rPr>
        <w:drawing>
          <wp:inline distT="0" distB="0" distL="0" distR="0" wp14:anchorId="6D258049" wp14:editId="52B76A94">
            <wp:extent cx="5731510" cy="3834765"/>
            <wp:effectExtent l="0" t="0" r="254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6" cstate="print"/>
                    <a:stretch>
                      <a:fillRect/>
                    </a:stretch>
                  </pic:blipFill>
                  <pic:spPr bwMode="auto">
                    <a:xfrm>
                      <a:off x="0" y="0"/>
                      <a:ext cx="5731510" cy="3834765"/>
                    </a:xfrm>
                    <a:prstGeom prst="rect">
                      <a:avLst/>
                    </a:prstGeom>
                    <a:noFill/>
                    <a:ln w="9525">
                      <a:noFill/>
                      <a:miter lim="800000"/>
                      <a:headEnd/>
                      <a:tailEnd/>
                    </a:ln>
                  </pic:spPr>
                </pic:pic>
              </a:graphicData>
            </a:graphic>
          </wp:inline>
        </w:drawing>
      </w:r>
    </w:p>
    <w:p w14:paraId="056A7EE1" w14:textId="77777777" w:rsidR="00395F93" w:rsidRPr="00627929" w:rsidRDefault="00395F93" w:rsidP="008E32F7">
      <w:pPr>
        <w:spacing w:line="360" w:lineRule="auto"/>
        <w:jc w:val="both"/>
        <w:rPr>
          <w:b/>
          <w:sz w:val="24"/>
          <w:szCs w:val="24"/>
          <w:u w:val="single"/>
        </w:rPr>
      </w:pPr>
    </w:p>
    <w:p w14:paraId="6192388E" w14:textId="77777777" w:rsidR="00395F93" w:rsidRPr="00627929" w:rsidRDefault="00395F93" w:rsidP="008E32F7">
      <w:pPr>
        <w:spacing w:line="360" w:lineRule="auto"/>
        <w:jc w:val="both"/>
        <w:rPr>
          <w:sz w:val="24"/>
          <w:szCs w:val="24"/>
        </w:rPr>
      </w:pPr>
      <w:r w:rsidRPr="00627929">
        <w:rPr>
          <w:sz w:val="24"/>
          <w:szCs w:val="24"/>
        </w:rPr>
        <w:t xml:space="preserve">(Adapted from Bowler </w:t>
      </w:r>
      <w:r w:rsidRPr="00627929">
        <w:rPr>
          <w:i/>
          <w:sz w:val="24"/>
          <w:szCs w:val="24"/>
        </w:rPr>
        <w:t xml:space="preserve">et al, </w:t>
      </w:r>
      <w:r w:rsidRPr="00627929">
        <w:rPr>
          <w:sz w:val="24"/>
          <w:szCs w:val="24"/>
        </w:rPr>
        <w:t>2007)</w:t>
      </w:r>
    </w:p>
    <w:p w14:paraId="41908FFB" w14:textId="1FA754FA" w:rsidR="00395F93" w:rsidRPr="00627929" w:rsidRDefault="00395F93" w:rsidP="008E32F7">
      <w:pPr>
        <w:spacing w:line="360" w:lineRule="auto"/>
        <w:jc w:val="both"/>
        <w:rPr>
          <w:sz w:val="24"/>
          <w:szCs w:val="24"/>
        </w:rPr>
      </w:pPr>
      <w:r w:rsidRPr="00627929">
        <w:rPr>
          <w:sz w:val="24"/>
          <w:szCs w:val="24"/>
        </w:rPr>
        <w:t xml:space="preserve">Throughout this module, the teaching and learning strategies centre around a collaborative and participative approach </w:t>
      </w:r>
      <w:r w:rsidR="008E32F7" w:rsidRPr="00627929">
        <w:rPr>
          <w:sz w:val="24"/>
          <w:szCs w:val="24"/>
        </w:rPr>
        <w:t>to</w:t>
      </w:r>
      <w:r w:rsidRPr="00627929">
        <w:rPr>
          <w:sz w:val="24"/>
          <w:szCs w:val="24"/>
        </w:rPr>
        <w:t xml:space="preserve"> both satisfy the curriculum within which it is set and to encourage learners to develop collaborative skills through methods such as enquiry-based learning. </w:t>
      </w:r>
    </w:p>
    <w:p w14:paraId="61F05557" w14:textId="77777777" w:rsidR="00395F93" w:rsidRPr="00627929" w:rsidRDefault="00395F93" w:rsidP="008E32F7">
      <w:pPr>
        <w:spacing w:line="360" w:lineRule="auto"/>
        <w:jc w:val="both"/>
        <w:rPr>
          <w:sz w:val="24"/>
          <w:szCs w:val="24"/>
        </w:rPr>
      </w:pPr>
      <w:r w:rsidRPr="00627929">
        <w:rPr>
          <w:sz w:val="24"/>
          <w:szCs w:val="24"/>
        </w:rPr>
        <w:t xml:space="preserve">Although limited elements of this module resonate amongst all theoretical approaches to learning, there is a clear relationship between the teaching and learning strategies and both Humanism and Constructivism. The following academic critique looks at the link developed between these theories and the teaching and learning strategies for the Sustainability Leadership module. </w:t>
      </w:r>
    </w:p>
    <w:p w14:paraId="5C06DD8B" w14:textId="77777777" w:rsidR="00395F93" w:rsidRPr="00627929" w:rsidRDefault="00395F93" w:rsidP="008E32F7">
      <w:pPr>
        <w:spacing w:line="360" w:lineRule="auto"/>
        <w:jc w:val="both"/>
        <w:rPr>
          <w:sz w:val="24"/>
          <w:szCs w:val="24"/>
          <w:u w:val="single"/>
        </w:rPr>
      </w:pPr>
      <w:r w:rsidRPr="00627929">
        <w:rPr>
          <w:sz w:val="24"/>
          <w:szCs w:val="24"/>
          <w:u w:val="single"/>
        </w:rPr>
        <w:t>Constructivism Approach</w:t>
      </w:r>
    </w:p>
    <w:p w14:paraId="0E6E0FC4" w14:textId="77777777" w:rsidR="00395F93" w:rsidRPr="00627929" w:rsidRDefault="00395F93" w:rsidP="008E32F7">
      <w:pPr>
        <w:spacing w:line="360" w:lineRule="auto"/>
        <w:jc w:val="both"/>
        <w:rPr>
          <w:sz w:val="24"/>
          <w:szCs w:val="24"/>
        </w:rPr>
      </w:pPr>
      <w:r w:rsidRPr="00627929">
        <w:rPr>
          <w:sz w:val="24"/>
          <w:szCs w:val="24"/>
        </w:rPr>
        <w:t xml:space="preserve">The essence of the constructivist approach centres around a student-led dynamic encouraging learning that is initiated by the learner and supported by or facilitated by the teacher (Pass, 2004). It is clear that the variation on the Flipped Learning technique that Carmarthen Business School have adopted corresponds with this theory in its broadest sense. Having been designed for Carmarthen Business School, this module also adopts this approach. </w:t>
      </w:r>
    </w:p>
    <w:p w14:paraId="2F5F85C1" w14:textId="77777777" w:rsidR="00395F93" w:rsidRPr="00627929" w:rsidRDefault="00395F93" w:rsidP="008E32F7">
      <w:pPr>
        <w:spacing w:line="360" w:lineRule="auto"/>
        <w:jc w:val="both"/>
        <w:rPr>
          <w:sz w:val="24"/>
          <w:szCs w:val="24"/>
        </w:rPr>
      </w:pPr>
      <w:r w:rsidRPr="00627929">
        <w:rPr>
          <w:sz w:val="24"/>
          <w:szCs w:val="24"/>
        </w:rPr>
        <w:t>Constructivism highlights the concept of accommodation and assimilation. Interestingly, the Sustainability Leadership module actively participates in the concept of assimilation through a number of its strategies. For example, through its enquiry-based learning strategy, learners are asked to create a number of tools to overcome a problem (such as the CSR Template). This, similar to the assimilation process within constructivism, encourages learners to utilise their new experiences within an organisational framework. When considered in this way, the whole module is constructed to encourage and enhance assimilation as one of the objectives of the module is to provide students with the tools and knowledge to take forward following graduation. This then echoes the purpose of assimilation which is the process of fitting new experiences into an existing framework (Snowman and McCown, 2014).</w:t>
      </w:r>
    </w:p>
    <w:p w14:paraId="7E9B15C0" w14:textId="77777777" w:rsidR="00395F93" w:rsidRPr="00627929" w:rsidRDefault="00395F93" w:rsidP="008E32F7">
      <w:pPr>
        <w:spacing w:line="360" w:lineRule="auto"/>
        <w:jc w:val="both"/>
        <w:rPr>
          <w:sz w:val="24"/>
          <w:szCs w:val="24"/>
        </w:rPr>
      </w:pPr>
      <w:r w:rsidRPr="00627929">
        <w:rPr>
          <w:sz w:val="24"/>
          <w:szCs w:val="24"/>
        </w:rPr>
        <w:t xml:space="preserve">In addition, constructivism affirms that the learner needs to be actively involved and at the centre of the learning process. This resembles the ideology of participative learning which also gravitates around student led learning and provides provoking experiences for the learners, a thought supported by Tuckman and Monetti (2010). </w:t>
      </w:r>
    </w:p>
    <w:p w14:paraId="1E9E6262" w14:textId="7DFDEAC3" w:rsidR="00395F93" w:rsidRPr="00627929" w:rsidRDefault="00395F93" w:rsidP="008E32F7">
      <w:pPr>
        <w:spacing w:line="360" w:lineRule="auto"/>
        <w:jc w:val="both"/>
        <w:rPr>
          <w:sz w:val="24"/>
          <w:szCs w:val="24"/>
        </w:rPr>
      </w:pPr>
      <w:r w:rsidRPr="00627929">
        <w:rPr>
          <w:sz w:val="24"/>
          <w:szCs w:val="24"/>
        </w:rPr>
        <w:t xml:space="preserve">Vygotsky (1978) discussed the zone of proximal development which describes the distance between actual and potential development. Vygotsky explains that actual development is determined by independent </w:t>
      </w:r>
      <w:r w:rsidR="008E32F7" w:rsidRPr="00627929">
        <w:rPr>
          <w:sz w:val="24"/>
          <w:szCs w:val="24"/>
        </w:rPr>
        <w:t>problem-solving</w:t>
      </w:r>
      <w:r w:rsidRPr="00627929">
        <w:rPr>
          <w:sz w:val="24"/>
          <w:szCs w:val="24"/>
        </w:rPr>
        <w:t xml:space="preserve"> activities and that potential development is determined through collaboration under guidance as illustrated in the diagram below;</w:t>
      </w:r>
    </w:p>
    <w:p w14:paraId="7B8E64F1" w14:textId="77777777" w:rsidR="00395F93" w:rsidRPr="00627929" w:rsidRDefault="00395F93" w:rsidP="008E32F7">
      <w:pPr>
        <w:spacing w:line="360" w:lineRule="auto"/>
        <w:jc w:val="both"/>
        <w:rPr>
          <w:sz w:val="24"/>
          <w:szCs w:val="24"/>
        </w:rPr>
      </w:pPr>
    </w:p>
    <w:p w14:paraId="20C35C2D" w14:textId="04A155C4" w:rsidR="00395F93" w:rsidRPr="00627929" w:rsidRDefault="00395F93" w:rsidP="008E32F7">
      <w:pPr>
        <w:spacing w:line="360" w:lineRule="auto"/>
        <w:jc w:val="both"/>
        <w:rPr>
          <w:b/>
          <w:sz w:val="24"/>
          <w:szCs w:val="24"/>
          <w:u w:val="single"/>
        </w:rPr>
      </w:pPr>
      <w:r w:rsidRPr="00627929">
        <w:rPr>
          <w:b/>
          <w:noProof/>
          <w:sz w:val="24"/>
          <w:szCs w:val="24"/>
          <w:u w:val="single"/>
          <w:lang w:eastAsia="en-GB"/>
        </w:rPr>
        <mc:AlternateContent>
          <mc:Choice Requires="wps">
            <w:drawing>
              <wp:anchor distT="0" distB="0" distL="114300" distR="114300" simplePos="0" relativeHeight="251667456" behindDoc="0" locked="0" layoutInCell="1" allowOverlap="1" wp14:anchorId="6180858F" wp14:editId="1A9097F7">
                <wp:simplePos x="0" y="0"/>
                <wp:positionH relativeFrom="column">
                  <wp:posOffset>5219065</wp:posOffset>
                </wp:positionH>
                <wp:positionV relativeFrom="paragraph">
                  <wp:posOffset>219075</wp:posOffset>
                </wp:positionV>
                <wp:extent cx="1228725" cy="10191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228725" cy="1019175"/>
                        </a:xfrm>
                        <a:prstGeom prst="rect">
                          <a:avLst/>
                        </a:prstGeom>
                        <a:solidFill>
                          <a:srgbClr val="4472C4"/>
                        </a:solidFill>
                        <a:ln w="12700" cap="flat" cmpd="sng" algn="ctr">
                          <a:solidFill>
                            <a:srgbClr val="4472C4">
                              <a:shade val="50000"/>
                            </a:srgbClr>
                          </a:solidFill>
                          <a:prstDash val="solid"/>
                          <a:miter lim="800000"/>
                        </a:ln>
                        <a:effectLst/>
                      </wps:spPr>
                      <wps:txbx>
                        <w:txbxContent>
                          <w:p w14:paraId="174FEC64" w14:textId="77777777" w:rsidR="00395F93" w:rsidRDefault="00395F93" w:rsidP="00395F93">
                            <w:pPr>
                              <w:jc w:val="center"/>
                            </w:pPr>
                            <w:r>
                              <w:t>Things the learner cannot 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0858F" id="Rectangle 11" o:spid="_x0000_s1028" style="position:absolute;left:0;text-align:left;margin-left:410.95pt;margin-top:17.25pt;width:96.75pt;height:8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" fillcolor="#4472c4" strokecolor="#2f528f" strokeweight="1pt">
                <v:textbox>
                  <w:txbxContent>
                    <w:p w14:paraId="174FEC64" w14:textId="77777777" w:rsidR="00395F93" w:rsidRDefault="00395F93" w:rsidP="00395F93">
                      <w:pPr>
                        <w:jc w:val="center"/>
                      </w:pPr>
                      <w:r>
                        <w:t>Things the learner cannot do</w:t>
                      </w:r>
                    </w:p>
                  </w:txbxContent>
                </v:textbox>
              </v:rect>
            </w:pict>
          </mc:Fallback>
        </mc:AlternateContent>
      </w:r>
      <w:r w:rsidRPr="00627929">
        <w:rPr>
          <w:b/>
          <w:sz w:val="24"/>
          <w:szCs w:val="24"/>
          <w:u w:val="single"/>
        </w:rPr>
        <w:t xml:space="preserve">Diagram </w:t>
      </w:r>
      <w:r w:rsidR="00D276B6">
        <w:rPr>
          <w:b/>
          <w:sz w:val="24"/>
          <w:szCs w:val="24"/>
          <w:u w:val="single"/>
        </w:rPr>
        <w:t>2</w:t>
      </w:r>
      <w:r w:rsidRPr="00627929">
        <w:rPr>
          <w:b/>
          <w:sz w:val="24"/>
          <w:szCs w:val="24"/>
          <w:u w:val="single"/>
        </w:rPr>
        <w:t>: Adaptation of Vygotsky’s Zone of Proximal Development</w:t>
      </w:r>
    </w:p>
    <w:p w14:paraId="01B3F01C" w14:textId="77777777" w:rsidR="00395F93" w:rsidRPr="00627929" w:rsidRDefault="00395F93" w:rsidP="008E32F7">
      <w:pPr>
        <w:spacing w:line="360" w:lineRule="auto"/>
        <w:jc w:val="both"/>
        <w:rPr>
          <w:sz w:val="24"/>
          <w:szCs w:val="24"/>
        </w:rPr>
      </w:pPr>
      <w:r w:rsidRPr="00627929">
        <w:rPr>
          <w:noProof/>
          <w:sz w:val="24"/>
          <w:szCs w:val="24"/>
          <w:lang w:eastAsia="en-GB"/>
        </w:rPr>
        <mc:AlternateContent>
          <mc:Choice Requires="wps">
            <w:drawing>
              <wp:anchor distT="0" distB="0" distL="114300" distR="114300" simplePos="0" relativeHeight="251659264" behindDoc="0" locked="0" layoutInCell="1" allowOverlap="1" wp14:anchorId="3822B07A" wp14:editId="25D918AE">
                <wp:simplePos x="0" y="0"/>
                <wp:positionH relativeFrom="column">
                  <wp:posOffset>952500</wp:posOffset>
                </wp:positionH>
                <wp:positionV relativeFrom="paragraph">
                  <wp:posOffset>142875</wp:posOffset>
                </wp:positionV>
                <wp:extent cx="3714750" cy="3457575"/>
                <wp:effectExtent l="0" t="0" r="19050" b="28575"/>
                <wp:wrapNone/>
                <wp:docPr id="2" name="Flowchart: Connector 2"/>
                <wp:cNvGraphicFramePr/>
                <a:graphic xmlns:a="http://schemas.openxmlformats.org/drawingml/2006/main">
                  <a:graphicData uri="http://schemas.microsoft.com/office/word/2010/wordprocessingShape">
                    <wps:wsp>
                      <wps:cNvSpPr/>
                      <wps:spPr>
                        <a:xfrm>
                          <a:off x="0" y="0"/>
                          <a:ext cx="3714750" cy="3457575"/>
                        </a:xfrm>
                        <a:prstGeom prst="flowChartConnector">
                          <a:avLst/>
                        </a:prstGeom>
                        <a:solidFill>
                          <a:srgbClr val="A5A5A5">
                            <a:lumMod val="60000"/>
                            <a:lumOff val="40000"/>
                          </a:srgbClr>
                        </a:solidFill>
                        <a:ln w="12700" cap="flat" cmpd="sng" algn="ctr">
                          <a:solidFill>
                            <a:srgbClr val="4472C4">
                              <a:shade val="50000"/>
                            </a:srgbClr>
                          </a:solidFill>
                          <a:prstDash val="solid"/>
                          <a:miter lim="800000"/>
                        </a:ln>
                        <a:effectLst/>
                      </wps:spPr>
                      <wps:txbx>
                        <w:txbxContent>
                          <w:p w14:paraId="77805DD8" w14:textId="77777777" w:rsidR="00395F93" w:rsidRDefault="00395F93" w:rsidP="00395F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22B07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9" type="#_x0000_t120" style="position:absolute;left:0;text-align:left;margin-left:75pt;margin-top:11.25pt;width:292.5pt;height:27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" fillcolor="#c9c9c9" strokecolor="#2f528f" strokeweight="1pt">
                <v:stroke joinstyle="miter"/>
                <v:textbox>
                  <w:txbxContent>
                    <w:p w14:paraId="77805DD8" w14:textId="77777777" w:rsidR="00395F93" w:rsidRDefault="00395F93" w:rsidP="00395F93">
                      <w:pPr>
                        <w:jc w:val="center"/>
                      </w:pPr>
                    </w:p>
                  </w:txbxContent>
                </v:textbox>
              </v:shape>
            </w:pict>
          </mc:Fallback>
        </mc:AlternateContent>
      </w:r>
    </w:p>
    <w:p w14:paraId="6F0F19C4" w14:textId="59F440E9" w:rsidR="00395F93" w:rsidRPr="00627929" w:rsidRDefault="00D276B6" w:rsidP="008E32F7">
      <w:pPr>
        <w:spacing w:line="360" w:lineRule="auto"/>
        <w:jc w:val="both"/>
        <w:rPr>
          <w:sz w:val="24"/>
          <w:szCs w:val="24"/>
        </w:rPr>
      </w:pPr>
      <w:r w:rsidRPr="00627929">
        <w:rPr>
          <w:noProof/>
          <w:sz w:val="24"/>
          <w:szCs w:val="24"/>
          <w:lang w:eastAsia="en-GB"/>
        </w:rPr>
        <mc:AlternateContent>
          <mc:Choice Requires="wps">
            <w:drawing>
              <wp:anchor distT="0" distB="0" distL="114300" distR="114300" simplePos="0" relativeHeight="251660288" behindDoc="0" locked="0" layoutInCell="1" allowOverlap="1" wp14:anchorId="2C469DD3" wp14:editId="4B64E044">
                <wp:simplePos x="0" y="0"/>
                <wp:positionH relativeFrom="margin">
                  <wp:posOffset>1522730</wp:posOffset>
                </wp:positionH>
                <wp:positionV relativeFrom="paragraph">
                  <wp:posOffset>248285</wp:posOffset>
                </wp:positionV>
                <wp:extent cx="2667000" cy="2600325"/>
                <wp:effectExtent l="0" t="0" r="19050" b="28575"/>
                <wp:wrapNone/>
                <wp:docPr id="3" name="Flowchart: Connector 3"/>
                <wp:cNvGraphicFramePr/>
                <a:graphic xmlns:a="http://schemas.openxmlformats.org/drawingml/2006/main">
                  <a:graphicData uri="http://schemas.microsoft.com/office/word/2010/wordprocessingShape">
                    <wps:wsp>
                      <wps:cNvSpPr/>
                      <wps:spPr>
                        <a:xfrm>
                          <a:off x="0" y="0"/>
                          <a:ext cx="2667000" cy="2600325"/>
                        </a:xfrm>
                        <a:prstGeom prst="flowChartConnector">
                          <a:avLst/>
                        </a:prstGeom>
                        <a:solidFill>
                          <a:sysClr val="window" lastClr="FFFFFF">
                            <a:lumMod val="65000"/>
                          </a:sysClr>
                        </a:solidFill>
                        <a:ln w="12700" cap="flat" cmpd="sng" algn="ctr">
                          <a:solidFill>
                            <a:srgbClr val="4472C4">
                              <a:shade val="50000"/>
                            </a:srgbClr>
                          </a:solidFill>
                          <a:prstDash val="solid"/>
                          <a:miter lim="800000"/>
                        </a:ln>
                        <a:effectLst/>
                      </wps:spPr>
                      <wps:txbx>
                        <w:txbxContent>
                          <w:p w14:paraId="77EE7115" w14:textId="77777777" w:rsidR="00395F93" w:rsidRDefault="00395F93" w:rsidP="00395F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69DD3" id="Flowchart: Connector 3" o:spid="_x0000_s1030" type="#_x0000_t120" style="position:absolute;left:0;text-align:left;margin-left:119.9pt;margin-top:19.55pt;width:210pt;height:204.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" fillcolor="#a6a6a6" strokecolor="#2f528f" strokeweight="1pt">
                <v:stroke joinstyle="miter"/>
                <v:textbox>
                  <w:txbxContent>
                    <w:p w14:paraId="77EE7115" w14:textId="77777777" w:rsidR="00395F93" w:rsidRDefault="00395F93" w:rsidP="00395F93">
                      <w:pPr>
                        <w:jc w:val="center"/>
                      </w:pPr>
                    </w:p>
                  </w:txbxContent>
                </v:textbox>
                <w10:wrap anchorx="margin"/>
              </v:shape>
            </w:pict>
          </mc:Fallback>
        </mc:AlternateContent>
      </w:r>
      <w:r w:rsidR="00395F93" w:rsidRPr="00627929">
        <w:rPr>
          <w:noProof/>
          <w:sz w:val="24"/>
          <w:szCs w:val="24"/>
          <w:lang w:eastAsia="en-GB"/>
        </w:rPr>
        <mc:AlternateContent>
          <mc:Choice Requires="wps">
            <w:drawing>
              <wp:anchor distT="0" distB="0" distL="114300" distR="114300" simplePos="0" relativeHeight="251666432" behindDoc="0" locked="0" layoutInCell="1" allowOverlap="1" wp14:anchorId="14949551" wp14:editId="2331108E">
                <wp:simplePos x="0" y="0"/>
                <wp:positionH relativeFrom="column">
                  <wp:posOffset>3667125</wp:posOffset>
                </wp:positionH>
                <wp:positionV relativeFrom="paragraph">
                  <wp:posOffset>247650</wp:posOffset>
                </wp:positionV>
                <wp:extent cx="1581150" cy="9525"/>
                <wp:effectExtent l="19050" t="57150" r="0" b="85725"/>
                <wp:wrapNone/>
                <wp:docPr id="10" name="Straight Arrow Connector 10"/>
                <wp:cNvGraphicFramePr/>
                <a:graphic xmlns:a="http://schemas.openxmlformats.org/drawingml/2006/main">
                  <a:graphicData uri="http://schemas.microsoft.com/office/word/2010/wordprocessingShape">
                    <wps:wsp>
                      <wps:cNvCnPr/>
                      <wps:spPr>
                        <a:xfrm flipH="1">
                          <a:off x="0" y="0"/>
                          <a:ext cx="1581150" cy="95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E1FD627" id="Straight Arrow Connector 10" o:spid="_x0000_s1026" type="#_x0000_t32" style="position:absolute;margin-left:288.75pt;margin-top:19.5pt;width:124.5pt;height:.7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" strokecolor="#4472c4" strokeweight=".5pt">
                <v:stroke endarrow="block" joinstyle="miter"/>
              </v:shape>
            </w:pict>
          </mc:Fallback>
        </mc:AlternateContent>
      </w:r>
    </w:p>
    <w:p w14:paraId="315C6BDE" w14:textId="1E89F725" w:rsidR="00395F93" w:rsidRPr="00627929" w:rsidRDefault="00395F93" w:rsidP="008E32F7">
      <w:pPr>
        <w:spacing w:line="360" w:lineRule="auto"/>
        <w:jc w:val="both"/>
        <w:rPr>
          <w:sz w:val="24"/>
          <w:szCs w:val="24"/>
        </w:rPr>
      </w:pPr>
    </w:p>
    <w:p w14:paraId="41A2F133" w14:textId="75FB411A" w:rsidR="00395F93" w:rsidRPr="00627929" w:rsidRDefault="00D276B6" w:rsidP="008E32F7">
      <w:pPr>
        <w:spacing w:line="360" w:lineRule="auto"/>
        <w:jc w:val="both"/>
        <w:rPr>
          <w:sz w:val="24"/>
          <w:szCs w:val="24"/>
        </w:rPr>
      </w:pPr>
      <w:r w:rsidRPr="00627929">
        <w:rPr>
          <w:noProof/>
          <w:sz w:val="24"/>
          <w:szCs w:val="24"/>
          <w:lang w:eastAsia="en-GB"/>
        </w:rPr>
        <mc:AlternateContent>
          <mc:Choice Requires="wps">
            <w:drawing>
              <wp:anchor distT="0" distB="0" distL="114300" distR="114300" simplePos="0" relativeHeight="251665408" behindDoc="0" locked="0" layoutInCell="1" allowOverlap="1" wp14:anchorId="08E230C1" wp14:editId="116EC8D5">
                <wp:simplePos x="0" y="0"/>
                <wp:positionH relativeFrom="column">
                  <wp:posOffset>4961890</wp:posOffset>
                </wp:positionH>
                <wp:positionV relativeFrom="paragraph">
                  <wp:posOffset>333375</wp:posOffset>
                </wp:positionV>
                <wp:extent cx="1323975" cy="11620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323975" cy="11620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91218D3" w14:textId="77777777" w:rsidR="00395F93" w:rsidRDefault="00395F93" w:rsidP="00395F93">
                            <w:pPr>
                              <w:jc w:val="center"/>
                            </w:pPr>
                            <w:r>
                              <w:t>Things the learner can do on his 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E230C1" id="Rectangle 9" o:spid="_x0000_s1031" style="position:absolute;left:0;text-align:left;margin-left:390.7pt;margin-top:26.25pt;width:104.25pt;height:9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" fillcolor="#4472c4" strokecolor="#2f528f" strokeweight="1pt">
                <v:textbox>
                  <w:txbxContent>
                    <w:p w14:paraId="091218D3" w14:textId="77777777" w:rsidR="00395F93" w:rsidRDefault="00395F93" w:rsidP="00395F93">
                      <w:pPr>
                        <w:jc w:val="center"/>
                      </w:pPr>
                      <w:r>
                        <w:t>Things the learner can do on his own</w:t>
                      </w:r>
                    </w:p>
                  </w:txbxContent>
                </v:textbox>
              </v:rect>
            </w:pict>
          </mc:Fallback>
        </mc:AlternateContent>
      </w:r>
      <w:r w:rsidRPr="00627929">
        <w:rPr>
          <w:noProof/>
          <w:sz w:val="24"/>
          <w:szCs w:val="24"/>
          <w:lang w:eastAsia="en-GB"/>
        </w:rPr>
        <mc:AlternateContent>
          <mc:Choice Requires="wps">
            <w:drawing>
              <wp:anchor distT="0" distB="0" distL="114300" distR="114300" simplePos="0" relativeHeight="251661312" behindDoc="0" locked="0" layoutInCell="1" allowOverlap="1" wp14:anchorId="431A080E" wp14:editId="45681631">
                <wp:simplePos x="0" y="0"/>
                <wp:positionH relativeFrom="margin">
                  <wp:posOffset>2199005</wp:posOffset>
                </wp:positionH>
                <wp:positionV relativeFrom="paragraph">
                  <wp:posOffset>95885</wp:posOffset>
                </wp:positionV>
                <wp:extent cx="1304925" cy="1333500"/>
                <wp:effectExtent l="0" t="0" r="28575" b="19050"/>
                <wp:wrapNone/>
                <wp:docPr id="5" name="Flowchart: Connector 5"/>
                <wp:cNvGraphicFramePr/>
                <a:graphic xmlns:a="http://schemas.openxmlformats.org/drawingml/2006/main">
                  <a:graphicData uri="http://schemas.microsoft.com/office/word/2010/wordprocessingShape">
                    <wps:wsp>
                      <wps:cNvSpPr/>
                      <wps:spPr>
                        <a:xfrm>
                          <a:off x="0" y="0"/>
                          <a:ext cx="1304925" cy="1333500"/>
                        </a:xfrm>
                        <a:prstGeom prst="flowChartConnector">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56CA56F5" w14:textId="77777777" w:rsidR="00395F93" w:rsidRDefault="00395F93" w:rsidP="00395F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1A080E" id="Flowchart: Connector 5" o:spid="_x0000_s1032" type="#_x0000_t120" style="position:absolute;left:0;text-align:left;margin-left:173.15pt;margin-top:7.55pt;width:102.75pt;height:10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" fillcolor="#dae3f3" strokecolor="#2f528f" strokeweight="1pt">
                <v:stroke joinstyle="miter"/>
                <v:textbox>
                  <w:txbxContent>
                    <w:p w14:paraId="56CA56F5" w14:textId="77777777" w:rsidR="00395F93" w:rsidRDefault="00395F93" w:rsidP="00395F93">
                      <w:pPr>
                        <w:jc w:val="center"/>
                      </w:pPr>
                    </w:p>
                  </w:txbxContent>
                </v:textbox>
                <w10:wrap anchorx="margin"/>
              </v:shape>
            </w:pict>
          </mc:Fallback>
        </mc:AlternateContent>
      </w:r>
    </w:p>
    <w:p w14:paraId="230C0B4B" w14:textId="2DDAFB0B" w:rsidR="00395F93" w:rsidRPr="00627929" w:rsidRDefault="00D276B6" w:rsidP="008E32F7">
      <w:pPr>
        <w:spacing w:line="360" w:lineRule="auto"/>
        <w:jc w:val="both"/>
        <w:rPr>
          <w:sz w:val="24"/>
          <w:szCs w:val="24"/>
        </w:rPr>
      </w:pPr>
      <w:r w:rsidRPr="00627929">
        <w:rPr>
          <w:noProof/>
          <w:sz w:val="24"/>
          <w:szCs w:val="24"/>
          <w:lang w:eastAsia="en-GB"/>
        </w:rPr>
        <mc:AlternateContent>
          <mc:Choice Requires="wps">
            <w:drawing>
              <wp:anchor distT="0" distB="0" distL="114300" distR="114300" simplePos="0" relativeHeight="251663360" behindDoc="0" locked="0" layoutInCell="1" allowOverlap="1" wp14:anchorId="2C54E00B" wp14:editId="607BBA99">
                <wp:simplePos x="0" y="0"/>
                <wp:positionH relativeFrom="column">
                  <wp:posOffset>-476250</wp:posOffset>
                </wp:positionH>
                <wp:positionV relativeFrom="paragraph">
                  <wp:posOffset>200660</wp:posOffset>
                </wp:positionV>
                <wp:extent cx="1114425" cy="12668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114425" cy="1266825"/>
                        </a:xfrm>
                        <a:prstGeom prst="rect">
                          <a:avLst/>
                        </a:prstGeom>
                        <a:solidFill>
                          <a:srgbClr val="4472C4"/>
                        </a:solidFill>
                        <a:ln w="12700" cap="flat" cmpd="sng" algn="ctr">
                          <a:solidFill>
                            <a:srgbClr val="4472C4">
                              <a:shade val="50000"/>
                            </a:srgbClr>
                          </a:solidFill>
                          <a:prstDash val="solid"/>
                          <a:miter lim="800000"/>
                        </a:ln>
                        <a:effectLst/>
                      </wps:spPr>
                      <wps:txbx>
                        <w:txbxContent>
                          <w:p w14:paraId="308C544E" w14:textId="77777777" w:rsidR="00395F93" w:rsidRDefault="00395F93" w:rsidP="00395F93">
                            <w:pPr>
                              <w:jc w:val="center"/>
                            </w:pPr>
                            <w:r>
                              <w:t>Zone of Proximal Development; Things the learner can do with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54E00B" id="Rectangle 6" o:spid="_x0000_s1033" style="position:absolute;left:0;text-align:left;margin-left:-37.5pt;margin-top:15.8pt;width:87.75pt;height:99.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" fillcolor="#4472c4" strokecolor="#2f528f" strokeweight="1pt">
                <v:textbox>
                  <w:txbxContent>
                    <w:p w14:paraId="308C544E" w14:textId="77777777" w:rsidR="00395F93" w:rsidRDefault="00395F93" w:rsidP="00395F93">
                      <w:pPr>
                        <w:jc w:val="center"/>
                      </w:pPr>
                      <w:r>
                        <w:t>Zone of Proximal Development; Things the learner can do with help</w:t>
                      </w:r>
                    </w:p>
                  </w:txbxContent>
                </v:textbox>
              </v:rect>
            </w:pict>
          </mc:Fallback>
        </mc:AlternateContent>
      </w:r>
      <w:r w:rsidRPr="00627929">
        <w:rPr>
          <w:noProof/>
          <w:sz w:val="24"/>
          <w:szCs w:val="24"/>
          <w:lang w:eastAsia="en-GB"/>
        </w:rPr>
        <mc:AlternateContent>
          <mc:Choice Requires="wps">
            <w:drawing>
              <wp:anchor distT="0" distB="0" distL="114300" distR="114300" simplePos="0" relativeHeight="251664384" behindDoc="0" locked="0" layoutInCell="1" allowOverlap="1" wp14:anchorId="6D206E52" wp14:editId="3818E621">
                <wp:simplePos x="0" y="0"/>
                <wp:positionH relativeFrom="column">
                  <wp:posOffset>3028950</wp:posOffset>
                </wp:positionH>
                <wp:positionV relativeFrom="paragraph">
                  <wp:posOffset>380365</wp:posOffset>
                </wp:positionV>
                <wp:extent cx="1981200" cy="9525"/>
                <wp:effectExtent l="38100" t="76200" r="0" b="85725"/>
                <wp:wrapNone/>
                <wp:docPr id="8" name="Straight Arrow Connector 8"/>
                <wp:cNvGraphicFramePr/>
                <a:graphic xmlns:a="http://schemas.openxmlformats.org/drawingml/2006/main">
                  <a:graphicData uri="http://schemas.microsoft.com/office/word/2010/wordprocessingShape">
                    <wps:wsp>
                      <wps:cNvCnPr/>
                      <wps:spPr>
                        <a:xfrm flipH="1" flipV="1">
                          <a:off x="0" y="0"/>
                          <a:ext cx="1981200" cy="95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95724F9" id="Straight Arrow Connector 8" o:spid="_x0000_s1026" type="#_x0000_t32" style="position:absolute;margin-left:238.5pt;margin-top:29.95pt;width:156pt;height:.7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" strokecolor="#4472c4" strokeweight=".5pt">
                <v:stroke endarrow="block" joinstyle="miter"/>
              </v:shape>
            </w:pict>
          </mc:Fallback>
        </mc:AlternateContent>
      </w:r>
    </w:p>
    <w:p w14:paraId="201A06F4" w14:textId="09C26C2E" w:rsidR="00395F93" w:rsidRPr="00627929" w:rsidRDefault="00395F93" w:rsidP="008E32F7">
      <w:pPr>
        <w:spacing w:line="360" w:lineRule="auto"/>
        <w:jc w:val="both"/>
        <w:rPr>
          <w:sz w:val="24"/>
          <w:szCs w:val="24"/>
        </w:rPr>
      </w:pPr>
    </w:p>
    <w:p w14:paraId="218975CA" w14:textId="6ED8EF47" w:rsidR="00395F93" w:rsidRPr="00627929" w:rsidRDefault="00D276B6" w:rsidP="008E32F7">
      <w:pPr>
        <w:spacing w:line="360" w:lineRule="auto"/>
        <w:jc w:val="both"/>
        <w:rPr>
          <w:sz w:val="24"/>
          <w:szCs w:val="24"/>
        </w:rPr>
      </w:pPr>
      <w:r w:rsidRPr="00627929">
        <w:rPr>
          <w:noProof/>
          <w:sz w:val="24"/>
          <w:szCs w:val="24"/>
          <w:lang w:eastAsia="en-GB"/>
        </w:rPr>
        <mc:AlternateContent>
          <mc:Choice Requires="wps">
            <w:drawing>
              <wp:anchor distT="0" distB="0" distL="114300" distR="114300" simplePos="0" relativeHeight="251662336" behindDoc="0" locked="0" layoutInCell="1" allowOverlap="1" wp14:anchorId="192D1615" wp14:editId="70D49F70">
                <wp:simplePos x="0" y="0"/>
                <wp:positionH relativeFrom="column">
                  <wp:posOffset>638175</wp:posOffset>
                </wp:positionH>
                <wp:positionV relativeFrom="paragraph">
                  <wp:posOffset>85724</wp:posOffset>
                </wp:positionV>
                <wp:extent cx="1238250" cy="45719"/>
                <wp:effectExtent l="0" t="76200" r="0" b="50165"/>
                <wp:wrapNone/>
                <wp:docPr id="4" name="Straight Arrow Connector 4"/>
                <wp:cNvGraphicFramePr/>
                <a:graphic xmlns:a="http://schemas.openxmlformats.org/drawingml/2006/main">
                  <a:graphicData uri="http://schemas.microsoft.com/office/word/2010/wordprocessingShape">
                    <wps:wsp>
                      <wps:cNvCnPr/>
                      <wps:spPr>
                        <a:xfrm flipV="1">
                          <a:off x="0" y="0"/>
                          <a:ext cx="1238250"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FD8B246" id="Straight Arrow Connector 4" o:spid="_x0000_s1026" type="#_x0000_t32" style="position:absolute;margin-left:50.25pt;margin-top:6.75pt;width:97.5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" strokecolor="#4472c4" strokeweight=".5pt">
                <v:stroke endarrow="block" joinstyle="miter"/>
              </v:shape>
            </w:pict>
          </mc:Fallback>
        </mc:AlternateContent>
      </w:r>
    </w:p>
    <w:p w14:paraId="3178943C" w14:textId="2E379DEB" w:rsidR="00395F93" w:rsidRPr="00627929" w:rsidRDefault="00395F93" w:rsidP="008E32F7">
      <w:pPr>
        <w:spacing w:line="360" w:lineRule="auto"/>
        <w:jc w:val="both"/>
        <w:rPr>
          <w:sz w:val="24"/>
          <w:szCs w:val="24"/>
        </w:rPr>
      </w:pPr>
    </w:p>
    <w:p w14:paraId="79DB9111" w14:textId="77777777" w:rsidR="00395F93" w:rsidRPr="00627929" w:rsidRDefault="00395F93" w:rsidP="008E32F7">
      <w:pPr>
        <w:spacing w:line="360" w:lineRule="auto"/>
        <w:jc w:val="both"/>
        <w:rPr>
          <w:sz w:val="24"/>
          <w:szCs w:val="24"/>
        </w:rPr>
      </w:pPr>
    </w:p>
    <w:p w14:paraId="7759401E" w14:textId="77777777" w:rsidR="00395F93" w:rsidRPr="00627929" w:rsidRDefault="00395F93" w:rsidP="008E32F7">
      <w:pPr>
        <w:spacing w:line="360" w:lineRule="auto"/>
        <w:jc w:val="both"/>
        <w:rPr>
          <w:sz w:val="24"/>
          <w:szCs w:val="24"/>
        </w:rPr>
      </w:pPr>
    </w:p>
    <w:p w14:paraId="35FDC459" w14:textId="77777777" w:rsidR="00395F93" w:rsidRPr="00627929" w:rsidRDefault="00395F93" w:rsidP="008E32F7">
      <w:pPr>
        <w:spacing w:line="360" w:lineRule="auto"/>
        <w:jc w:val="both"/>
        <w:rPr>
          <w:sz w:val="24"/>
          <w:szCs w:val="24"/>
        </w:rPr>
      </w:pPr>
    </w:p>
    <w:p w14:paraId="63625123" w14:textId="77777777" w:rsidR="00395F93" w:rsidRPr="00627929" w:rsidRDefault="00395F93" w:rsidP="008E32F7">
      <w:pPr>
        <w:spacing w:line="360" w:lineRule="auto"/>
        <w:jc w:val="both"/>
        <w:rPr>
          <w:sz w:val="24"/>
          <w:szCs w:val="24"/>
        </w:rPr>
      </w:pPr>
    </w:p>
    <w:p w14:paraId="4DCF9E81" w14:textId="77777777" w:rsidR="00395F93" w:rsidRPr="00627929" w:rsidRDefault="00395F93" w:rsidP="008E32F7">
      <w:pPr>
        <w:spacing w:line="360" w:lineRule="auto"/>
        <w:jc w:val="both"/>
        <w:rPr>
          <w:sz w:val="24"/>
          <w:szCs w:val="24"/>
        </w:rPr>
      </w:pPr>
    </w:p>
    <w:p w14:paraId="31009F32" w14:textId="77777777" w:rsidR="00395F93" w:rsidRPr="00627929" w:rsidRDefault="00395F93" w:rsidP="008E32F7">
      <w:pPr>
        <w:spacing w:line="360" w:lineRule="auto"/>
        <w:jc w:val="both"/>
        <w:rPr>
          <w:sz w:val="24"/>
          <w:szCs w:val="24"/>
        </w:rPr>
      </w:pPr>
    </w:p>
    <w:p w14:paraId="7FE7FCF4" w14:textId="77777777" w:rsidR="00395F93" w:rsidRPr="00627929" w:rsidRDefault="00395F93" w:rsidP="008E32F7">
      <w:pPr>
        <w:spacing w:line="360" w:lineRule="auto"/>
        <w:jc w:val="both"/>
        <w:rPr>
          <w:sz w:val="24"/>
          <w:szCs w:val="24"/>
        </w:rPr>
      </w:pPr>
    </w:p>
    <w:p w14:paraId="01E01AE6" w14:textId="77777777" w:rsidR="00395F93" w:rsidRPr="00627929" w:rsidRDefault="00395F93" w:rsidP="008E32F7">
      <w:pPr>
        <w:spacing w:line="360" w:lineRule="auto"/>
        <w:jc w:val="both"/>
        <w:rPr>
          <w:sz w:val="24"/>
          <w:szCs w:val="24"/>
        </w:rPr>
      </w:pPr>
      <w:r w:rsidRPr="00627929">
        <w:rPr>
          <w:sz w:val="24"/>
          <w:szCs w:val="24"/>
        </w:rPr>
        <w:t xml:space="preserve">The teaching and learning strategies within this module complement this idea by allowing the learners to develop and further their potential through group and collaborative learning. Problem solving also plays a large part in the Sustainability Leadership module within a number of activities. As an example, cooperative learning is encouraged through the JIGSAW approach (Gillies </w:t>
      </w:r>
      <w:r w:rsidRPr="00627929">
        <w:rPr>
          <w:i/>
          <w:sz w:val="24"/>
          <w:szCs w:val="24"/>
        </w:rPr>
        <w:t xml:space="preserve">et al, </w:t>
      </w:r>
      <w:r w:rsidRPr="00627929">
        <w:rPr>
          <w:sz w:val="24"/>
          <w:szCs w:val="24"/>
        </w:rPr>
        <w:t xml:space="preserve">2007) utilised in an activity which uses problem solving to create a tool to be used. This echoes the sentiment of constructivism which Larochelle </w:t>
      </w:r>
      <w:r w:rsidRPr="00627929">
        <w:rPr>
          <w:i/>
          <w:sz w:val="24"/>
          <w:szCs w:val="24"/>
        </w:rPr>
        <w:t xml:space="preserve">et al </w:t>
      </w:r>
      <w:r w:rsidRPr="00627929">
        <w:rPr>
          <w:sz w:val="24"/>
          <w:szCs w:val="24"/>
        </w:rPr>
        <w:t>(1998) argue goes hand in hand with problem solving. Khoo Yin (2015) provides evidence supporting the advantages of using collaboration for problem solving activities and furthermore argues that collaborative problem solving actively promotes learners interest.</w:t>
      </w:r>
    </w:p>
    <w:p w14:paraId="0D749F95" w14:textId="77777777" w:rsidR="00395F93" w:rsidRPr="00627929" w:rsidRDefault="00395F93" w:rsidP="008E32F7">
      <w:pPr>
        <w:spacing w:line="360" w:lineRule="auto"/>
        <w:jc w:val="both"/>
        <w:rPr>
          <w:sz w:val="24"/>
          <w:szCs w:val="24"/>
        </w:rPr>
      </w:pPr>
    </w:p>
    <w:p w14:paraId="4E1AC92F" w14:textId="77777777" w:rsidR="00395F93" w:rsidRPr="00627929" w:rsidRDefault="00395F93" w:rsidP="008E32F7">
      <w:pPr>
        <w:spacing w:line="360" w:lineRule="auto"/>
        <w:jc w:val="both"/>
        <w:rPr>
          <w:sz w:val="24"/>
          <w:szCs w:val="24"/>
        </w:rPr>
      </w:pPr>
    </w:p>
    <w:p w14:paraId="74A4E770" w14:textId="77777777" w:rsidR="00395F93" w:rsidRPr="00627929" w:rsidRDefault="00395F93" w:rsidP="008E32F7">
      <w:pPr>
        <w:spacing w:line="360" w:lineRule="auto"/>
        <w:jc w:val="both"/>
        <w:rPr>
          <w:b/>
          <w:sz w:val="24"/>
          <w:szCs w:val="24"/>
          <w:u w:val="single"/>
        </w:rPr>
      </w:pPr>
      <w:r w:rsidRPr="00627929">
        <w:rPr>
          <w:b/>
          <w:sz w:val="24"/>
          <w:szCs w:val="24"/>
          <w:u w:val="single"/>
        </w:rPr>
        <w:t>Humanism approach to learning</w:t>
      </w:r>
    </w:p>
    <w:p w14:paraId="754FABF2" w14:textId="77777777" w:rsidR="00395F93" w:rsidRPr="00627929" w:rsidRDefault="00395F93" w:rsidP="008E32F7">
      <w:pPr>
        <w:spacing w:line="360" w:lineRule="auto"/>
        <w:jc w:val="both"/>
        <w:rPr>
          <w:b/>
          <w:sz w:val="24"/>
          <w:szCs w:val="24"/>
          <w:u w:val="single"/>
        </w:rPr>
      </w:pPr>
    </w:p>
    <w:p w14:paraId="0C845149" w14:textId="51793FDF" w:rsidR="00395F93" w:rsidRPr="00627929" w:rsidRDefault="00395F93" w:rsidP="008E32F7">
      <w:pPr>
        <w:spacing w:line="360" w:lineRule="auto"/>
        <w:jc w:val="both"/>
        <w:rPr>
          <w:sz w:val="24"/>
          <w:szCs w:val="24"/>
        </w:rPr>
      </w:pPr>
      <w:r w:rsidRPr="00627929">
        <w:rPr>
          <w:sz w:val="24"/>
          <w:szCs w:val="24"/>
        </w:rPr>
        <w:t xml:space="preserve">As previously discussed, the Sustainability Leadership module also familiarises with the humanism approach to learning. Many of the key principals of Humanism are adopted within the Sustainability Leadership module such as the encouragement of self-direction and independence, developing an understanding of knowing how to learn and the activity of self-reflection.  A large proportion of the teaching and learning strategies utilised within this module evolve from these principals and offer the learners a similar environment to learn. Humanism also concentrates on a </w:t>
      </w:r>
      <w:r w:rsidR="008E32F7" w:rsidRPr="00627929">
        <w:rPr>
          <w:sz w:val="24"/>
          <w:szCs w:val="24"/>
        </w:rPr>
        <w:t>learner’s</w:t>
      </w:r>
      <w:r w:rsidRPr="00627929">
        <w:rPr>
          <w:sz w:val="24"/>
          <w:szCs w:val="24"/>
        </w:rPr>
        <w:t xml:space="preserve"> motivational influences, previous experiences and drives. Arguably, there is a key link between the humanist approach to learning and andragogy (Jacobs and Hundley, 2010) as adult learners have more experience to offer and could be driven more by motivations to learn. It could also be argued that adult learners have higher commitment levels to education due to their life experiences and age and so self-directed learning offers a wealth of advantages (Titmus, 2014) (Melick and Melick, 2010). The philosophy of drawing on experience when learning is a concept within the Humanist approach which advocates Experiential Learning and the engagement with an experience</w:t>
      </w:r>
      <w:r w:rsidRPr="00627929">
        <w:rPr>
          <w:sz w:val="24"/>
          <w:szCs w:val="24"/>
        </w:rPr>
        <w:t xml:space="preserve">. </w:t>
      </w:r>
      <w:r w:rsidRPr="00627929">
        <w:rPr>
          <w:sz w:val="24"/>
          <w:szCs w:val="24"/>
        </w:rPr>
        <w:t xml:space="preserve">Similarly, this module uses teaching strategies such as experiential learning to develop learners and encourages engagement with experience through participation in field trips and guest speakers. Kolb (2014) supports the concept of experiential learning insisting that the use of experience is the foundation to learning and development. However, some argue that experience alone is not enough to instigate learning (Hoyt and McGoldrick, 2012) and that this teaching strategy needs to be supported by other strategies for it to have maximum impact for the learners. This criticism need not apply to the Sustainability Leadership module, however, as experiential learning is only one teaching strategy that is used within the module and is supported by other strategies to embed learning. </w:t>
      </w:r>
    </w:p>
    <w:p w14:paraId="4B2F266D" w14:textId="5819CD3A" w:rsidR="00395F93" w:rsidRPr="00627929" w:rsidRDefault="00395F93" w:rsidP="008E32F7">
      <w:pPr>
        <w:spacing w:line="360" w:lineRule="auto"/>
        <w:jc w:val="both"/>
        <w:rPr>
          <w:sz w:val="24"/>
          <w:szCs w:val="24"/>
          <w:lang w:val="cy-GB"/>
        </w:rPr>
      </w:pPr>
      <w:r w:rsidRPr="00627929">
        <w:rPr>
          <w:sz w:val="24"/>
          <w:szCs w:val="24"/>
        </w:rPr>
        <w:t xml:space="preserve">Humanism also considers motivation as a key factor in the learning experience (Legge and Harari, 2000) whether it be an intrinsic or extrinsic motivational factor. </w:t>
      </w:r>
      <w:r w:rsidR="008E32F7" w:rsidRPr="00627929">
        <w:rPr>
          <w:sz w:val="24"/>
          <w:szCs w:val="24"/>
        </w:rPr>
        <w:t>O’Neill</w:t>
      </w:r>
      <w:r w:rsidRPr="00627929">
        <w:rPr>
          <w:sz w:val="24"/>
          <w:szCs w:val="24"/>
        </w:rPr>
        <w:t xml:space="preserve"> and Demos (</w:t>
      </w:r>
      <w:r w:rsidRPr="00627929">
        <w:rPr>
          <w:sz w:val="24"/>
          <w:szCs w:val="24"/>
          <w:lang w:val="cy-GB"/>
        </w:rPr>
        <w:t>2012) argue that Maslow’s theory of self-actualisation has a vital role to play in humanist principals and in education;</w:t>
      </w:r>
    </w:p>
    <w:p w14:paraId="6AE1F352" w14:textId="77777777" w:rsidR="00395F93" w:rsidRPr="00627929" w:rsidRDefault="00395F93" w:rsidP="008E32F7">
      <w:pPr>
        <w:spacing w:line="360" w:lineRule="auto"/>
        <w:jc w:val="both"/>
        <w:rPr>
          <w:sz w:val="24"/>
          <w:szCs w:val="24"/>
          <w:lang w:val="cy-GB"/>
        </w:rPr>
      </w:pPr>
    </w:p>
    <w:p w14:paraId="794074D1" w14:textId="43644AC2" w:rsidR="00395F93" w:rsidRPr="00627929" w:rsidRDefault="00395F93" w:rsidP="008E32F7">
      <w:pPr>
        <w:spacing w:line="360" w:lineRule="auto"/>
        <w:jc w:val="both"/>
        <w:rPr>
          <w:b/>
          <w:sz w:val="24"/>
          <w:szCs w:val="24"/>
          <w:u w:val="single"/>
          <w:lang w:val="cy-GB"/>
        </w:rPr>
      </w:pPr>
      <w:r w:rsidRPr="00627929">
        <w:rPr>
          <w:b/>
          <w:sz w:val="24"/>
          <w:szCs w:val="24"/>
          <w:u w:val="single"/>
          <w:lang w:val="cy-GB"/>
        </w:rPr>
        <w:t xml:space="preserve">Diagram </w:t>
      </w:r>
      <w:r w:rsidR="00D276B6">
        <w:rPr>
          <w:b/>
          <w:sz w:val="24"/>
          <w:szCs w:val="24"/>
          <w:u w:val="single"/>
          <w:lang w:val="cy-GB"/>
        </w:rPr>
        <w:t>3</w:t>
      </w:r>
      <w:r w:rsidRPr="00627929">
        <w:rPr>
          <w:b/>
          <w:sz w:val="24"/>
          <w:szCs w:val="24"/>
          <w:u w:val="single"/>
          <w:lang w:val="cy-GB"/>
        </w:rPr>
        <w:t>: Maslow’s Theory of Self-Actualisation</w:t>
      </w:r>
    </w:p>
    <w:p w14:paraId="38CE62A6" w14:textId="77777777" w:rsidR="00395F93" w:rsidRPr="00627929" w:rsidRDefault="00395F93" w:rsidP="008E32F7">
      <w:pPr>
        <w:spacing w:line="360" w:lineRule="auto"/>
        <w:jc w:val="both"/>
        <w:rPr>
          <w:b/>
          <w:sz w:val="24"/>
          <w:szCs w:val="24"/>
          <w:u w:val="single"/>
          <w:lang w:val="cy-GB"/>
        </w:rPr>
      </w:pPr>
    </w:p>
    <w:p w14:paraId="60AB435C" w14:textId="77777777" w:rsidR="00395F93" w:rsidRPr="00627929" w:rsidRDefault="00395F93" w:rsidP="008E32F7">
      <w:pPr>
        <w:spacing w:line="360" w:lineRule="auto"/>
        <w:jc w:val="both"/>
        <w:rPr>
          <w:b/>
          <w:sz w:val="24"/>
          <w:szCs w:val="24"/>
          <w:u w:val="single"/>
          <w:lang w:val="cy-GB"/>
        </w:rPr>
      </w:pPr>
      <w:r w:rsidRPr="00627929">
        <w:rPr>
          <w:b/>
          <w:noProof/>
          <w:sz w:val="24"/>
          <w:szCs w:val="24"/>
          <w:u w:val="single"/>
          <w:lang w:eastAsia="en-GB"/>
        </w:rPr>
        <w:drawing>
          <wp:inline distT="0" distB="0" distL="0" distR="0" wp14:anchorId="61D433D6" wp14:editId="24D574C2">
            <wp:extent cx="4483735" cy="33630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slow.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90044" cy="3367782"/>
                    </a:xfrm>
                    <a:prstGeom prst="rect">
                      <a:avLst/>
                    </a:prstGeom>
                  </pic:spPr>
                </pic:pic>
              </a:graphicData>
            </a:graphic>
          </wp:inline>
        </w:drawing>
      </w:r>
    </w:p>
    <w:p w14:paraId="2543FE16" w14:textId="77777777" w:rsidR="00395F93" w:rsidRPr="00627929" w:rsidRDefault="00395F93" w:rsidP="008E32F7">
      <w:pPr>
        <w:spacing w:line="360" w:lineRule="auto"/>
        <w:jc w:val="both"/>
        <w:rPr>
          <w:sz w:val="24"/>
          <w:szCs w:val="24"/>
        </w:rPr>
      </w:pPr>
    </w:p>
    <w:p w14:paraId="3C77476B" w14:textId="77777777" w:rsidR="00395F93" w:rsidRPr="00627929" w:rsidRDefault="00395F93" w:rsidP="008E32F7">
      <w:pPr>
        <w:spacing w:line="360" w:lineRule="auto"/>
        <w:jc w:val="both"/>
        <w:rPr>
          <w:sz w:val="24"/>
          <w:szCs w:val="24"/>
        </w:rPr>
      </w:pPr>
      <w:r w:rsidRPr="00627929">
        <w:rPr>
          <w:sz w:val="24"/>
          <w:szCs w:val="24"/>
        </w:rPr>
        <w:t>(Maslow, 1943)</w:t>
      </w:r>
    </w:p>
    <w:p w14:paraId="46FB9AE7" w14:textId="77777777" w:rsidR="00395F93" w:rsidRPr="00627929" w:rsidRDefault="00395F93" w:rsidP="008E32F7">
      <w:pPr>
        <w:spacing w:line="360" w:lineRule="auto"/>
        <w:jc w:val="both"/>
        <w:rPr>
          <w:sz w:val="24"/>
          <w:szCs w:val="24"/>
        </w:rPr>
      </w:pPr>
    </w:p>
    <w:p w14:paraId="3D727140" w14:textId="77777777" w:rsidR="00395F93" w:rsidRPr="00627929" w:rsidRDefault="00395F93" w:rsidP="008E32F7">
      <w:pPr>
        <w:spacing w:line="360" w:lineRule="auto"/>
        <w:jc w:val="both"/>
        <w:rPr>
          <w:sz w:val="24"/>
          <w:szCs w:val="24"/>
        </w:rPr>
      </w:pPr>
      <w:r w:rsidRPr="00627929">
        <w:rPr>
          <w:sz w:val="24"/>
          <w:szCs w:val="24"/>
        </w:rPr>
        <w:t xml:space="preserve">When applying Maslow’s theory to the teaching strategies within Sustainability Leadership, the activities within attempt to instigate motivations which climb the pyramid. For example, group work and collaborative learning helps to increase confidence and respect of and by others thus challenging the Esteem level of the pyramid. </w:t>
      </w:r>
    </w:p>
    <w:p w14:paraId="6A6F7C37" w14:textId="77777777" w:rsidR="00395F93" w:rsidRPr="00627929" w:rsidRDefault="00395F93" w:rsidP="008E32F7">
      <w:pPr>
        <w:spacing w:line="360" w:lineRule="auto"/>
        <w:jc w:val="both"/>
        <w:rPr>
          <w:sz w:val="24"/>
          <w:szCs w:val="24"/>
        </w:rPr>
      </w:pPr>
    </w:p>
    <w:p w14:paraId="51FD2D42" w14:textId="77777777" w:rsidR="00395F93" w:rsidRPr="00627929" w:rsidRDefault="00395F93" w:rsidP="008E32F7">
      <w:pPr>
        <w:spacing w:line="360" w:lineRule="auto"/>
        <w:jc w:val="both"/>
        <w:rPr>
          <w:sz w:val="24"/>
          <w:szCs w:val="24"/>
          <w:lang w:val="cy-GB"/>
        </w:rPr>
      </w:pPr>
      <w:r w:rsidRPr="00627929">
        <w:rPr>
          <w:sz w:val="24"/>
          <w:szCs w:val="24"/>
        </w:rPr>
        <w:t xml:space="preserve">Ultimately, the teaching and learning strategies that are designed alongside this module have one ultimate goal which stands out over all of the other objectives. The belief that learners need to learn </w:t>
      </w:r>
      <w:r w:rsidRPr="00627929">
        <w:rPr>
          <w:i/>
          <w:sz w:val="24"/>
          <w:szCs w:val="24"/>
        </w:rPr>
        <w:t xml:space="preserve">how </w:t>
      </w:r>
      <w:r w:rsidRPr="00627929">
        <w:rPr>
          <w:sz w:val="24"/>
          <w:szCs w:val="24"/>
        </w:rPr>
        <w:t xml:space="preserve">to learn. If students are ‘spoon-fed’ information without discovering the answer themselves through investigation, research, problem solving and collaboration, then as facilitators to their learning we are not equipping them as effective learners. The fact that we are not giving them the tools to learn beckons and the learners will consequently not be able to further their learning if the environment is changed. Learners who have been spoon fed information will be incompetent in learning if the ‘teacher’ figure is taken away. Whereas learners who learn </w:t>
      </w:r>
      <w:r w:rsidRPr="00627929">
        <w:rPr>
          <w:i/>
          <w:sz w:val="24"/>
          <w:szCs w:val="24"/>
        </w:rPr>
        <w:t>how</w:t>
      </w:r>
      <w:r w:rsidRPr="00627929">
        <w:rPr>
          <w:sz w:val="24"/>
          <w:szCs w:val="24"/>
        </w:rPr>
        <w:t xml:space="preserve"> to learn will have the ability and skills to continue learning post Higher Education, a suggestion supported by Kiewra and Dubois (1998), Cash (2016) and Powell and Powell (2011). </w:t>
      </w:r>
    </w:p>
    <w:p w14:paraId="78BE30AA" w14:textId="77777777" w:rsidR="00395F93" w:rsidRPr="00627929" w:rsidRDefault="00395F93" w:rsidP="008E32F7">
      <w:pPr>
        <w:spacing w:line="360" w:lineRule="auto"/>
        <w:jc w:val="both"/>
        <w:rPr>
          <w:b/>
          <w:sz w:val="24"/>
          <w:szCs w:val="24"/>
          <w:u w:val="single"/>
        </w:rPr>
      </w:pPr>
    </w:p>
    <w:p w14:paraId="335DD4FB" w14:textId="77777777" w:rsidR="00395F93" w:rsidRPr="00627929" w:rsidRDefault="00395F93" w:rsidP="008E32F7">
      <w:pPr>
        <w:spacing w:line="360" w:lineRule="auto"/>
        <w:jc w:val="both"/>
        <w:rPr>
          <w:sz w:val="24"/>
          <w:szCs w:val="24"/>
        </w:rPr>
      </w:pPr>
    </w:p>
    <w:p w14:paraId="31C07854" w14:textId="77777777" w:rsidR="00395F93" w:rsidRPr="00627929" w:rsidRDefault="00395F93" w:rsidP="008E32F7">
      <w:pPr>
        <w:spacing w:line="360" w:lineRule="auto"/>
        <w:jc w:val="both"/>
        <w:rPr>
          <w:b/>
          <w:sz w:val="24"/>
          <w:szCs w:val="24"/>
          <w:u w:val="single"/>
        </w:rPr>
      </w:pPr>
      <w:r w:rsidRPr="00627929">
        <w:rPr>
          <w:b/>
          <w:sz w:val="24"/>
          <w:szCs w:val="24"/>
          <w:u w:val="single"/>
        </w:rPr>
        <w:t>Assessment Strategies</w:t>
      </w:r>
    </w:p>
    <w:p w14:paraId="3FD4EB82" w14:textId="77777777" w:rsidR="00395F93" w:rsidRPr="00627929" w:rsidRDefault="00395F93" w:rsidP="008E32F7">
      <w:pPr>
        <w:spacing w:line="360" w:lineRule="auto"/>
        <w:jc w:val="both"/>
        <w:rPr>
          <w:sz w:val="24"/>
          <w:szCs w:val="24"/>
        </w:rPr>
      </w:pPr>
      <w:r w:rsidRPr="00627929">
        <w:rPr>
          <w:sz w:val="24"/>
          <w:szCs w:val="24"/>
        </w:rPr>
        <w:t xml:space="preserve">Similarly to the teaching and learning strategies, the assessment strategies designed for the module resonate with constructivism and humanism. However, the assessment strategies are also linked to Cognitivism as the strategies aim to promote and develop an effective learning culture. </w:t>
      </w:r>
    </w:p>
    <w:p w14:paraId="665BAE85" w14:textId="1D44884C" w:rsidR="00395F93" w:rsidRPr="00627929" w:rsidRDefault="00395F93" w:rsidP="008E32F7">
      <w:pPr>
        <w:spacing w:line="360" w:lineRule="auto"/>
        <w:jc w:val="both"/>
        <w:rPr>
          <w:sz w:val="24"/>
          <w:szCs w:val="24"/>
        </w:rPr>
      </w:pPr>
      <w:r w:rsidRPr="00627929">
        <w:rPr>
          <w:sz w:val="24"/>
          <w:szCs w:val="24"/>
        </w:rPr>
        <w:t xml:space="preserve">Formative assessment strategies within the Sustainability Leadership module include a number of activities such as </w:t>
      </w:r>
      <w:r w:rsidR="008E32F7" w:rsidRPr="00627929">
        <w:rPr>
          <w:sz w:val="24"/>
          <w:szCs w:val="24"/>
        </w:rPr>
        <w:t>high-level</w:t>
      </w:r>
      <w:r w:rsidRPr="00627929">
        <w:rPr>
          <w:sz w:val="24"/>
          <w:szCs w:val="24"/>
        </w:rPr>
        <w:t xml:space="preserve"> questioning to assess understanding, revision of Learning Objectives, review of the weekly reflective Blog/Vlog and an adaptation of the 3-2-1 countdown (Watanabe-</w:t>
      </w:r>
      <w:r w:rsidR="008E32F7" w:rsidRPr="00627929">
        <w:rPr>
          <w:sz w:val="24"/>
          <w:szCs w:val="24"/>
        </w:rPr>
        <w:t>Crockett</w:t>
      </w:r>
      <w:r w:rsidRPr="00627929">
        <w:rPr>
          <w:sz w:val="24"/>
          <w:szCs w:val="24"/>
        </w:rPr>
        <w:t xml:space="preserve">, 2016). </w:t>
      </w:r>
    </w:p>
    <w:p w14:paraId="66430B6A" w14:textId="77777777" w:rsidR="00395F93" w:rsidRPr="00627929" w:rsidRDefault="00395F93" w:rsidP="008E32F7">
      <w:pPr>
        <w:spacing w:line="360" w:lineRule="auto"/>
        <w:jc w:val="both"/>
        <w:rPr>
          <w:sz w:val="24"/>
          <w:szCs w:val="24"/>
        </w:rPr>
      </w:pPr>
      <w:r w:rsidRPr="00627929">
        <w:rPr>
          <w:sz w:val="24"/>
          <w:szCs w:val="24"/>
        </w:rPr>
        <w:t>The first half of these formative assessment methods could be regarded as cognitivist in nature as they enhance a learning culture by encouraging learners to build resilience and provide transferable learning skills (Piaget, 1936). Although guided through facilitation and assessed by the facilitator, the learners will be encouraged to build resourcefulness, reflectiveness and relatedness; another familiarisation with the cognitive movement (Waring and Evans, 2014).</w:t>
      </w:r>
    </w:p>
    <w:p w14:paraId="3519DF50" w14:textId="11997EDB" w:rsidR="00395F93" w:rsidRPr="00627929" w:rsidRDefault="00395F93" w:rsidP="008E32F7">
      <w:pPr>
        <w:spacing w:line="360" w:lineRule="auto"/>
        <w:jc w:val="both"/>
        <w:rPr>
          <w:sz w:val="24"/>
          <w:szCs w:val="24"/>
          <w:lang w:val="cy-GB"/>
        </w:rPr>
      </w:pPr>
      <w:r w:rsidRPr="00627929">
        <w:rPr>
          <w:sz w:val="24"/>
          <w:szCs w:val="24"/>
        </w:rPr>
        <w:t xml:space="preserve">Two elements of the formative assessment (the weekly reflective blog/vlog and the adaptation of the 3-2-1 countdown) are more closely linked to Humanism theory. The principles of humanism signify opportunity to reflect and evaluate whilst appreciating the importance of feelings. This is closely linked to the weekly reflective blog/vlog where students are asked to complete this as a reflection of the weeks’ activities in Sustainability Leadership. It can also be applied to the 3-2-1 countdown which urges students to offer one piece of information or idea that they would like to take forward.  It is argued that minimal formative assessment techniques are insufficient and that a variety of strategies need to be utilised </w:t>
      </w:r>
      <w:r w:rsidR="008E32F7" w:rsidRPr="00627929">
        <w:rPr>
          <w:sz w:val="24"/>
          <w:szCs w:val="24"/>
        </w:rPr>
        <w:t>to</w:t>
      </w:r>
      <w:r w:rsidRPr="00627929">
        <w:rPr>
          <w:sz w:val="24"/>
          <w:szCs w:val="24"/>
        </w:rPr>
        <w:t xml:space="preserve"> assess successfully (</w:t>
      </w:r>
      <w:r w:rsidRPr="00627929">
        <w:rPr>
          <w:sz w:val="24"/>
          <w:szCs w:val="24"/>
          <w:lang w:val="cy-GB"/>
        </w:rPr>
        <w:t xml:space="preserve">McMillan, 2012). Interestingly, though, Himmele and Himmele (2011) insist that the variety of formative assessment strategies is not as important as what is done with the findings. To ensure accurate assessment of learners, the strategies need to be followed up and acted upon which in itself enhances learning and creates an effective learning environment. </w:t>
      </w:r>
    </w:p>
    <w:p w14:paraId="3C98D8EE" w14:textId="77777777" w:rsidR="00395F93" w:rsidRPr="00627929" w:rsidRDefault="00395F93" w:rsidP="008E32F7">
      <w:pPr>
        <w:spacing w:line="360" w:lineRule="auto"/>
        <w:jc w:val="both"/>
        <w:rPr>
          <w:sz w:val="24"/>
          <w:szCs w:val="24"/>
        </w:rPr>
      </w:pPr>
      <w:r w:rsidRPr="00627929">
        <w:rPr>
          <w:sz w:val="24"/>
          <w:szCs w:val="24"/>
        </w:rPr>
        <w:t>There are two elements to the Summative assessment strategies within the Sustainability Leadership module; A Critical reflection and an academic critique of a sustainability Leader. Similarly to the formative assessment strategies, these summative techniques encourage self-reflection and a gradual development in learning tools and skills. Learners are asked to reflect upon the weekly sessions and their views on the information identified by Blogging or Vlogging which will then be reviewed by the facilitator. As with both elements of the summative assessment, learners are given an element of self-direction and independence (a key principal within humanism) as they are in control of what they want to discuss and how they want to discuss it. The second summative assessment asks learners to use their own tool (designed in a previous lesson) to discover and then academically critique a sustainability leader. This process also echoes the humanist approach of experiential learning which encourages the engagement with an experience. It could be argued that Humanism within business is vital (Bernard and Huckins, 1974) (Lupton and Pirson, 2014) as it incorporates a set of values and critical thinking skills that are essential for the world of business.</w:t>
      </w:r>
    </w:p>
    <w:p w14:paraId="4EC6E645" w14:textId="77777777" w:rsidR="00395F93" w:rsidRPr="00627929" w:rsidRDefault="00395F93" w:rsidP="008E32F7">
      <w:pPr>
        <w:spacing w:line="360" w:lineRule="auto"/>
        <w:jc w:val="both"/>
        <w:rPr>
          <w:sz w:val="24"/>
          <w:szCs w:val="24"/>
        </w:rPr>
      </w:pPr>
    </w:p>
    <w:p w14:paraId="3F7CCDAB" w14:textId="77777777" w:rsidR="00395F93" w:rsidRPr="00627929" w:rsidRDefault="00395F93" w:rsidP="008E32F7">
      <w:pPr>
        <w:spacing w:line="360" w:lineRule="auto"/>
        <w:jc w:val="both"/>
        <w:rPr>
          <w:sz w:val="24"/>
          <w:szCs w:val="24"/>
        </w:rPr>
      </w:pPr>
      <w:r w:rsidRPr="00627929">
        <w:rPr>
          <w:sz w:val="24"/>
          <w:szCs w:val="24"/>
        </w:rPr>
        <w:t xml:space="preserve">In conclusion, both the teaching and learning strategies and the assessment strategies within the Sustainability Leadership familiarise with a number of key theorists within education. Although there are criticisms of all learning theories, the importance of having the links to these are advantageous as they offer a solid grounding to all strategies. Furthermore, a blended approach that incorporates numerous theories can draw benefit from each of them (Orlich </w:t>
      </w:r>
      <w:r w:rsidRPr="00627929">
        <w:rPr>
          <w:i/>
          <w:sz w:val="24"/>
          <w:szCs w:val="24"/>
        </w:rPr>
        <w:t xml:space="preserve">et al, </w:t>
      </w:r>
      <w:r w:rsidRPr="00627929">
        <w:rPr>
          <w:sz w:val="24"/>
          <w:szCs w:val="24"/>
        </w:rPr>
        <w:t>2016) and offer even more advantage to the learner.</w:t>
      </w:r>
    </w:p>
    <w:p w14:paraId="31EAE27A" w14:textId="77777777" w:rsidR="00395F93" w:rsidRPr="00627929" w:rsidRDefault="00395F93" w:rsidP="008E32F7">
      <w:pPr>
        <w:spacing w:line="360" w:lineRule="auto"/>
        <w:jc w:val="both"/>
        <w:rPr>
          <w:b/>
          <w:sz w:val="24"/>
          <w:szCs w:val="24"/>
          <w:u w:val="single"/>
        </w:rPr>
      </w:pPr>
    </w:p>
    <w:p w14:paraId="1AFF357E" w14:textId="77777777" w:rsidR="00395F93" w:rsidRPr="00627929" w:rsidRDefault="00395F93" w:rsidP="008E32F7">
      <w:pPr>
        <w:pStyle w:val="ListParagraph"/>
        <w:spacing w:line="360" w:lineRule="auto"/>
        <w:jc w:val="both"/>
        <w:rPr>
          <w:b/>
          <w:sz w:val="24"/>
          <w:szCs w:val="24"/>
          <w:u w:val="single"/>
        </w:rPr>
      </w:pPr>
    </w:p>
    <w:p w14:paraId="223502D0" w14:textId="77777777" w:rsidR="00395F93" w:rsidRPr="00627929" w:rsidRDefault="00395F93" w:rsidP="008E32F7">
      <w:pPr>
        <w:spacing w:line="360" w:lineRule="auto"/>
        <w:jc w:val="both"/>
        <w:rPr>
          <w:sz w:val="24"/>
          <w:szCs w:val="24"/>
        </w:rPr>
      </w:pPr>
    </w:p>
    <w:p w14:paraId="4C2DF256" w14:textId="77777777" w:rsidR="001C2C75" w:rsidRDefault="00FB27EA" w:rsidP="001C2C75">
      <w:pPr>
        <w:pStyle w:val="Heading1"/>
        <w:spacing w:line="360" w:lineRule="auto"/>
        <w:jc w:val="both"/>
        <w:rPr>
          <w:sz w:val="24"/>
          <w:szCs w:val="24"/>
        </w:rPr>
      </w:pPr>
      <w:bookmarkStart w:id="31" w:name="_Toc506548500"/>
      <w:r w:rsidRPr="00627929">
        <w:rPr>
          <w:sz w:val="24"/>
          <w:szCs w:val="24"/>
        </w:rPr>
        <w:t>Referen</w:t>
      </w:r>
      <w:bookmarkStart w:id="32" w:name="_Hlk505770748"/>
      <w:r w:rsidR="001C2C75">
        <w:rPr>
          <w:sz w:val="24"/>
          <w:szCs w:val="24"/>
        </w:rPr>
        <w:t>ces</w:t>
      </w:r>
      <w:bookmarkEnd w:id="31"/>
    </w:p>
    <w:p w14:paraId="7C959816" w14:textId="11F871EA" w:rsidR="0007318E" w:rsidRPr="0007318E" w:rsidRDefault="001C2C75" w:rsidP="00AA1B72">
      <w:pPr>
        <w:rPr>
          <w:rFonts w:ascii="Times New Roman" w:hAnsi="Times New Roman" w:cs="Times New Roman"/>
          <w:sz w:val="24"/>
          <w:szCs w:val="24"/>
        </w:rPr>
      </w:pPr>
      <w:r w:rsidRPr="005D0971">
        <w:rPr>
          <w:rFonts w:ascii="Times New Roman" w:hAnsi="Times New Roman" w:cs="Times New Roman"/>
          <w:sz w:val="24"/>
          <w:szCs w:val="24"/>
        </w:rPr>
        <w:t xml:space="preserve">Agarwal, R. (2010) </w:t>
      </w:r>
      <w:r w:rsidRPr="005D0971">
        <w:rPr>
          <w:rFonts w:ascii="Times New Roman" w:hAnsi="Times New Roman" w:cs="Times New Roman"/>
          <w:i/>
          <w:sz w:val="24"/>
          <w:szCs w:val="24"/>
        </w:rPr>
        <w:t xml:space="preserve">Cooperative Learning. </w:t>
      </w:r>
      <w:r w:rsidRPr="005D0971">
        <w:rPr>
          <w:rFonts w:ascii="Times New Roman" w:hAnsi="Times New Roman" w:cs="Times New Roman"/>
          <w:sz w:val="24"/>
          <w:szCs w:val="24"/>
        </w:rPr>
        <w:t>Delhi: Gyan Publishing House.</w:t>
      </w:r>
    </w:p>
    <w:p w14:paraId="3D0F81BD" w14:textId="16F103BC" w:rsidR="00BE244F"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Avery, G. and Bergsteiner, H. (2011) </w:t>
      </w:r>
      <w:r w:rsidRPr="00F71822">
        <w:rPr>
          <w:rFonts w:ascii="Times New Roman" w:eastAsia="Calibri" w:hAnsi="Times New Roman" w:cs="Times New Roman"/>
          <w:i/>
          <w:sz w:val="24"/>
          <w:szCs w:val="24"/>
        </w:rPr>
        <w:t xml:space="preserve">Sustainable Leadership: Honeybee and Locust Approaches. </w:t>
      </w:r>
      <w:r w:rsidRPr="00F71822">
        <w:rPr>
          <w:rFonts w:ascii="Times New Roman" w:eastAsia="Calibri" w:hAnsi="Times New Roman" w:cs="Times New Roman"/>
          <w:sz w:val="24"/>
          <w:szCs w:val="24"/>
        </w:rPr>
        <w:t>Abingdon: Routledge.</w:t>
      </w:r>
    </w:p>
    <w:p w14:paraId="3B497832"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Bergmann, J. and Sams, A. (2014) </w:t>
      </w:r>
      <w:r w:rsidRPr="005D0971">
        <w:rPr>
          <w:rFonts w:ascii="Times New Roman" w:hAnsi="Times New Roman" w:cs="Times New Roman"/>
          <w:i/>
          <w:sz w:val="24"/>
          <w:szCs w:val="24"/>
        </w:rPr>
        <w:t xml:space="preserve">Flipped Learning: Gateway to Student Engagement. </w:t>
      </w:r>
      <w:r w:rsidRPr="005D0971">
        <w:rPr>
          <w:rFonts w:ascii="Times New Roman" w:hAnsi="Times New Roman" w:cs="Times New Roman"/>
          <w:sz w:val="24"/>
          <w:szCs w:val="24"/>
        </w:rPr>
        <w:t>Canada: International Society for Technology in Education.</w:t>
      </w:r>
    </w:p>
    <w:p w14:paraId="0C94F38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Bernard, H. and Huckins, W. (1974) </w:t>
      </w:r>
      <w:r w:rsidRPr="005D0971">
        <w:rPr>
          <w:rFonts w:ascii="Times New Roman" w:hAnsi="Times New Roman" w:cs="Times New Roman"/>
          <w:i/>
          <w:sz w:val="24"/>
          <w:szCs w:val="24"/>
        </w:rPr>
        <w:t xml:space="preserve">Humanism in the classroom: an eclectic approach to teaching and learning. </w:t>
      </w:r>
      <w:r w:rsidRPr="005D0971">
        <w:rPr>
          <w:rFonts w:ascii="Times New Roman" w:hAnsi="Times New Roman" w:cs="Times New Roman"/>
          <w:sz w:val="24"/>
          <w:szCs w:val="24"/>
        </w:rPr>
        <w:t>Boston: Allyn and Bacon.</w:t>
      </w:r>
    </w:p>
    <w:p w14:paraId="494F41F5"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Bhattacharya, A. and Chauhan, K. (2010) ‘Augmenting Learner Autonomy through Blogging,’ </w:t>
      </w:r>
      <w:r w:rsidRPr="005D0971">
        <w:rPr>
          <w:rFonts w:ascii="Times New Roman" w:hAnsi="Times New Roman" w:cs="Times New Roman"/>
          <w:i/>
          <w:sz w:val="24"/>
          <w:szCs w:val="24"/>
        </w:rPr>
        <w:t xml:space="preserve">ELT Journal. </w:t>
      </w:r>
      <w:r w:rsidRPr="005D0971">
        <w:rPr>
          <w:rFonts w:ascii="Times New Roman" w:hAnsi="Times New Roman" w:cs="Times New Roman"/>
          <w:sz w:val="24"/>
          <w:szCs w:val="24"/>
        </w:rPr>
        <w:t>64, 4, pp. 376-384.</w:t>
      </w:r>
    </w:p>
    <w:p w14:paraId="00A22B86"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Biggs, J. (2011) </w:t>
      </w:r>
      <w:r w:rsidRPr="005D0971">
        <w:rPr>
          <w:rFonts w:ascii="Times New Roman" w:hAnsi="Times New Roman" w:cs="Times New Roman"/>
          <w:i/>
          <w:sz w:val="24"/>
          <w:szCs w:val="24"/>
        </w:rPr>
        <w:t xml:space="preserve">Teaching for Quality Learning at University: What the Student Does. </w:t>
      </w:r>
      <w:r w:rsidRPr="005D0971">
        <w:rPr>
          <w:rFonts w:ascii="Times New Roman" w:hAnsi="Times New Roman" w:cs="Times New Roman"/>
          <w:sz w:val="24"/>
          <w:szCs w:val="24"/>
        </w:rPr>
        <w:t xml:space="preserve">Berkshire: McGraw-Hill Education. </w:t>
      </w:r>
    </w:p>
    <w:p w14:paraId="686C6D26"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Bowler, J., Annan, J. and Mentis, M. (2007). ‘Understanding the learner-environment relationship: A matrix of perspectives’, </w:t>
      </w:r>
      <w:r w:rsidRPr="005D0971">
        <w:rPr>
          <w:rFonts w:ascii="Times New Roman" w:hAnsi="Times New Roman" w:cs="Times New Roman"/>
          <w:i/>
          <w:sz w:val="24"/>
          <w:szCs w:val="24"/>
        </w:rPr>
        <w:t>School Psychology International</w:t>
      </w:r>
      <w:r w:rsidRPr="005D0971">
        <w:rPr>
          <w:rFonts w:ascii="Times New Roman" w:hAnsi="Times New Roman" w:cs="Times New Roman"/>
          <w:sz w:val="24"/>
          <w:szCs w:val="24"/>
        </w:rPr>
        <w:t>, 28, 387–401.</w:t>
      </w:r>
    </w:p>
    <w:p w14:paraId="22A430DC"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Cash, R. (2016) </w:t>
      </w:r>
      <w:r w:rsidRPr="005D0971">
        <w:rPr>
          <w:rFonts w:ascii="Times New Roman" w:hAnsi="Times New Roman" w:cs="Times New Roman"/>
          <w:i/>
          <w:sz w:val="24"/>
          <w:szCs w:val="24"/>
        </w:rPr>
        <w:t xml:space="preserve">Self-Regulation in the Classroom: Helping Students Learn How to Learn. </w:t>
      </w:r>
      <w:r w:rsidRPr="005D0971">
        <w:rPr>
          <w:rFonts w:ascii="Times New Roman" w:hAnsi="Times New Roman" w:cs="Times New Roman"/>
          <w:sz w:val="24"/>
          <w:szCs w:val="24"/>
        </w:rPr>
        <w:t>Golden Valley: Free Spirit Publishing.</w:t>
      </w:r>
    </w:p>
    <w:p w14:paraId="0FF33600"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Clarke, S. (2016) ‘Moving from best practice to next practice: some deliberations on educational leadership.’ </w:t>
      </w:r>
      <w:r w:rsidRPr="00F71822">
        <w:rPr>
          <w:rFonts w:ascii="Times New Roman" w:eastAsia="Calibri" w:hAnsi="Times New Roman" w:cs="Times New Roman"/>
          <w:i/>
          <w:sz w:val="24"/>
          <w:szCs w:val="24"/>
        </w:rPr>
        <w:t xml:space="preserve">School Leadership and Management. </w:t>
      </w:r>
      <w:r w:rsidRPr="00F71822">
        <w:rPr>
          <w:rFonts w:ascii="Times New Roman" w:eastAsia="Calibri" w:hAnsi="Times New Roman" w:cs="Times New Roman"/>
          <w:sz w:val="24"/>
          <w:szCs w:val="24"/>
        </w:rPr>
        <w:t>36, 3, pp. 353-363.</w:t>
      </w:r>
    </w:p>
    <w:p w14:paraId="006B5BD2"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Coffman, T. (</w:t>
      </w:r>
      <w:r w:rsidRPr="005D0971">
        <w:rPr>
          <w:rFonts w:ascii="Times New Roman" w:hAnsi="Times New Roman" w:cs="Times New Roman"/>
          <w:sz w:val="24"/>
          <w:szCs w:val="24"/>
          <w:lang w:val="cy-GB"/>
        </w:rPr>
        <w:t>2017</w:t>
      </w:r>
      <w:r w:rsidRPr="005D0971">
        <w:rPr>
          <w:rFonts w:ascii="Times New Roman" w:hAnsi="Times New Roman" w:cs="Times New Roman"/>
          <w:i/>
          <w:sz w:val="24"/>
          <w:szCs w:val="24"/>
          <w:lang w:val="cy-GB"/>
        </w:rPr>
        <w:t xml:space="preserve">) Inquiry-Based Learning: Designing Instruction to Promote Higher Level Thinking. </w:t>
      </w:r>
      <w:r w:rsidRPr="005D0971">
        <w:rPr>
          <w:rFonts w:ascii="Times New Roman" w:hAnsi="Times New Roman" w:cs="Times New Roman"/>
          <w:sz w:val="24"/>
          <w:szCs w:val="24"/>
          <w:lang w:val="cy-GB"/>
        </w:rPr>
        <w:t>London: Rowman and Littlefield.</w:t>
      </w:r>
    </w:p>
    <w:p w14:paraId="31AE3525"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Crawford, A. (2005) </w:t>
      </w:r>
      <w:r w:rsidRPr="005D0971">
        <w:rPr>
          <w:rFonts w:ascii="Times New Roman" w:hAnsi="Times New Roman" w:cs="Times New Roman"/>
          <w:i/>
          <w:sz w:val="24"/>
          <w:szCs w:val="24"/>
        </w:rPr>
        <w:t xml:space="preserve">Teaching and Learning Strategies for the Thinking Classroom. </w:t>
      </w:r>
      <w:r w:rsidRPr="005D0971">
        <w:rPr>
          <w:rFonts w:ascii="Times New Roman" w:hAnsi="Times New Roman" w:cs="Times New Roman"/>
          <w:sz w:val="24"/>
          <w:szCs w:val="24"/>
        </w:rPr>
        <w:t>New York: IDEA.</w:t>
      </w:r>
    </w:p>
    <w:bookmarkEnd w:id="32"/>
    <w:p w14:paraId="0339AC94"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Deardorff, D. (2011) ‘News from the Peak.’ Available at: </w:t>
      </w:r>
      <w:hyperlink r:id="rId8" w:history="1">
        <w:r w:rsidRPr="005D0971">
          <w:rPr>
            <w:rFonts w:ascii="Times New Roman" w:eastAsia="Calibri" w:hAnsi="Times New Roman" w:cs="Times New Roman"/>
            <w:color w:val="0563C1"/>
            <w:sz w:val="24"/>
            <w:szCs w:val="24"/>
            <w:u w:val="single"/>
          </w:rPr>
          <w:t>http://www.rockypeaklc.com/newsletter4.html</w:t>
        </w:r>
      </w:hyperlink>
      <w:r w:rsidRPr="00F71822">
        <w:rPr>
          <w:rFonts w:ascii="Times New Roman" w:eastAsia="Calibri" w:hAnsi="Times New Roman" w:cs="Times New Roman"/>
          <w:sz w:val="24"/>
          <w:szCs w:val="24"/>
        </w:rPr>
        <w:t xml:space="preserve"> [Accessed: 6</w:t>
      </w:r>
      <w:r w:rsidRPr="00F71822">
        <w:rPr>
          <w:rFonts w:ascii="Times New Roman" w:eastAsia="Calibri" w:hAnsi="Times New Roman" w:cs="Times New Roman"/>
          <w:sz w:val="24"/>
          <w:szCs w:val="24"/>
          <w:vertAlign w:val="superscript"/>
        </w:rPr>
        <w:t>th</w:t>
      </w:r>
      <w:r w:rsidRPr="00F71822">
        <w:rPr>
          <w:rFonts w:ascii="Times New Roman" w:eastAsia="Calibri" w:hAnsi="Times New Roman" w:cs="Times New Roman"/>
          <w:sz w:val="24"/>
          <w:szCs w:val="24"/>
        </w:rPr>
        <w:t xml:space="preserve"> February 2018]. </w:t>
      </w:r>
    </w:p>
    <w:p w14:paraId="569E6A7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DiSalvo, B., Yip, J., Bonsignore, E. and DiSalvo, C. (2017) </w:t>
      </w:r>
      <w:r w:rsidRPr="005D0971">
        <w:rPr>
          <w:rFonts w:ascii="Times New Roman" w:hAnsi="Times New Roman" w:cs="Times New Roman"/>
          <w:i/>
          <w:sz w:val="24"/>
          <w:szCs w:val="24"/>
        </w:rPr>
        <w:t xml:space="preserve">Participatory Design for Learning: Perspectives from Practice and Research. </w:t>
      </w:r>
      <w:r w:rsidRPr="005D0971">
        <w:rPr>
          <w:rFonts w:ascii="Times New Roman" w:hAnsi="Times New Roman" w:cs="Times New Roman"/>
          <w:sz w:val="24"/>
          <w:szCs w:val="24"/>
        </w:rPr>
        <w:t xml:space="preserve">New York: Routledge. </w:t>
      </w:r>
    </w:p>
    <w:p w14:paraId="16673E60"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Dyer, G. and Dyer, M. (2017) ‘Strategic leadership for sustainability by higher education: the American College &amp; University Presidents' Climate Commitment,’ </w:t>
      </w:r>
      <w:r w:rsidRPr="005D0971">
        <w:rPr>
          <w:rFonts w:ascii="Times New Roman" w:hAnsi="Times New Roman" w:cs="Times New Roman"/>
          <w:i/>
          <w:sz w:val="24"/>
          <w:szCs w:val="24"/>
        </w:rPr>
        <w:t xml:space="preserve">Journal of Cleaner Production. </w:t>
      </w:r>
      <w:r w:rsidRPr="005D0971">
        <w:rPr>
          <w:rFonts w:ascii="Times New Roman" w:hAnsi="Times New Roman" w:cs="Times New Roman"/>
          <w:sz w:val="24"/>
          <w:szCs w:val="24"/>
        </w:rPr>
        <w:t>140, 1, pp. 111-116.</w:t>
      </w:r>
    </w:p>
    <w:p w14:paraId="11D0A139"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Dyllick, T. and Muff, K. (2016) ‘Clarifying the Meaning of Sustainable Business: Introducing a Typology From Business-as-Usual to True Business Sustainability.’ </w:t>
      </w:r>
      <w:r w:rsidRPr="00F71822">
        <w:rPr>
          <w:rFonts w:ascii="Times New Roman" w:eastAsia="Calibri" w:hAnsi="Times New Roman" w:cs="Times New Roman"/>
          <w:i/>
          <w:sz w:val="24"/>
          <w:szCs w:val="24"/>
        </w:rPr>
        <w:t xml:space="preserve">Organisation and Environment. </w:t>
      </w:r>
      <w:r w:rsidRPr="00F71822">
        <w:rPr>
          <w:rFonts w:ascii="Times New Roman" w:eastAsia="Calibri" w:hAnsi="Times New Roman" w:cs="Times New Roman"/>
          <w:sz w:val="24"/>
          <w:szCs w:val="24"/>
        </w:rPr>
        <w:t>29, 2, pp. 156-174.</w:t>
      </w:r>
    </w:p>
    <w:p w14:paraId="0BC5D1F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Edwards, R., Hanson, A. and Thorpe, M. (2013) </w:t>
      </w:r>
      <w:r w:rsidRPr="005D0971">
        <w:rPr>
          <w:rFonts w:ascii="Times New Roman" w:hAnsi="Times New Roman" w:cs="Times New Roman"/>
          <w:i/>
          <w:sz w:val="24"/>
          <w:szCs w:val="24"/>
        </w:rPr>
        <w:t xml:space="preserve">Culture and Processes of Adult Learning. </w:t>
      </w:r>
      <w:r w:rsidRPr="005D0971">
        <w:rPr>
          <w:rFonts w:ascii="Times New Roman" w:hAnsi="Times New Roman" w:cs="Times New Roman"/>
          <w:sz w:val="24"/>
          <w:szCs w:val="24"/>
        </w:rPr>
        <w:t>Abingdon: Routledge.</w:t>
      </w:r>
    </w:p>
    <w:p w14:paraId="3F14A46E"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Elliott, J. and Norris, N. (2012) </w:t>
      </w:r>
      <w:r w:rsidRPr="005D0971">
        <w:rPr>
          <w:rFonts w:ascii="Times New Roman" w:hAnsi="Times New Roman" w:cs="Times New Roman"/>
          <w:sz w:val="24"/>
          <w:szCs w:val="24"/>
        </w:rPr>
        <w:tab/>
      </w:r>
      <w:r w:rsidRPr="005D0971">
        <w:rPr>
          <w:rFonts w:ascii="Times New Roman" w:hAnsi="Times New Roman" w:cs="Times New Roman"/>
          <w:i/>
          <w:sz w:val="24"/>
          <w:szCs w:val="24"/>
        </w:rPr>
        <w:t xml:space="preserve">Curriculum, Pedagogy and Educational Research: The Work of Lawrence Stenhouse. </w:t>
      </w:r>
      <w:r w:rsidRPr="005D0971">
        <w:rPr>
          <w:rFonts w:ascii="Times New Roman" w:hAnsi="Times New Roman" w:cs="Times New Roman"/>
          <w:sz w:val="24"/>
          <w:szCs w:val="24"/>
        </w:rPr>
        <w:t>Abingdon: Routledge.</w:t>
      </w:r>
    </w:p>
    <w:p w14:paraId="15F4F68A"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Gayle, G. (2011) </w:t>
      </w:r>
      <w:r w:rsidRPr="005D0971">
        <w:rPr>
          <w:rFonts w:ascii="Times New Roman" w:hAnsi="Times New Roman" w:cs="Times New Roman"/>
          <w:i/>
          <w:sz w:val="24"/>
          <w:szCs w:val="24"/>
        </w:rPr>
        <w:t xml:space="preserve">The Best of Corwin: Differentiated Instruction. </w:t>
      </w:r>
      <w:r w:rsidRPr="005D0971">
        <w:rPr>
          <w:rFonts w:ascii="Times New Roman" w:hAnsi="Times New Roman" w:cs="Times New Roman"/>
          <w:sz w:val="24"/>
          <w:szCs w:val="24"/>
        </w:rPr>
        <w:t>Califorina: Corwin Press.</w:t>
      </w:r>
    </w:p>
    <w:p w14:paraId="71A2D928"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Gillies, R., Ashman, A. and Terwel, J. (2007) </w:t>
      </w:r>
      <w:r w:rsidRPr="005D0971">
        <w:rPr>
          <w:rFonts w:ascii="Times New Roman" w:hAnsi="Times New Roman" w:cs="Times New Roman"/>
          <w:i/>
          <w:sz w:val="24"/>
          <w:szCs w:val="24"/>
        </w:rPr>
        <w:t xml:space="preserve">The Teacher's Role in Implementing Cooperative Learning in the Classroom. </w:t>
      </w:r>
      <w:r w:rsidRPr="005D0971">
        <w:rPr>
          <w:rFonts w:ascii="Times New Roman" w:hAnsi="Times New Roman" w:cs="Times New Roman"/>
          <w:sz w:val="24"/>
          <w:szCs w:val="24"/>
        </w:rPr>
        <w:t xml:space="preserve">New York: Springer Science and Business Media. </w:t>
      </w:r>
    </w:p>
    <w:p w14:paraId="0F71C93F"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Glatthorn, A., Boschee, F., Whitehead, B. and Boschee, B. (2015) </w:t>
      </w:r>
      <w:r w:rsidRPr="005D0971">
        <w:rPr>
          <w:rFonts w:ascii="Times New Roman" w:hAnsi="Times New Roman" w:cs="Times New Roman"/>
          <w:i/>
          <w:color w:val="000000"/>
          <w:sz w:val="24"/>
          <w:szCs w:val="24"/>
          <w:shd w:val="clear" w:color="auto" w:fill="FFFFFF"/>
        </w:rPr>
        <w:t xml:space="preserve">Curriculum Leadership: Strategies for Development and Implementation. </w:t>
      </w:r>
      <w:r w:rsidRPr="005D0971">
        <w:rPr>
          <w:rFonts w:ascii="Times New Roman" w:hAnsi="Times New Roman" w:cs="Times New Roman"/>
          <w:color w:val="000000"/>
          <w:sz w:val="24"/>
          <w:szCs w:val="24"/>
          <w:shd w:val="clear" w:color="auto" w:fill="FFFFFF"/>
        </w:rPr>
        <w:t>London: Sage Publications.</w:t>
      </w:r>
    </w:p>
    <w:p w14:paraId="1B423727"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Hiut Denim. (2018) ‘Story.’ Available at: </w:t>
      </w:r>
      <w:hyperlink r:id="rId9" w:history="1">
        <w:r w:rsidRPr="005D0971">
          <w:rPr>
            <w:rFonts w:ascii="Times New Roman" w:eastAsia="Calibri" w:hAnsi="Times New Roman" w:cs="Times New Roman"/>
            <w:color w:val="0563C1"/>
            <w:sz w:val="24"/>
            <w:szCs w:val="24"/>
            <w:u w:val="single"/>
          </w:rPr>
          <w:t>https://hiutdenim.co.uk/blogs/story</w:t>
        </w:r>
      </w:hyperlink>
      <w:r w:rsidRPr="00F71822">
        <w:rPr>
          <w:rFonts w:ascii="Times New Roman" w:eastAsia="Calibri" w:hAnsi="Times New Roman" w:cs="Times New Roman"/>
          <w:sz w:val="24"/>
          <w:szCs w:val="24"/>
        </w:rPr>
        <w:t xml:space="preserve"> [Accessed: 6</w:t>
      </w:r>
      <w:r w:rsidRPr="00F71822">
        <w:rPr>
          <w:rFonts w:ascii="Times New Roman" w:eastAsia="Calibri" w:hAnsi="Times New Roman" w:cs="Times New Roman"/>
          <w:sz w:val="24"/>
          <w:szCs w:val="24"/>
          <w:vertAlign w:val="superscript"/>
        </w:rPr>
        <w:t>th</w:t>
      </w:r>
      <w:r w:rsidRPr="00F71822">
        <w:rPr>
          <w:rFonts w:ascii="Times New Roman" w:eastAsia="Calibri" w:hAnsi="Times New Roman" w:cs="Times New Roman"/>
          <w:sz w:val="24"/>
          <w:szCs w:val="24"/>
        </w:rPr>
        <w:t xml:space="preserve"> February 2018].</w:t>
      </w:r>
    </w:p>
    <w:p w14:paraId="564A8EA9"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sz w:val="24"/>
          <w:szCs w:val="24"/>
        </w:rPr>
        <w:t xml:space="preserve">Horn, R. (2002) </w:t>
      </w:r>
      <w:r w:rsidRPr="005D0971">
        <w:rPr>
          <w:rFonts w:ascii="Times New Roman" w:hAnsi="Times New Roman" w:cs="Times New Roman"/>
          <w:i/>
          <w:color w:val="000000"/>
          <w:sz w:val="24"/>
          <w:szCs w:val="24"/>
          <w:shd w:val="clear" w:color="auto" w:fill="FFFFFF"/>
        </w:rPr>
        <w:t xml:space="preserve">Understanding Educational Reform: A Reference Handbook. </w:t>
      </w:r>
      <w:r w:rsidRPr="005D0971">
        <w:rPr>
          <w:rFonts w:ascii="Times New Roman" w:hAnsi="Times New Roman" w:cs="Times New Roman"/>
          <w:color w:val="000000"/>
          <w:sz w:val="24"/>
          <w:szCs w:val="24"/>
          <w:shd w:val="clear" w:color="auto" w:fill="FFFFFF"/>
        </w:rPr>
        <w:t>California: ABC-CLIO, Inc.</w:t>
      </w:r>
    </w:p>
    <w:p w14:paraId="054FCBC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Hoyt, G. and McGoldrick, K. (2012) </w:t>
      </w:r>
      <w:r w:rsidRPr="005D0971">
        <w:rPr>
          <w:rFonts w:ascii="Times New Roman" w:hAnsi="Times New Roman" w:cs="Times New Roman"/>
          <w:i/>
          <w:sz w:val="24"/>
          <w:szCs w:val="24"/>
        </w:rPr>
        <w:t xml:space="preserve">International Handbook on Teaching and Learning Economics. </w:t>
      </w:r>
      <w:r w:rsidRPr="005D0971">
        <w:rPr>
          <w:rFonts w:ascii="Times New Roman" w:hAnsi="Times New Roman" w:cs="Times New Roman"/>
          <w:sz w:val="24"/>
          <w:szCs w:val="24"/>
        </w:rPr>
        <w:t>Cheltenham: Edward Elgar Publishing Limited.</w:t>
      </w:r>
    </w:p>
    <w:p w14:paraId="614957B9"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Jacobs, F. and Hundley, S. (2010) </w:t>
      </w:r>
      <w:r w:rsidRPr="005D0971">
        <w:rPr>
          <w:rFonts w:ascii="Times New Roman" w:hAnsi="Times New Roman" w:cs="Times New Roman"/>
          <w:i/>
          <w:sz w:val="24"/>
          <w:szCs w:val="24"/>
        </w:rPr>
        <w:t xml:space="preserve">Understanding and Supporting Adult Learners: A Guide for Colleges and Universities. </w:t>
      </w:r>
      <w:r w:rsidRPr="005D0971">
        <w:rPr>
          <w:rFonts w:ascii="Times New Roman" w:hAnsi="Times New Roman" w:cs="Times New Roman"/>
          <w:sz w:val="24"/>
          <w:szCs w:val="24"/>
        </w:rPr>
        <w:t xml:space="preserve">California: John Wiley and Sons. </w:t>
      </w:r>
    </w:p>
    <w:p w14:paraId="55B74A85" w14:textId="1FEC0549"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Khoo Yin, Y. (2015) </w:t>
      </w:r>
      <w:r w:rsidR="005D0971">
        <w:rPr>
          <w:rFonts w:ascii="Times New Roman" w:hAnsi="Times New Roman" w:cs="Times New Roman"/>
          <w:sz w:val="24"/>
          <w:szCs w:val="24"/>
        </w:rPr>
        <w:t>Collaborative problem solving promotes students interest</w:t>
      </w:r>
      <w:r w:rsidRPr="005D0971">
        <w:rPr>
          <w:rFonts w:ascii="Times New Roman" w:hAnsi="Times New Roman" w:cs="Times New Roman"/>
          <w:sz w:val="24"/>
          <w:szCs w:val="24"/>
        </w:rPr>
        <w:t xml:space="preserve">', </w:t>
      </w:r>
      <w:r w:rsidRPr="005D0971">
        <w:rPr>
          <w:rFonts w:ascii="Times New Roman" w:hAnsi="Times New Roman" w:cs="Times New Roman"/>
          <w:i/>
          <w:sz w:val="24"/>
          <w:szCs w:val="24"/>
        </w:rPr>
        <w:t>Journal Of Economics &amp; Economic Education Research</w:t>
      </w:r>
      <w:r w:rsidRPr="005D0971">
        <w:rPr>
          <w:rFonts w:ascii="Times New Roman" w:hAnsi="Times New Roman" w:cs="Times New Roman"/>
          <w:sz w:val="24"/>
          <w:szCs w:val="24"/>
        </w:rPr>
        <w:t>, 16, 1, pp. 158-167.</w:t>
      </w:r>
    </w:p>
    <w:p w14:paraId="73B2A2E2"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Kiewra, K. and Dubois, N. (1998) </w:t>
      </w:r>
      <w:r w:rsidRPr="005D0971">
        <w:rPr>
          <w:rFonts w:ascii="Times New Roman" w:hAnsi="Times New Roman" w:cs="Times New Roman"/>
          <w:i/>
          <w:sz w:val="24"/>
          <w:szCs w:val="24"/>
        </w:rPr>
        <w:t xml:space="preserve">Learning to Learn: Making the Transition from Student to Life-long Learner. </w:t>
      </w:r>
      <w:r w:rsidRPr="005D0971">
        <w:rPr>
          <w:rFonts w:ascii="Times New Roman" w:hAnsi="Times New Roman" w:cs="Times New Roman"/>
          <w:sz w:val="24"/>
          <w:szCs w:val="24"/>
        </w:rPr>
        <w:t xml:space="preserve">Minnesota: Allyn and Bacon. </w:t>
      </w:r>
    </w:p>
    <w:p w14:paraId="271FBEC0"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Kolb, D. (2014) </w:t>
      </w:r>
      <w:r w:rsidRPr="005D0971">
        <w:rPr>
          <w:rFonts w:ascii="Times New Roman" w:hAnsi="Times New Roman" w:cs="Times New Roman"/>
          <w:i/>
          <w:sz w:val="24"/>
          <w:szCs w:val="24"/>
        </w:rPr>
        <w:t xml:space="preserve">Experiential Learning: Experience as the Source of Learning and Development. </w:t>
      </w:r>
      <w:r w:rsidRPr="005D0971">
        <w:rPr>
          <w:rFonts w:ascii="Times New Roman" w:hAnsi="Times New Roman" w:cs="Times New Roman"/>
          <w:sz w:val="24"/>
          <w:szCs w:val="24"/>
        </w:rPr>
        <w:t xml:space="preserve">New Jersey: FT Press. </w:t>
      </w:r>
    </w:p>
    <w:p w14:paraId="07E58EF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Larochelle, M., Bednarz, N. and Garrison, J. (1998) </w:t>
      </w:r>
      <w:r w:rsidRPr="005D0971">
        <w:rPr>
          <w:rFonts w:ascii="Times New Roman" w:hAnsi="Times New Roman" w:cs="Times New Roman"/>
          <w:i/>
          <w:sz w:val="24"/>
          <w:szCs w:val="24"/>
        </w:rPr>
        <w:t xml:space="preserve">Constructivism and Education. </w:t>
      </w:r>
      <w:r w:rsidRPr="005D0971">
        <w:rPr>
          <w:rFonts w:ascii="Times New Roman" w:hAnsi="Times New Roman" w:cs="Times New Roman"/>
          <w:sz w:val="24"/>
          <w:szCs w:val="24"/>
        </w:rPr>
        <w:t>Cambridge: Cambridge University Press.</w:t>
      </w:r>
    </w:p>
    <w:p w14:paraId="0CAA4A96"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Legge, K. and Harari, P. (2000) </w:t>
      </w:r>
      <w:r w:rsidRPr="005D0971">
        <w:rPr>
          <w:rFonts w:ascii="Times New Roman" w:hAnsi="Times New Roman" w:cs="Times New Roman"/>
          <w:i/>
          <w:sz w:val="24"/>
          <w:szCs w:val="24"/>
        </w:rPr>
        <w:t xml:space="preserve">Psychology and Education. </w:t>
      </w:r>
      <w:r w:rsidRPr="005D0971">
        <w:rPr>
          <w:rFonts w:ascii="Times New Roman" w:hAnsi="Times New Roman" w:cs="Times New Roman"/>
          <w:sz w:val="24"/>
          <w:szCs w:val="24"/>
        </w:rPr>
        <w:t xml:space="preserve">Oxford: Heinemann Educational Publishers. </w:t>
      </w:r>
    </w:p>
    <w:p w14:paraId="7BFC2073"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Lovejoy, L. (2002). </w:t>
      </w:r>
      <w:r w:rsidRPr="005D0971">
        <w:rPr>
          <w:rFonts w:ascii="Times New Roman" w:hAnsi="Times New Roman" w:cs="Times New Roman"/>
          <w:i/>
          <w:sz w:val="24"/>
          <w:szCs w:val="24"/>
        </w:rPr>
        <w:t>The Way We Learn: A Plan for Success.</w:t>
      </w:r>
      <w:r w:rsidRPr="005D0971">
        <w:rPr>
          <w:rFonts w:ascii="Times New Roman" w:hAnsi="Times New Roman" w:cs="Times New Roman"/>
          <w:sz w:val="24"/>
          <w:szCs w:val="24"/>
        </w:rPr>
        <w:t xml:space="preserve"> ‘Public Personnel Management’, 31,4, pp. 441-446.</w:t>
      </w:r>
    </w:p>
    <w:p w14:paraId="1275D251"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Lupton, N. and Pirson, M. (2014) </w:t>
      </w:r>
      <w:r w:rsidRPr="005D0971">
        <w:rPr>
          <w:rFonts w:ascii="Times New Roman" w:hAnsi="Times New Roman" w:cs="Times New Roman"/>
          <w:i/>
          <w:sz w:val="24"/>
          <w:szCs w:val="24"/>
        </w:rPr>
        <w:t xml:space="preserve">Humanistic Perspectives on International Business and Management. </w:t>
      </w:r>
      <w:r w:rsidRPr="005D0971">
        <w:rPr>
          <w:rFonts w:ascii="Times New Roman" w:hAnsi="Times New Roman" w:cs="Times New Roman"/>
          <w:sz w:val="24"/>
          <w:szCs w:val="24"/>
        </w:rPr>
        <w:t>New York: Springer.</w:t>
      </w:r>
    </w:p>
    <w:p w14:paraId="4D122EB0"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Maslow, A. (1943) ‘A Theory of Human Motivation,’ </w:t>
      </w:r>
      <w:r w:rsidRPr="005D0971">
        <w:rPr>
          <w:rFonts w:ascii="Times New Roman" w:hAnsi="Times New Roman" w:cs="Times New Roman"/>
          <w:i/>
          <w:sz w:val="24"/>
          <w:szCs w:val="24"/>
        </w:rPr>
        <w:t>Psychological Review</w:t>
      </w:r>
      <w:r w:rsidRPr="005D0971">
        <w:rPr>
          <w:rFonts w:ascii="Times New Roman" w:hAnsi="Times New Roman" w:cs="Times New Roman"/>
          <w:sz w:val="24"/>
          <w:szCs w:val="24"/>
        </w:rPr>
        <w:t>. 50, 4, pp. 370-96.</w:t>
      </w:r>
    </w:p>
    <w:p w14:paraId="4D95F7CB"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McMillan, J. (2012) </w:t>
      </w:r>
      <w:r w:rsidRPr="005D0971">
        <w:rPr>
          <w:rFonts w:ascii="Times New Roman" w:hAnsi="Times New Roman" w:cs="Times New Roman"/>
          <w:i/>
          <w:sz w:val="24"/>
          <w:szCs w:val="24"/>
        </w:rPr>
        <w:t xml:space="preserve">SAGE Handbook of Research on Classroom Assessment: SAGE Publications. </w:t>
      </w:r>
      <w:r w:rsidRPr="005D0971">
        <w:rPr>
          <w:rFonts w:ascii="Times New Roman" w:hAnsi="Times New Roman" w:cs="Times New Roman"/>
          <w:sz w:val="24"/>
          <w:szCs w:val="24"/>
        </w:rPr>
        <w:t>London: SAGE Publications.</w:t>
      </w:r>
    </w:p>
    <w:p w14:paraId="0D500921"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McMillan, J. (2012) </w:t>
      </w:r>
      <w:r w:rsidRPr="005D0971">
        <w:rPr>
          <w:rFonts w:ascii="Times New Roman" w:hAnsi="Times New Roman" w:cs="Times New Roman"/>
          <w:i/>
          <w:sz w:val="24"/>
          <w:szCs w:val="24"/>
        </w:rPr>
        <w:t xml:space="preserve">SAGE Handbook of Research on Classroom Assessment. </w:t>
      </w:r>
      <w:r w:rsidRPr="005D0971">
        <w:rPr>
          <w:rFonts w:ascii="Times New Roman" w:hAnsi="Times New Roman" w:cs="Times New Roman"/>
          <w:sz w:val="24"/>
          <w:szCs w:val="24"/>
        </w:rPr>
        <w:t>California: Sage.</w:t>
      </w:r>
    </w:p>
    <w:p w14:paraId="527AFD6C"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Melick, R. and Melick, S. (2010) </w:t>
      </w:r>
      <w:r w:rsidRPr="005D0971">
        <w:rPr>
          <w:rFonts w:ascii="Times New Roman" w:hAnsi="Times New Roman" w:cs="Times New Roman"/>
          <w:i/>
          <w:sz w:val="24"/>
          <w:szCs w:val="24"/>
        </w:rPr>
        <w:t xml:space="preserve">Teaching that Transforms: Facilitating Life Change Through Adult Bible Teaching. </w:t>
      </w:r>
      <w:r w:rsidRPr="005D0971">
        <w:rPr>
          <w:rFonts w:ascii="Times New Roman" w:hAnsi="Times New Roman" w:cs="Times New Roman"/>
          <w:sz w:val="24"/>
          <w:szCs w:val="24"/>
        </w:rPr>
        <w:t>Nashville: B and H Publishing Group.</w:t>
      </w:r>
    </w:p>
    <w:p w14:paraId="5358E82F"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color w:val="000000"/>
          <w:sz w:val="24"/>
          <w:szCs w:val="24"/>
          <w:shd w:val="clear" w:color="auto" w:fill="FFFFFF"/>
        </w:rPr>
        <w:t xml:space="preserve">Merriam, S. (2011) </w:t>
      </w:r>
      <w:r w:rsidRPr="005D0971">
        <w:rPr>
          <w:rFonts w:ascii="Times New Roman" w:hAnsi="Times New Roman" w:cs="Times New Roman"/>
          <w:i/>
          <w:color w:val="000000"/>
          <w:sz w:val="24"/>
          <w:szCs w:val="24"/>
          <w:shd w:val="clear" w:color="auto" w:fill="FFFFFF"/>
        </w:rPr>
        <w:t xml:space="preserve">Third Update on Adult Learning Theory: New Directions for Adult and Continuing Education, Number 119. </w:t>
      </w:r>
      <w:r w:rsidRPr="005D0971">
        <w:rPr>
          <w:rFonts w:ascii="Times New Roman" w:hAnsi="Times New Roman" w:cs="Times New Roman"/>
          <w:color w:val="000000"/>
          <w:sz w:val="24"/>
          <w:szCs w:val="24"/>
          <w:shd w:val="clear" w:color="auto" w:fill="FFFFFF"/>
        </w:rPr>
        <w:t xml:space="preserve">Chichester: John Wiley and Sons. </w:t>
      </w:r>
    </w:p>
    <w:p w14:paraId="14D025A6"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sz w:val="24"/>
          <w:szCs w:val="24"/>
        </w:rPr>
        <w:t xml:space="preserve">Neary, M. (2002) </w:t>
      </w:r>
      <w:r w:rsidRPr="005D0971">
        <w:rPr>
          <w:rFonts w:ascii="Times New Roman" w:hAnsi="Times New Roman" w:cs="Times New Roman"/>
          <w:i/>
          <w:color w:val="000000"/>
          <w:sz w:val="24"/>
          <w:szCs w:val="24"/>
          <w:shd w:val="clear" w:color="auto" w:fill="FFFFFF"/>
        </w:rPr>
        <w:t xml:space="preserve">Curriculum Studies in Post-compulsory and Adult Education: A Study Guide for Teachers and Student Teachers. </w:t>
      </w:r>
      <w:r w:rsidRPr="005D0971">
        <w:rPr>
          <w:rFonts w:ascii="Times New Roman" w:hAnsi="Times New Roman" w:cs="Times New Roman"/>
          <w:color w:val="000000"/>
          <w:sz w:val="24"/>
          <w:szCs w:val="24"/>
          <w:shd w:val="clear" w:color="auto" w:fill="FFFFFF"/>
        </w:rPr>
        <w:t xml:space="preserve">Cheltenham: Nelson Thornes Ltd. </w:t>
      </w:r>
    </w:p>
    <w:p w14:paraId="10410B3A"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O’neill, W. and Demos, G. (2012) </w:t>
      </w:r>
      <w:r w:rsidRPr="005D0971">
        <w:rPr>
          <w:rFonts w:ascii="Times New Roman" w:hAnsi="Times New Roman" w:cs="Times New Roman"/>
          <w:i/>
          <w:sz w:val="24"/>
          <w:szCs w:val="24"/>
        </w:rPr>
        <w:t xml:space="preserve">Philosophical Psychology: A New Frontier in Psychological Humanism - Maslow Revisited. </w:t>
      </w:r>
      <w:r w:rsidRPr="005D0971">
        <w:rPr>
          <w:rFonts w:ascii="Times New Roman" w:hAnsi="Times New Roman" w:cs="Times New Roman"/>
          <w:sz w:val="24"/>
          <w:szCs w:val="24"/>
        </w:rPr>
        <w:t>Bloomington: IUniverse.</w:t>
      </w:r>
    </w:p>
    <w:p w14:paraId="2A587335" w14:textId="5203E455"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OECD. (2016) ‘Teaching Strategies for instructional quality.’ </w:t>
      </w:r>
      <w:r w:rsidR="00BE244F" w:rsidRPr="005D0971">
        <w:rPr>
          <w:rFonts w:ascii="Times New Roman" w:hAnsi="Times New Roman" w:cs="Times New Roman"/>
          <w:sz w:val="24"/>
          <w:szCs w:val="24"/>
        </w:rPr>
        <w:t xml:space="preserve">Available at: </w:t>
      </w:r>
      <w:hyperlink r:id="rId10" w:history="1">
        <w:r w:rsidR="00BE244F" w:rsidRPr="005D0971">
          <w:rPr>
            <w:rStyle w:val="Hyperlink"/>
            <w:rFonts w:ascii="Times New Roman" w:hAnsi="Times New Roman" w:cs="Times New Roman"/>
            <w:color w:val="auto"/>
            <w:sz w:val="24"/>
            <w:szCs w:val="24"/>
          </w:rPr>
          <w:t>http://www.oecd.org/education/school/TALIS-PISA-LINK-teaching_strategies_brochure.pdf</w:t>
        </w:r>
      </w:hyperlink>
      <w:r w:rsidR="00BE244F" w:rsidRPr="005D0971">
        <w:rPr>
          <w:rFonts w:ascii="Times New Roman" w:hAnsi="Times New Roman" w:cs="Times New Roman"/>
          <w:sz w:val="24"/>
          <w:szCs w:val="24"/>
        </w:rPr>
        <w:t xml:space="preserve"> [Accessed: 2</w:t>
      </w:r>
      <w:r w:rsidR="00BE244F" w:rsidRPr="005D0971">
        <w:rPr>
          <w:rFonts w:ascii="Times New Roman" w:hAnsi="Times New Roman" w:cs="Times New Roman"/>
          <w:sz w:val="24"/>
          <w:szCs w:val="24"/>
          <w:vertAlign w:val="superscript"/>
        </w:rPr>
        <w:t>nd</w:t>
      </w:r>
      <w:r w:rsidR="00BE244F" w:rsidRPr="005D0971">
        <w:rPr>
          <w:rFonts w:ascii="Times New Roman" w:hAnsi="Times New Roman" w:cs="Times New Roman"/>
          <w:sz w:val="24"/>
          <w:szCs w:val="24"/>
        </w:rPr>
        <w:t xml:space="preserve"> February 2018].</w:t>
      </w:r>
    </w:p>
    <w:p w14:paraId="1E488881"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Pass, S. (2004) </w:t>
      </w:r>
      <w:r w:rsidRPr="005D0971">
        <w:rPr>
          <w:rFonts w:ascii="Times New Roman" w:hAnsi="Times New Roman" w:cs="Times New Roman"/>
          <w:i/>
          <w:sz w:val="24"/>
          <w:szCs w:val="24"/>
        </w:rPr>
        <w:t xml:space="preserve">Parallel Paths to Constructivism: Jean Piaget and Lev Vygotsky. </w:t>
      </w:r>
      <w:r w:rsidRPr="005D0971">
        <w:rPr>
          <w:rFonts w:ascii="Times New Roman" w:hAnsi="Times New Roman" w:cs="Times New Roman"/>
          <w:sz w:val="24"/>
          <w:szCs w:val="24"/>
        </w:rPr>
        <w:t xml:space="preserve">North Carolina: information Age Publishing Inc. </w:t>
      </w:r>
    </w:p>
    <w:p w14:paraId="5FA984F1"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Piaget, J. (1936) </w:t>
      </w:r>
      <w:r w:rsidRPr="005D0971">
        <w:rPr>
          <w:rFonts w:ascii="Times New Roman" w:hAnsi="Times New Roman" w:cs="Times New Roman"/>
          <w:i/>
          <w:sz w:val="24"/>
          <w:szCs w:val="24"/>
        </w:rPr>
        <w:t>Origins of intelligence in the child</w:t>
      </w:r>
      <w:r w:rsidRPr="005D0971">
        <w:rPr>
          <w:rFonts w:ascii="Times New Roman" w:hAnsi="Times New Roman" w:cs="Times New Roman"/>
          <w:sz w:val="24"/>
          <w:szCs w:val="24"/>
        </w:rPr>
        <w:t>. London: Routledge &amp; Kegan Paul.</w:t>
      </w:r>
    </w:p>
    <w:p w14:paraId="055E07B7"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color w:val="000000"/>
          <w:sz w:val="24"/>
          <w:szCs w:val="24"/>
          <w:shd w:val="clear" w:color="auto" w:fill="FFFFFF"/>
        </w:rPr>
        <w:t xml:space="preserve">Pixel. (2015) </w:t>
      </w:r>
      <w:r w:rsidRPr="005D0971">
        <w:rPr>
          <w:rFonts w:ascii="Times New Roman" w:hAnsi="Times New Roman" w:cs="Times New Roman"/>
          <w:i/>
          <w:color w:val="000000"/>
          <w:sz w:val="24"/>
          <w:szCs w:val="24"/>
          <w:shd w:val="clear" w:color="auto" w:fill="FFFFFF"/>
        </w:rPr>
        <w:t xml:space="preserve">Conference Proceedings: the Future of Education. </w:t>
      </w:r>
      <w:r w:rsidRPr="005D0971">
        <w:rPr>
          <w:rFonts w:ascii="Times New Roman" w:hAnsi="Times New Roman" w:cs="Times New Roman"/>
          <w:color w:val="000000"/>
          <w:sz w:val="24"/>
          <w:szCs w:val="24"/>
          <w:shd w:val="clear" w:color="auto" w:fill="FFFFFF"/>
        </w:rPr>
        <w:t xml:space="preserve">Florence: libreriauniversitaria.it Edizioni. </w:t>
      </w:r>
    </w:p>
    <w:p w14:paraId="035ABC1E"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sz w:val="24"/>
          <w:szCs w:val="24"/>
        </w:rPr>
        <w:t xml:space="preserve">Pollard, A. and Triggs, P. (1997) </w:t>
      </w:r>
      <w:r w:rsidRPr="005D0971">
        <w:rPr>
          <w:rFonts w:ascii="Times New Roman" w:hAnsi="Times New Roman" w:cs="Times New Roman"/>
          <w:i/>
          <w:color w:val="000000"/>
          <w:sz w:val="24"/>
          <w:szCs w:val="24"/>
          <w:shd w:val="clear" w:color="auto" w:fill="FFFFFF"/>
        </w:rPr>
        <w:t xml:space="preserve">Reflective Teaching in Secondary Education: A Handbook for Schools and Colleges. </w:t>
      </w:r>
      <w:r w:rsidRPr="005D0971">
        <w:rPr>
          <w:rFonts w:ascii="Times New Roman" w:hAnsi="Times New Roman" w:cs="Times New Roman"/>
          <w:color w:val="000000"/>
          <w:sz w:val="24"/>
          <w:szCs w:val="24"/>
          <w:shd w:val="clear" w:color="auto" w:fill="FFFFFF"/>
        </w:rPr>
        <w:t>London: Cassell.</w:t>
      </w:r>
    </w:p>
    <w:p w14:paraId="4AEF8D0F"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Poulter, S. (2018) ‘Tesco calls for a deposit on plastic bottles: Company becomes first major supermarket breaks ranks and say it will back a scheme.’ Available at: </w:t>
      </w:r>
      <w:hyperlink r:id="rId11" w:history="1">
        <w:r w:rsidRPr="005D0971">
          <w:rPr>
            <w:rFonts w:ascii="Times New Roman" w:eastAsia="Calibri" w:hAnsi="Times New Roman" w:cs="Times New Roman"/>
            <w:color w:val="0563C1"/>
            <w:sz w:val="24"/>
            <w:szCs w:val="24"/>
            <w:u w:val="single"/>
          </w:rPr>
          <w:t>http://www.dailymail.co.uk/news/article-5261021/Tesco-calls-deposit-plastic-bottles.html</w:t>
        </w:r>
      </w:hyperlink>
      <w:r w:rsidRPr="00F71822">
        <w:rPr>
          <w:rFonts w:ascii="Times New Roman" w:eastAsia="Calibri" w:hAnsi="Times New Roman" w:cs="Times New Roman"/>
          <w:sz w:val="24"/>
          <w:szCs w:val="24"/>
        </w:rPr>
        <w:t xml:space="preserve"> [Accessed: 6</w:t>
      </w:r>
      <w:r w:rsidRPr="00F71822">
        <w:rPr>
          <w:rFonts w:ascii="Times New Roman" w:eastAsia="Calibri" w:hAnsi="Times New Roman" w:cs="Times New Roman"/>
          <w:sz w:val="24"/>
          <w:szCs w:val="24"/>
          <w:vertAlign w:val="superscript"/>
        </w:rPr>
        <w:t>th</w:t>
      </w:r>
      <w:r w:rsidRPr="00F71822">
        <w:rPr>
          <w:rFonts w:ascii="Times New Roman" w:eastAsia="Calibri" w:hAnsi="Times New Roman" w:cs="Times New Roman"/>
          <w:sz w:val="24"/>
          <w:szCs w:val="24"/>
        </w:rPr>
        <w:t xml:space="preserve"> February 2018].</w:t>
      </w:r>
    </w:p>
    <w:p w14:paraId="63036132" w14:textId="77777777" w:rsidR="001C2C75" w:rsidRPr="005D0971" w:rsidRDefault="001C2C75" w:rsidP="008E32F7">
      <w:pPr>
        <w:spacing w:line="360" w:lineRule="auto"/>
        <w:jc w:val="both"/>
        <w:rPr>
          <w:rFonts w:ascii="Times New Roman" w:hAnsi="Times New Roman" w:cs="Times New Roman"/>
          <w:sz w:val="24"/>
          <w:szCs w:val="24"/>
          <w:lang w:val="cy-GB"/>
        </w:rPr>
      </w:pPr>
      <w:r w:rsidRPr="005D0971">
        <w:rPr>
          <w:rFonts w:ascii="Times New Roman" w:hAnsi="Times New Roman" w:cs="Times New Roman"/>
          <w:sz w:val="24"/>
          <w:szCs w:val="24"/>
        </w:rPr>
        <w:t>Powell, W. and Powell, O. (</w:t>
      </w:r>
      <w:r w:rsidRPr="005D0971">
        <w:rPr>
          <w:rFonts w:ascii="Times New Roman" w:hAnsi="Times New Roman" w:cs="Times New Roman"/>
          <w:sz w:val="24"/>
          <w:szCs w:val="24"/>
          <w:lang w:val="cy-GB"/>
        </w:rPr>
        <w:t xml:space="preserve">2011) </w:t>
      </w:r>
      <w:r w:rsidRPr="005D0971">
        <w:rPr>
          <w:rFonts w:ascii="Times New Roman" w:hAnsi="Times New Roman" w:cs="Times New Roman"/>
          <w:i/>
          <w:sz w:val="24"/>
          <w:szCs w:val="24"/>
          <w:lang w:val="cy-GB"/>
        </w:rPr>
        <w:t xml:space="preserve">How to Teach Now: Five Keys to Personalized Learning in the Global Classroom. </w:t>
      </w:r>
      <w:r w:rsidRPr="005D0971">
        <w:rPr>
          <w:rFonts w:ascii="Times New Roman" w:hAnsi="Times New Roman" w:cs="Times New Roman"/>
          <w:sz w:val="24"/>
          <w:szCs w:val="24"/>
          <w:lang w:val="cy-GB"/>
        </w:rPr>
        <w:t>Virginia: ASCD.</w:t>
      </w:r>
    </w:p>
    <w:p w14:paraId="13B4B8D2"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QAA (2014) ‘UK Quality Code for Higher Education.’ Available at: </w:t>
      </w:r>
      <w:hyperlink r:id="rId12" w:history="1">
        <w:r w:rsidRPr="005D0971">
          <w:rPr>
            <w:rStyle w:val="Hyperlink"/>
            <w:rFonts w:ascii="Times New Roman" w:hAnsi="Times New Roman" w:cs="Times New Roman"/>
            <w:sz w:val="24"/>
            <w:szCs w:val="24"/>
          </w:rPr>
          <w:t>http://www.qaa.ac.uk/en/Publications/Documents/qualifications-frameworks.pdf</w:t>
        </w:r>
      </w:hyperlink>
      <w:r w:rsidRPr="005D0971">
        <w:rPr>
          <w:rFonts w:ascii="Times New Roman" w:hAnsi="Times New Roman" w:cs="Times New Roman"/>
          <w:sz w:val="24"/>
          <w:szCs w:val="24"/>
        </w:rPr>
        <w:t xml:space="preserve"> [Accessed: 2</w:t>
      </w:r>
      <w:r w:rsidRPr="005D0971">
        <w:rPr>
          <w:rFonts w:ascii="Times New Roman" w:hAnsi="Times New Roman" w:cs="Times New Roman"/>
          <w:sz w:val="24"/>
          <w:szCs w:val="24"/>
          <w:vertAlign w:val="superscript"/>
        </w:rPr>
        <w:t>nd</w:t>
      </w:r>
      <w:r w:rsidRPr="005D0971">
        <w:rPr>
          <w:rFonts w:ascii="Times New Roman" w:hAnsi="Times New Roman" w:cs="Times New Roman"/>
          <w:sz w:val="24"/>
          <w:szCs w:val="24"/>
        </w:rPr>
        <w:t xml:space="preserve"> February 2018].</w:t>
      </w:r>
    </w:p>
    <w:p w14:paraId="17231B38"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QAA. (2014) ‘Education for Sustainable Development: Guidance for UK Higher Education Providers.’ Available at: </w:t>
      </w:r>
      <w:hyperlink r:id="rId13" w:history="1">
        <w:r w:rsidRPr="005D0971">
          <w:rPr>
            <w:rStyle w:val="Hyperlink"/>
            <w:rFonts w:ascii="Times New Roman" w:hAnsi="Times New Roman" w:cs="Times New Roman"/>
            <w:sz w:val="24"/>
            <w:szCs w:val="24"/>
          </w:rPr>
          <w:t>http://www.qaa.ac.uk/en/Publications/Documents/Education-sustainable-development-Guidance-June-14.pdf</w:t>
        </w:r>
      </w:hyperlink>
      <w:r w:rsidRPr="005D0971">
        <w:rPr>
          <w:rFonts w:ascii="Times New Roman" w:hAnsi="Times New Roman" w:cs="Times New Roman"/>
          <w:sz w:val="24"/>
          <w:szCs w:val="24"/>
        </w:rPr>
        <w:t xml:space="preserve"> [Accessed: 2</w:t>
      </w:r>
      <w:r w:rsidRPr="005D0971">
        <w:rPr>
          <w:rFonts w:ascii="Times New Roman" w:hAnsi="Times New Roman" w:cs="Times New Roman"/>
          <w:sz w:val="24"/>
          <w:szCs w:val="24"/>
          <w:vertAlign w:val="superscript"/>
        </w:rPr>
        <w:t>nd</w:t>
      </w:r>
      <w:r w:rsidRPr="005D0971">
        <w:rPr>
          <w:rFonts w:ascii="Times New Roman" w:hAnsi="Times New Roman" w:cs="Times New Roman"/>
          <w:sz w:val="24"/>
          <w:szCs w:val="24"/>
        </w:rPr>
        <w:t xml:space="preserve"> February 2018].</w:t>
      </w:r>
    </w:p>
    <w:p w14:paraId="38D7FF66"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QAA. (2015) ‘Subject Benchmark Statement ; Business and Management .’ Available at: </w:t>
      </w:r>
      <w:hyperlink r:id="rId14" w:history="1">
        <w:r w:rsidRPr="005D0971">
          <w:rPr>
            <w:rStyle w:val="Hyperlink"/>
            <w:rFonts w:ascii="Times New Roman" w:hAnsi="Times New Roman" w:cs="Times New Roman"/>
            <w:sz w:val="24"/>
            <w:szCs w:val="24"/>
          </w:rPr>
          <w:t>http://www.qaa.ac.uk/en/Publications/Documents/SBS-business-management-15.pdf</w:t>
        </w:r>
      </w:hyperlink>
      <w:r w:rsidRPr="005D0971">
        <w:rPr>
          <w:rFonts w:ascii="Times New Roman" w:hAnsi="Times New Roman" w:cs="Times New Roman"/>
          <w:sz w:val="24"/>
          <w:szCs w:val="24"/>
        </w:rPr>
        <w:t xml:space="preserve"> [Accessed: 2</w:t>
      </w:r>
      <w:r w:rsidRPr="005D0971">
        <w:rPr>
          <w:rFonts w:ascii="Times New Roman" w:hAnsi="Times New Roman" w:cs="Times New Roman"/>
          <w:sz w:val="24"/>
          <w:szCs w:val="24"/>
          <w:vertAlign w:val="superscript"/>
        </w:rPr>
        <w:t>nd</w:t>
      </w:r>
      <w:r w:rsidRPr="005D0971">
        <w:rPr>
          <w:rFonts w:ascii="Times New Roman" w:hAnsi="Times New Roman" w:cs="Times New Roman"/>
          <w:sz w:val="24"/>
          <w:szCs w:val="24"/>
        </w:rPr>
        <w:t xml:space="preserve"> February 2018].</w:t>
      </w:r>
    </w:p>
    <w:p w14:paraId="516DAD8B"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Race, P. (2014) </w:t>
      </w:r>
      <w:r w:rsidRPr="005D0971">
        <w:rPr>
          <w:rFonts w:ascii="Times New Roman" w:hAnsi="Times New Roman" w:cs="Times New Roman"/>
          <w:sz w:val="24"/>
          <w:szCs w:val="24"/>
        </w:rPr>
        <w:tab/>
      </w:r>
      <w:r w:rsidRPr="005D0971">
        <w:rPr>
          <w:rFonts w:ascii="Times New Roman" w:hAnsi="Times New Roman" w:cs="Times New Roman"/>
          <w:i/>
          <w:sz w:val="24"/>
          <w:szCs w:val="24"/>
        </w:rPr>
        <w:t xml:space="preserve">The Lecturer's Toolkit: A Practical Guide to Assessment, Learning and Teaching. </w:t>
      </w:r>
      <w:r w:rsidRPr="005D0971">
        <w:rPr>
          <w:rFonts w:ascii="Times New Roman" w:hAnsi="Times New Roman" w:cs="Times New Roman"/>
          <w:sz w:val="24"/>
          <w:szCs w:val="24"/>
        </w:rPr>
        <w:t xml:space="preserve">Abingdon: Routledge. </w:t>
      </w:r>
    </w:p>
    <w:p w14:paraId="77A77DE4"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Rufai, A., Bakar, A. and Rashi, A. (2015) ‘Developing a Sustainable Practical Model of Graduate Employability for Higher Education,’ </w:t>
      </w:r>
      <w:r w:rsidRPr="005D0971">
        <w:rPr>
          <w:rFonts w:ascii="Times New Roman" w:hAnsi="Times New Roman" w:cs="Times New Roman"/>
          <w:i/>
          <w:sz w:val="24"/>
          <w:szCs w:val="24"/>
        </w:rPr>
        <w:t xml:space="preserve">International Journal of Education and Literacy Studies. </w:t>
      </w:r>
      <w:r w:rsidRPr="005D0971">
        <w:rPr>
          <w:rFonts w:ascii="Times New Roman" w:hAnsi="Times New Roman" w:cs="Times New Roman"/>
          <w:sz w:val="24"/>
          <w:szCs w:val="24"/>
        </w:rPr>
        <w:t>3, 1, pp. 42-51.</w:t>
      </w:r>
    </w:p>
    <w:p w14:paraId="6F959035"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color w:val="000000"/>
          <w:sz w:val="24"/>
          <w:szCs w:val="24"/>
          <w:shd w:val="clear" w:color="auto" w:fill="FFFFFF"/>
        </w:rPr>
        <w:t xml:space="preserve">Scales, P. and Kelly, L. (2012) </w:t>
      </w:r>
      <w:r w:rsidRPr="005D0971">
        <w:rPr>
          <w:rFonts w:ascii="Times New Roman" w:hAnsi="Times New Roman" w:cs="Times New Roman"/>
          <w:i/>
          <w:color w:val="000000"/>
          <w:sz w:val="24"/>
          <w:szCs w:val="24"/>
          <w:shd w:val="clear" w:color="auto" w:fill="FFFFFF"/>
        </w:rPr>
        <w:t xml:space="preserve">Teaching in the Lifelong Learning Sector. </w:t>
      </w:r>
      <w:r w:rsidRPr="005D0971">
        <w:rPr>
          <w:rFonts w:ascii="Times New Roman" w:hAnsi="Times New Roman" w:cs="Times New Roman"/>
          <w:color w:val="000000"/>
          <w:sz w:val="24"/>
          <w:szCs w:val="24"/>
          <w:shd w:val="clear" w:color="auto" w:fill="FFFFFF"/>
        </w:rPr>
        <w:t xml:space="preserve">Berkshire: McGraw-Hill Education. </w:t>
      </w:r>
    </w:p>
    <w:p w14:paraId="57CA2F2C"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Scheg, A. (2015) </w:t>
      </w:r>
      <w:r w:rsidRPr="005D0971">
        <w:rPr>
          <w:rFonts w:ascii="Times New Roman" w:hAnsi="Times New Roman" w:cs="Times New Roman"/>
          <w:i/>
          <w:sz w:val="24"/>
          <w:szCs w:val="24"/>
        </w:rPr>
        <w:t xml:space="preserve">Implementation and Critical Assessment of the Flipped Classroom Experience. </w:t>
      </w:r>
      <w:r w:rsidRPr="005D0971">
        <w:rPr>
          <w:rFonts w:ascii="Times New Roman" w:hAnsi="Times New Roman" w:cs="Times New Roman"/>
          <w:sz w:val="24"/>
          <w:szCs w:val="24"/>
        </w:rPr>
        <w:t>Pennsylvania: IGI Global.</w:t>
      </w:r>
    </w:p>
    <w:p w14:paraId="028096CF" w14:textId="77777777" w:rsidR="001C2C75" w:rsidRPr="00F71822" w:rsidRDefault="001C2C75" w:rsidP="008E32F7">
      <w:pPr>
        <w:spacing w:line="360" w:lineRule="auto"/>
        <w:jc w:val="both"/>
        <w:rPr>
          <w:rFonts w:ascii="Times New Roman" w:eastAsia="Calibri" w:hAnsi="Times New Roman" w:cs="Times New Roman"/>
          <w:sz w:val="24"/>
          <w:szCs w:val="24"/>
        </w:rPr>
      </w:pPr>
      <w:bookmarkStart w:id="33" w:name="_Hlk505770772"/>
      <w:r w:rsidRPr="00F71822">
        <w:rPr>
          <w:rFonts w:ascii="Times New Roman" w:eastAsia="Calibri" w:hAnsi="Times New Roman" w:cs="Times New Roman"/>
          <w:sz w:val="24"/>
          <w:szCs w:val="24"/>
        </w:rPr>
        <w:t xml:space="preserve">Schein, S. (2013) </w:t>
      </w:r>
      <w:r w:rsidRPr="00F71822">
        <w:rPr>
          <w:rFonts w:ascii="Times New Roman" w:eastAsia="Calibri" w:hAnsi="Times New Roman" w:cs="Times New Roman"/>
          <w:i/>
          <w:sz w:val="24"/>
          <w:szCs w:val="24"/>
        </w:rPr>
        <w:t xml:space="preserve">A New Psychology for Sustainability Leadership; The Hidden Power of Ecological Worldviews. </w:t>
      </w:r>
      <w:r w:rsidRPr="00F71822">
        <w:rPr>
          <w:rFonts w:ascii="Times New Roman" w:eastAsia="Calibri" w:hAnsi="Times New Roman" w:cs="Times New Roman"/>
          <w:sz w:val="24"/>
          <w:szCs w:val="24"/>
        </w:rPr>
        <w:t xml:space="preserve">Sheffield: Greenleaf Publishing Limited. </w:t>
      </w:r>
    </w:p>
    <w:bookmarkEnd w:id="33"/>
    <w:p w14:paraId="1A26454A"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Snowman, J. and McCown, R. (2014) </w:t>
      </w:r>
      <w:r w:rsidRPr="005D0971">
        <w:rPr>
          <w:rFonts w:ascii="Times New Roman" w:hAnsi="Times New Roman" w:cs="Times New Roman"/>
          <w:i/>
          <w:sz w:val="24"/>
          <w:szCs w:val="24"/>
        </w:rPr>
        <w:t xml:space="preserve">Psychology Applied to Teaching. </w:t>
      </w:r>
      <w:r w:rsidRPr="005D0971">
        <w:rPr>
          <w:rFonts w:ascii="Times New Roman" w:hAnsi="Times New Roman" w:cs="Times New Roman"/>
          <w:sz w:val="24"/>
          <w:szCs w:val="24"/>
        </w:rPr>
        <w:t xml:space="preserve">Stamford: Cengage Learning. </w:t>
      </w:r>
    </w:p>
    <w:p w14:paraId="493CE34E"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Srivastava, D. (2005) </w:t>
      </w:r>
      <w:r w:rsidRPr="005D0971">
        <w:rPr>
          <w:rFonts w:ascii="Times New Roman" w:hAnsi="Times New Roman" w:cs="Times New Roman"/>
          <w:i/>
          <w:sz w:val="24"/>
          <w:szCs w:val="24"/>
        </w:rPr>
        <w:t xml:space="preserve">Curriculum and Instruction. </w:t>
      </w:r>
      <w:r w:rsidRPr="005D0971">
        <w:rPr>
          <w:rFonts w:ascii="Times New Roman" w:hAnsi="Times New Roman" w:cs="Times New Roman"/>
          <w:sz w:val="24"/>
          <w:szCs w:val="24"/>
        </w:rPr>
        <w:t xml:space="preserve">Delhi: Gyan Publishing House, </w:t>
      </w:r>
    </w:p>
    <w:p w14:paraId="3FE8F363" w14:textId="77777777" w:rsidR="001C2C75" w:rsidRPr="005D0971" w:rsidRDefault="001C2C75" w:rsidP="008E32F7">
      <w:pPr>
        <w:spacing w:line="360" w:lineRule="auto"/>
        <w:jc w:val="both"/>
        <w:rPr>
          <w:rFonts w:ascii="Times New Roman" w:hAnsi="Times New Roman" w:cs="Times New Roman"/>
          <w:color w:val="000000"/>
          <w:sz w:val="24"/>
          <w:szCs w:val="24"/>
          <w:shd w:val="clear" w:color="auto" w:fill="FFFFFF"/>
        </w:rPr>
      </w:pPr>
      <w:r w:rsidRPr="005D0971">
        <w:rPr>
          <w:rFonts w:ascii="Times New Roman" w:hAnsi="Times New Roman" w:cs="Times New Roman"/>
          <w:sz w:val="24"/>
          <w:szCs w:val="24"/>
        </w:rPr>
        <w:t xml:space="preserve">Stenhouse, L. (1975) </w:t>
      </w:r>
      <w:r w:rsidRPr="005D0971">
        <w:rPr>
          <w:rFonts w:ascii="Times New Roman" w:hAnsi="Times New Roman" w:cs="Times New Roman"/>
          <w:i/>
          <w:color w:val="000000"/>
          <w:sz w:val="24"/>
          <w:szCs w:val="24"/>
          <w:shd w:val="clear" w:color="auto" w:fill="FFFFFF"/>
        </w:rPr>
        <w:t xml:space="preserve">An introduction to curriculum research and development. </w:t>
      </w:r>
      <w:r w:rsidRPr="005D0971">
        <w:rPr>
          <w:rFonts w:ascii="Times New Roman" w:hAnsi="Times New Roman" w:cs="Times New Roman"/>
          <w:color w:val="000000"/>
          <w:sz w:val="24"/>
          <w:szCs w:val="24"/>
          <w:shd w:val="clear" w:color="auto" w:fill="FFFFFF"/>
        </w:rPr>
        <w:t>London: Heinemann.</w:t>
      </w:r>
    </w:p>
    <w:p w14:paraId="66CE04D0"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Titmus, C. (2014) </w:t>
      </w:r>
      <w:r w:rsidRPr="005D0971">
        <w:rPr>
          <w:rFonts w:ascii="Times New Roman" w:hAnsi="Times New Roman" w:cs="Times New Roman"/>
          <w:i/>
          <w:sz w:val="24"/>
          <w:szCs w:val="24"/>
        </w:rPr>
        <w:t xml:space="preserve">Lifelong Education for Adults: An International Handbook. </w:t>
      </w:r>
      <w:r w:rsidRPr="005D0971">
        <w:rPr>
          <w:rFonts w:ascii="Times New Roman" w:hAnsi="Times New Roman" w:cs="Times New Roman"/>
          <w:sz w:val="24"/>
          <w:szCs w:val="24"/>
        </w:rPr>
        <w:t>Oxford:</w:t>
      </w:r>
      <w:r w:rsidRPr="005D0971">
        <w:rPr>
          <w:rFonts w:ascii="Times New Roman" w:hAnsi="Times New Roman" w:cs="Times New Roman"/>
          <w:i/>
          <w:sz w:val="24"/>
          <w:szCs w:val="24"/>
        </w:rPr>
        <w:t xml:space="preserve"> </w:t>
      </w:r>
      <w:r w:rsidRPr="005D0971">
        <w:rPr>
          <w:rFonts w:ascii="Times New Roman" w:hAnsi="Times New Roman" w:cs="Times New Roman"/>
          <w:sz w:val="24"/>
          <w:szCs w:val="24"/>
        </w:rPr>
        <w:t>Elsevier.</w:t>
      </w:r>
    </w:p>
    <w:p w14:paraId="089B9654"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Tuckman, B. and Monetti, D. (2010) </w:t>
      </w:r>
      <w:r w:rsidRPr="005D0971">
        <w:rPr>
          <w:rFonts w:ascii="Times New Roman" w:hAnsi="Times New Roman" w:cs="Times New Roman"/>
          <w:i/>
          <w:sz w:val="24"/>
          <w:szCs w:val="24"/>
        </w:rPr>
        <w:t xml:space="preserve">Educational Psychology. </w:t>
      </w:r>
      <w:r w:rsidRPr="005D0971">
        <w:rPr>
          <w:rFonts w:ascii="Times New Roman" w:hAnsi="Times New Roman" w:cs="Times New Roman"/>
          <w:sz w:val="24"/>
          <w:szCs w:val="24"/>
        </w:rPr>
        <w:t xml:space="preserve">California: Cengage Learning. </w:t>
      </w:r>
    </w:p>
    <w:p w14:paraId="53E2C42B"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Ty Mawr. (2017) ‘Award winning Business .’ Available at: </w:t>
      </w:r>
      <w:hyperlink r:id="rId15" w:history="1">
        <w:r w:rsidRPr="005D0971">
          <w:rPr>
            <w:rFonts w:ascii="Times New Roman" w:eastAsia="Calibri" w:hAnsi="Times New Roman" w:cs="Times New Roman"/>
            <w:color w:val="0563C1"/>
            <w:sz w:val="24"/>
            <w:szCs w:val="24"/>
            <w:u w:val="single"/>
          </w:rPr>
          <w:t>https://www.lime.org.uk/award-winning-business/?___store=default</w:t>
        </w:r>
      </w:hyperlink>
      <w:r w:rsidRPr="00F71822">
        <w:rPr>
          <w:rFonts w:ascii="Times New Roman" w:eastAsia="Calibri" w:hAnsi="Times New Roman" w:cs="Times New Roman"/>
          <w:sz w:val="24"/>
          <w:szCs w:val="24"/>
        </w:rPr>
        <w:t xml:space="preserve"> [Accessed: 6</w:t>
      </w:r>
      <w:r w:rsidRPr="00F71822">
        <w:rPr>
          <w:rFonts w:ascii="Times New Roman" w:eastAsia="Calibri" w:hAnsi="Times New Roman" w:cs="Times New Roman"/>
          <w:sz w:val="24"/>
          <w:szCs w:val="24"/>
          <w:vertAlign w:val="superscript"/>
        </w:rPr>
        <w:t>th</w:t>
      </w:r>
      <w:r w:rsidRPr="00F71822">
        <w:rPr>
          <w:rFonts w:ascii="Times New Roman" w:eastAsia="Calibri" w:hAnsi="Times New Roman" w:cs="Times New Roman"/>
          <w:sz w:val="24"/>
          <w:szCs w:val="24"/>
        </w:rPr>
        <w:t xml:space="preserve"> February 2018].</w:t>
      </w:r>
    </w:p>
    <w:p w14:paraId="3D8C938B"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UWTSD. (2018) ‘Mission and Vision.’ Available at: </w:t>
      </w:r>
      <w:hyperlink r:id="rId16" w:history="1">
        <w:r w:rsidRPr="005D0971">
          <w:rPr>
            <w:rStyle w:val="Hyperlink"/>
            <w:rFonts w:ascii="Times New Roman" w:hAnsi="Times New Roman" w:cs="Times New Roman"/>
            <w:sz w:val="24"/>
            <w:szCs w:val="24"/>
          </w:rPr>
          <w:t>http://www.uwtsd.ac.uk/mission/</w:t>
        </w:r>
      </w:hyperlink>
      <w:r w:rsidRPr="005D0971">
        <w:rPr>
          <w:rFonts w:ascii="Times New Roman" w:hAnsi="Times New Roman" w:cs="Times New Roman"/>
          <w:sz w:val="24"/>
          <w:szCs w:val="24"/>
        </w:rPr>
        <w:t xml:space="preserve"> [Accessed: 8</w:t>
      </w:r>
      <w:r w:rsidRPr="005D0971">
        <w:rPr>
          <w:rFonts w:ascii="Times New Roman" w:hAnsi="Times New Roman" w:cs="Times New Roman"/>
          <w:sz w:val="24"/>
          <w:szCs w:val="24"/>
          <w:vertAlign w:val="superscript"/>
        </w:rPr>
        <w:t>th</w:t>
      </w:r>
      <w:r w:rsidRPr="005D0971">
        <w:rPr>
          <w:rFonts w:ascii="Times New Roman" w:hAnsi="Times New Roman" w:cs="Times New Roman"/>
          <w:sz w:val="24"/>
          <w:szCs w:val="24"/>
        </w:rPr>
        <w:t xml:space="preserve"> February 2018].</w:t>
      </w:r>
    </w:p>
    <w:p w14:paraId="550500E1"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Visser, W. (2013) ‘THE 7 HABITS OF EFFECTIVE SUSTAINABILITY LEADERS.’ </w:t>
      </w:r>
      <w:r w:rsidRPr="00F71822">
        <w:rPr>
          <w:rFonts w:ascii="Times New Roman" w:eastAsia="Calibri" w:hAnsi="Times New Roman" w:cs="Times New Roman"/>
          <w:i/>
          <w:sz w:val="24"/>
          <w:szCs w:val="24"/>
        </w:rPr>
        <w:t xml:space="preserve">CSR International Inspiration Series. </w:t>
      </w:r>
      <w:r w:rsidRPr="00F71822">
        <w:rPr>
          <w:rFonts w:ascii="Times New Roman" w:eastAsia="Calibri" w:hAnsi="Times New Roman" w:cs="Times New Roman"/>
          <w:sz w:val="24"/>
          <w:szCs w:val="24"/>
        </w:rPr>
        <w:t>12. Pp. 1-3.</w:t>
      </w:r>
    </w:p>
    <w:p w14:paraId="3BFF9938"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Vygotsky, L. and Cole, M. (1978) </w:t>
      </w:r>
      <w:r w:rsidRPr="005D0971">
        <w:rPr>
          <w:rFonts w:ascii="Times New Roman" w:hAnsi="Times New Roman" w:cs="Times New Roman"/>
          <w:i/>
          <w:sz w:val="24"/>
          <w:szCs w:val="24"/>
        </w:rPr>
        <w:t xml:space="preserve">Mind in Society: Development of Higher Psychological Processes. </w:t>
      </w:r>
      <w:r w:rsidRPr="005D0971">
        <w:rPr>
          <w:rFonts w:ascii="Times New Roman" w:hAnsi="Times New Roman" w:cs="Times New Roman"/>
          <w:sz w:val="24"/>
          <w:szCs w:val="24"/>
        </w:rPr>
        <w:t xml:space="preserve">Harvard: Harvard University Press. </w:t>
      </w:r>
    </w:p>
    <w:p w14:paraId="57A5DF3F"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Wang, V. (2010) </w:t>
      </w:r>
      <w:r w:rsidRPr="005D0971">
        <w:rPr>
          <w:rFonts w:ascii="Times New Roman" w:hAnsi="Times New Roman" w:cs="Times New Roman"/>
          <w:i/>
          <w:sz w:val="24"/>
          <w:szCs w:val="24"/>
        </w:rPr>
        <w:t xml:space="preserve">Integrating Adult Learning and Technologies for Effective Education: Strategic Approaches: Strategic Approaches. </w:t>
      </w:r>
      <w:r w:rsidRPr="005D0971">
        <w:rPr>
          <w:rFonts w:ascii="Times New Roman" w:hAnsi="Times New Roman" w:cs="Times New Roman"/>
          <w:sz w:val="24"/>
          <w:szCs w:val="24"/>
        </w:rPr>
        <w:t xml:space="preserve">Pennsylvania: IGI Global. </w:t>
      </w:r>
    </w:p>
    <w:p w14:paraId="11724EEE"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Waring, M. and Evans, C. (2014) </w:t>
      </w:r>
      <w:r w:rsidRPr="005D0971">
        <w:rPr>
          <w:rFonts w:ascii="Times New Roman" w:hAnsi="Times New Roman" w:cs="Times New Roman"/>
          <w:i/>
          <w:sz w:val="24"/>
          <w:szCs w:val="24"/>
        </w:rPr>
        <w:t xml:space="preserve">Understanding Pedagogy: Developing a critical approach to teaching and learning. </w:t>
      </w:r>
      <w:r w:rsidRPr="005D0971">
        <w:rPr>
          <w:rFonts w:ascii="Times New Roman" w:hAnsi="Times New Roman" w:cs="Times New Roman"/>
          <w:sz w:val="24"/>
          <w:szCs w:val="24"/>
        </w:rPr>
        <w:t>Abingdon: Routledge.</w:t>
      </w:r>
    </w:p>
    <w:p w14:paraId="694AA82C" w14:textId="77777777" w:rsidR="001C2C75" w:rsidRPr="005D0971" w:rsidRDefault="001C2C75" w:rsidP="008E32F7">
      <w:pPr>
        <w:spacing w:line="360" w:lineRule="auto"/>
        <w:jc w:val="both"/>
        <w:rPr>
          <w:rFonts w:ascii="Times New Roman" w:hAnsi="Times New Roman" w:cs="Times New Roman"/>
          <w:sz w:val="24"/>
          <w:szCs w:val="24"/>
        </w:rPr>
      </w:pPr>
      <w:r w:rsidRPr="005D0971">
        <w:rPr>
          <w:rFonts w:ascii="Times New Roman" w:hAnsi="Times New Roman" w:cs="Times New Roman"/>
          <w:sz w:val="24"/>
          <w:szCs w:val="24"/>
        </w:rPr>
        <w:t xml:space="preserve">Watanabe-Crockett, L. (2016) ‘10 Innovative Formative Assessment Examples for Teachers.’ Available at: </w:t>
      </w:r>
      <w:hyperlink r:id="rId17" w:history="1">
        <w:r w:rsidRPr="005D0971">
          <w:rPr>
            <w:rStyle w:val="Hyperlink"/>
            <w:rFonts w:ascii="Times New Roman" w:hAnsi="Times New Roman" w:cs="Times New Roman"/>
            <w:sz w:val="24"/>
            <w:szCs w:val="24"/>
          </w:rPr>
          <w:t>https://globaldigitalcitizen.org/10-innovative-formative-assessment-examples</w:t>
        </w:r>
      </w:hyperlink>
      <w:r w:rsidRPr="005D0971">
        <w:rPr>
          <w:rFonts w:ascii="Times New Roman" w:hAnsi="Times New Roman" w:cs="Times New Roman"/>
          <w:sz w:val="24"/>
          <w:szCs w:val="24"/>
        </w:rPr>
        <w:t xml:space="preserve"> [Accessed: 30</w:t>
      </w:r>
      <w:r w:rsidRPr="005D0971">
        <w:rPr>
          <w:rFonts w:ascii="Times New Roman" w:hAnsi="Times New Roman" w:cs="Times New Roman"/>
          <w:sz w:val="24"/>
          <w:szCs w:val="24"/>
          <w:vertAlign w:val="superscript"/>
        </w:rPr>
        <w:t>th</w:t>
      </w:r>
      <w:r w:rsidRPr="005D0971">
        <w:rPr>
          <w:rFonts w:ascii="Times New Roman" w:hAnsi="Times New Roman" w:cs="Times New Roman"/>
          <w:sz w:val="24"/>
          <w:szCs w:val="24"/>
        </w:rPr>
        <w:t xml:space="preserve"> January 2018].</w:t>
      </w:r>
    </w:p>
    <w:p w14:paraId="70228429" w14:textId="77777777" w:rsidR="001C2C75" w:rsidRPr="00F71822" w:rsidRDefault="001C2C75" w:rsidP="008E32F7">
      <w:pPr>
        <w:spacing w:line="360" w:lineRule="auto"/>
        <w:jc w:val="both"/>
        <w:rPr>
          <w:rFonts w:ascii="Times New Roman" w:eastAsia="Calibri" w:hAnsi="Times New Roman" w:cs="Times New Roman"/>
          <w:sz w:val="24"/>
          <w:szCs w:val="24"/>
        </w:rPr>
      </w:pPr>
      <w:r w:rsidRPr="00F71822">
        <w:rPr>
          <w:rFonts w:ascii="Times New Roman" w:eastAsia="Calibri" w:hAnsi="Times New Roman" w:cs="Times New Roman"/>
          <w:sz w:val="24"/>
          <w:szCs w:val="24"/>
        </w:rPr>
        <w:t xml:space="preserve">West, K. (2014) ‘Selvedge job: jeans company helps Welsh town get back in its stride.’ Available at: </w:t>
      </w:r>
      <w:hyperlink r:id="rId18" w:history="1">
        <w:r w:rsidRPr="005D0971">
          <w:rPr>
            <w:rFonts w:ascii="Times New Roman" w:eastAsia="Calibri" w:hAnsi="Times New Roman" w:cs="Times New Roman"/>
            <w:color w:val="0563C1"/>
            <w:sz w:val="24"/>
            <w:szCs w:val="24"/>
            <w:u w:val="single"/>
          </w:rPr>
          <w:t>https://www.theguardian.com/business/2014/feb/11/selvedge-jeans-company-welsh-town</w:t>
        </w:r>
      </w:hyperlink>
      <w:r w:rsidRPr="00F71822">
        <w:rPr>
          <w:rFonts w:ascii="Times New Roman" w:eastAsia="Calibri" w:hAnsi="Times New Roman" w:cs="Times New Roman"/>
          <w:sz w:val="24"/>
          <w:szCs w:val="24"/>
        </w:rPr>
        <w:t xml:space="preserve"> [Accessed: 6</w:t>
      </w:r>
      <w:r w:rsidRPr="00F71822">
        <w:rPr>
          <w:rFonts w:ascii="Times New Roman" w:eastAsia="Calibri" w:hAnsi="Times New Roman" w:cs="Times New Roman"/>
          <w:sz w:val="24"/>
          <w:szCs w:val="24"/>
          <w:vertAlign w:val="superscript"/>
        </w:rPr>
        <w:t>th</w:t>
      </w:r>
      <w:r w:rsidRPr="00F71822">
        <w:rPr>
          <w:rFonts w:ascii="Times New Roman" w:eastAsia="Calibri" w:hAnsi="Times New Roman" w:cs="Times New Roman"/>
          <w:sz w:val="24"/>
          <w:szCs w:val="24"/>
        </w:rPr>
        <w:t xml:space="preserve"> February 2018].</w:t>
      </w:r>
    </w:p>
    <w:p w14:paraId="22081BDE" w14:textId="77777777" w:rsidR="006D7EEE" w:rsidRPr="006D7EEE" w:rsidRDefault="006D7EEE" w:rsidP="006D7EEE"/>
    <w:p w14:paraId="3AE7C75D" w14:textId="2859CED4" w:rsidR="00FB27EA" w:rsidRDefault="00FB27EA" w:rsidP="00EA4728">
      <w:pPr>
        <w:pStyle w:val="Heading1"/>
      </w:pPr>
      <w:bookmarkStart w:id="34" w:name="_Toc506548501"/>
      <w:r>
        <w:t>Appendices</w:t>
      </w:r>
      <w:bookmarkEnd w:id="34"/>
    </w:p>
    <w:p w14:paraId="18606AF8" w14:textId="45F4584D" w:rsidR="00815ABC" w:rsidRDefault="00815ABC" w:rsidP="00815ABC"/>
    <w:p w14:paraId="3CBCA3BE" w14:textId="77777777" w:rsidR="00815ABC" w:rsidRDefault="00815ABC" w:rsidP="00815ABC">
      <w:r>
        <w:t>The following table highlights the areas that this programme achieves within each of the Frameworks aforementioned;</w:t>
      </w:r>
    </w:p>
    <w:p w14:paraId="2BE28717" w14:textId="77777777" w:rsidR="00815ABC" w:rsidRDefault="00815ABC" w:rsidP="00815ABC">
      <w:pPr>
        <w:rPr>
          <w:b/>
          <w:u w:val="single"/>
        </w:rPr>
      </w:pPr>
      <w:r>
        <w:rPr>
          <w:b/>
          <w:u w:val="single"/>
        </w:rPr>
        <w:t>QAA Framework for Higher Education Qualifications of UK Degree-Awarding Bodies</w:t>
      </w:r>
    </w:p>
    <w:p w14:paraId="2C6559BE" w14:textId="77777777" w:rsidR="00815ABC" w:rsidRDefault="00815ABC" w:rsidP="00815ABC">
      <w:r>
        <w:t>The Sustainability Leadership programme adheres to the descriptor for Level 6 (points 4.15 within the document) as follows:</w:t>
      </w:r>
    </w:p>
    <w:p w14:paraId="4730A670" w14:textId="77777777" w:rsidR="00815ABC" w:rsidRPr="00946399" w:rsidRDefault="00815ABC" w:rsidP="00815ABC">
      <w:r>
        <w:rPr>
          <w:noProof/>
          <w:lang w:eastAsia="en-GB"/>
        </w:rPr>
        <w:drawing>
          <wp:inline distT="0" distB="0" distL="0" distR="0" wp14:anchorId="3E0EC747" wp14:editId="57FFC7A8">
            <wp:extent cx="6019800" cy="5139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29221" cy="5147098"/>
                    </a:xfrm>
                    <a:prstGeom prst="rect">
                      <a:avLst/>
                    </a:prstGeom>
                  </pic:spPr>
                </pic:pic>
              </a:graphicData>
            </a:graphic>
          </wp:inline>
        </w:drawing>
      </w:r>
    </w:p>
    <w:p w14:paraId="306DFD6A" w14:textId="77777777" w:rsidR="00815ABC" w:rsidRDefault="00815ABC" w:rsidP="00815ABC">
      <w:pPr>
        <w:rPr>
          <w:b/>
          <w:u w:val="single"/>
        </w:rPr>
      </w:pPr>
      <w:r>
        <w:rPr>
          <w:b/>
          <w:u w:val="single"/>
        </w:rPr>
        <w:t>Business and Management Subject Benchmark</w:t>
      </w:r>
    </w:p>
    <w:p w14:paraId="069FA679" w14:textId="77777777" w:rsidR="00815ABC" w:rsidRDefault="00815ABC" w:rsidP="00815ABC">
      <w:pPr>
        <w:rPr>
          <w:b/>
          <w:u w:val="single"/>
        </w:rPr>
      </w:pPr>
    </w:p>
    <w:p w14:paraId="35C23711" w14:textId="77777777" w:rsidR="00815ABC" w:rsidRDefault="00815ABC" w:rsidP="00815ABC">
      <w:r>
        <w:t>This programme achieves the following standards in accordance with the QAA Subject Benchmark Statement for Business and Management;</w:t>
      </w:r>
    </w:p>
    <w:p w14:paraId="76C7491C" w14:textId="77777777" w:rsidR="00815ABC" w:rsidRDefault="00815ABC" w:rsidP="00815ABC"/>
    <w:tbl>
      <w:tblPr>
        <w:tblStyle w:val="TableGrid"/>
        <w:tblW w:w="0" w:type="auto"/>
        <w:tblLook w:val="04A0" w:firstRow="1" w:lastRow="0" w:firstColumn="1" w:lastColumn="0" w:noHBand="0" w:noVBand="1"/>
      </w:tblPr>
      <w:tblGrid>
        <w:gridCol w:w="9016"/>
      </w:tblGrid>
      <w:tr w:rsidR="00815ABC" w14:paraId="573DB9F7" w14:textId="77777777" w:rsidTr="001B3899">
        <w:tc>
          <w:tcPr>
            <w:tcW w:w="9016" w:type="dxa"/>
          </w:tcPr>
          <w:p w14:paraId="564CB161" w14:textId="77777777" w:rsidR="00815ABC" w:rsidRDefault="00815ABC" w:rsidP="001B3899">
            <w:r>
              <w:t>2.1 Preparation for and development of a career in business and management</w:t>
            </w:r>
          </w:p>
        </w:tc>
      </w:tr>
      <w:tr w:rsidR="00815ABC" w14:paraId="7F7D2A24" w14:textId="77777777" w:rsidTr="001B3899">
        <w:tc>
          <w:tcPr>
            <w:tcW w:w="9016" w:type="dxa"/>
          </w:tcPr>
          <w:p w14:paraId="76142FDD" w14:textId="77777777" w:rsidR="00815ABC" w:rsidRDefault="00815ABC" w:rsidP="001B3899">
            <w:r>
              <w:t>3.2 Graduates should be able to demonstrate relevant knowledge and understanding of organisations, the business environment in which they operate and their management. Programmes emphasise understanding, responding and shaping the dynamic and changing nature of business and the consideration of the future of organisations within the global business environment, including the management of risk.</w:t>
            </w:r>
          </w:p>
        </w:tc>
      </w:tr>
      <w:tr w:rsidR="00815ABC" w14:paraId="02FB07AF" w14:textId="77777777" w:rsidTr="001B3899">
        <w:tc>
          <w:tcPr>
            <w:tcW w:w="9016" w:type="dxa"/>
          </w:tcPr>
          <w:p w14:paraId="7FC6A6D4" w14:textId="77777777" w:rsidR="00815ABC" w:rsidRDefault="00815ABC" w:rsidP="001B3899">
            <w:r>
              <w:t>3.4 Organisations: this encompasses the internal aspects, functions and processes of organisations including their diverse nature, purposes, structures, size/scale, governance, operations and management, together with the individual and corporate behaviours and cultures which exist within and between different organisations and their influence upon the external environment.</w:t>
            </w:r>
          </w:p>
        </w:tc>
      </w:tr>
      <w:tr w:rsidR="00815ABC" w14:paraId="2296288E" w14:textId="77777777" w:rsidTr="001B3899">
        <w:tc>
          <w:tcPr>
            <w:tcW w:w="9016" w:type="dxa"/>
          </w:tcPr>
          <w:p w14:paraId="73627101" w14:textId="77777777" w:rsidR="00815ABC" w:rsidRDefault="00815ABC" w:rsidP="001B3899">
            <w:r>
              <w:t>3.5 The business environment: this encompasses the fast pace of change within a wide range of factors, including economic, environmental, cultural, ethical, legal and regulatory, political, sociological, digital and technological, together with their effects at local, national and global levels upon the strategy, behaviour, management and sustainability of organisations.</w:t>
            </w:r>
          </w:p>
        </w:tc>
      </w:tr>
      <w:tr w:rsidR="00815ABC" w14:paraId="610AA0F6" w14:textId="77777777" w:rsidTr="001B3899">
        <w:tc>
          <w:tcPr>
            <w:tcW w:w="9016" w:type="dxa"/>
          </w:tcPr>
          <w:p w14:paraId="759E9D6F" w14:textId="77777777" w:rsidR="00815ABC" w:rsidRDefault="00815ABC" w:rsidP="001B3899">
            <w:r>
              <w:t>3.6 Management: this encompasses the various processes, procedures and practices for effective management of organisations. It includes theories, models, frameworks, tasks and roles of management, including the management of people and corporate social responsibility, together with rational analysis and other processes of decision making within different organisations</w:t>
            </w:r>
          </w:p>
        </w:tc>
      </w:tr>
      <w:tr w:rsidR="00815ABC" w14:paraId="70718DB2" w14:textId="77777777" w:rsidTr="001B3899">
        <w:tc>
          <w:tcPr>
            <w:tcW w:w="9016" w:type="dxa"/>
          </w:tcPr>
          <w:p w14:paraId="6FCDDE19" w14:textId="77777777" w:rsidR="00815ABC" w:rsidRDefault="00815ABC" w:rsidP="001B3899">
            <w:r>
              <w:t>3.7</w:t>
            </w:r>
          </w:p>
          <w:p w14:paraId="47CE5207" w14:textId="77777777" w:rsidR="00815ABC" w:rsidRDefault="00815ABC" w:rsidP="001B3899">
            <w:pPr>
              <w:pStyle w:val="ListParagraph"/>
              <w:numPr>
                <w:ilvl w:val="0"/>
                <w:numId w:val="1"/>
              </w:numPr>
            </w:pPr>
            <w:r>
              <w:t xml:space="preserve">People: leadership, management and development of people and organisations including the implications of the legal context. </w:t>
            </w:r>
          </w:p>
          <w:p w14:paraId="512DB494" w14:textId="77777777" w:rsidR="00815ABC" w:rsidRDefault="00815ABC" w:rsidP="001B3899">
            <w:pPr>
              <w:pStyle w:val="ListParagraph"/>
              <w:numPr>
                <w:ilvl w:val="0"/>
                <w:numId w:val="1"/>
              </w:numPr>
            </w:pPr>
            <w:r>
              <w:t xml:space="preserve"> Organisational behaviour: design, development of organisations, including cross-cultural issues, change, diversity and values</w:t>
            </w:r>
          </w:p>
          <w:p w14:paraId="61756A08" w14:textId="77777777" w:rsidR="00815ABC" w:rsidRDefault="00815ABC" w:rsidP="001B3899">
            <w:pPr>
              <w:pStyle w:val="ListParagraph"/>
              <w:numPr>
                <w:ilvl w:val="0"/>
                <w:numId w:val="1"/>
              </w:numPr>
            </w:pPr>
            <w:r>
              <w:t>Social responsibility: the need for individuals and organisations to manage responsibly and behave ethically in relation to social, cultural, economic and environmental issues.</w:t>
            </w:r>
          </w:p>
        </w:tc>
      </w:tr>
      <w:tr w:rsidR="00815ABC" w14:paraId="2907D95F" w14:textId="77777777" w:rsidTr="001B3899">
        <w:tc>
          <w:tcPr>
            <w:tcW w:w="9016" w:type="dxa"/>
          </w:tcPr>
          <w:p w14:paraId="4F55C8DE" w14:textId="77777777" w:rsidR="00815ABC" w:rsidRDefault="00815ABC" w:rsidP="001B3899">
            <w:r>
              <w:t>3.8 Business and management degrees are strongly related to practice and therefore provide a clear link between the development of relevant skills and employability of graduates.</w:t>
            </w:r>
          </w:p>
        </w:tc>
      </w:tr>
      <w:tr w:rsidR="00815ABC" w14:paraId="7C50C7B9" w14:textId="77777777" w:rsidTr="001B3899">
        <w:tc>
          <w:tcPr>
            <w:tcW w:w="9016" w:type="dxa"/>
          </w:tcPr>
          <w:p w14:paraId="2D2ADA7E" w14:textId="77777777" w:rsidR="00815ABC" w:rsidRDefault="00815ABC" w:rsidP="001B3899">
            <w:r>
              <w:t xml:space="preserve">3.9 </w:t>
            </w:r>
          </w:p>
          <w:p w14:paraId="600CEA77" w14:textId="77777777" w:rsidR="00815ABC" w:rsidRDefault="00815ABC" w:rsidP="001B3899">
            <w:pPr>
              <w:pStyle w:val="ListParagraph"/>
              <w:numPr>
                <w:ilvl w:val="0"/>
                <w:numId w:val="4"/>
              </w:numPr>
            </w:pPr>
            <w:r w:rsidRPr="003D53ED">
              <w:t>People management: to include communications, team building, leadership and motivating others.</w:t>
            </w:r>
          </w:p>
          <w:p w14:paraId="6A8BB723" w14:textId="77777777" w:rsidR="00815ABC" w:rsidRDefault="00815ABC" w:rsidP="001B3899">
            <w:pPr>
              <w:pStyle w:val="ListParagraph"/>
              <w:numPr>
                <w:ilvl w:val="0"/>
                <w:numId w:val="3"/>
              </w:numPr>
            </w:pPr>
            <w:r w:rsidRPr="003D53ED">
              <w:t xml:space="preserve">Problem solving and critical analysis: analysing facts and circumstances to determine the cause of a problem and identifying and selecting appropriate solutions. </w:t>
            </w:r>
          </w:p>
          <w:p w14:paraId="0CFDA6BD" w14:textId="77777777" w:rsidR="00815ABC" w:rsidRDefault="00815ABC" w:rsidP="001B3899">
            <w:pPr>
              <w:pStyle w:val="ListParagraph"/>
              <w:numPr>
                <w:ilvl w:val="0"/>
                <w:numId w:val="2"/>
              </w:numPr>
            </w:pPr>
            <w:r w:rsidRPr="003D53ED">
              <w:t xml:space="preserve">Research: the ability to analyse and evaluate a range of business data, sources of information and appropriate methodologies, which includes the need for strong digital literacy, and to use that research for evidence-based decision-making. </w:t>
            </w:r>
          </w:p>
          <w:p w14:paraId="79F25F26" w14:textId="77777777" w:rsidR="00815ABC" w:rsidRDefault="00815ABC" w:rsidP="001B3899">
            <w:pPr>
              <w:pStyle w:val="ListParagraph"/>
              <w:numPr>
                <w:ilvl w:val="0"/>
                <w:numId w:val="2"/>
              </w:numPr>
            </w:pPr>
            <w:r>
              <w:t>Innovation, creativity and enterprise: the ability to act entrepreneurially to generate, develop and communicate ideas, manage and exploit intellectual property, gain support, and deliver successful outcomes.</w:t>
            </w:r>
          </w:p>
          <w:p w14:paraId="62392160" w14:textId="77777777" w:rsidR="00815ABC" w:rsidRDefault="00815ABC" w:rsidP="001B3899">
            <w:pPr>
              <w:pStyle w:val="ListParagraph"/>
              <w:numPr>
                <w:ilvl w:val="0"/>
                <w:numId w:val="2"/>
              </w:numPr>
            </w:pPr>
            <w:r>
              <w:t>Networking: an awareness of the interpersonal skills of effective listening, negotiating, persuasion and presentation and their use in generating business contacts.</w:t>
            </w:r>
          </w:p>
          <w:p w14:paraId="44C2415B" w14:textId="77777777" w:rsidR="00815ABC" w:rsidRDefault="00815ABC" w:rsidP="001B3899">
            <w:pPr>
              <w:pStyle w:val="ListParagraph"/>
              <w:numPr>
                <w:ilvl w:val="0"/>
                <w:numId w:val="2"/>
              </w:numPr>
            </w:pPr>
            <w:r>
              <w:t>Ability to work collaboratively both internally and with external customers and an</w:t>
            </w:r>
          </w:p>
          <w:p w14:paraId="6B5225F5" w14:textId="77777777" w:rsidR="00815ABC" w:rsidRDefault="00815ABC" w:rsidP="001B3899">
            <w:pPr>
              <w:pStyle w:val="ListParagraph"/>
            </w:pPr>
            <w:r>
              <w:t>awareness of mutual interdependence.</w:t>
            </w:r>
          </w:p>
          <w:p w14:paraId="49872968" w14:textId="77777777" w:rsidR="00815ABC" w:rsidRDefault="00815ABC" w:rsidP="001B3899">
            <w:pPr>
              <w:pStyle w:val="ListParagraph"/>
              <w:numPr>
                <w:ilvl w:val="0"/>
                <w:numId w:val="2"/>
              </w:numPr>
            </w:pPr>
            <w:r>
              <w:t>Ability to work with people from a range of cultures.</w:t>
            </w:r>
          </w:p>
          <w:p w14:paraId="614C48EE" w14:textId="77777777" w:rsidR="00815ABC" w:rsidRDefault="00815ABC" w:rsidP="001B3899">
            <w:pPr>
              <w:pStyle w:val="ListParagraph"/>
              <w:numPr>
                <w:ilvl w:val="0"/>
                <w:numId w:val="2"/>
              </w:numPr>
            </w:pPr>
            <w:r>
              <w:t>Articulating and effectively explaining information.</w:t>
            </w:r>
          </w:p>
          <w:p w14:paraId="4696BD9C" w14:textId="77777777" w:rsidR="00815ABC" w:rsidRDefault="00815ABC" w:rsidP="001B3899">
            <w:pPr>
              <w:pStyle w:val="ListParagraph"/>
              <w:numPr>
                <w:ilvl w:val="0"/>
                <w:numId w:val="2"/>
              </w:numPr>
            </w:pPr>
            <w:r>
              <w:t>Building and maintaining relationships.</w:t>
            </w:r>
          </w:p>
          <w:p w14:paraId="1FF4D9C6" w14:textId="77777777" w:rsidR="00815ABC" w:rsidRDefault="00815ABC" w:rsidP="001B3899">
            <w:pPr>
              <w:pStyle w:val="ListParagraph"/>
            </w:pPr>
            <w:r>
              <w:t xml:space="preserve"> Communication and listening including the ability to produce clear, structured</w:t>
            </w:r>
          </w:p>
          <w:p w14:paraId="0F533B14" w14:textId="77777777" w:rsidR="00815ABC" w:rsidRDefault="00815ABC" w:rsidP="001B3899">
            <w:pPr>
              <w:pStyle w:val="ListParagraph"/>
            </w:pPr>
            <w:r>
              <w:t>business communications in a variety of media.</w:t>
            </w:r>
          </w:p>
          <w:p w14:paraId="070E1FF2" w14:textId="77777777" w:rsidR="00815ABC" w:rsidRDefault="00815ABC" w:rsidP="001B3899">
            <w:pPr>
              <w:pStyle w:val="ListParagraph"/>
              <w:numPr>
                <w:ilvl w:val="0"/>
                <w:numId w:val="2"/>
              </w:numPr>
            </w:pPr>
            <w:r>
              <w:t>Emotional intelligence and empathy.</w:t>
            </w:r>
          </w:p>
          <w:p w14:paraId="43EC4ACD" w14:textId="77777777" w:rsidR="00815ABC" w:rsidRDefault="00815ABC" w:rsidP="001B3899">
            <w:pPr>
              <w:pStyle w:val="ListParagraph"/>
            </w:pPr>
            <w:r>
              <w:t xml:space="preserve"> Conceptual and critical thinking, analysis, synthesis and evaluation.</w:t>
            </w:r>
          </w:p>
          <w:p w14:paraId="5AFE63AD" w14:textId="77777777" w:rsidR="00815ABC" w:rsidRDefault="00815ABC" w:rsidP="001B3899">
            <w:pPr>
              <w:pStyle w:val="ListParagraph"/>
              <w:numPr>
                <w:ilvl w:val="0"/>
                <w:numId w:val="2"/>
              </w:numPr>
            </w:pPr>
            <w:r>
              <w:t>Self-management: a readiness to accept responsibility and flexibility, to be resilient,</w:t>
            </w:r>
          </w:p>
          <w:p w14:paraId="6C42CF71" w14:textId="77777777" w:rsidR="00815ABC" w:rsidRDefault="00815ABC" w:rsidP="001B3899">
            <w:pPr>
              <w:pStyle w:val="ListParagraph"/>
            </w:pPr>
            <w:r>
              <w:t>self-starting and appropriately assertive, to plan, organise and manage time.</w:t>
            </w:r>
          </w:p>
          <w:p w14:paraId="5A1D1BF5" w14:textId="64A849DE" w:rsidR="00815ABC" w:rsidRDefault="008E32F7" w:rsidP="001B3899">
            <w:pPr>
              <w:pStyle w:val="ListParagraph"/>
              <w:numPr>
                <w:ilvl w:val="0"/>
                <w:numId w:val="2"/>
              </w:numPr>
            </w:pPr>
            <w:r>
              <w:t>Self-reflection</w:t>
            </w:r>
            <w:r w:rsidR="00815ABC">
              <w:t>: self-analysis and an awareness/sensitivity to diversity in terms of</w:t>
            </w:r>
          </w:p>
          <w:p w14:paraId="29C6743A" w14:textId="77777777" w:rsidR="00815ABC" w:rsidRDefault="00815ABC" w:rsidP="001B3899">
            <w:pPr>
              <w:pStyle w:val="ListParagraph"/>
            </w:pPr>
            <w:r>
              <w:t>people and cultures. This includes a continuing appetite for development.</w:t>
            </w:r>
          </w:p>
          <w:p w14:paraId="3D658FF7" w14:textId="77777777" w:rsidR="00815ABC" w:rsidRDefault="00815ABC" w:rsidP="001B3899"/>
        </w:tc>
      </w:tr>
      <w:tr w:rsidR="00815ABC" w14:paraId="3DBD4A69" w14:textId="77777777" w:rsidTr="001B3899">
        <w:tc>
          <w:tcPr>
            <w:tcW w:w="9016" w:type="dxa"/>
          </w:tcPr>
          <w:p w14:paraId="420B11F9" w14:textId="77777777" w:rsidR="00815ABC" w:rsidRDefault="00815ABC" w:rsidP="001B3899">
            <w:r>
              <w:t>3.10 Programmes covered by these standards address issues at national and international business levels. Where specific emphasis is placed upon the international context, for example, in the title of a programme, the programme enables graduates to develop and demonstrate appropriate business and cultural understanding. Where appropriate, foreign language capability and business and cultural awareness are also developed prior to periods of work or study abroad.</w:t>
            </w:r>
          </w:p>
        </w:tc>
      </w:tr>
      <w:tr w:rsidR="00815ABC" w14:paraId="1F560E5B" w14:textId="77777777" w:rsidTr="001B3899">
        <w:tc>
          <w:tcPr>
            <w:tcW w:w="9016" w:type="dxa"/>
          </w:tcPr>
          <w:p w14:paraId="21DC6687" w14:textId="77777777" w:rsidR="00815ABC" w:rsidRDefault="00815ABC" w:rsidP="001B3899">
            <w:r>
              <w:t>4.1 Business and management degrees are diverse qualifications that may give emphasis to a particular function, context, ethos, skill-set, or analytical approach. Similarly these qualifications may be heavily practice-based, or more conventionally academic. The emphasis or breadth of coverage is explicit in the intended learning outcomes, along with the expectations of wider skill development. The teaching, learning and assessment strategy is appropriate to the specific nature of a programme.</w:t>
            </w:r>
          </w:p>
        </w:tc>
      </w:tr>
      <w:tr w:rsidR="00815ABC" w14:paraId="71777446" w14:textId="77777777" w:rsidTr="001B3899">
        <w:tc>
          <w:tcPr>
            <w:tcW w:w="9016" w:type="dxa"/>
          </w:tcPr>
          <w:p w14:paraId="43716D35" w14:textId="77777777" w:rsidR="00815ABC" w:rsidRDefault="00815ABC" w:rsidP="001B3899">
            <w:r>
              <w:t>4.2 Programmes integrate theory and practice by a variety of means according to the mode of delivery (and intended learning outcomes). They provide inputs to student learning from practicing managers, entrepreneurs and other stakeholders through curriculum development, guest lectures, and in supporting assessment.</w:t>
            </w:r>
          </w:p>
        </w:tc>
      </w:tr>
      <w:tr w:rsidR="00815ABC" w14:paraId="3F785C29" w14:textId="77777777" w:rsidTr="001B3899">
        <w:tc>
          <w:tcPr>
            <w:tcW w:w="9016" w:type="dxa"/>
          </w:tcPr>
          <w:p w14:paraId="0EB4A276" w14:textId="77777777" w:rsidR="00815ABC" w:rsidRDefault="00815ABC" w:rsidP="001B3899">
            <w:r>
              <w:t>4.3 Teaching methods and situations are appropriate and supportive, inclusive in design and engage students. They need to take account of the diverse learning and teaching cultures that students may have experienced and provide opportunities for students to understand and appreciate the global context in which they will be operating. They may include face to face, blended or distance learning and make good use of supporting technology to aid student learning. Independent of mode of delivery, teaching in business and management includes some combination of:</w:t>
            </w:r>
          </w:p>
          <w:p w14:paraId="42C93440" w14:textId="77777777" w:rsidR="00815ABC" w:rsidRDefault="00815ABC" w:rsidP="001B3899">
            <w:pPr>
              <w:pStyle w:val="ListParagraph"/>
              <w:numPr>
                <w:ilvl w:val="0"/>
                <w:numId w:val="2"/>
              </w:numPr>
            </w:pPr>
            <w:r>
              <w:t>Lectures</w:t>
            </w:r>
          </w:p>
          <w:p w14:paraId="3BE65B9C" w14:textId="77777777" w:rsidR="00815ABC" w:rsidRDefault="00815ABC" w:rsidP="001B3899">
            <w:pPr>
              <w:pStyle w:val="ListParagraph"/>
              <w:numPr>
                <w:ilvl w:val="0"/>
                <w:numId w:val="2"/>
              </w:numPr>
            </w:pPr>
            <w:r>
              <w:t>Seminars</w:t>
            </w:r>
          </w:p>
          <w:p w14:paraId="0F5539C7" w14:textId="77777777" w:rsidR="00815ABC" w:rsidRDefault="00815ABC" w:rsidP="001B3899">
            <w:pPr>
              <w:pStyle w:val="ListParagraph"/>
              <w:numPr>
                <w:ilvl w:val="0"/>
                <w:numId w:val="2"/>
              </w:numPr>
            </w:pPr>
            <w:r>
              <w:t>Workshops</w:t>
            </w:r>
          </w:p>
          <w:p w14:paraId="5396536B" w14:textId="77777777" w:rsidR="00815ABC" w:rsidRDefault="00815ABC" w:rsidP="001B3899">
            <w:pPr>
              <w:pStyle w:val="ListParagraph"/>
              <w:numPr>
                <w:ilvl w:val="0"/>
                <w:numId w:val="2"/>
              </w:numPr>
            </w:pPr>
            <w:r>
              <w:t>Employer or organisation-based case studies</w:t>
            </w:r>
          </w:p>
          <w:p w14:paraId="490B1EB1" w14:textId="77777777" w:rsidR="00815ABC" w:rsidRDefault="00815ABC" w:rsidP="001B3899">
            <w:pPr>
              <w:pStyle w:val="ListParagraph"/>
              <w:numPr>
                <w:ilvl w:val="0"/>
                <w:numId w:val="2"/>
              </w:numPr>
            </w:pPr>
            <w:r>
              <w:t>Guided learning</w:t>
            </w:r>
          </w:p>
          <w:p w14:paraId="4AA53894" w14:textId="77777777" w:rsidR="00815ABC" w:rsidRDefault="00815ABC" w:rsidP="001B3899">
            <w:pPr>
              <w:pStyle w:val="ListParagraph"/>
              <w:numPr>
                <w:ilvl w:val="0"/>
                <w:numId w:val="2"/>
              </w:numPr>
            </w:pPr>
            <w:r>
              <w:t>Discussion groups</w:t>
            </w:r>
          </w:p>
        </w:tc>
      </w:tr>
      <w:tr w:rsidR="00815ABC" w14:paraId="14EB059B" w14:textId="77777777" w:rsidTr="001B3899">
        <w:tc>
          <w:tcPr>
            <w:tcW w:w="9016" w:type="dxa"/>
          </w:tcPr>
          <w:p w14:paraId="077454EF" w14:textId="77777777" w:rsidR="00815ABC" w:rsidRDefault="00815ABC" w:rsidP="001B3899">
            <w:r>
              <w:t>4.5 Programmes reflect the consideration given to the appropriateness of authentic versus more conventional academic assessment, and how this can engage the student.</w:t>
            </w:r>
          </w:p>
        </w:tc>
      </w:tr>
      <w:tr w:rsidR="00815ABC" w14:paraId="780B0644" w14:textId="77777777" w:rsidTr="001B3899">
        <w:tc>
          <w:tcPr>
            <w:tcW w:w="9016" w:type="dxa"/>
          </w:tcPr>
          <w:p w14:paraId="1742C84E" w14:textId="77777777" w:rsidR="00815ABC" w:rsidRDefault="00815ABC" w:rsidP="001B3899">
            <w:r>
              <w:t>4.6 Creative authentic assessment is encouraged, particularly where it maximises the learning in a particular context (for example in international group work).</w:t>
            </w:r>
          </w:p>
        </w:tc>
      </w:tr>
    </w:tbl>
    <w:p w14:paraId="59FC45CE" w14:textId="77777777" w:rsidR="00815ABC" w:rsidRPr="008B308F" w:rsidRDefault="00815ABC" w:rsidP="00815ABC"/>
    <w:p w14:paraId="49EC6241" w14:textId="77777777" w:rsidR="00815ABC" w:rsidRPr="00815ABC" w:rsidRDefault="00815ABC" w:rsidP="00815ABC"/>
    <w:sectPr w:rsidR="00815ABC" w:rsidRPr="00815ABC" w:rsidSect="001631BC">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3664D"/>
    <w:multiLevelType w:val="hybridMultilevel"/>
    <w:tmpl w:val="D76E31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122F4A55"/>
    <w:multiLevelType w:val="hybridMultilevel"/>
    <w:tmpl w:val="E6FC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20D85"/>
    <w:multiLevelType w:val="hybridMultilevel"/>
    <w:tmpl w:val="4F247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47283"/>
    <w:multiLevelType w:val="hybridMultilevel"/>
    <w:tmpl w:val="9D146DE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728"/>
    <w:rsid w:val="00021080"/>
    <w:rsid w:val="0007318E"/>
    <w:rsid w:val="001631BC"/>
    <w:rsid w:val="001C2C75"/>
    <w:rsid w:val="00236B41"/>
    <w:rsid w:val="00321A80"/>
    <w:rsid w:val="00395F93"/>
    <w:rsid w:val="00465A2A"/>
    <w:rsid w:val="00564EE2"/>
    <w:rsid w:val="005D084B"/>
    <w:rsid w:val="005D0971"/>
    <w:rsid w:val="00627929"/>
    <w:rsid w:val="006D7EEE"/>
    <w:rsid w:val="006E47F8"/>
    <w:rsid w:val="007D07C3"/>
    <w:rsid w:val="00815ABC"/>
    <w:rsid w:val="008C6391"/>
    <w:rsid w:val="008E32F7"/>
    <w:rsid w:val="009020F5"/>
    <w:rsid w:val="00A55396"/>
    <w:rsid w:val="00AA1B72"/>
    <w:rsid w:val="00BE244F"/>
    <w:rsid w:val="00D276B6"/>
    <w:rsid w:val="00EA4728"/>
    <w:rsid w:val="00EB4E5E"/>
    <w:rsid w:val="00F71822"/>
    <w:rsid w:val="00F77D29"/>
    <w:rsid w:val="00FB2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51163"/>
  <w15:chartTrackingRefBased/>
  <w15:docId w15:val="{C668F4C8-98B8-4315-9BD4-B47C84389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7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47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A47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7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A47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A472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15A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5ABC"/>
    <w:pPr>
      <w:ind w:left="720"/>
      <w:contextualSpacing/>
    </w:pPr>
  </w:style>
  <w:style w:type="character" w:styleId="Hyperlink">
    <w:name w:val="Hyperlink"/>
    <w:basedOn w:val="DefaultParagraphFont"/>
    <w:uiPriority w:val="99"/>
    <w:unhideWhenUsed/>
    <w:rsid w:val="006D7EEE"/>
    <w:rPr>
      <w:color w:val="0563C1" w:themeColor="hyperlink"/>
      <w:u w:val="single"/>
    </w:rPr>
  </w:style>
  <w:style w:type="character" w:styleId="UnresolvedMention">
    <w:name w:val="Unresolved Mention"/>
    <w:basedOn w:val="DefaultParagraphFont"/>
    <w:uiPriority w:val="99"/>
    <w:semiHidden/>
    <w:unhideWhenUsed/>
    <w:rsid w:val="00BE244F"/>
    <w:rPr>
      <w:color w:val="808080"/>
      <w:shd w:val="clear" w:color="auto" w:fill="E6E6E6"/>
    </w:rPr>
  </w:style>
  <w:style w:type="paragraph" w:styleId="TOCHeading">
    <w:name w:val="TOC Heading"/>
    <w:basedOn w:val="Heading1"/>
    <w:next w:val="Normal"/>
    <w:uiPriority w:val="39"/>
    <w:unhideWhenUsed/>
    <w:qFormat/>
    <w:rsid w:val="001631BC"/>
    <w:pPr>
      <w:outlineLvl w:val="9"/>
    </w:pPr>
    <w:rPr>
      <w:lang w:val="en-US"/>
    </w:rPr>
  </w:style>
  <w:style w:type="paragraph" w:styleId="TOC1">
    <w:name w:val="toc 1"/>
    <w:basedOn w:val="Normal"/>
    <w:next w:val="Normal"/>
    <w:autoRedefine/>
    <w:uiPriority w:val="39"/>
    <w:unhideWhenUsed/>
    <w:rsid w:val="001631BC"/>
    <w:pPr>
      <w:spacing w:after="100"/>
    </w:pPr>
  </w:style>
  <w:style w:type="paragraph" w:styleId="TOC2">
    <w:name w:val="toc 2"/>
    <w:basedOn w:val="Normal"/>
    <w:next w:val="Normal"/>
    <w:autoRedefine/>
    <w:uiPriority w:val="39"/>
    <w:unhideWhenUsed/>
    <w:rsid w:val="001631BC"/>
    <w:pPr>
      <w:spacing w:after="100"/>
      <w:ind w:left="220"/>
    </w:pPr>
  </w:style>
  <w:style w:type="paragraph" w:styleId="TOC3">
    <w:name w:val="toc 3"/>
    <w:basedOn w:val="Normal"/>
    <w:next w:val="Normal"/>
    <w:autoRedefine/>
    <w:uiPriority w:val="39"/>
    <w:unhideWhenUsed/>
    <w:rsid w:val="001631BC"/>
    <w:pPr>
      <w:spacing w:after="100"/>
      <w:ind w:left="440"/>
    </w:pPr>
  </w:style>
  <w:style w:type="paragraph" w:styleId="NoSpacing">
    <w:name w:val="No Spacing"/>
    <w:link w:val="NoSpacingChar"/>
    <w:uiPriority w:val="1"/>
    <w:qFormat/>
    <w:rsid w:val="001631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31B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ockypeaklc.com/newsletter4.html" TargetMode="External"/><Relationship Id="rId13" Type="http://schemas.openxmlformats.org/officeDocument/2006/relationships/hyperlink" Target="http://www.qaa.ac.uk/en/Publications/Documents/Education-sustainable-development-Guidance-June-14.pdf" TargetMode="External"/><Relationship Id="rId18" Type="http://schemas.openxmlformats.org/officeDocument/2006/relationships/hyperlink" Target="https://www.theguardian.com/business/2014/feb/11/selvedge-jeans-company-welsh-tow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www.qaa.ac.uk/en/Publications/Documents/qualifications-frameworks.pdf" TargetMode="External"/><Relationship Id="rId17" Type="http://schemas.openxmlformats.org/officeDocument/2006/relationships/hyperlink" Target="https://globaldigitalcitizen.org/10-innovative-formative-assessment-examples" TargetMode="External"/><Relationship Id="rId2" Type="http://schemas.openxmlformats.org/officeDocument/2006/relationships/numbering" Target="numbering.xml"/><Relationship Id="rId16" Type="http://schemas.openxmlformats.org/officeDocument/2006/relationships/hyperlink" Target="http://www.uwtsd.ac.uk/miss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dailymail.co.uk/news/article-5261021/Tesco-calls-deposit-plastic-bottles.html" TargetMode="External"/><Relationship Id="rId5" Type="http://schemas.openxmlformats.org/officeDocument/2006/relationships/webSettings" Target="webSettings.xml"/><Relationship Id="rId15" Type="http://schemas.openxmlformats.org/officeDocument/2006/relationships/hyperlink" Target="https://www.lime.org.uk/award-winning-business/?___store=default" TargetMode="External"/><Relationship Id="rId10" Type="http://schemas.openxmlformats.org/officeDocument/2006/relationships/hyperlink" Target="http://www.oecd.org/education/school/TALIS-PISA-LINK-teaching_strategies_brochure.pdf"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hiutdenim.co.uk/blogs/story" TargetMode="External"/><Relationship Id="rId14" Type="http://schemas.openxmlformats.org/officeDocument/2006/relationships/hyperlink" Target="http://www.qaa.ac.uk/en/Publications/Documents/SBS-business-management-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F2591-3A15-4205-B96E-FAA615839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27</Pages>
  <Words>8145</Words>
  <Characters>46433</Characters>
  <Application>Microsoft Office Word</Application>
  <DocSecurity>0</DocSecurity>
  <Lines>386</Lines>
  <Paragraphs>108</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
      <vt:lpstr>Part 1: Analysis of the Curriculum in Carmarthen Business School</vt:lpstr>
      <vt:lpstr>Part 2: Rationale for Sustainability Leadership</vt:lpstr>
      <vt:lpstr>    2.1 Course Description</vt:lpstr>
      <vt:lpstr>    2.2 Target Audience</vt:lpstr>
      <vt:lpstr>    2.3 Learning Objectives</vt:lpstr>
      <vt:lpstr>        2.3.1: LO1</vt:lpstr>
      <vt:lpstr>        2.3.2: LO2</vt:lpstr>
      <vt:lpstr>        2.3.3: LO3</vt:lpstr>
      <vt:lpstr>        2.3.4: LO4</vt:lpstr>
      <vt:lpstr>        2.3.5: LO5</vt:lpstr>
      <vt:lpstr>        2.3.6: LO6</vt:lpstr>
      <vt:lpstr>        2.3.7: LO7</vt:lpstr>
      <vt:lpstr>        2.3.8: LO8</vt:lpstr>
      <vt:lpstr>        2.3.9: LO9</vt:lpstr>
      <vt:lpstr>        2.3.10 LO10</vt:lpstr>
      <vt:lpstr>        2.3.11: LO11</vt:lpstr>
      <vt:lpstr>    2.4 Alignment with QAA</vt:lpstr>
      <vt:lpstr>    2.5 Cross-Cutting Themes</vt:lpstr>
      <vt:lpstr>        2.5.1 Corporate Social Responsibility (CSR)</vt:lpstr>
      <vt:lpstr>        2.5.2 Global responsible Citizenship</vt:lpstr>
      <vt:lpstr>        2.5.3 Ethical Considerations</vt:lpstr>
      <vt:lpstr>        2.5.4 Sustainability; Understanding of Business’ Impact</vt:lpstr>
      <vt:lpstr>        2.5.5 Skills for the Workplace</vt:lpstr>
      <vt:lpstr>    2.6 Teaching and Learning Strategies</vt:lpstr>
      <vt:lpstr>    2.7 Assessment Strategies</vt:lpstr>
      <vt:lpstr>        2.7.1 Formative</vt:lpstr>
      <vt:lpstr>        2.7.2 Summative</vt:lpstr>
      <vt:lpstr>    Evaluation Technique</vt:lpstr>
      <vt:lpstr>Part 3 Scheme of Work</vt:lpstr>
      <vt:lpstr>Part 4 Learning Theory</vt:lpstr>
      <vt:lpstr>References</vt:lpstr>
      <vt:lpstr>Agarwal, R. (2010) Cooperative Learning. Delhi: Gyan Publishing House.</vt:lpstr>
      <vt:lpstr>Appendices</vt:lpstr>
    </vt:vector>
  </TitlesOfParts>
  <Company>Laura James</Company>
  <LinksUpToDate>false</LinksUpToDate>
  <CharactersWithSpaces>54470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Concepts of Teaching and learning (ctl)</dc:title>
  <dc:subject>Postgraduate Certificate in Education (PCET)</dc:subject>
  <dc:creator>Laura James (1401873)</dc:creator>
  <cp:keywords/>
  <dc:description/>
  <cp:lastModifiedBy>Laura James (1401873)</cp:lastModifiedBy>
  <cp:revision>26</cp:revision>
  <dcterms:created xsi:type="dcterms:W3CDTF">2018-02-16T10:32:00Z</dcterms:created>
  <dcterms:modified xsi:type="dcterms:W3CDTF">2018-02-16T12:47:00Z</dcterms:modified>
  <cp:category>Student Number: 1401873</cp:category>
</cp:coreProperties>
</file>