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A21342" w14:textId="77777777" w:rsidR="00FD2116" w:rsidRDefault="00FD2116" w:rsidP="00FD2116">
      <w:pPr>
        <w:pStyle w:val="NormalWeb"/>
        <w:spacing w:before="0" w:beforeAutospacing="0" w:after="0" w:afterAutospacing="0"/>
        <w:ind w:left="-180" w:right="-334"/>
      </w:pPr>
      <w:r>
        <w:rPr>
          <w:noProof/>
        </w:rPr>
        <w:drawing>
          <wp:inline distT="0" distB="0" distL="0" distR="0" wp14:anchorId="7716910C" wp14:editId="37C7657B">
            <wp:extent cx="1909445" cy="627380"/>
            <wp:effectExtent l="25400" t="25400" r="8255" b="7620"/>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9445" cy="627380"/>
                    </a:xfrm>
                    <a:prstGeom prst="rect">
                      <a:avLst/>
                    </a:prstGeom>
                    <a:noFill/>
                    <a:ln w="19050" cmpd="sng">
                      <a:solidFill>
                        <a:srgbClr val="000000"/>
                      </a:solidFill>
                      <a:miter lim="800000"/>
                      <a:headEnd/>
                      <a:tailEnd/>
                    </a:ln>
                    <a:effectLst/>
                  </pic:spPr>
                </pic:pic>
              </a:graphicData>
            </a:graphic>
          </wp:inline>
        </w:drawing>
      </w:r>
    </w:p>
    <w:p w14:paraId="73C9BB11" w14:textId="77777777" w:rsidR="00FD2116" w:rsidRDefault="00FD2116" w:rsidP="00FD2116">
      <w:pPr>
        <w:pStyle w:val="NormalWeb"/>
        <w:spacing w:before="0" w:beforeAutospacing="0" w:after="0" w:afterAutospacing="0"/>
        <w:ind w:left="-180" w:right="-334"/>
      </w:pPr>
    </w:p>
    <w:p w14:paraId="1D1A7131" w14:textId="77777777" w:rsidR="00FD2116" w:rsidRDefault="00FD2116" w:rsidP="00FD2116">
      <w:pPr>
        <w:pStyle w:val="NormalWeb"/>
        <w:spacing w:before="0" w:beforeAutospacing="0" w:after="0" w:afterAutospacing="0"/>
        <w:ind w:left="-180" w:right="-334"/>
      </w:pPr>
    </w:p>
    <w:p w14:paraId="1A751B93" w14:textId="77777777" w:rsidR="00FD2116" w:rsidRDefault="00FD2116" w:rsidP="00FD2116">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9AFA7C7" w14:textId="77777777" w:rsidR="00FD2116" w:rsidRPr="00230F35" w:rsidRDefault="00FD2116" w:rsidP="00FD2116">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2C43AD0" w14:textId="77777777" w:rsidR="00FD2116" w:rsidRPr="00230F35" w:rsidRDefault="00FD2116" w:rsidP="00FD2116">
      <w:pPr>
        <w:rPr>
          <w:rFonts w:ascii="Arial" w:hAnsi="Arial" w:cs="Arial"/>
          <w:sz w:val="28"/>
          <w:szCs w:val="28"/>
          <w:lang w:val="cy-GB"/>
        </w:rPr>
      </w:pPr>
    </w:p>
    <w:p w14:paraId="3D10F5E9" w14:textId="77777777" w:rsidR="00FD2116" w:rsidRDefault="00FD2116" w:rsidP="00FD2116">
      <w:pPr>
        <w:pStyle w:val="Heading3"/>
        <w:jc w:val="center"/>
        <w:rPr>
          <w:lang w:val="cy-GB"/>
        </w:rPr>
      </w:pPr>
      <w:r>
        <w:rPr>
          <w:lang w:val="cy-GB"/>
        </w:rPr>
        <w:t>THIS SHEET MUST BE THE FIRST PAGE OF THE ASSIGNMENT YOU ARE SUBMITTING  (DO NOT SEND AS A SEPARATE FILE)</w:t>
      </w:r>
    </w:p>
    <w:p w14:paraId="4EB6B5E6" w14:textId="77777777" w:rsidR="00FD2116" w:rsidRDefault="00FD2116" w:rsidP="00FD2116">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D2116" w:rsidRPr="00230F35" w14:paraId="40E29646" w14:textId="77777777" w:rsidTr="00487BBD">
        <w:trPr>
          <w:trHeight w:val="614"/>
        </w:trPr>
        <w:tc>
          <w:tcPr>
            <w:tcW w:w="8856" w:type="dxa"/>
            <w:gridSpan w:val="5"/>
          </w:tcPr>
          <w:p w14:paraId="526D299F" w14:textId="77777777" w:rsidR="00FD2116" w:rsidRPr="00230F35" w:rsidRDefault="00FD2116" w:rsidP="00487BBD">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D2116" w:rsidRPr="00230F35" w14:paraId="4BABC28B" w14:textId="77777777" w:rsidTr="00487BBD">
        <w:trPr>
          <w:trHeight w:val="718"/>
        </w:trPr>
        <w:tc>
          <w:tcPr>
            <w:tcW w:w="8856" w:type="dxa"/>
            <w:gridSpan w:val="5"/>
          </w:tcPr>
          <w:p w14:paraId="4FABC948" w14:textId="77777777" w:rsidR="00FD2116" w:rsidRDefault="00FD2116" w:rsidP="00487B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0C559E6F" w14:textId="77777777" w:rsidR="00FD2116" w:rsidRPr="00230F35" w:rsidRDefault="00FD2116" w:rsidP="00487BBD">
            <w:pPr>
              <w:pStyle w:val="NormalWeb"/>
              <w:spacing w:before="0" w:beforeAutospacing="0" w:after="0" w:afterAutospacing="0"/>
              <w:ind w:right="34"/>
              <w:rPr>
                <w:rFonts w:ascii="Arial" w:hAnsi="Arial" w:cs="Arial"/>
                <w:sz w:val="22"/>
                <w:szCs w:val="22"/>
              </w:rPr>
            </w:pPr>
            <w:r>
              <w:rPr>
                <w:rFonts w:ascii="Arial" w:hAnsi="Arial" w:cs="Arial"/>
                <w:sz w:val="22"/>
                <w:szCs w:val="22"/>
              </w:rPr>
              <w:t>Gabrielle Mooney</w:t>
            </w:r>
          </w:p>
        </w:tc>
      </w:tr>
      <w:tr w:rsidR="00FD2116" w:rsidRPr="00230F35" w14:paraId="41876285" w14:textId="77777777" w:rsidTr="00487BBD">
        <w:trPr>
          <w:trHeight w:val="849"/>
        </w:trPr>
        <w:tc>
          <w:tcPr>
            <w:tcW w:w="4788" w:type="dxa"/>
          </w:tcPr>
          <w:p w14:paraId="17532D82" w14:textId="77777777" w:rsidR="00FD2116" w:rsidRPr="00230F35" w:rsidRDefault="00FD2116" w:rsidP="00487B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HPCA7013</w:t>
            </w:r>
          </w:p>
          <w:p w14:paraId="6D0593FD" w14:textId="77777777" w:rsidR="00FD2116" w:rsidRPr="00230F35" w:rsidRDefault="00FD2116" w:rsidP="00487BBD">
            <w:pPr>
              <w:pStyle w:val="NormalWeb"/>
              <w:spacing w:before="0" w:beforeAutospacing="0" w:after="0" w:afterAutospacing="0"/>
              <w:ind w:right="34"/>
              <w:rPr>
                <w:rFonts w:ascii="Arial" w:hAnsi="Arial" w:cs="Arial"/>
                <w:sz w:val="22"/>
                <w:szCs w:val="22"/>
              </w:rPr>
            </w:pPr>
          </w:p>
          <w:p w14:paraId="0A0B40DB" w14:textId="77777777" w:rsidR="00FD2116" w:rsidRDefault="00FD2116" w:rsidP="00487B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Cosmology, Magic and Divination</w:t>
            </w:r>
          </w:p>
          <w:p w14:paraId="6CC3D36B" w14:textId="77777777" w:rsidR="00FD2116" w:rsidRDefault="00FD2116" w:rsidP="00487BBD">
            <w:pPr>
              <w:pStyle w:val="NormalWeb"/>
              <w:spacing w:before="0" w:beforeAutospacing="0" w:after="0" w:afterAutospacing="0"/>
              <w:ind w:right="34"/>
              <w:rPr>
                <w:rFonts w:ascii="Arial" w:hAnsi="Arial" w:cs="Arial"/>
                <w:sz w:val="22"/>
                <w:szCs w:val="22"/>
              </w:rPr>
            </w:pPr>
          </w:p>
          <w:p w14:paraId="2F92A31D" w14:textId="77777777" w:rsidR="00FD2116" w:rsidRPr="00230F35" w:rsidRDefault="00FD2116" w:rsidP="00487BBD">
            <w:pPr>
              <w:pStyle w:val="NormalWeb"/>
              <w:spacing w:before="0" w:beforeAutospacing="0" w:after="0" w:afterAutospacing="0"/>
              <w:ind w:right="34"/>
              <w:rPr>
                <w:rFonts w:ascii="Arial" w:hAnsi="Arial" w:cs="Arial"/>
                <w:sz w:val="22"/>
                <w:szCs w:val="22"/>
              </w:rPr>
            </w:pPr>
          </w:p>
        </w:tc>
        <w:tc>
          <w:tcPr>
            <w:tcW w:w="2266" w:type="dxa"/>
            <w:gridSpan w:val="3"/>
          </w:tcPr>
          <w:p w14:paraId="27885119" w14:textId="77777777" w:rsidR="00FD2116" w:rsidRDefault="00FD2116" w:rsidP="00487B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39C0373" w14:textId="77777777" w:rsidR="00FD2116" w:rsidRPr="00230F35" w:rsidRDefault="00FD2116" w:rsidP="00487BBD">
            <w:pPr>
              <w:pStyle w:val="NormalWeb"/>
              <w:spacing w:before="0" w:beforeAutospacing="0" w:after="0" w:afterAutospacing="0"/>
              <w:ind w:right="34"/>
              <w:rPr>
                <w:rFonts w:ascii="Arial" w:hAnsi="Arial" w:cs="Arial"/>
                <w:sz w:val="22"/>
                <w:szCs w:val="22"/>
              </w:rPr>
            </w:pPr>
            <w:r>
              <w:rPr>
                <w:rFonts w:ascii="Arial" w:hAnsi="Arial" w:cs="Arial"/>
                <w:sz w:val="22"/>
                <w:szCs w:val="22"/>
              </w:rPr>
              <w:t>1905543</w:t>
            </w:r>
          </w:p>
        </w:tc>
        <w:tc>
          <w:tcPr>
            <w:tcW w:w="1802" w:type="dxa"/>
          </w:tcPr>
          <w:p w14:paraId="033D24AE" w14:textId="77777777" w:rsidR="00FD2116" w:rsidRPr="00230F35" w:rsidRDefault="00FD2116" w:rsidP="00487B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BB4C8C7" w14:textId="77777777" w:rsidR="00FD2116" w:rsidRPr="00230F35" w:rsidRDefault="00FD2116" w:rsidP="00487BBD">
            <w:pPr>
              <w:pStyle w:val="NormalWeb"/>
              <w:spacing w:before="0" w:beforeAutospacing="0" w:after="0" w:afterAutospacing="0"/>
              <w:ind w:right="34"/>
              <w:rPr>
                <w:rFonts w:ascii="Arial" w:hAnsi="Arial" w:cs="Arial"/>
                <w:sz w:val="22"/>
                <w:szCs w:val="22"/>
              </w:rPr>
            </w:pPr>
            <w:r w:rsidRPr="00F96B96">
              <w:rPr>
                <w:rFonts w:ascii="Arial" w:hAnsi="Arial" w:cs="Arial"/>
                <w:b/>
                <w:bCs/>
                <w:sz w:val="22"/>
                <w:szCs w:val="22"/>
              </w:rPr>
              <w:t>Yes</w:t>
            </w:r>
            <w:r w:rsidRPr="00230F35">
              <w:rPr>
                <w:rFonts w:ascii="Arial" w:hAnsi="Arial" w:cs="Arial"/>
                <w:sz w:val="22"/>
                <w:szCs w:val="22"/>
              </w:rPr>
              <w:t>/</w:t>
            </w:r>
            <w:r w:rsidRPr="00F96B96">
              <w:rPr>
                <w:rFonts w:ascii="Arial" w:hAnsi="Arial" w:cs="Arial"/>
                <w:strike/>
                <w:sz w:val="22"/>
                <w:szCs w:val="22"/>
              </w:rPr>
              <w:t>No</w:t>
            </w:r>
          </w:p>
        </w:tc>
      </w:tr>
      <w:tr w:rsidR="00FD2116" w:rsidRPr="00230F35" w14:paraId="7D90BD2B" w14:textId="77777777" w:rsidTr="00487BBD">
        <w:trPr>
          <w:trHeight w:val="1139"/>
        </w:trPr>
        <w:tc>
          <w:tcPr>
            <w:tcW w:w="8856" w:type="dxa"/>
            <w:gridSpan w:val="5"/>
          </w:tcPr>
          <w:p w14:paraId="01DB6C33" w14:textId="77777777" w:rsidR="00FD2116" w:rsidRPr="00230F35" w:rsidRDefault="00FD2116" w:rsidP="00487BBD">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tutor: Drs Greenbaum, </w:t>
            </w:r>
            <w:proofErr w:type="spellStart"/>
            <w:r>
              <w:rPr>
                <w:rFonts w:ascii="Arial" w:hAnsi="Arial" w:cs="Arial"/>
                <w:sz w:val="22"/>
                <w:szCs w:val="22"/>
              </w:rPr>
              <w:t>Addey</w:t>
            </w:r>
            <w:proofErr w:type="spellEnd"/>
            <w:r>
              <w:rPr>
                <w:rFonts w:ascii="Arial" w:hAnsi="Arial" w:cs="Arial"/>
                <w:sz w:val="22"/>
                <w:szCs w:val="22"/>
              </w:rPr>
              <w:t xml:space="preserve"> and Collins</w:t>
            </w:r>
          </w:p>
          <w:p w14:paraId="59D298DF" w14:textId="77777777" w:rsidR="00FD2116" w:rsidRPr="00230F35" w:rsidRDefault="00FD2116" w:rsidP="00487BBD">
            <w:pPr>
              <w:pStyle w:val="NormalWeb"/>
              <w:spacing w:before="0" w:beforeAutospacing="0" w:after="0" w:afterAutospacing="0"/>
              <w:ind w:right="34"/>
              <w:rPr>
                <w:rFonts w:ascii="Arial" w:hAnsi="Arial" w:cs="Arial"/>
                <w:sz w:val="22"/>
                <w:szCs w:val="22"/>
              </w:rPr>
            </w:pPr>
          </w:p>
          <w:p w14:paraId="7F3F93A1" w14:textId="77777777" w:rsidR="00FD2116" w:rsidRDefault="00FD2116" w:rsidP="00487BBD">
            <w:pPr>
              <w:pStyle w:val="NormalWeb"/>
              <w:spacing w:before="0" w:beforeAutospacing="0" w:after="0" w:afterAutospacing="0"/>
              <w:ind w:right="34"/>
              <w:rPr>
                <w:rFonts w:ascii="Arial" w:hAnsi="Arial" w:cs="Arial"/>
                <w:sz w:val="22"/>
                <w:szCs w:val="22"/>
              </w:rPr>
            </w:pPr>
          </w:p>
          <w:p w14:paraId="450F788E" w14:textId="77777777" w:rsidR="00FD2116" w:rsidRPr="00230F35" w:rsidRDefault="00FD2116" w:rsidP="00487B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10/05/21</w:t>
            </w:r>
          </w:p>
        </w:tc>
      </w:tr>
      <w:tr w:rsidR="00FD2116" w:rsidRPr="00230F35" w14:paraId="45A09C23" w14:textId="77777777" w:rsidTr="00487BBD">
        <w:trPr>
          <w:trHeight w:val="978"/>
        </w:trPr>
        <w:tc>
          <w:tcPr>
            <w:tcW w:w="8856" w:type="dxa"/>
            <w:gridSpan w:val="5"/>
            <w:tcBorders>
              <w:bottom w:val="single" w:sz="4" w:space="0" w:color="000000"/>
            </w:tcBorders>
          </w:tcPr>
          <w:p w14:paraId="34B615CE" w14:textId="77777777" w:rsidR="00FD2116" w:rsidRDefault="00FD2116" w:rsidP="00487BBD">
            <w:pPr>
              <w:rPr>
                <w:rFonts w:ascii="Arial" w:hAnsi="Arial" w:cs="Arial"/>
                <w:sz w:val="22"/>
                <w:szCs w:val="22"/>
              </w:rPr>
            </w:pPr>
            <w:r>
              <w:rPr>
                <w:rFonts w:ascii="Arial" w:hAnsi="Arial" w:cs="Arial"/>
                <w:sz w:val="22"/>
                <w:szCs w:val="22"/>
              </w:rPr>
              <w:t xml:space="preserve">If your module has multiple </w:t>
            </w:r>
            <w:proofErr w:type="gramStart"/>
            <w:r>
              <w:rPr>
                <w:rFonts w:ascii="Arial" w:hAnsi="Arial" w:cs="Arial"/>
                <w:sz w:val="22"/>
                <w:szCs w:val="22"/>
              </w:rPr>
              <w:t>submissions</w:t>
            </w:r>
            <w:proofErr w:type="gramEnd"/>
            <w:r>
              <w:rPr>
                <w:rFonts w:ascii="Arial" w:hAnsi="Arial" w:cs="Arial"/>
                <w:sz w:val="22"/>
                <w:szCs w:val="22"/>
              </w:rPr>
              <w:t xml:space="preserve"> please indicate which piece of work this is.</w:t>
            </w:r>
          </w:p>
          <w:p w14:paraId="486F4AFD" w14:textId="77777777" w:rsidR="00FD2116" w:rsidRDefault="00FD2116" w:rsidP="00487BBD">
            <w:pPr>
              <w:rPr>
                <w:rFonts w:ascii="Arial" w:hAnsi="Arial" w:cs="Arial"/>
                <w:sz w:val="22"/>
                <w:szCs w:val="22"/>
              </w:rPr>
            </w:pPr>
          </w:p>
          <w:p w14:paraId="709CACDD" w14:textId="77777777" w:rsidR="00FD2116" w:rsidRPr="00230F35" w:rsidRDefault="00FD2116" w:rsidP="00487BBD">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fldChar w:fldCharType="begin">
                <w:ffData>
                  <w:name w:val="Check14"/>
                  <w:enabled/>
                  <w:calcOnExit w:val="0"/>
                  <w:checkBox>
                    <w:sizeAuto/>
                    <w:default w:val="1"/>
                  </w:checkBox>
                </w:ffData>
              </w:fldChar>
            </w:r>
            <w:bookmarkStart w:id="1" w:name="Check14"/>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p>
        </w:tc>
      </w:tr>
      <w:tr w:rsidR="00FD2116" w:rsidRPr="00230F35" w14:paraId="41DF5E0A" w14:textId="77777777" w:rsidTr="00487BBD">
        <w:trPr>
          <w:trHeight w:val="978"/>
        </w:trPr>
        <w:tc>
          <w:tcPr>
            <w:tcW w:w="8856" w:type="dxa"/>
            <w:gridSpan w:val="5"/>
            <w:shd w:val="clear" w:color="auto" w:fill="D9D9D9"/>
          </w:tcPr>
          <w:p w14:paraId="3D92BC50" w14:textId="77777777" w:rsidR="00FD2116" w:rsidRPr="00230F35" w:rsidRDefault="00FD2116" w:rsidP="00487B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14F1B7C" w14:textId="77777777" w:rsidR="00FD2116" w:rsidRDefault="00FD2116" w:rsidP="00487B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Gabrielle Mooney</w:t>
            </w:r>
            <w:r w:rsidRPr="00230F35">
              <w:rPr>
                <w:rFonts w:ascii="Arial" w:hAnsi="Arial" w:cs="Arial"/>
                <w:sz w:val="22"/>
                <w:szCs w:val="22"/>
              </w:rPr>
              <w:t>……………</w:t>
            </w:r>
          </w:p>
          <w:p w14:paraId="12DE3665" w14:textId="77777777" w:rsidR="00FD2116" w:rsidRDefault="00FD2116" w:rsidP="00487BBD">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71D98C11" w14:textId="77777777" w:rsidR="00FD2116" w:rsidRPr="00230F35" w:rsidRDefault="00FD2116" w:rsidP="00487BBD">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FD2116" w:rsidRPr="00230F35" w14:paraId="66A400FD" w14:textId="77777777" w:rsidTr="00487BBD">
        <w:trPr>
          <w:trHeight w:val="3972"/>
        </w:trPr>
        <w:tc>
          <w:tcPr>
            <w:tcW w:w="8856" w:type="dxa"/>
            <w:gridSpan w:val="5"/>
          </w:tcPr>
          <w:p w14:paraId="312774D5" w14:textId="77777777" w:rsidR="00FD2116" w:rsidRDefault="00FD2116" w:rsidP="00487BBD">
            <w:pPr>
              <w:rPr>
                <w:rFonts w:ascii="Arial" w:hAnsi="Arial"/>
                <w:b/>
              </w:rPr>
            </w:pPr>
          </w:p>
          <w:p w14:paraId="51B9E8FE" w14:textId="77777777" w:rsidR="00FD2116" w:rsidRPr="00116CE6" w:rsidRDefault="00FD2116" w:rsidP="00487BBD">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D2116" w:rsidRPr="00116CE6" w14:paraId="150EB750" w14:textId="77777777" w:rsidTr="00487BBD">
              <w:tc>
                <w:tcPr>
                  <w:tcW w:w="6970" w:type="dxa"/>
                </w:tcPr>
                <w:p w14:paraId="642C3B67" w14:textId="77777777" w:rsidR="00FD2116" w:rsidRPr="00116CE6" w:rsidRDefault="00FD2116" w:rsidP="00487BBD">
                  <w:pPr>
                    <w:rPr>
                      <w:rFonts w:ascii="Arial" w:hAnsi="Arial"/>
                      <w:sz w:val="20"/>
                      <w:szCs w:val="20"/>
                    </w:rPr>
                  </w:pPr>
                </w:p>
                <w:p w14:paraId="0FEFC42D" w14:textId="77777777" w:rsidR="00FD2116" w:rsidRPr="00116CE6" w:rsidRDefault="00FD2116" w:rsidP="00487BBD">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C459915" w14:textId="77777777" w:rsidR="00FD2116" w:rsidRPr="00116CE6" w:rsidRDefault="00FD2116" w:rsidP="00487BBD">
                  <w:pPr>
                    <w:rPr>
                      <w:rFonts w:ascii="Arial" w:hAnsi="Arial"/>
                      <w:sz w:val="20"/>
                      <w:szCs w:val="20"/>
                    </w:rPr>
                  </w:pPr>
                </w:p>
              </w:tc>
            </w:tr>
            <w:tr w:rsidR="00FD2116" w:rsidRPr="00116CE6" w14:paraId="4424BEFE" w14:textId="77777777" w:rsidTr="00487BBD">
              <w:tc>
                <w:tcPr>
                  <w:tcW w:w="6970" w:type="dxa"/>
                </w:tcPr>
                <w:p w14:paraId="709B3520" w14:textId="77777777" w:rsidR="00FD2116" w:rsidRPr="00116CE6" w:rsidRDefault="00FD2116" w:rsidP="00487BBD">
                  <w:pPr>
                    <w:rPr>
                      <w:rFonts w:ascii="Arial" w:hAnsi="Arial"/>
                      <w:sz w:val="20"/>
                      <w:szCs w:val="20"/>
                    </w:rPr>
                  </w:pPr>
                </w:p>
                <w:p w14:paraId="0D520E41" w14:textId="77777777" w:rsidR="00FD2116" w:rsidRPr="00116CE6" w:rsidRDefault="00FD2116" w:rsidP="00487BBD">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FF99062" w14:textId="77777777" w:rsidR="00FD2116" w:rsidRPr="00116CE6" w:rsidRDefault="00FD2116" w:rsidP="00487BBD">
                  <w:pPr>
                    <w:rPr>
                      <w:rFonts w:ascii="Arial" w:hAnsi="Arial"/>
                      <w:sz w:val="20"/>
                      <w:szCs w:val="20"/>
                    </w:rPr>
                  </w:pPr>
                </w:p>
              </w:tc>
            </w:tr>
            <w:tr w:rsidR="00FD2116" w:rsidRPr="00116CE6" w14:paraId="70BD51C5" w14:textId="77777777" w:rsidTr="00487BBD">
              <w:tc>
                <w:tcPr>
                  <w:tcW w:w="6970" w:type="dxa"/>
                </w:tcPr>
                <w:p w14:paraId="50BFE360" w14:textId="77777777" w:rsidR="00FD2116" w:rsidRPr="006367FD" w:rsidRDefault="00FD2116" w:rsidP="00487BBD">
                  <w:pPr>
                    <w:rPr>
                      <w:rFonts w:ascii="Arial" w:hAnsi="Arial"/>
                      <w:color w:val="000000"/>
                      <w:sz w:val="20"/>
                      <w:szCs w:val="20"/>
                    </w:rPr>
                  </w:pPr>
                  <w:r w:rsidRPr="006367FD">
                    <w:rPr>
                      <w:rFonts w:ascii="Arial" w:hAnsi="Arial"/>
                      <w:color w:val="000000"/>
                      <w:sz w:val="20"/>
                      <w:szCs w:val="20"/>
                    </w:rPr>
                    <w:t xml:space="preserve">Agreed Internal Mark: </w:t>
                  </w:r>
                </w:p>
                <w:p w14:paraId="6C82B031" w14:textId="77777777" w:rsidR="00FD2116" w:rsidRPr="00E14D2E" w:rsidRDefault="00FD2116" w:rsidP="00487BBD">
                  <w:pPr>
                    <w:rPr>
                      <w:rFonts w:ascii="Arial" w:hAnsi="Arial"/>
                      <w:sz w:val="20"/>
                      <w:szCs w:val="20"/>
                      <w:highlight w:val="yellow"/>
                    </w:rPr>
                  </w:pPr>
                </w:p>
              </w:tc>
              <w:tc>
                <w:tcPr>
                  <w:tcW w:w="1660" w:type="dxa"/>
                </w:tcPr>
                <w:p w14:paraId="6CAE2B3A" w14:textId="77777777" w:rsidR="00FD2116" w:rsidRPr="00E14D2E" w:rsidRDefault="00FD2116" w:rsidP="00487BBD">
                  <w:pPr>
                    <w:rPr>
                      <w:rFonts w:ascii="Arial" w:hAnsi="Arial"/>
                      <w:sz w:val="20"/>
                      <w:szCs w:val="20"/>
                      <w:highlight w:val="yellow"/>
                    </w:rPr>
                  </w:pPr>
                </w:p>
              </w:tc>
            </w:tr>
            <w:tr w:rsidR="00FD2116" w:rsidRPr="00116CE6" w14:paraId="08128F79" w14:textId="77777777" w:rsidTr="00487BBD">
              <w:tc>
                <w:tcPr>
                  <w:tcW w:w="6970" w:type="dxa"/>
                </w:tcPr>
                <w:p w14:paraId="29F6DC97" w14:textId="77777777" w:rsidR="00FD2116" w:rsidRPr="00116CE6" w:rsidRDefault="00FD2116" w:rsidP="00487BBD">
                  <w:pPr>
                    <w:rPr>
                      <w:rFonts w:ascii="Arial" w:hAnsi="Arial"/>
                      <w:sz w:val="20"/>
                      <w:szCs w:val="20"/>
                    </w:rPr>
                  </w:pPr>
                </w:p>
                <w:p w14:paraId="7E796797" w14:textId="77777777" w:rsidR="00FD2116" w:rsidRPr="00116CE6" w:rsidRDefault="00FD2116" w:rsidP="00487BBD">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2880AC9" w14:textId="77777777" w:rsidR="00FD2116" w:rsidRPr="00116CE6" w:rsidRDefault="00FD2116" w:rsidP="00487BBD">
                  <w:pPr>
                    <w:rPr>
                      <w:rFonts w:ascii="Arial" w:hAnsi="Arial"/>
                      <w:sz w:val="20"/>
                      <w:szCs w:val="20"/>
                    </w:rPr>
                  </w:pPr>
                </w:p>
              </w:tc>
            </w:tr>
            <w:tr w:rsidR="00FD2116" w:rsidRPr="00116CE6" w14:paraId="211F28E6" w14:textId="77777777" w:rsidTr="00487BBD">
              <w:tc>
                <w:tcPr>
                  <w:tcW w:w="6970" w:type="dxa"/>
                </w:tcPr>
                <w:p w14:paraId="4B16CF40" w14:textId="77777777" w:rsidR="00FD2116" w:rsidRDefault="00FD2116" w:rsidP="00487BBD">
                  <w:pPr>
                    <w:rPr>
                      <w:rFonts w:ascii="Arial" w:hAnsi="Arial"/>
                      <w:sz w:val="20"/>
                      <w:szCs w:val="20"/>
                    </w:rPr>
                  </w:pPr>
                </w:p>
                <w:p w14:paraId="4519B03A" w14:textId="77777777" w:rsidR="00FD2116" w:rsidRPr="00022345" w:rsidRDefault="00FD2116" w:rsidP="00487BBD">
                  <w:pPr>
                    <w:rPr>
                      <w:rFonts w:ascii="Arial" w:hAnsi="Arial"/>
                      <w:b/>
                      <w:sz w:val="20"/>
                      <w:szCs w:val="20"/>
                    </w:rPr>
                  </w:pPr>
                  <w:r w:rsidRPr="00022345">
                    <w:rPr>
                      <w:rFonts w:ascii="Arial" w:hAnsi="Arial"/>
                      <w:b/>
                      <w:sz w:val="20"/>
                      <w:szCs w:val="20"/>
                    </w:rPr>
                    <w:t>Final Mark</w:t>
                  </w:r>
                </w:p>
                <w:p w14:paraId="058A8315" w14:textId="77777777" w:rsidR="00FD2116" w:rsidRPr="00116CE6" w:rsidRDefault="00FD2116" w:rsidP="00487BBD">
                  <w:pPr>
                    <w:rPr>
                      <w:rFonts w:ascii="Arial" w:hAnsi="Arial"/>
                      <w:sz w:val="20"/>
                      <w:szCs w:val="20"/>
                    </w:rPr>
                  </w:pPr>
                </w:p>
              </w:tc>
              <w:tc>
                <w:tcPr>
                  <w:tcW w:w="1660" w:type="dxa"/>
                </w:tcPr>
                <w:p w14:paraId="2DD36039" w14:textId="77777777" w:rsidR="00FD2116" w:rsidRPr="00116CE6" w:rsidRDefault="00FD2116" w:rsidP="00487BBD">
                  <w:pPr>
                    <w:rPr>
                      <w:rFonts w:ascii="Arial" w:hAnsi="Arial"/>
                      <w:sz w:val="20"/>
                      <w:szCs w:val="20"/>
                    </w:rPr>
                  </w:pPr>
                </w:p>
              </w:tc>
            </w:tr>
          </w:tbl>
          <w:p w14:paraId="4370D041" w14:textId="77777777" w:rsidR="00FD2116" w:rsidRDefault="00FD2116" w:rsidP="00487BBD">
            <w:pPr>
              <w:pStyle w:val="NormalWeb"/>
              <w:spacing w:before="0" w:beforeAutospacing="0" w:after="0" w:afterAutospacing="0"/>
              <w:ind w:left="142" w:right="34"/>
              <w:rPr>
                <w:rFonts w:ascii="Arial" w:hAnsi="Arial" w:cs="Arial"/>
                <w:b/>
                <w:sz w:val="22"/>
                <w:szCs w:val="22"/>
              </w:rPr>
            </w:pPr>
          </w:p>
          <w:p w14:paraId="59F21924" w14:textId="77777777" w:rsidR="00FD2116" w:rsidRPr="00230F35" w:rsidRDefault="00FD2116" w:rsidP="00487BBD">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7BB5784" w14:textId="77777777" w:rsidR="00FD2116" w:rsidRDefault="00FD2116" w:rsidP="00487BBD">
            <w:pPr>
              <w:pStyle w:val="NormalWeb"/>
              <w:spacing w:before="0" w:beforeAutospacing="0" w:after="0" w:afterAutospacing="0"/>
              <w:rPr>
                <w:rFonts w:ascii="Arial" w:hAnsi="Arial" w:cs="Arial"/>
                <w:b/>
                <w:sz w:val="22"/>
                <w:szCs w:val="22"/>
              </w:rPr>
            </w:pPr>
          </w:p>
          <w:p w14:paraId="291929D6" w14:textId="77777777" w:rsidR="00FD2116" w:rsidRDefault="00FD2116" w:rsidP="00487BBD">
            <w:pPr>
              <w:pStyle w:val="NormalWeb"/>
              <w:spacing w:before="0" w:beforeAutospacing="0" w:after="0" w:afterAutospacing="0"/>
              <w:rPr>
                <w:rFonts w:ascii="Arial" w:hAnsi="Arial" w:cs="Arial"/>
                <w:b/>
                <w:sz w:val="22"/>
                <w:szCs w:val="22"/>
              </w:rPr>
            </w:pPr>
          </w:p>
          <w:p w14:paraId="4566CA23" w14:textId="77777777" w:rsidR="00FD2116" w:rsidRDefault="00FD2116" w:rsidP="00487BBD">
            <w:pPr>
              <w:pStyle w:val="NormalWeb"/>
              <w:spacing w:before="0" w:beforeAutospacing="0" w:after="0" w:afterAutospacing="0"/>
              <w:rPr>
                <w:rFonts w:ascii="Arial" w:hAnsi="Arial" w:cs="Arial"/>
                <w:b/>
                <w:sz w:val="22"/>
                <w:szCs w:val="22"/>
              </w:rPr>
            </w:pPr>
          </w:p>
          <w:p w14:paraId="136580ED" w14:textId="77777777" w:rsidR="00FD2116" w:rsidRDefault="00FD2116" w:rsidP="00487BBD">
            <w:pPr>
              <w:pStyle w:val="NormalWeb"/>
              <w:spacing w:before="0" w:beforeAutospacing="0" w:after="0" w:afterAutospacing="0"/>
              <w:rPr>
                <w:rFonts w:ascii="Arial" w:hAnsi="Arial" w:cs="Arial"/>
                <w:b/>
                <w:sz w:val="22"/>
                <w:szCs w:val="22"/>
              </w:rPr>
            </w:pPr>
          </w:p>
          <w:p w14:paraId="380FC044" w14:textId="77777777" w:rsidR="00FD2116" w:rsidRPr="00230F35" w:rsidRDefault="00FD2116" w:rsidP="00487BBD">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4F4FC512" w14:textId="77777777" w:rsidR="00FD2116" w:rsidRDefault="00FD2116" w:rsidP="00487BBD">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248319C" w14:textId="77777777" w:rsidR="00FD2116" w:rsidRPr="00001C3B" w:rsidRDefault="00FD2116" w:rsidP="00487BBD">
            <w:pPr>
              <w:pStyle w:val="NormalWeb"/>
              <w:rPr>
                <w:rFonts w:ascii="Arial" w:hAnsi="Arial" w:cs="Arial"/>
                <w:sz w:val="22"/>
                <w:szCs w:val="22"/>
              </w:rPr>
            </w:pPr>
          </w:p>
        </w:tc>
      </w:tr>
      <w:tr w:rsidR="00FD2116" w:rsidRPr="00230F35" w14:paraId="33497785" w14:textId="77777777" w:rsidTr="00487BBD">
        <w:trPr>
          <w:trHeight w:val="492"/>
        </w:trPr>
        <w:tc>
          <w:tcPr>
            <w:tcW w:w="6768" w:type="dxa"/>
            <w:gridSpan w:val="3"/>
          </w:tcPr>
          <w:p w14:paraId="3CC6E983" w14:textId="77777777" w:rsidR="00FD2116" w:rsidRPr="00230F35" w:rsidRDefault="00FD2116" w:rsidP="00487BBD">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35F92D3E" w14:textId="77777777" w:rsidR="00FD2116" w:rsidRPr="00230F35" w:rsidRDefault="00FD2116" w:rsidP="00487BBD">
            <w:pPr>
              <w:pStyle w:val="NormalWeb"/>
              <w:spacing w:after="0"/>
              <w:ind w:left="142" w:right="34"/>
              <w:rPr>
                <w:rFonts w:ascii="Arial" w:hAnsi="Arial" w:cs="Arial"/>
                <w:sz w:val="22"/>
                <w:szCs w:val="22"/>
              </w:rPr>
            </w:pPr>
            <w:r w:rsidRPr="00230F35">
              <w:rPr>
                <w:rFonts w:ascii="Arial" w:hAnsi="Arial" w:cs="Arial"/>
                <w:sz w:val="22"/>
                <w:szCs w:val="22"/>
              </w:rPr>
              <w:t>Date:</w:t>
            </w:r>
          </w:p>
        </w:tc>
      </w:tr>
      <w:tr w:rsidR="00FD2116" w:rsidRPr="002F467C" w14:paraId="205C5FE3" w14:textId="77777777" w:rsidTr="00487BBD">
        <w:tc>
          <w:tcPr>
            <w:tcW w:w="8856" w:type="dxa"/>
            <w:gridSpan w:val="5"/>
          </w:tcPr>
          <w:p w14:paraId="247AF48C" w14:textId="77777777" w:rsidR="00FD2116" w:rsidRPr="00230F35" w:rsidRDefault="00FD2116" w:rsidP="00487BBD">
            <w:pPr>
              <w:pStyle w:val="NormalWeb"/>
              <w:spacing w:before="0" w:beforeAutospacing="0" w:after="0" w:afterAutospacing="0"/>
              <w:ind w:right="-334"/>
              <w:rPr>
                <w:rFonts w:ascii="Arial" w:hAnsi="Arial" w:cs="Arial"/>
                <w:bCs/>
                <w:i/>
                <w:sz w:val="22"/>
                <w:szCs w:val="22"/>
              </w:rPr>
            </w:pPr>
          </w:p>
          <w:p w14:paraId="1C04606D" w14:textId="77777777" w:rsidR="00FD2116" w:rsidRPr="00230F35" w:rsidRDefault="00FD2116" w:rsidP="00487BBD">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EF3E699" w14:textId="77777777" w:rsidR="00FD2116" w:rsidRPr="00230F35" w:rsidRDefault="00FD2116" w:rsidP="00487BBD">
            <w:pPr>
              <w:pStyle w:val="NormalWeb"/>
              <w:spacing w:before="0" w:beforeAutospacing="0" w:after="0" w:afterAutospacing="0"/>
              <w:ind w:right="-334"/>
              <w:rPr>
                <w:rFonts w:ascii="Arial" w:hAnsi="Arial" w:cs="Arial"/>
                <w:b/>
                <w:bCs/>
                <w:sz w:val="22"/>
                <w:szCs w:val="22"/>
              </w:rPr>
            </w:pPr>
          </w:p>
          <w:p w14:paraId="1DE273D8" w14:textId="77777777" w:rsidR="00FD2116" w:rsidRPr="00230F35" w:rsidRDefault="00FD2116" w:rsidP="00487BB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382ED7A" w14:textId="77777777" w:rsidR="00FD2116" w:rsidRPr="00230F35" w:rsidRDefault="00FD2116" w:rsidP="00487BBD">
            <w:pPr>
              <w:pStyle w:val="NormalWeb"/>
              <w:spacing w:before="0" w:beforeAutospacing="0" w:after="0" w:afterAutospacing="0"/>
              <w:ind w:right="-334"/>
              <w:rPr>
                <w:rFonts w:ascii="Arial" w:hAnsi="Arial" w:cs="Arial"/>
                <w:bCs/>
                <w:sz w:val="22"/>
                <w:szCs w:val="22"/>
              </w:rPr>
            </w:pPr>
          </w:p>
          <w:p w14:paraId="20DD2A27" w14:textId="77777777" w:rsidR="00FD2116" w:rsidRPr="00230F35" w:rsidRDefault="00FD2116" w:rsidP="00487BBD">
            <w:pPr>
              <w:pStyle w:val="NormalWeb"/>
              <w:spacing w:before="0" w:beforeAutospacing="0" w:after="0" w:afterAutospacing="0"/>
              <w:ind w:right="-334"/>
              <w:rPr>
                <w:rFonts w:ascii="Arial" w:hAnsi="Arial" w:cs="Arial"/>
                <w:bCs/>
                <w:sz w:val="22"/>
                <w:szCs w:val="22"/>
              </w:rPr>
            </w:pPr>
          </w:p>
          <w:p w14:paraId="5FA6E2EC" w14:textId="77777777" w:rsidR="00FD2116" w:rsidRPr="00230F35" w:rsidRDefault="00FD2116" w:rsidP="00487BBD">
            <w:pPr>
              <w:pStyle w:val="NormalWeb"/>
              <w:spacing w:before="0" w:beforeAutospacing="0" w:after="0" w:afterAutospacing="0"/>
              <w:ind w:right="-334"/>
              <w:rPr>
                <w:rFonts w:ascii="Arial" w:hAnsi="Arial" w:cs="Arial"/>
                <w:bCs/>
                <w:sz w:val="22"/>
                <w:szCs w:val="22"/>
              </w:rPr>
            </w:pPr>
          </w:p>
        </w:tc>
      </w:tr>
      <w:tr w:rsidR="00FD2116" w:rsidRPr="002F467C" w14:paraId="2DCE8233" w14:textId="77777777" w:rsidTr="00487BBD">
        <w:trPr>
          <w:trHeight w:val="720"/>
        </w:trPr>
        <w:tc>
          <w:tcPr>
            <w:tcW w:w="5211" w:type="dxa"/>
            <w:gridSpan w:val="2"/>
          </w:tcPr>
          <w:p w14:paraId="12D74D60" w14:textId="77777777" w:rsidR="00FD2116" w:rsidRPr="00230F35" w:rsidRDefault="00FD2116" w:rsidP="00487BB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8C02168" w14:textId="77777777" w:rsidR="00FD2116" w:rsidRPr="00230F35" w:rsidRDefault="00FD2116" w:rsidP="00487BB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D2116" w:rsidRPr="002F467C" w14:paraId="22DA65FD" w14:textId="77777777" w:rsidTr="00487BBD">
        <w:trPr>
          <w:trHeight w:val="720"/>
        </w:trPr>
        <w:tc>
          <w:tcPr>
            <w:tcW w:w="8856" w:type="dxa"/>
            <w:gridSpan w:val="5"/>
          </w:tcPr>
          <w:p w14:paraId="6665BC30" w14:textId="77777777" w:rsidR="00FD2116" w:rsidRPr="006367FD" w:rsidRDefault="00FD2116" w:rsidP="00487BBD">
            <w:pPr>
              <w:rPr>
                <w:rFonts w:ascii="Arial" w:hAnsi="Arial" w:cs="Arial"/>
                <w:b/>
                <w:sz w:val="22"/>
                <w:szCs w:val="22"/>
              </w:rPr>
            </w:pPr>
            <w:r w:rsidRPr="006367FD">
              <w:rPr>
                <w:rFonts w:ascii="Arial" w:hAnsi="Arial" w:cs="Arial"/>
                <w:b/>
                <w:sz w:val="22"/>
                <w:szCs w:val="22"/>
              </w:rPr>
              <w:t>AGREED INTERNAL MARK (where necessary):</w:t>
            </w:r>
          </w:p>
          <w:p w14:paraId="67F15939" w14:textId="77777777" w:rsidR="00FD2116" w:rsidRPr="006367FD" w:rsidRDefault="00FD2116" w:rsidP="00487BBD">
            <w:pPr>
              <w:rPr>
                <w:rFonts w:ascii="Arial" w:hAnsi="Arial" w:cs="Arial"/>
                <w:b/>
                <w:sz w:val="22"/>
                <w:szCs w:val="22"/>
              </w:rPr>
            </w:pPr>
          </w:p>
          <w:p w14:paraId="30F8CD1B" w14:textId="77777777" w:rsidR="00FD2116" w:rsidRDefault="00FD2116" w:rsidP="00487BBD">
            <w:pPr>
              <w:rPr>
                <w:rFonts w:ascii="Arial" w:hAnsi="Arial" w:cs="Arial"/>
                <w:b/>
                <w:sz w:val="22"/>
                <w:szCs w:val="22"/>
              </w:rPr>
            </w:pPr>
            <w:r w:rsidRPr="006367FD">
              <w:rPr>
                <w:rFonts w:ascii="Arial" w:hAnsi="Arial" w:cs="Arial"/>
                <w:b/>
                <w:sz w:val="22"/>
                <w:szCs w:val="22"/>
              </w:rPr>
              <w:t>Comment on process of arriving at agreed mark:</w:t>
            </w:r>
          </w:p>
          <w:p w14:paraId="53E13FC7" w14:textId="77777777" w:rsidR="00FD2116" w:rsidRDefault="00FD2116" w:rsidP="00487BBD">
            <w:pPr>
              <w:rPr>
                <w:rFonts w:ascii="Arial" w:hAnsi="Arial" w:cs="Arial"/>
                <w:b/>
                <w:sz w:val="22"/>
                <w:szCs w:val="22"/>
              </w:rPr>
            </w:pPr>
          </w:p>
          <w:p w14:paraId="03588D43" w14:textId="77777777" w:rsidR="00FD2116" w:rsidRDefault="00FD2116" w:rsidP="00487BBD">
            <w:pPr>
              <w:rPr>
                <w:rFonts w:ascii="Arial" w:hAnsi="Arial" w:cs="Arial"/>
                <w:b/>
                <w:sz w:val="22"/>
                <w:szCs w:val="22"/>
              </w:rPr>
            </w:pPr>
          </w:p>
          <w:p w14:paraId="77300041" w14:textId="77777777" w:rsidR="00FD2116" w:rsidRDefault="00FD2116" w:rsidP="00487BBD">
            <w:pPr>
              <w:rPr>
                <w:rFonts w:ascii="Arial" w:hAnsi="Arial" w:cs="Arial"/>
                <w:b/>
                <w:sz w:val="22"/>
                <w:szCs w:val="22"/>
              </w:rPr>
            </w:pPr>
          </w:p>
          <w:p w14:paraId="0786B14E" w14:textId="77777777" w:rsidR="00FD2116" w:rsidRDefault="00FD2116" w:rsidP="00487BBD">
            <w:pPr>
              <w:rPr>
                <w:rFonts w:ascii="Arial" w:hAnsi="Arial" w:cs="Arial"/>
                <w:b/>
                <w:sz w:val="22"/>
                <w:szCs w:val="22"/>
              </w:rPr>
            </w:pPr>
          </w:p>
          <w:p w14:paraId="554CC232" w14:textId="77777777" w:rsidR="00FD2116" w:rsidRDefault="00FD2116" w:rsidP="00487BBD">
            <w:pPr>
              <w:rPr>
                <w:rFonts w:ascii="Arial" w:hAnsi="Arial" w:cs="Arial"/>
                <w:b/>
                <w:sz w:val="22"/>
                <w:szCs w:val="22"/>
              </w:rPr>
            </w:pPr>
          </w:p>
          <w:p w14:paraId="7CC2CF3A" w14:textId="77777777" w:rsidR="00FD2116" w:rsidRDefault="00FD2116" w:rsidP="00487BBD">
            <w:pPr>
              <w:rPr>
                <w:rFonts w:ascii="Arial" w:hAnsi="Arial" w:cs="Arial"/>
                <w:b/>
                <w:sz w:val="22"/>
                <w:szCs w:val="22"/>
              </w:rPr>
            </w:pPr>
          </w:p>
          <w:p w14:paraId="5894E6D2" w14:textId="77777777" w:rsidR="00FD2116" w:rsidRDefault="00FD2116" w:rsidP="00487BBD">
            <w:pPr>
              <w:rPr>
                <w:rFonts w:ascii="Arial" w:hAnsi="Arial" w:cs="Arial"/>
                <w:b/>
                <w:sz w:val="22"/>
                <w:szCs w:val="22"/>
              </w:rPr>
            </w:pPr>
          </w:p>
          <w:p w14:paraId="6367DEC7" w14:textId="77777777" w:rsidR="00FD2116" w:rsidRPr="00B34964" w:rsidRDefault="00FD2116" w:rsidP="00487BBD">
            <w:pPr>
              <w:rPr>
                <w:rFonts w:ascii="Arial" w:hAnsi="Arial" w:cs="Arial"/>
                <w:b/>
                <w:sz w:val="22"/>
                <w:szCs w:val="22"/>
              </w:rPr>
            </w:pPr>
          </w:p>
        </w:tc>
      </w:tr>
      <w:tr w:rsidR="00FD2116" w:rsidRPr="002F467C" w14:paraId="6D5F8C2A" w14:textId="77777777" w:rsidTr="00487BBD">
        <w:trPr>
          <w:trHeight w:val="720"/>
        </w:trPr>
        <w:tc>
          <w:tcPr>
            <w:tcW w:w="8856" w:type="dxa"/>
            <w:gridSpan w:val="5"/>
          </w:tcPr>
          <w:p w14:paraId="2F8771C1" w14:textId="77777777" w:rsidR="00FD2116" w:rsidRPr="00B34964" w:rsidRDefault="00FD2116" w:rsidP="00487BBD">
            <w:pPr>
              <w:rPr>
                <w:rFonts w:ascii="Arial" w:hAnsi="Arial" w:cs="Arial"/>
                <w:b/>
                <w:sz w:val="22"/>
                <w:szCs w:val="22"/>
              </w:rPr>
            </w:pPr>
            <w:r w:rsidRPr="00B34964">
              <w:rPr>
                <w:rFonts w:ascii="Arial" w:hAnsi="Arial" w:cs="Arial"/>
                <w:b/>
                <w:sz w:val="22"/>
                <w:szCs w:val="22"/>
              </w:rPr>
              <w:t>External Examiner’s comments (if relevant)</w:t>
            </w:r>
          </w:p>
          <w:p w14:paraId="7A23C097" w14:textId="77777777" w:rsidR="00FD2116" w:rsidRDefault="00FD2116" w:rsidP="00487BBD">
            <w:pPr>
              <w:pStyle w:val="NormalWeb"/>
              <w:spacing w:before="0" w:beforeAutospacing="0" w:after="0" w:afterAutospacing="0"/>
              <w:ind w:right="-334"/>
              <w:rPr>
                <w:rFonts w:ascii="Arial" w:hAnsi="Arial" w:cs="Arial"/>
                <w:bCs/>
                <w:sz w:val="22"/>
                <w:szCs w:val="22"/>
              </w:rPr>
            </w:pPr>
          </w:p>
          <w:p w14:paraId="48A06BFF" w14:textId="77777777" w:rsidR="00FD2116" w:rsidRDefault="00FD2116" w:rsidP="00487BBD">
            <w:pPr>
              <w:pStyle w:val="NormalWeb"/>
              <w:spacing w:before="0" w:beforeAutospacing="0" w:after="0" w:afterAutospacing="0"/>
              <w:ind w:right="-334"/>
              <w:rPr>
                <w:rFonts w:ascii="Arial" w:hAnsi="Arial" w:cs="Arial"/>
                <w:bCs/>
                <w:sz w:val="22"/>
                <w:szCs w:val="22"/>
              </w:rPr>
            </w:pPr>
          </w:p>
          <w:p w14:paraId="4D5BFB50" w14:textId="77777777" w:rsidR="00FD2116" w:rsidRDefault="00FD2116" w:rsidP="00487BBD">
            <w:pPr>
              <w:pStyle w:val="NormalWeb"/>
              <w:spacing w:before="0" w:beforeAutospacing="0" w:after="0" w:afterAutospacing="0"/>
              <w:ind w:right="-334"/>
              <w:rPr>
                <w:rFonts w:ascii="Arial" w:hAnsi="Arial" w:cs="Arial"/>
                <w:bCs/>
                <w:sz w:val="22"/>
                <w:szCs w:val="22"/>
              </w:rPr>
            </w:pPr>
          </w:p>
          <w:p w14:paraId="5CC5188F" w14:textId="77777777" w:rsidR="00FD2116" w:rsidRDefault="00FD2116" w:rsidP="00487BBD">
            <w:pPr>
              <w:pStyle w:val="NormalWeb"/>
              <w:spacing w:before="0" w:beforeAutospacing="0" w:after="0" w:afterAutospacing="0"/>
              <w:ind w:right="-334"/>
              <w:rPr>
                <w:rFonts w:ascii="Arial" w:hAnsi="Arial" w:cs="Arial"/>
                <w:bCs/>
                <w:sz w:val="22"/>
                <w:szCs w:val="22"/>
              </w:rPr>
            </w:pPr>
          </w:p>
          <w:p w14:paraId="104C0064" w14:textId="77777777" w:rsidR="00FD2116" w:rsidRPr="00230F35" w:rsidRDefault="00FD2116" w:rsidP="00487BBD">
            <w:pPr>
              <w:pStyle w:val="NormalWeb"/>
              <w:spacing w:before="0" w:beforeAutospacing="0" w:after="0" w:afterAutospacing="0"/>
              <w:ind w:right="-334"/>
              <w:rPr>
                <w:rFonts w:ascii="Arial" w:hAnsi="Arial" w:cs="Arial"/>
                <w:bCs/>
                <w:sz w:val="22"/>
                <w:szCs w:val="22"/>
              </w:rPr>
            </w:pPr>
          </w:p>
          <w:p w14:paraId="4EB7B905" w14:textId="77777777" w:rsidR="00FD2116" w:rsidRPr="00230F35" w:rsidRDefault="00FD2116" w:rsidP="00487BBD">
            <w:pPr>
              <w:pStyle w:val="NormalWeb"/>
              <w:spacing w:before="0" w:beforeAutospacing="0" w:after="0" w:afterAutospacing="0"/>
              <w:ind w:right="-334"/>
              <w:rPr>
                <w:rFonts w:ascii="Arial" w:hAnsi="Arial" w:cs="Arial"/>
                <w:bCs/>
                <w:sz w:val="22"/>
                <w:szCs w:val="22"/>
              </w:rPr>
            </w:pPr>
          </w:p>
          <w:p w14:paraId="7941D399" w14:textId="77777777" w:rsidR="00FD2116" w:rsidRPr="00230F35" w:rsidRDefault="00FD2116" w:rsidP="00487BBD">
            <w:pPr>
              <w:pStyle w:val="NormalWeb"/>
              <w:spacing w:before="0" w:beforeAutospacing="0" w:after="0" w:afterAutospacing="0"/>
              <w:ind w:right="-334"/>
              <w:rPr>
                <w:rFonts w:ascii="Arial" w:hAnsi="Arial" w:cs="Arial"/>
                <w:bCs/>
                <w:sz w:val="22"/>
                <w:szCs w:val="22"/>
              </w:rPr>
            </w:pPr>
          </w:p>
        </w:tc>
      </w:tr>
      <w:tr w:rsidR="00FD2116" w:rsidRPr="002F467C" w14:paraId="37AE0414" w14:textId="77777777" w:rsidTr="00487BBD">
        <w:trPr>
          <w:trHeight w:val="720"/>
        </w:trPr>
        <w:tc>
          <w:tcPr>
            <w:tcW w:w="5211" w:type="dxa"/>
            <w:gridSpan w:val="2"/>
          </w:tcPr>
          <w:p w14:paraId="05912391" w14:textId="77777777" w:rsidR="00FD2116" w:rsidRPr="00230F35" w:rsidRDefault="00FD2116" w:rsidP="00487BBD">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2C0E3257" w14:textId="77777777" w:rsidR="00FD2116" w:rsidRPr="00230F35" w:rsidRDefault="00FD2116" w:rsidP="00487BBD">
            <w:pPr>
              <w:rPr>
                <w:rFonts w:ascii="Arial" w:hAnsi="Arial" w:cs="Arial"/>
                <w:sz w:val="22"/>
                <w:szCs w:val="22"/>
              </w:rPr>
            </w:pPr>
            <w:r w:rsidRPr="00230F35">
              <w:rPr>
                <w:rFonts w:ascii="Arial" w:hAnsi="Arial" w:cs="Arial"/>
                <w:sz w:val="22"/>
                <w:szCs w:val="22"/>
              </w:rPr>
              <w:t>Date:</w:t>
            </w:r>
          </w:p>
        </w:tc>
      </w:tr>
    </w:tbl>
    <w:p w14:paraId="29DF5041" w14:textId="77777777" w:rsidR="00FD2116" w:rsidRPr="00D67BF8" w:rsidRDefault="00FD2116" w:rsidP="00FD2116">
      <w:pPr>
        <w:pStyle w:val="NormalWeb"/>
        <w:spacing w:before="0" w:beforeAutospacing="0" w:after="0" w:afterAutospacing="0"/>
        <w:ind w:right="-334"/>
        <w:rPr>
          <w:rFonts w:ascii="Trebuchet MS" w:hAnsi="Trebuchet MS" w:cs="Tahoma"/>
          <w:bCs/>
          <w:sz w:val="24"/>
          <w:szCs w:val="24"/>
        </w:rPr>
      </w:pPr>
    </w:p>
    <w:p w14:paraId="09799E75" w14:textId="19C0A115" w:rsidR="00FD2116" w:rsidRDefault="00FD2116">
      <w:pPr>
        <w:rPr>
          <w:rFonts w:ascii="Times New Roman" w:hAnsi="Times New Roman" w:cs="Times New Roman"/>
          <w:b/>
          <w:lang w:val="en-US"/>
        </w:rPr>
      </w:pPr>
      <w:r>
        <w:rPr>
          <w:rFonts w:ascii="Times New Roman" w:hAnsi="Times New Roman" w:cs="Times New Roman"/>
          <w:b/>
          <w:lang w:val="en-US"/>
        </w:rPr>
        <w:br w:type="page"/>
      </w:r>
    </w:p>
    <w:p w14:paraId="0DF06D69" w14:textId="77777777" w:rsidR="00FD2116" w:rsidRDefault="00FD2116">
      <w:pPr>
        <w:rPr>
          <w:rFonts w:ascii="Times New Roman" w:hAnsi="Times New Roman" w:cs="Times New Roman"/>
          <w:b/>
          <w:lang w:val="en-US"/>
        </w:rPr>
      </w:pPr>
    </w:p>
    <w:p w14:paraId="056F6145" w14:textId="1BB4FDCF" w:rsidR="00B65DA9" w:rsidRDefault="00B65DA9">
      <w:pPr>
        <w:rPr>
          <w:rFonts w:ascii="Times New Roman" w:hAnsi="Times New Roman" w:cs="Times New Roman"/>
          <w:b/>
          <w:bCs/>
          <w:lang w:val="en-US"/>
        </w:rPr>
      </w:pPr>
      <w:r>
        <w:rPr>
          <w:rFonts w:ascii="Times New Roman" w:hAnsi="Times New Roman" w:cs="Times New Roman"/>
          <w:b/>
          <w:lang w:val="en-US"/>
        </w:rPr>
        <w:t>T</w:t>
      </w:r>
      <w:r w:rsidRPr="00B65DA9">
        <w:rPr>
          <w:rFonts w:ascii="Times New Roman" w:hAnsi="Times New Roman" w:cs="Times New Roman"/>
          <w:b/>
          <w:lang w:val="en-US"/>
        </w:rPr>
        <w:t xml:space="preserve">he roles of, and relationship between, cosmology and divination in </w:t>
      </w:r>
      <w:r w:rsidRPr="00B65DA9">
        <w:rPr>
          <w:rFonts w:ascii="Times New Roman" w:hAnsi="Times New Roman" w:cs="Times New Roman"/>
          <w:b/>
          <w:bCs/>
          <w:lang w:val="en-US"/>
        </w:rPr>
        <w:t>Ancient Egypt</w:t>
      </w:r>
    </w:p>
    <w:p w14:paraId="64F6C908" w14:textId="3CDC8945" w:rsidR="00FD3C95" w:rsidRDefault="00FD3C95">
      <w:pPr>
        <w:rPr>
          <w:rFonts w:ascii="Times New Roman" w:hAnsi="Times New Roman" w:cs="Times New Roman"/>
          <w:b/>
          <w:bCs/>
          <w:lang w:val="en-US"/>
        </w:rPr>
      </w:pPr>
    </w:p>
    <w:p w14:paraId="738AE09F" w14:textId="348B24FD" w:rsidR="00FD3C95" w:rsidRPr="00FD3C95" w:rsidRDefault="00FD3C95">
      <w:pPr>
        <w:rPr>
          <w:rFonts w:ascii="Times New Roman" w:hAnsi="Times New Roman" w:cs="Times New Roman"/>
          <w:lang w:val="en-US"/>
        </w:rPr>
      </w:pPr>
      <w:r>
        <w:rPr>
          <w:rFonts w:ascii="Times New Roman" w:hAnsi="Times New Roman" w:cs="Times New Roman"/>
          <w:lang w:val="en-US"/>
        </w:rPr>
        <w:t>Word count: 5836</w:t>
      </w:r>
    </w:p>
    <w:p w14:paraId="3C430EB6" w14:textId="77777777" w:rsidR="00B65DA9" w:rsidRPr="00B65DA9" w:rsidRDefault="00B65DA9">
      <w:pPr>
        <w:rPr>
          <w:rFonts w:ascii="Times New Roman" w:hAnsi="Times New Roman" w:cs="Times New Roman"/>
          <w:b/>
          <w:bCs/>
        </w:rPr>
      </w:pPr>
    </w:p>
    <w:p w14:paraId="68445467" w14:textId="5916BD4C" w:rsidR="00FE05FA" w:rsidRDefault="00B65DA9">
      <w:pPr>
        <w:rPr>
          <w:rFonts w:ascii="Times New Roman" w:hAnsi="Times New Roman" w:cs="Times New Roman"/>
        </w:rPr>
      </w:pPr>
      <w:r w:rsidRPr="00B65DA9">
        <w:rPr>
          <w:rFonts w:ascii="Times New Roman" w:hAnsi="Times New Roman" w:cs="Times New Roman"/>
        </w:rPr>
        <w:t>Introduction</w:t>
      </w:r>
    </w:p>
    <w:p w14:paraId="58690013" w14:textId="77777777" w:rsidR="00FD3C95" w:rsidRDefault="00FD3C95">
      <w:pPr>
        <w:rPr>
          <w:rFonts w:ascii="Times New Roman" w:hAnsi="Times New Roman" w:cs="Times New Roman"/>
        </w:rPr>
      </w:pPr>
    </w:p>
    <w:p w14:paraId="087176C2" w14:textId="03E5B3EB" w:rsidR="00B65DA9" w:rsidRDefault="00B65DA9">
      <w:pPr>
        <w:rPr>
          <w:rFonts w:ascii="Times New Roman" w:hAnsi="Times New Roman" w:cs="Times New Roman"/>
        </w:rPr>
      </w:pPr>
    </w:p>
    <w:p w14:paraId="4652C9F7" w14:textId="3EBCE0B4" w:rsidR="00D00766" w:rsidRPr="005B0AFD" w:rsidRDefault="00B65DA9" w:rsidP="008260BE">
      <w:pPr>
        <w:spacing w:line="480" w:lineRule="auto"/>
        <w:rPr>
          <w:rFonts w:ascii="Times New Roman" w:hAnsi="Times New Roman" w:cs="Times New Roman"/>
          <w:highlight w:val="yellow"/>
        </w:rPr>
      </w:pPr>
      <w:r w:rsidRPr="00A53423">
        <w:rPr>
          <w:rFonts w:ascii="Times New Roman" w:hAnsi="Times New Roman" w:cs="Times New Roman"/>
        </w:rPr>
        <w:t>This essay analyse</w:t>
      </w:r>
      <w:r w:rsidR="00297D1F" w:rsidRPr="00A53423">
        <w:rPr>
          <w:rFonts w:ascii="Times New Roman" w:hAnsi="Times New Roman" w:cs="Times New Roman"/>
        </w:rPr>
        <w:t>s</w:t>
      </w:r>
      <w:r w:rsidRPr="00A53423">
        <w:rPr>
          <w:rFonts w:ascii="Times New Roman" w:hAnsi="Times New Roman" w:cs="Times New Roman"/>
        </w:rPr>
        <w:t xml:space="preserve"> the nature of cosmology and divination, their roles and their relationship to each other within the context </w:t>
      </w:r>
      <w:r w:rsidR="00DB4148" w:rsidRPr="00A53423">
        <w:rPr>
          <w:rFonts w:ascii="Times New Roman" w:hAnsi="Times New Roman" w:cs="Times New Roman"/>
        </w:rPr>
        <w:t xml:space="preserve">of </w:t>
      </w:r>
      <w:r w:rsidRPr="00A53423">
        <w:rPr>
          <w:rFonts w:ascii="Times New Roman" w:hAnsi="Times New Roman" w:cs="Times New Roman"/>
        </w:rPr>
        <w:t xml:space="preserve">the known as Ancient Egypt.  </w:t>
      </w:r>
      <w:r w:rsidR="00DB4148" w:rsidRPr="00A53423">
        <w:rPr>
          <w:rFonts w:ascii="Times New Roman" w:hAnsi="Times New Roman" w:cs="Times New Roman"/>
        </w:rPr>
        <w:t>Firstly, as this civilisation extended across a large geography and existed for a very significant length of time</w:t>
      </w:r>
      <w:r w:rsidR="00DB4148" w:rsidRPr="00A53423">
        <w:rPr>
          <w:rStyle w:val="FootnoteReference"/>
          <w:rFonts w:ascii="Times New Roman" w:hAnsi="Times New Roman" w:cs="Times New Roman"/>
        </w:rPr>
        <w:footnoteReference w:id="1"/>
      </w:r>
      <w:r w:rsidR="00DB4148" w:rsidRPr="00A53423">
        <w:rPr>
          <w:rFonts w:ascii="Times New Roman" w:hAnsi="Times New Roman" w:cs="Times New Roman"/>
        </w:rPr>
        <w:t xml:space="preserve">, the scope of the essay </w:t>
      </w:r>
      <w:r w:rsidR="00297D1F" w:rsidRPr="00A53423">
        <w:rPr>
          <w:rFonts w:ascii="Times New Roman" w:hAnsi="Times New Roman" w:cs="Times New Roman"/>
        </w:rPr>
        <w:t>is</w:t>
      </w:r>
      <w:r w:rsidR="00DB4148" w:rsidRPr="00A53423">
        <w:rPr>
          <w:rFonts w:ascii="Times New Roman" w:hAnsi="Times New Roman" w:cs="Times New Roman"/>
        </w:rPr>
        <w:t xml:space="preserve"> considered.  Secondly, the </w:t>
      </w:r>
      <w:r w:rsidR="00A371ED" w:rsidRPr="00A53423">
        <w:rPr>
          <w:rFonts w:ascii="Times New Roman" w:hAnsi="Times New Roman" w:cs="Times New Roman"/>
        </w:rPr>
        <w:t>concepts of</w:t>
      </w:r>
      <w:r w:rsidR="00DB4148" w:rsidRPr="00A53423">
        <w:rPr>
          <w:rFonts w:ascii="Times New Roman" w:hAnsi="Times New Roman" w:cs="Times New Roman"/>
        </w:rPr>
        <w:t xml:space="preserve"> ‘cosmology’ and ‘divination’ </w:t>
      </w:r>
      <w:r w:rsidR="00297D1F" w:rsidRPr="00A53423">
        <w:rPr>
          <w:rFonts w:ascii="Times New Roman" w:hAnsi="Times New Roman" w:cs="Times New Roman"/>
        </w:rPr>
        <w:t>are</w:t>
      </w:r>
      <w:r w:rsidR="00A371ED" w:rsidRPr="00A53423">
        <w:rPr>
          <w:rFonts w:ascii="Times New Roman" w:hAnsi="Times New Roman" w:cs="Times New Roman"/>
        </w:rPr>
        <w:t xml:space="preserve"> defined and discussed</w:t>
      </w:r>
      <w:r w:rsidR="00DB4148" w:rsidRPr="00A53423">
        <w:rPr>
          <w:rFonts w:ascii="Times New Roman" w:hAnsi="Times New Roman" w:cs="Times New Roman"/>
        </w:rPr>
        <w:t xml:space="preserve">. Then, </w:t>
      </w:r>
      <w:r w:rsidR="00D00766" w:rsidRPr="00A53423">
        <w:rPr>
          <w:rFonts w:ascii="Times New Roman" w:hAnsi="Times New Roman" w:cs="Times New Roman"/>
        </w:rPr>
        <w:t xml:space="preserve">the distinct types of divination that survive in the record </w:t>
      </w:r>
      <w:r w:rsidR="00297D1F" w:rsidRPr="00A53423">
        <w:rPr>
          <w:rFonts w:ascii="Times New Roman" w:hAnsi="Times New Roman" w:cs="Times New Roman"/>
        </w:rPr>
        <w:t>are</w:t>
      </w:r>
      <w:r w:rsidR="00D00766" w:rsidRPr="00A53423">
        <w:rPr>
          <w:rFonts w:ascii="Times New Roman" w:hAnsi="Times New Roman" w:cs="Times New Roman"/>
        </w:rPr>
        <w:t xml:space="preserve"> described</w:t>
      </w:r>
      <w:r w:rsidR="00A24AF2" w:rsidRPr="00A53423">
        <w:rPr>
          <w:rFonts w:ascii="Times New Roman" w:hAnsi="Times New Roman" w:cs="Times New Roman"/>
        </w:rPr>
        <w:t>. Two of the main types – Oracles and Dreams are looked at in detail. W</w:t>
      </w:r>
      <w:r w:rsidR="00D00766" w:rsidRPr="00A53423">
        <w:rPr>
          <w:rFonts w:ascii="Times New Roman" w:hAnsi="Times New Roman" w:cs="Times New Roman"/>
        </w:rPr>
        <w:t xml:space="preserve">hy they were practiced, for and to whom, and can their cultural and </w:t>
      </w:r>
      <w:r w:rsidR="00297D1F" w:rsidRPr="00A53423">
        <w:rPr>
          <w:rFonts w:ascii="Times New Roman" w:hAnsi="Times New Roman" w:cs="Times New Roman"/>
        </w:rPr>
        <w:t>spiritual</w:t>
      </w:r>
      <w:r w:rsidR="00D00766" w:rsidRPr="00A53423">
        <w:rPr>
          <w:rFonts w:ascii="Times New Roman" w:hAnsi="Times New Roman" w:cs="Times New Roman"/>
        </w:rPr>
        <w:t xml:space="preserve"> significance be established</w:t>
      </w:r>
      <w:r w:rsidR="00A24AF2" w:rsidRPr="00A53423">
        <w:rPr>
          <w:rFonts w:ascii="Times New Roman" w:hAnsi="Times New Roman" w:cs="Times New Roman"/>
        </w:rPr>
        <w:t xml:space="preserve">, by considering </w:t>
      </w:r>
      <w:r w:rsidR="00A24AF2" w:rsidRPr="00A53423">
        <w:rPr>
          <w:rFonts w:ascii="Times New Roman" w:hAnsi="Times New Roman" w:cs="Times New Roman"/>
        </w:rPr>
        <w:t>such</w:t>
      </w:r>
      <w:r w:rsidR="00A24AF2" w:rsidRPr="00A53423">
        <w:rPr>
          <w:rFonts w:ascii="Times New Roman" w:hAnsi="Times New Roman" w:cs="Times New Roman"/>
        </w:rPr>
        <w:t xml:space="preserve"> anthropological</w:t>
      </w:r>
      <w:r w:rsidR="00A24AF2" w:rsidRPr="00A53423">
        <w:rPr>
          <w:rFonts w:ascii="Times New Roman" w:hAnsi="Times New Roman" w:cs="Times New Roman"/>
        </w:rPr>
        <w:t xml:space="preserve"> concepts </w:t>
      </w:r>
      <w:r w:rsidR="00A24AF2" w:rsidRPr="00A53423">
        <w:rPr>
          <w:rFonts w:ascii="Times New Roman" w:hAnsi="Times New Roman" w:cs="Times New Roman"/>
        </w:rPr>
        <w:t>as</w:t>
      </w:r>
      <w:r w:rsidR="00A24AF2" w:rsidRPr="00A53423">
        <w:rPr>
          <w:rFonts w:ascii="Times New Roman" w:hAnsi="Times New Roman" w:cs="Times New Roman"/>
        </w:rPr>
        <w:t xml:space="preserve"> agency and embodimen</w:t>
      </w:r>
      <w:r w:rsidR="005B0AFD">
        <w:rPr>
          <w:rFonts w:ascii="Times New Roman" w:hAnsi="Times New Roman" w:cs="Times New Roman"/>
        </w:rPr>
        <w:t>t.</w:t>
      </w:r>
      <w:r w:rsidR="005B0AFD" w:rsidRPr="005B0AFD">
        <w:rPr>
          <w:rFonts w:ascii="Times New Roman" w:hAnsi="Times New Roman" w:cs="Times New Roman"/>
        </w:rPr>
        <w:t xml:space="preserve"> </w:t>
      </w:r>
      <w:r w:rsidR="00297D1F" w:rsidRPr="005B0AFD">
        <w:rPr>
          <w:rFonts w:ascii="Times New Roman" w:hAnsi="Times New Roman" w:cs="Times New Roman"/>
        </w:rPr>
        <w:t>Finally, conclusions are offered.</w:t>
      </w:r>
    </w:p>
    <w:p w14:paraId="101DC85F" w14:textId="619C91C4" w:rsidR="00E823EA" w:rsidRDefault="00E823EA" w:rsidP="008260BE">
      <w:pPr>
        <w:spacing w:line="480" w:lineRule="auto"/>
        <w:rPr>
          <w:rFonts w:ascii="Times New Roman" w:hAnsi="Times New Roman" w:cs="Times New Roman"/>
        </w:rPr>
      </w:pPr>
    </w:p>
    <w:p w14:paraId="4E910151" w14:textId="3B538552" w:rsidR="00E823EA" w:rsidRDefault="00E823EA" w:rsidP="008260BE">
      <w:pPr>
        <w:spacing w:line="480" w:lineRule="auto"/>
        <w:rPr>
          <w:rFonts w:ascii="Times New Roman" w:hAnsi="Times New Roman" w:cs="Times New Roman"/>
        </w:rPr>
      </w:pPr>
      <w:r>
        <w:rPr>
          <w:rFonts w:ascii="Times New Roman" w:hAnsi="Times New Roman" w:cs="Times New Roman"/>
        </w:rPr>
        <w:t>Scope</w:t>
      </w:r>
    </w:p>
    <w:p w14:paraId="0E2E5FE0" w14:textId="2420D9FC" w:rsidR="00C04C7A" w:rsidRDefault="00C04C7A" w:rsidP="008260BE">
      <w:pPr>
        <w:spacing w:line="480" w:lineRule="auto"/>
        <w:rPr>
          <w:rFonts w:ascii="Times New Roman" w:hAnsi="Times New Roman" w:cs="Times New Roman"/>
        </w:rPr>
      </w:pPr>
    </w:p>
    <w:p w14:paraId="1B576893" w14:textId="464B5691" w:rsidR="00C04C7A" w:rsidRDefault="00C04C7A" w:rsidP="008260BE">
      <w:pPr>
        <w:spacing w:line="480" w:lineRule="auto"/>
        <w:rPr>
          <w:rFonts w:ascii="Times New Roman" w:hAnsi="Times New Roman" w:cs="Times New Roman"/>
        </w:rPr>
      </w:pPr>
      <w:r>
        <w:rPr>
          <w:rFonts w:ascii="Times New Roman" w:hAnsi="Times New Roman" w:cs="Times New Roman"/>
        </w:rPr>
        <w:t xml:space="preserve">Ancient Egypt is the phrase used to encapsulate the civilization and its culture that arose and </w:t>
      </w:r>
      <w:r w:rsidR="00EE62BD">
        <w:rPr>
          <w:rFonts w:ascii="Times New Roman" w:hAnsi="Times New Roman" w:cs="Times New Roman"/>
        </w:rPr>
        <w:t>developed</w:t>
      </w:r>
      <w:r>
        <w:rPr>
          <w:rFonts w:ascii="Times New Roman" w:hAnsi="Times New Roman" w:cs="Times New Roman"/>
        </w:rPr>
        <w:t xml:space="preserve"> around and along the Nile Valley in North East Africa</w:t>
      </w:r>
      <w:r w:rsidR="008260BE">
        <w:rPr>
          <w:rFonts w:ascii="Times New Roman" w:hAnsi="Times New Roman" w:cs="Times New Roman"/>
        </w:rPr>
        <w:t>;</w:t>
      </w:r>
      <w:r w:rsidR="00EE62BD">
        <w:rPr>
          <w:rFonts w:ascii="Times New Roman" w:hAnsi="Times New Roman" w:cs="Times New Roman"/>
        </w:rPr>
        <w:t xml:space="preserve"> and</w:t>
      </w:r>
      <w:r w:rsidR="008260BE">
        <w:rPr>
          <w:rFonts w:ascii="Times New Roman" w:hAnsi="Times New Roman" w:cs="Times New Roman"/>
        </w:rPr>
        <w:t xml:space="preserve"> which</w:t>
      </w:r>
      <w:r w:rsidR="00EE62BD">
        <w:rPr>
          <w:rFonts w:ascii="Times New Roman" w:hAnsi="Times New Roman" w:cs="Times New Roman"/>
        </w:rPr>
        <w:t xml:space="preserve"> stretched from the Mediterranean to what is now Northern Sudan</w:t>
      </w:r>
      <w:r>
        <w:rPr>
          <w:rStyle w:val="FootnoteReference"/>
          <w:rFonts w:ascii="Times New Roman" w:hAnsi="Times New Roman" w:cs="Times New Roman"/>
        </w:rPr>
        <w:footnoteReference w:id="2"/>
      </w:r>
      <w:r>
        <w:rPr>
          <w:rFonts w:ascii="Times New Roman" w:hAnsi="Times New Roman" w:cs="Times New Roman"/>
        </w:rPr>
        <w:t xml:space="preserve">.  Though evidence exists for human occupation </w:t>
      </w:r>
      <w:r w:rsidR="00A55562">
        <w:rPr>
          <w:rFonts w:ascii="Times New Roman" w:hAnsi="Times New Roman" w:cs="Times New Roman"/>
        </w:rPr>
        <w:t>in some of</w:t>
      </w:r>
      <w:r>
        <w:rPr>
          <w:rFonts w:ascii="Times New Roman" w:hAnsi="Times New Roman" w:cs="Times New Roman"/>
        </w:rPr>
        <w:t xml:space="preserve"> the area from the middle of the 5</w:t>
      </w:r>
      <w:r w:rsidRPr="00C04C7A">
        <w:rPr>
          <w:rFonts w:ascii="Times New Roman" w:hAnsi="Times New Roman" w:cs="Times New Roman"/>
          <w:vertAlign w:val="superscript"/>
        </w:rPr>
        <w:t>th</w:t>
      </w:r>
      <w:r>
        <w:rPr>
          <w:rFonts w:ascii="Times New Roman" w:hAnsi="Times New Roman" w:cs="Times New Roman"/>
        </w:rPr>
        <w:t xml:space="preserve"> millennium BCE</w:t>
      </w:r>
      <w:r>
        <w:rPr>
          <w:rStyle w:val="FootnoteReference"/>
          <w:rFonts w:ascii="Times New Roman" w:hAnsi="Times New Roman" w:cs="Times New Roman"/>
        </w:rPr>
        <w:footnoteReference w:id="3"/>
      </w:r>
      <w:r>
        <w:rPr>
          <w:rFonts w:ascii="Times New Roman" w:hAnsi="Times New Roman" w:cs="Times New Roman"/>
        </w:rPr>
        <w:t>, it is generally accepted that the country was first united in a political manner around 3</w:t>
      </w:r>
      <w:r w:rsidR="00927A58">
        <w:rPr>
          <w:rFonts w:ascii="Times New Roman" w:hAnsi="Times New Roman" w:cs="Times New Roman"/>
        </w:rPr>
        <w:t>0</w:t>
      </w:r>
      <w:r>
        <w:rPr>
          <w:rFonts w:ascii="Times New Roman" w:hAnsi="Times New Roman" w:cs="Times New Roman"/>
        </w:rPr>
        <w:t>00 BCE</w:t>
      </w:r>
      <w:r w:rsidR="007D719E">
        <w:rPr>
          <w:rFonts w:ascii="Times New Roman" w:hAnsi="Times New Roman" w:cs="Times New Roman"/>
        </w:rPr>
        <w:t>.</w:t>
      </w:r>
      <w:r w:rsidR="00EE62BD">
        <w:rPr>
          <w:rFonts w:ascii="Times New Roman" w:hAnsi="Times New Roman" w:cs="Times New Roman"/>
        </w:rPr>
        <w:t xml:space="preserve"> </w:t>
      </w:r>
      <w:proofErr w:type="gramStart"/>
      <w:r w:rsidR="007D719E">
        <w:rPr>
          <w:rFonts w:ascii="Times New Roman" w:hAnsi="Times New Roman" w:cs="Times New Roman"/>
        </w:rPr>
        <w:t>The</w:t>
      </w:r>
      <w:r w:rsidR="00EE62BD">
        <w:rPr>
          <w:rFonts w:ascii="Times New Roman" w:hAnsi="Times New Roman" w:cs="Times New Roman"/>
        </w:rPr>
        <w:t xml:space="preserve">  temporal</w:t>
      </w:r>
      <w:proofErr w:type="gramEnd"/>
      <w:r w:rsidR="00EE62BD">
        <w:rPr>
          <w:rFonts w:ascii="Times New Roman" w:hAnsi="Times New Roman" w:cs="Times New Roman"/>
        </w:rPr>
        <w:t xml:space="preserve"> scope of this essay focuses on the period </w:t>
      </w:r>
      <w:r w:rsidR="008260BE">
        <w:rPr>
          <w:rFonts w:ascii="Times New Roman" w:hAnsi="Times New Roman" w:cs="Times New Roman"/>
        </w:rPr>
        <w:t>from 3</w:t>
      </w:r>
      <w:r w:rsidR="00927A58">
        <w:rPr>
          <w:rFonts w:ascii="Times New Roman" w:hAnsi="Times New Roman" w:cs="Times New Roman"/>
        </w:rPr>
        <w:t>0</w:t>
      </w:r>
      <w:r w:rsidR="008260BE">
        <w:rPr>
          <w:rFonts w:ascii="Times New Roman" w:hAnsi="Times New Roman" w:cs="Times New Roman"/>
        </w:rPr>
        <w:t>00 BCE to</w:t>
      </w:r>
      <w:r w:rsidR="00EE62BD">
        <w:rPr>
          <w:rFonts w:ascii="Times New Roman" w:hAnsi="Times New Roman" w:cs="Times New Roman"/>
        </w:rPr>
        <w:t xml:space="preserve"> the annexation of Egypt </w:t>
      </w:r>
      <w:r w:rsidR="00EE62BD">
        <w:rPr>
          <w:rFonts w:ascii="Times New Roman" w:hAnsi="Times New Roman" w:cs="Times New Roman"/>
        </w:rPr>
        <w:lastRenderedPageBreak/>
        <w:t>in 30 BCE</w:t>
      </w:r>
      <w:r w:rsidR="008260BE">
        <w:rPr>
          <w:rFonts w:ascii="Times New Roman" w:hAnsi="Times New Roman" w:cs="Times New Roman"/>
        </w:rPr>
        <w:t xml:space="preserve"> by Rome</w:t>
      </w:r>
      <w:r w:rsidR="008260BE">
        <w:rPr>
          <w:rStyle w:val="FootnoteReference"/>
          <w:rFonts w:ascii="Times New Roman" w:hAnsi="Times New Roman" w:cs="Times New Roman"/>
        </w:rPr>
        <w:footnoteReference w:id="4"/>
      </w:r>
      <w:r w:rsidR="008260BE">
        <w:rPr>
          <w:rFonts w:ascii="Times New Roman" w:hAnsi="Times New Roman" w:cs="Times New Roman"/>
        </w:rPr>
        <w:t>.</w:t>
      </w:r>
      <w:r w:rsidR="00EE62BD">
        <w:rPr>
          <w:rFonts w:ascii="Times New Roman" w:hAnsi="Times New Roman" w:cs="Times New Roman"/>
        </w:rPr>
        <w:t xml:space="preserve"> </w:t>
      </w:r>
      <w:r w:rsidR="008260BE">
        <w:rPr>
          <w:rFonts w:ascii="Times New Roman" w:hAnsi="Times New Roman" w:cs="Times New Roman"/>
        </w:rPr>
        <w:t>It</w:t>
      </w:r>
      <w:r w:rsidR="00EE62BD">
        <w:rPr>
          <w:rFonts w:ascii="Times New Roman" w:hAnsi="Times New Roman" w:cs="Times New Roman"/>
        </w:rPr>
        <w:t xml:space="preserve"> thus includes the </w:t>
      </w:r>
      <w:r w:rsidR="00A55562">
        <w:rPr>
          <w:rFonts w:ascii="Times New Roman" w:hAnsi="Times New Roman" w:cs="Times New Roman"/>
        </w:rPr>
        <w:t xml:space="preserve">time </w:t>
      </w:r>
      <w:r w:rsidR="00EE62BD">
        <w:rPr>
          <w:rFonts w:ascii="Times New Roman" w:hAnsi="Times New Roman" w:cs="Times New Roman"/>
        </w:rPr>
        <w:t xml:space="preserve">of what can be called the </w:t>
      </w:r>
      <w:r w:rsidR="008260BE">
        <w:rPr>
          <w:rFonts w:ascii="Times New Roman" w:hAnsi="Times New Roman" w:cs="Times New Roman"/>
        </w:rPr>
        <w:t>N</w:t>
      </w:r>
      <w:r w:rsidR="00EE62BD">
        <w:rPr>
          <w:rFonts w:ascii="Times New Roman" w:hAnsi="Times New Roman" w:cs="Times New Roman"/>
        </w:rPr>
        <w:t>ative Pharaohs plus the period after the conquest of Alexander</w:t>
      </w:r>
      <w:r w:rsidR="008260BE">
        <w:rPr>
          <w:rFonts w:ascii="Times New Roman" w:hAnsi="Times New Roman" w:cs="Times New Roman"/>
        </w:rPr>
        <w:t xml:space="preserve"> (323-30 BCE) which is usually </w:t>
      </w:r>
      <w:r w:rsidR="00AF2D5F">
        <w:rPr>
          <w:rFonts w:ascii="Times New Roman" w:hAnsi="Times New Roman" w:cs="Times New Roman"/>
        </w:rPr>
        <w:t>termed</w:t>
      </w:r>
      <w:r w:rsidR="008260BE">
        <w:rPr>
          <w:rFonts w:ascii="Times New Roman" w:hAnsi="Times New Roman" w:cs="Times New Roman"/>
        </w:rPr>
        <w:t>, after its Greek rulers, the Ptolemaic period</w:t>
      </w:r>
      <w:r w:rsidR="008260BE">
        <w:rPr>
          <w:rStyle w:val="FootnoteReference"/>
          <w:rFonts w:ascii="Times New Roman" w:hAnsi="Times New Roman" w:cs="Times New Roman"/>
        </w:rPr>
        <w:footnoteReference w:id="5"/>
      </w:r>
      <w:r w:rsidR="008260BE">
        <w:rPr>
          <w:rFonts w:ascii="Times New Roman" w:hAnsi="Times New Roman" w:cs="Times New Roman"/>
        </w:rPr>
        <w:t xml:space="preserve">.  </w:t>
      </w:r>
    </w:p>
    <w:p w14:paraId="059A5152" w14:textId="0C2E77C1" w:rsidR="00E823EA" w:rsidRDefault="00E823EA">
      <w:pPr>
        <w:rPr>
          <w:rFonts w:ascii="Times New Roman" w:hAnsi="Times New Roman" w:cs="Times New Roman"/>
        </w:rPr>
      </w:pPr>
    </w:p>
    <w:p w14:paraId="6DB4ED18" w14:textId="77777777" w:rsidR="00E823EA" w:rsidRPr="00B65DA9" w:rsidRDefault="00E823EA">
      <w:pPr>
        <w:rPr>
          <w:rFonts w:ascii="Times New Roman" w:hAnsi="Times New Roman" w:cs="Times New Roman"/>
        </w:rPr>
      </w:pPr>
    </w:p>
    <w:p w14:paraId="111258A7" w14:textId="73053DA9" w:rsidR="00B65DA9" w:rsidRDefault="009A45BF">
      <w:pPr>
        <w:rPr>
          <w:rFonts w:ascii="Times New Roman" w:hAnsi="Times New Roman" w:cs="Times New Roman"/>
        </w:rPr>
      </w:pPr>
      <w:r>
        <w:rPr>
          <w:rFonts w:ascii="Times New Roman" w:hAnsi="Times New Roman" w:cs="Times New Roman"/>
        </w:rPr>
        <w:t>Cosmology</w:t>
      </w:r>
    </w:p>
    <w:p w14:paraId="62C1A006" w14:textId="3924EFAE" w:rsidR="00743DCD" w:rsidRDefault="00743DCD">
      <w:pPr>
        <w:rPr>
          <w:rFonts w:ascii="Times New Roman" w:hAnsi="Times New Roman" w:cs="Times New Roman"/>
        </w:rPr>
      </w:pPr>
    </w:p>
    <w:p w14:paraId="64F9DFD8" w14:textId="77777777" w:rsidR="005F0B41" w:rsidRDefault="005F0B41" w:rsidP="0011338B">
      <w:pPr>
        <w:spacing w:line="480" w:lineRule="auto"/>
        <w:rPr>
          <w:rFonts w:ascii="Times New Roman" w:hAnsi="Times New Roman" w:cs="Times New Roman"/>
        </w:rPr>
      </w:pPr>
    </w:p>
    <w:p w14:paraId="0DC1CEE2" w14:textId="7A85401F" w:rsidR="00297D1F" w:rsidRDefault="00743DCD" w:rsidP="0011338B">
      <w:pPr>
        <w:spacing w:line="480" w:lineRule="auto"/>
        <w:rPr>
          <w:rFonts w:ascii="Times New Roman" w:hAnsi="Times New Roman" w:cs="Times New Roman"/>
        </w:rPr>
      </w:pPr>
      <w:r>
        <w:rPr>
          <w:rFonts w:ascii="Times New Roman" w:hAnsi="Times New Roman" w:cs="Times New Roman"/>
        </w:rPr>
        <w:t xml:space="preserve">In her book, </w:t>
      </w:r>
      <w:r>
        <w:rPr>
          <w:rFonts w:ascii="Times New Roman" w:hAnsi="Times New Roman" w:cs="Times New Roman"/>
          <w:i/>
          <w:iCs/>
        </w:rPr>
        <w:t>The Anthropology of Religion: An Introduction</w:t>
      </w:r>
      <w:r>
        <w:rPr>
          <w:rFonts w:ascii="Times New Roman" w:hAnsi="Times New Roman" w:cs="Times New Roman"/>
        </w:rPr>
        <w:t>, Fiona Bowie defines ‘Cosmology’ as ‘a theory or conception of the nature of the universe and its workings; and of the place of human beings and other creatures within in that order.’</w:t>
      </w:r>
      <w:r>
        <w:rPr>
          <w:rStyle w:val="FootnoteReference"/>
          <w:rFonts w:ascii="Times New Roman" w:hAnsi="Times New Roman" w:cs="Times New Roman"/>
        </w:rPr>
        <w:footnoteReference w:id="6"/>
      </w:r>
      <w:r w:rsidR="001F58B9">
        <w:rPr>
          <w:rFonts w:ascii="Times New Roman" w:hAnsi="Times New Roman" w:cs="Times New Roman"/>
        </w:rPr>
        <w:t xml:space="preserve">  Cosmology can be contrasted with ‘Cosmogony’ by which is meant myths and stories as to the orig</w:t>
      </w:r>
      <w:r w:rsidR="00B14B11">
        <w:rPr>
          <w:rFonts w:ascii="Times New Roman" w:hAnsi="Times New Roman" w:cs="Times New Roman"/>
        </w:rPr>
        <w:t>i</w:t>
      </w:r>
      <w:r w:rsidR="001F58B9">
        <w:rPr>
          <w:rFonts w:ascii="Times New Roman" w:hAnsi="Times New Roman" w:cs="Times New Roman"/>
        </w:rPr>
        <w:t>n of the universe and how humankind came to exist.</w:t>
      </w:r>
      <w:r w:rsidR="001F58B9">
        <w:rPr>
          <w:rStyle w:val="FootnoteReference"/>
          <w:rFonts w:ascii="Times New Roman" w:hAnsi="Times New Roman" w:cs="Times New Roman"/>
        </w:rPr>
        <w:footnoteReference w:id="7"/>
      </w:r>
    </w:p>
    <w:p w14:paraId="014AF392" w14:textId="77777777" w:rsidR="00B14B11" w:rsidRDefault="00B14B11" w:rsidP="0011338B">
      <w:pPr>
        <w:spacing w:line="480" w:lineRule="auto"/>
        <w:rPr>
          <w:rFonts w:ascii="Times New Roman" w:hAnsi="Times New Roman" w:cs="Times New Roman"/>
        </w:rPr>
      </w:pPr>
    </w:p>
    <w:p w14:paraId="284FF475" w14:textId="398CF4F8" w:rsidR="00AF5FF2" w:rsidRDefault="00AF5FF2" w:rsidP="0011338B">
      <w:pPr>
        <w:spacing w:line="480" w:lineRule="auto"/>
        <w:rPr>
          <w:rFonts w:ascii="Times New Roman" w:hAnsi="Times New Roman" w:cs="Times New Roman"/>
        </w:rPr>
      </w:pPr>
      <w:r>
        <w:rPr>
          <w:rFonts w:ascii="Times New Roman" w:hAnsi="Times New Roman" w:cs="Times New Roman"/>
        </w:rPr>
        <w:t>Though it is difficult, if not impossible, to conceive and express a</w:t>
      </w:r>
      <w:r w:rsidR="00B07E8B">
        <w:rPr>
          <w:rFonts w:ascii="Times New Roman" w:hAnsi="Times New Roman" w:cs="Times New Roman"/>
        </w:rPr>
        <w:t xml:space="preserve"> single</w:t>
      </w:r>
      <w:r>
        <w:rPr>
          <w:rFonts w:ascii="Times New Roman" w:hAnsi="Times New Roman" w:cs="Times New Roman"/>
        </w:rPr>
        <w:t xml:space="preserve"> ‘Ancient Egyptian Cosmology’ in a civilisation that existed for such a long time, it is fair to say that Egyptians made sense of their world by relating to the environment around them, in terms of sky above and the earth below</w:t>
      </w:r>
      <w:r w:rsidR="00B07E8B">
        <w:rPr>
          <w:rFonts w:ascii="Times New Roman" w:hAnsi="Times New Roman" w:cs="Times New Roman"/>
        </w:rPr>
        <w:t>, and what they provided in terms of sustaining life</w:t>
      </w:r>
      <w:r>
        <w:rPr>
          <w:rStyle w:val="FootnoteReference"/>
          <w:rFonts w:ascii="Times New Roman" w:hAnsi="Times New Roman" w:cs="Times New Roman"/>
        </w:rPr>
        <w:footnoteReference w:id="8"/>
      </w:r>
      <w:r w:rsidR="00B07E8B">
        <w:rPr>
          <w:rFonts w:ascii="Times New Roman" w:hAnsi="Times New Roman" w:cs="Times New Roman"/>
        </w:rPr>
        <w:t xml:space="preserve">.  Nicholas Campion notes that </w:t>
      </w:r>
      <w:r w:rsidR="00DE77EC">
        <w:rPr>
          <w:rFonts w:ascii="Times New Roman" w:hAnsi="Times New Roman" w:cs="Times New Roman"/>
        </w:rPr>
        <w:t>one of the significant and enduring aspects of Egyptian Cosmology is its ‘notions of a cosmos struggle between light and darkness’</w:t>
      </w:r>
      <w:r w:rsidR="00DE77EC">
        <w:rPr>
          <w:rStyle w:val="FootnoteReference"/>
          <w:rFonts w:ascii="Times New Roman" w:hAnsi="Times New Roman" w:cs="Times New Roman"/>
        </w:rPr>
        <w:footnoteReference w:id="9"/>
      </w:r>
      <w:r w:rsidR="00DE77EC">
        <w:rPr>
          <w:rFonts w:ascii="Times New Roman" w:hAnsi="Times New Roman" w:cs="Times New Roman"/>
        </w:rPr>
        <w:t xml:space="preserve">. </w:t>
      </w:r>
      <w:r w:rsidR="00B14B11">
        <w:rPr>
          <w:rFonts w:ascii="Times New Roman" w:hAnsi="Times New Roman" w:cs="Times New Roman"/>
        </w:rPr>
        <w:t>A</w:t>
      </w:r>
      <w:r w:rsidR="00DE77EC">
        <w:rPr>
          <w:rFonts w:ascii="Times New Roman" w:hAnsi="Times New Roman" w:cs="Times New Roman"/>
        </w:rPr>
        <w:t xml:space="preserve">lso important </w:t>
      </w:r>
      <w:r w:rsidR="00B14B11">
        <w:rPr>
          <w:rFonts w:ascii="Times New Roman" w:hAnsi="Times New Roman" w:cs="Times New Roman"/>
        </w:rPr>
        <w:t>are the</w:t>
      </w:r>
      <w:r w:rsidR="00DE77EC">
        <w:rPr>
          <w:rFonts w:ascii="Times New Roman" w:hAnsi="Times New Roman" w:cs="Times New Roman"/>
        </w:rPr>
        <w:t xml:space="preserve"> Egyptia</w:t>
      </w:r>
      <w:r w:rsidR="00B14B11">
        <w:rPr>
          <w:rFonts w:ascii="Times New Roman" w:hAnsi="Times New Roman" w:cs="Times New Roman"/>
        </w:rPr>
        <w:t>n</w:t>
      </w:r>
      <w:r w:rsidR="00DE77EC">
        <w:rPr>
          <w:rFonts w:ascii="Times New Roman" w:hAnsi="Times New Roman" w:cs="Times New Roman"/>
        </w:rPr>
        <w:t xml:space="preserve"> concepts of the soul’s journey to the celestial afterlife, </w:t>
      </w:r>
      <w:proofErr w:type="spellStart"/>
      <w:r w:rsidR="00DE77EC">
        <w:rPr>
          <w:rFonts w:ascii="Times New Roman" w:hAnsi="Times New Roman" w:cs="Times New Roman"/>
          <w:i/>
          <w:iCs/>
        </w:rPr>
        <w:t>Amenti</w:t>
      </w:r>
      <w:proofErr w:type="spellEnd"/>
      <w:r w:rsidR="00DE77EC">
        <w:rPr>
          <w:rFonts w:ascii="Times New Roman" w:hAnsi="Times New Roman" w:cs="Times New Roman"/>
        </w:rPr>
        <w:t xml:space="preserve">, and the possibility of being judged after </w:t>
      </w:r>
      <w:r w:rsidR="00DE77EC">
        <w:rPr>
          <w:rFonts w:ascii="Times New Roman" w:hAnsi="Times New Roman" w:cs="Times New Roman"/>
        </w:rPr>
        <w:lastRenderedPageBreak/>
        <w:t>death</w:t>
      </w:r>
      <w:r w:rsidR="00B14B11">
        <w:rPr>
          <w:rFonts w:ascii="Times New Roman" w:hAnsi="Times New Roman" w:cs="Times New Roman"/>
        </w:rPr>
        <w:t>.</w:t>
      </w:r>
      <w:r w:rsidR="00A343C2">
        <w:rPr>
          <w:rStyle w:val="FootnoteReference"/>
          <w:rFonts w:ascii="Times New Roman" w:hAnsi="Times New Roman" w:cs="Times New Roman"/>
        </w:rPr>
        <w:footnoteReference w:id="10"/>
      </w:r>
      <w:r w:rsidR="00A343C2">
        <w:rPr>
          <w:rFonts w:ascii="Times New Roman" w:hAnsi="Times New Roman" w:cs="Times New Roman"/>
        </w:rPr>
        <w:t>.</w:t>
      </w:r>
      <w:r w:rsidR="00E22ADC">
        <w:rPr>
          <w:rFonts w:ascii="Times New Roman" w:hAnsi="Times New Roman" w:cs="Times New Roman"/>
        </w:rPr>
        <w:t xml:space="preserve">  According to Campion, the most striking periods in the country’s history in cosmological terms </w:t>
      </w:r>
      <w:proofErr w:type="gramStart"/>
      <w:r w:rsidR="00E22ADC">
        <w:rPr>
          <w:rFonts w:ascii="Times New Roman" w:hAnsi="Times New Roman" w:cs="Times New Roman"/>
        </w:rPr>
        <w:t>are:</w:t>
      </w:r>
      <w:proofErr w:type="gramEnd"/>
      <w:r w:rsidR="00E22ADC">
        <w:rPr>
          <w:rFonts w:ascii="Times New Roman" w:hAnsi="Times New Roman" w:cs="Times New Roman"/>
        </w:rPr>
        <w:t xml:space="preserve"> the 4</w:t>
      </w:r>
      <w:r w:rsidR="00E22ADC" w:rsidRPr="00E22ADC">
        <w:rPr>
          <w:rFonts w:ascii="Times New Roman" w:hAnsi="Times New Roman" w:cs="Times New Roman"/>
          <w:vertAlign w:val="superscript"/>
        </w:rPr>
        <w:t>th</w:t>
      </w:r>
      <w:r w:rsidR="00E22ADC">
        <w:rPr>
          <w:rFonts w:ascii="Times New Roman" w:hAnsi="Times New Roman" w:cs="Times New Roman"/>
        </w:rPr>
        <w:t xml:space="preserve"> dynasty of the Old Kingdom (c. 2613-</w:t>
      </w:r>
      <w:r w:rsidR="00927A58">
        <w:rPr>
          <w:rFonts w:ascii="Times New Roman" w:hAnsi="Times New Roman" w:cs="Times New Roman"/>
        </w:rPr>
        <w:t>2494</w:t>
      </w:r>
      <w:r w:rsidR="00E22ADC">
        <w:rPr>
          <w:rFonts w:ascii="Times New Roman" w:hAnsi="Times New Roman" w:cs="Times New Roman"/>
        </w:rPr>
        <w:t xml:space="preserve"> BCE) when the Giza pyramids were constructed; the emergence of the New Kingdom around 15</w:t>
      </w:r>
      <w:r w:rsidR="00927A58">
        <w:rPr>
          <w:rFonts w:ascii="Times New Roman" w:hAnsi="Times New Roman" w:cs="Times New Roman"/>
        </w:rPr>
        <w:t>5</w:t>
      </w:r>
      <w:r w:rsidR="00E22ADC">
        <w:rPr>
          <w:rFonts w:ascii="Times New Roman" w:hAnsi="Times New Roman" w:cs="Times New Roman"/>
        </w:rPr>
        <w:t xml:space="preserve">0 BCE from which have the first evidence of interest in the planets; and the fusion of Greek, Babylonian and Egyptian cosmology </w:t>
      </w:r>
      <w:r w:rsidR="005F5682">
        <w:rPr>
          <w:rFonts w:ascii="Times New Roman" w:hAnsi="Times New Roman" w:cs="Times New Roman"/>
        </w:rPr>
        <w:t>during the Ptolemaic period that became the foundation of modern astrology</w:t>
      </w:r>
      <w:r w:rsidR="005F5682">
        <w:rPr>
          <w:rStyle w:val="FootnoteReference"/>
          <w:rFonts w:ascii="Times New Roman" w:hAnsi="Times New Roman" w:cs="Times New Roman"/>
        </w:rPr>
        <w:footnoteReference w:id="11"/>
      </w:r>
      <w:r w:rsidR="005F5682">
        <w:rPr>
          <w:rFonts w:ascii="Times New Roman" w:hAnsi="Times New Roman" w:cs="Times New Roman"/>
        </w:rPr>
        <w:t>.  To th</w:t>
      </w:r>
      <w:r w:rsidR="00D73504">
        <w:rPr>
          <w:rFonts w:ascii="Times New Roman" w:hAnsi="Times New Roman" w:cs="Times New Roman"/>
        </w:rPr>
        <w:t>ese,</w:t>
      </w:r>
      <w:r w:rsidR="005F5682">
        <w:rPr>
          <w:rFonts w:ascii="Times New Roman" w:hAnsi="Times New Roman" w:cs="Times New Roman"/>
        </w:rPr>
        <w:t xml:space="preserve"> </w:t>
      </w:r>
      <w:r w:rsidR="00D73504">
        <w:rPr>
          <w:rFonts w:ascii="Times New Roman" w:hAnsi="Times New Roman" w:cs="Times New Roman"/>
        </w:rPr>
        <w:t>two other periods should be mentioned</w:t>
      </w:r>
      <w:r w:rsidR="005F5682">
        <w:rPr>
          <w:rFonts w:ascii="Times New Roman" w:hAnsi="Times New Roman" w:cs="Times New Roman"/>
        </w:rPr>
        <w:t>, the ‘cult of R</w:t>
      </w:r>
      <w:r w:rsidR="003555D6">
        <w:rPr>
          <w:rFonts w:ascii="Times New Roman" w:hAnsi="Times New Roman" w:cs="Times New Roman"/>
        </w:rPr>
        <w:t>e</w:t>
      </w:r>
      <w:r w:rsidR="005F5682">
        <w:rPr>
          <w:rFonts w:ascii="Times New Roman" w:hAnsi="Times New Roman" w:cs="Times New Roman"/>
        </w:rPr>
        <w:t>’ in the 5</w:t>
      </w:r>
      <w:r w:rsidR="005F5682" w:rsidRPr="005F5682">
        <w:rPr>
          <w:rFonts w:ascii="Times New Roman" w:hAnsi="Times New Roman" w:cs="Times New Roman"/>
          <w:vertAlign w:val="superscript"/>
        </w:rPr>
        <w:t>th</w:t>
      </w:r>
      <w:r w:rsidR="005F5682">
        <w:rPr>
          <w:rFonts w:ascii="Times New Roman" w:hAnsi="Times New Roman" w:cs="Times New Roman"/>
        </w:rPr>
        <w:t xml:space="preserve"> dynasty (c. 2</w:t>
      </w:r>
      <w:r w:rsidR="00927A58">
        <w:rPr>
          <w:rFonts w:ascii="Times New Roman" w:hAnsi="Times New Roman" w:cs="Times New Roman"/>
        </w:rPr>
        <w:t>494</w:t>
      </w:r>
      <w:r w:rsidR="005F5682">
        <w:rPr>
          <w:rFonts w:ascii="Times New Roman" w:hAnsi="Times New Roman" w:cs="Times New Roman"/>
        </w:rPr>
        <w:t xml:space="preserve"> – 23</w:t>
      </w:r>
      <w:r w:rsidR="00927A58">
        <w:rPr>
          <w:rFonts w:ascii="Times New Roman" w:hAnsi="Times New Roman" w:cs="Times New Roman"/>
        </w:rPr>
        <w:t>45</w:t>
      </w:r>
      <w:r w:rsidR="005F5682">
        <w:rPr>
          <w:rFonts w:ascii="Times New Roman" w:hAnsi="Times New Roman" w:cs="Times New Roman"/>
        </w:rPr>
        <w:t xml:space="preserve"> BCE</w:t>
      </w:r>
      <w:r w:rsidR="00DD53F8">
        <w:rPr>
          <w:rFonts w:ascii="Times New Roman" w:hAnsi="Times New Roman" w:cs="Times New Roman"/>
        </w:rPr>
        <w:t>)</w:t>
      </w:r>
      <w:r w:rsidR="00DD53F8">
        <w:rPr>
          <w:rStyle w:val="FootnoteReference"/>
          <w:rFonts w:ascii="Times New Roman" w:hAnsi="Times New Roman" w:cs="Times New Roman"/>
        </w:rPr>
        <w:footnoteReference w:id="12"/>
      </w:r>
      <w:r w:rsidR="00DD53F8">
        <w:rPr>
          <w:rFonts w:ascii="Times New Roman" w:hAnsi="Times New Roman" w:cs="Times New Roman"/>
        </w:rPr>
        <w:t xml:space="preserve"> and the development of the ‘monotheistic’ </w:t>
      </w:r>
      <w:proofErr w:type="spellStart"/>
      <w:r w:rsidR="00DD53F8">
        <w:rPr>
          <w:rFonts w:ascii="Times New Roman" w:hAnsi="Times New Roman" w:cs="Times New Roman"/>
        </w:rPr>
        <w:t>Atenism</w:t>
      </w:r>
      <w:proofErr w:type="spellEnd"/>
      <w:r w:rsidR="00DD53F8">
        <w:rPr>
          <w:rFonts w:ascii="Times New Roman" w:hAnsi="Times New Roman" w:cs="Times New Roman"/>
        </w:rPr>
        <w:t xml:space="preserve"> during the New Kingdom by Akhenaten and his father</w:t>
      </w:r>
      <w:r w:rsidR="00927A58">
        <w:rPr>
          <w:rFonts w:ascii="Times New Roman" w:hAnsi="Times New Roman" w:cs="Times New Roman"/>
        </w:rPr>
        <w:t xml:space="preserve"> (1352-1336 BCE)</w:t>
      </w:r>
      <w:r w:rsidR="00D73504">
        <w:rPr>
          <w:rStyle w:val="FootnoteReference"/>
          <w:rFonts w:ascii="Times New Roman" w:hAnsi="Times New Roman" w:cs="Times New Roman"/>
        </w:rPr>
        <w:footnoteReference w:id="13"/>
      </w:r>
      <w:r w:rsidR="00D73504">
        <w:rPr>
          <w:rFonts w:ascii="Times New Roman" w:hAnsi="Times New Roman" w:cs="Times New Roman"/>
        </w:rPr>
        <w:t>, for these two especially illuminate the fact that at its heart, Egyptian cosmology was a solar spirituality</w:t>
      </w:r>
      <w:r w:rsidR="00D73504">
        <w:rPr>
          <w:rStyle w:val="FootnoteReference"/>
          <w:rFonts w:ascii="Times New Roman" w:hAnsi="Times New Roman" w:cs="Times New Roman"/>
        </w:rPr>
        <w:footnoteReference w:id="14"/>
      </w:r>
      <w:r w:rsidR="00D523DF">
        <w:rPr>
          <w:rFonts w:ascii="Times New Roman" w:hAnsi="Times New Roman" w:cs="Times New Roman"/>
        </w:rPr>
        <w:t>.</w:t>
      </w:r>
    </w:p>
    <w:p w14:paraId="42F0C18D" w14:textId="77777777" w:rsidR="00927A58" w:rsidRDefault="00927A58" w:rsidP="0011338B">
      <w:pPr>
        <w:spacing w:line="480" w:lineRule="auto"/>
        <w:rPr>
          <w:rFonts w:ascii="Times New Roman" w:hAnsi="Times New Roman" w:cs="Times New Roman"/>
        </w:rPr>
      </w:pPr>
    </w:p>
    <w:p w14:paraId="6124C98C" w14:textId="77777777" w:rsidR="00B14B11" w:rsidRDefault="00706C3E" w:rsidP="0011338B">
      <w:pPr>
        <w:spacing w:line="480" w:lineRule="auto"/>
        <w:rPr>
          <w:rFonts w:ascii="Times New Roman" w:hAnsi="Times New Roman" w:cs="Times New Roman"/>
        </w:rPr>
      </w:pPr>
      <w:r>
        <w:rPr>
          <w:rFonts w:ascii="Times New Roman" w:hAnsi="Times New Roman" w:cs="Times New Roman"/>
        </w:rPr>
        <w:t>That the sun was important from the beginning is evident from the fact it was deified as R</w:t>
      </w:r>
      <w:r w:rsidR="003555D6">
        <w:rPr>
          <w:rFonts w:ascii="Times New Roman" w:hAnsi="Times New Roman" w:cs="Times New Roman"/>
        </w:rPr>
        <w:t>e</w:t>
      </w:r>
      <w:r>
        <w:rPr>
          <w:rFonts w:ascii="Times New Roman" w:hAnsi="Times New Roman" w:cs="Times New Roman"/>
        </w:rPr>
        <w:t>, a God crucial to one of the creation</w:t>
      </w:r>
      <w:r w:rsidR="00F31D65">
        <w:rPr>
          <w:rFonts w:ascii="Times New Roman" w:hAnsi="Times New Roman" w:cs="Times New Roman"/>
        </w:rPr>
        <w:t xml:space="preserve"> stories</w:t>
      </w:r>
      <w:r>
        <w:rPr>
          <w:rFonts w:ascii="Times New Roman" w:hAnsi="Times New Roman" w:cs="Times New Roman"/>
        </w:rPr>
        <w:t xml:space="preserve">. </w:t>
      </w:r>
      <w:r w:rsidR="00644C72">
        <w:rPr>
          <w:rFonts w:ascii="Times New Roman" w:hAnsi="Times New Roman" w:cs="Times New Roman"/>
        </w:rPr>
        <w:t>It is known that t</w:t>
      </w:r>
      <w:r>
        <w:rPr>
          <w:rFonts w:ascii="Times New Roman" w:hAnsi="Times New Roman" w:cs="Times New Roman"/>
        </w:rPr>
        <w:t xml:space="preserve">his myth, at the ancient city of </w:t>
      </w:r>
      <w:proofErr w:type="spellStart"/>
      <w:r>
        <w:rPr>
          <w:rFonts w:ascii="Times New Roman" w:hAnsi="Times New Roman" w:cs="Times New Roman"/>
        </w:rPr>
        <w:t>Iunu</w:t>
      </w:r>
      <w:proofErr w:type="spellEnd"/>
      <w:r>
        <w:rPr>
          <w:rFonts w:ascii="Times New Roman" w:hAnsi="Times New Roman" w:cs="Times New Roman"/>
        </w:rPr>
        <w:t xml:space="preserve">, </w:t>
      </w:r>
      <w:r w:rsidRPr="005B0AFD">
        <w:rPr>
          <w:rFonts w:ascii="Times New Roman" w:hAnsi="Times New Roman" w:cs="Times New Roman"/>
        </w:rPr>
        <w:t xml:space="preserve">was observed from at least the </w:t>
      </w:r>
      <w:r w:rsidR="00644C72" w:rsidRPr="005B0AFD">
        <w:rPr>
          <w:rFonts w:ascii="Times New Roman" w:hAnsi="Times New Roman" w:cs="Times New Roman"/>
        </w:rPr>
        <w:t>5</w:t>
      </w:r>
      <w:r w:rsidR="00644C72" w:rsidRPr="005B0AFD">
        <w:rPr>
          <w:rFonts w:ascii="Times New Roman" w:hAnsi="Times New Roman" w:cs="Times New Roman"/>
          <w:vertAlign w:val="superscript"/>
        </w:rPr>
        <w:t>th</w:t>
      </w:r>
      <w:r w:rsidR="00644C72" w:rsidRPr="005B0AFD">
        <w:rPr>
          <w:rFonts w:ascii="Times New Roman" w:hAnsi="Times New Roman" w:cs="Times New Roman"/>
        </w:rPr>
        <w:t xml:space="preserve"> </w:t>
      </w:r>
      <w:r w:rsidRPr="005B0AFD">
        <w:rPr>
          <w:rFonts w:ascii="Times New Roman" w:hAnsi="Times New Roman" w:cs="Times New Roman"/>
        </w:rPr>
        <w:t>dynasty</w:t>
      </w:r>
      <w:r>
        <w:rPr>
          <w:rFonts w:ascii="Times New Roman" w:hAnsi="Times New Roman" w:cs="Times New Roman"/>
        </w:rPr>
        <w:t xml:space="preserve"> and in it Re was syncretised with </w:t>
      </w:r>
      <w:proofErr w:type="spellStart"/>
      <w:r>
        <w:rPr>
          <w:rFonts w:ascii="Times New Roman" w:hAnsi="Times New Roman" w:cs="Times New Roman"/>
        </w:rPr>
        <w:t>Atum</w:t>
      </w:r>
      <w:proofErr w:type="spellEnd"/>
      <w:r w:rsidR="003555D6">
        <w:rPr>
          <w:rFonts w:ascii="Times New Roman" w:hAnsi="Times New Roman" w:cs="Times New Roman"/>
        </w:rPr>
        <w:t>, as Re-</w:t>
      </w:r>
      <w:proofErr w:type="spellStart"/>
      <w:r w:rsidR="003555D6">
        <w:rPr>
          <w:rFonts w:ascii="Times New Roman" w:hAnsi="Times New Roman" w:cs="Times New Roman"/>
        </w:rPr>
        <w:t>Atum</w:t>
      </w:r>
      <w:proofErr w:type="spellEnd"/>
      <w:r w:rsidR="003555D6">
        <w:rPr>
          <w:rStyle w:val="FootnoteReference"/>
          <w:rFonts w:ascii="Times New Roman" w:hAnsi="Times New Roman" w:cs="Times New Roman"/>
        </w:rPr>
        <w:footnoteReference w:id="15"/>
      </w:r>
      <w:r w:rsidR="003D12F1">
        <w:rPr>
          <w:rFonts w:ascii="Times New Roman" w:hAnsi="Times New Roman" w:cs="Times New Roman"/>
        </w:rPr>
        <w:t xml:space="preserve">.  This lost city </w:t>
      </w:r>
      <w:r w:rsidR="0044028B">
        <w:rPr>
          <w:rFonts w:ascii="Times New Roman" w:hAnsi="Times New Roman" w:cs="Times New Roman"/>
        </w:rPr>
        <w:t>was associated</w:t>
      </w:r>
      <w:r w:rsidR="003D12F1">
        <w:rPr>
          <w:rFonts w:ascii="Times New Roman" w:hAnsi="Times New Roman" w:cs="Times New Roman"/>
        </w:rPr>
        <w:t xml:space="preserve"> with the city Heliopolis during the Ptolemaic period and the myth has thus </w:t>
      </w:r>
      <w:r w:rsidR="00B14B11">
        <w:rPr>
          <w:rFonts w:ascii="Times New Roman" w:hAnsi="Times New Roman" w:cs="Times New Roman"/>
        </w:rPr>
        <w:t>is called</w:t>
      </w:r>
      <w:r w:rsidR="003D12F1">
        <w:rPr>
          <w:rFonts w:ascii="Times New Roman" w:hAnsi="Times New Roman" w:cs="Times New Roman"/>
        </w:rPr>
        <w:t xml:space="preserve"> the Heliopolitan myth</w:t>
      </w:r>
      <w:r w:rsidR="003D12F1">
        <w:rPr>
          <w:rStyle w:val="FootnoteReference"/>
          <w:rFonts w:ascii="Times New Roman" w:hAnsi="Times New Roman" w:cs="Times New Roman"/>
        </w:rPr>
        <w:footnoteReference w:id="16"/>
      </w:r>
      <w:r w:rsidR="003D12F1">
        <w:rPr>
          <w:rFonts w:ascii="Times New Roman" w:hAnsi="Times New Roman" w:cs="Times New Roman"/>
        </w:rPr>
        <w:t xml:space="preserve">.  </w:t>
      </w:r>
      <w:proofErr w:type="gramStart"/>
      <w:r w:rsidR="00B14B11">
        <w:rPr>
          <w:rFonts w:ascii="Times New Roman" w:hAnsi="Times New Roman" w:cs="Times New Roman"/>
        </w:rPr>
        <w:t>I</w:t>
      </w:r>
      <w:r w:rsidR="00644C72">
        <w:rPr>
          <w:rFonts w:ascii="Times New Roman" w:hAnsi="Times New Roman" w:cs="Times New Roman"/>
        </w:rPr>
        <w:t>t  appears</w:t>
      </w:r>
      <w:proofErr w:type="gramEnd"/>
      <w:r w:rsidR="00644C72">
        <w:rPr>
          <w:rFonts w:ascii="Times New Roman" w:hAnsi="Times New Roman" w:cs="Times New Roman"/>
        </w:rPr>
        <w:t xml:space="preserve"> first upon the walls of the 5</w:t>
      </w:r>
      <w:r w:rsidR="00644C72" w:rsidRPr="00644C72">
        <w:rPr>
          <w:rFonts w:ascii="Times New Roman" w:hAnsi="Times New Roman" w:cs="Times New Roman"/>
          <w:vertAlign w:val="superscript"/>
        </w:rPr>
        <w:t>th</w:t>
      </w:r>
      <w:r w:rsidR="00644C72">
        <w:rPr>
          <w:rFonts w:ascii="Times New Roman" w:hAnsi="Times New Roman" w:cs="Times New Roman"/>
        </w:rPr>
        <w:t xml:space="preserve"> dynasty pyramid of Unis</w:t>
      </w:r>
      <w:r w:rsidR="004708C6">
        <w:rPr>
          <w:rStyle w:val="FootnoteReference"/>
          <w:rFonts w:ascii="Times New Roman" w:hAnsi="Times New Roman" w:cs="Times New Roman"/>
        </w:rPr>
        <w:footnoteReference w:id="17"/>
      </w:r>
      <w:r w:rsidR="004708C6">
        <w:rPr>
          <w:rFonts w:ascii="Times New Roman" w:hAnsi="Times New Roman" w:cs="Times New Roman"/>
        </w:rPr>
        <w:t>.</w:t>
      </w:r>
      <w:r w:rsidR="003D12F1">
        <w:rPr>
          <w:rFonts w:ascii="Times New Roman" w:hAnsi="Times New Roman" w:cs="Times New Roman"/>
        </w:rPr>
        <w:t xml:space="preserve"> </w:t>
      </w:r>
      <w:proofErr w:type="spellStart"/>
      <w:r w:rsidR="003D12F1">
        <w:rPr>
          <w:rFonts w:ascii="Times New Roman" w:hAnsi="Times New Roman" w:cs="Times New Roman"/>
        </w:rPr>
        <w:t>Atum</w:t>
      </w:r>
      <w:proofErr w:type="spellEnd"/>
      <w:r w:rsidR="003D12F1">
        <w:rPr>
          <w:rFonts w:ascii="Times New Roman" w:hAnsi="Times New Roman" w:cs="Times New Roman"/>
        </w:rPr>
        <w:t xml:space="preserve"> - ‘the All’ or ‘the complete one’ is the creator God emerging from Nun– the waters of nothingness – </w:t>
      </w:r>
      <w:r w:rsidR="00A07A4A">
        <w:rPr>
          <w:rFonts w:ascii="Times New Roman" w:hAnsi="Times New Roman" w:cs="Times New Roman"/>
        </w:rPr>
        <w:t>on the ‘benben stone’</w:t>
      </w:r>
      <w:r w:rsidR="00644C72">
        <w:rPr>
          <w:rFonts w:ascii="Times New Roman" w:hAnsi="Times New Roman" w:cs="Times New Roman"/>
        </w:rPr>
        <w:t xml:space="preserve"> </w:t>
      </w:r>
      <w:r w:rsidR="00A07A4A">
        <w:rPr>
          <w:rFonts w:ascii="Times New Roman" w:hAnsi="Times New Roman" w:cs="Times New Roman"/>
        </w:rPr>
        <w:t>(a primeval mound).  H</w:t>
      </w:r>
      <w:r w:rsidR="003D12F1">
        <w:rPr>
          <w:rFonts w:ascii="Times New Roman" w:hAnsi="Times New Roman" w:cs="Times New Roman"/>
        </w:rPr>
        <w:t xml:space="preserve">e goes on to begat, by spitting or masturbating (depending upon the version read) the deities Shu and Tefnut.  Shu is male and ‘air’, Tefnut is female and ‘moisture’.  These two </w:t>
      </w:r>
      <w:r w:rsidR="00A07A4A">
        <w:rPr>
          <w:rFonts w:ascii="Times New Roman" w:hAnsi="Times New Roman" w:cs="Times New Roman"/>
        </w:rPr>
        <w:t xml:space="preserve">together </w:t>
      </w:r>
      <w:r w:rsidR="00A07A4A">
        <w:rPr>
          <w:rFonts w:ascii="Times New Roman" w:hAnsi="Times New Roman" w:cs="Times New Roman"/>
        </w:rPr>
        <w:lastRenderedPageBreak/>
        <w:t>birth Geb – the male earth – and Nut – the female sky, who consequently completed what is called the Ennead by giving life to the deities Osiris, Isis, Seth and Nephthy</w:t>
      </w:r>
      <w:r w:rsidR="00644C72">
        <w:rPr>
          <w:rFonts w:ascii="Times New Roman" w:hAnsi="Times New Roman" w:cs="Times New Roman"/>
        </w:rPr>
        <w:t>s</w:t>
      </w:r>
      <w:r w:rsidR="00644C72">
        <w:rPr>
          <w:rStyle w:val="FootnoteReference"/>
          <w:rFonts w:ascii="Times New Roman" w:hAnsi="Times New Roman" w:cs="Times New Roman"/>
        </w:rPr>
        <w:footnoteReference w:id="18"/>
      </w:r>
      <w:r w:rsidR="00644C72">
        <w:rPr>
          <w:rFonts w:ascii="Times New Roman" w:hAnsi="Times New Roman" w:cs="Times New Roman"/>
        </w:rPr>
        <w:t xml:space="preserve">.  </w:t>
      </w:r>
      <w:r w:rsidR="00877536" w:rsidRPr="001B392C">
        <w:rPr>
          <w:rFonts w:ascii="Times New Roman" w:hAnsi="Times New Roman" w:cs="Times New Roman"/>
        </w:rPr>
        <w:t xml:space="preserve">There </w:t>
      </w:r>
      <w:r w:rsidR="00877536">
        <w:rPr>
          <w:rFonts w:ascii="Times New Roman" w:hAnsi="Times New Roman" w:cs="Times New Roman"/>
        </w:rPr>
        <w:t>is</w:t>
      </w:r>
      <w:r w:rsidR="00877536" w:rsidRPr="001B392C">
        <w:rPr>
          <w:rFonts w:ascii="Times New Roman" w:hAnsi="Times New Roman" w:cs="Times New Roman"/>
        </w:rPr>
        <w:t xml:space="preserve"> a</w:t>
      </w:r>
      <w:r w:rsidR="00877536">
        <w:rPr>
          <w:rFonts w:ascii="Times New Roman" w:hAnsi="Times New Roman" w:cs="Times New Roman"/>
        </w:rPr>
        <w:t xml:space="preserve"> strong</w:t>
      </w:r>
      <w:r w:rsidR="00877536" w:rsidRPr="001B392C">
        <w:rPr>
          <w:rFonts w:ascii="Times New Roman" w:hAnsi="Times New Roman" w:cs="Times New Roman"/>
        </w:rPr>
        <w:t xml:space="preserve"> element</w:t>
      </w:r>
      <w:r w:rsidR="00877536">
        <w:rPr>
          <w:rFonts w:ascii="Times New Roman" w:hAnsi="Times New Roman" w:cs="Times New Roman"/>
        </w:rPr>
        <w:t xml:space="preserve"> of the female principle</w:t>
      </w:r>
      <w:r w:rsidR="00877536" w:rsidRPr="001B392C">
        <w:rPr>
          <w:rFonts w:ascii="Times New Roman" w:hAnsi="Times New Roman" w:cs="Times New Roman"/>
        </w:rPr>
        <w:t xml:space="preserve"> evident in</w:t>
      </w:r>
      <w:r w:rsidR="002578B1">
        <w:rPr>
          <w:rFonts w:ascii="Times New Roman" w:hAnsi="Times New Roman" w:cs="Times New Roman"/>
        </w:rPr>
        <w:t xml:space="preserve"> this cosmogony. </w:t>
      </w:r>
      <w:r w:rsidR="00877536" w:rsidRPr="001B392C">
        <w:rPr>
          <w:rFonts w:ascii="Times New Roman" w:hAnsi="Times New Roman" w:cs="Times New Roman"/>
        </w:rPr>
        <w:t xml:space="preserve"> Nut </w:t>
      </w:r>
      <w:r w:rsidR="002578B1">
        <w:rPr>
          <w:rFonts w:ascii="Times New Roman" w:hAnsi="Times New Roman" w:cs="Times New Roman"/>
        </w:rPr>
        <w:t xml:space="preserve">as </w:t>
      </w:r>
      <w:r w:rsidR="00877536" w:rsidRPr="001B392C">
        <w:rPr>
          <w:rFonts w:ascii="Times New Roman" w:hAnsi="Times New Roman" w:cs="Times New Roman"/>
        </w:rPr>
        <w:t>the sky</w:t>
      </w:r>
      <w:r w:rsidR="002578B1">
        <w:rPr>
          <w:rFonts w:ascii="Times New Roman" w:hAnsi="Times New Roman" w:cs="Times New Roman"/>
        </w:rPr>
        <w:t xml:space="preserve"> </w:t>
      </w:r>
      <w:r w:rsidR="00877536" w:rsidRPr="001B392C">
        <w:rPr>
          <w:rFonts w:ascii="Times New Roman" w:hAnsi="Times New Roman" w:cs="Times New Roman"/>
        </w:rPr>
        <w:t>and</w:t>
      </w:r>
      <w:r w:rsidR="002578B1">
        <w:rPr>
          <w:rFonts w:ascii="Times New Roman" w:hAnsi="Times New Roman" w:cs="Times New Roman"/>
        </w:rPr>
        <w:t xml:space="preserve"> her daughter</w:t>
      </w:r>
      <w:r w:rsidR="00877536" w:rsidRPr="001B392C">
        <w:rPr>
          <w:rFonts w:ascii="Times New Roman" w:hAnsi="Times New Roman" w:cs="Times New Roman"/>
        </w:rPr>
        <w:t xml:space="preserve"> Isis</w:t>
      </w:r>
      <w:r w:rsidR="002578B1">
        <w:rPr>
          <w:rFonts w:ascii="Times New Roman" w:hAnsi="Times New Roman" w:cs="Times New Roman"/>
        </w:rPr>
        <w:t xml:space="preserve"> - of which the hieroglyphic representation literally meant ‘throne’ empathising her major role in legitimising pharaonic rule, and </w:t>
      </w:r>
      <w:r w:rsidR="00877536" w:rsidRPr="001B392C">
        <w:rPr>
          <w:rFonts w:ascii="Times New Roman" w:hAnsi="Times New Roman" w:cs="Times New Roman"/>
        </w:rPr>
        <w:t>w</w:t>
      </w:r>
      <w:r w:rsidR="002578B1">
        <w:rPr>
          <w:rFonts w:ascii="Times New Roman" w:hAnsi="Times New Roman" w:cs="Times New Roman"/>
        </w:rPr>
        <w:t xml:space="preserve">ith whom </w:t>
      </w:r>
      <w:r w:rsidR="00877536" w:rsidRPr="001B392C">
        <w:rPr>
          <w:rFonts w:ascii="Times New Roman" w:hAnsi="Times New Roman" w:cs="Times New Roman"/>
        </w:rPr>
        <w:t>Sirius</w:t>
      </w:r>
      <w:r w:rsidR="002578B1">
        <w:rPr>
          <w:rFonts w:ascii="Times New Roman" w:hAnsi="Times New Roman" w:cs="Times New Roman"/>
        </w:rPr>
        <w:t>,</w:t>
      </w:r>
      <w:r w:rsidR="006E596F">
        <w:rPr>
          <w:rFonts w:ascii="Times New Roman" w:hAnsi="Times New Roman" w:cs="Times New Roman"/>
        </w:rPr>
        <w:t xml:space="preserve"> </w:t>
      </w:r>
      <w:r w:rsidR="00877536" w:rsidRPr="001B392C">
        <w:rPr>
          <w:rFonts w:ascii="Times New Roman" w:hAnsi="Times New Roman" w:cs="Times New Roman"/>
        </w:rPr>
        <w:t xml:space="preserve">the brightest of </w:t>
      </w:r>
      <w:r w:rsidR="002578B1">
        <w:rPr>
          <w:rFonts w:ascii="Times New Roman" w:hAnsi="Times New Roman" w:cs="Times New Roman"/>
        </w:rPr>
        <w:t>s</w:t>
      </w:r>
      <w:r w:rsidR="00877536" w:rsidRPr="001B392C">
        <w:rPr>
          <w:rFonts w:ascii="Times New Roman" w:hAnsi="Times New Roman" w:cs="Times New Roman"/>
        </w:rPr>
        <w:t>tars</w:t>
      </w:r>
      <w:r w:rsidR="002578B1">
        <w:rPr>
          <w:rFonts w:ascii="Times New Roman" w:hAnsi="Times New Roman" w:cs="Times New Roman"/>
        </w:rPr>
        <w:t>, was related – reinforces the importance of the ‘above’, the sky, to Egyptian worldviews.</w:t>
      </w:r>
      <w:r w:rsidR="002578B1">
        <w:rPr>
          <w:rStyle w:val="FootnoteReference"/>
          <w:rFonts w:ascii="Times New Roman" w:hAnsi="Times New Roman" w:cs="Times New Roman"/>
        </w:rPr>
        <w:footnoteReference w:id="19"/>
      </w:r>
      <w:r w:rsidR="00606013">
        <w:rPr>
          <w:rFonts w:ascii="Times New Roman" w:hAnsi="Times New Roman" w:cs="Times New Roman"/>
        </w:rPr>
        <w:t xml:space="preserve"> </w:t>
      </w:r>
    </w:p>
    <w:p w14:paraId="635B40BD" w14:textId="77777777" w:rsidR="00B14B11" w:rsidRDefault="00B14B11" w:rsidP="0011338B">
      <w:pPr>
        <w:spacing w:line="480" w:lineRule="auto"/>
        <w:rPr>
          <w:rFonts w:ascii="Times New Roman" w:hAnsi="Times New Roman" w:cs="Times New Roman"/>
        </w:rPr>
      </w:pPr>
    </w:p>
    <w:p w14:paraId="69DFD9F3" w14:textId="5B54E829" w:rsidR="00877536" w:rsidRDefault="005B0AFD" w:rsidP="0011338B">
      <w:pPr>
        <w:spacing w:line="480" w:lineRule="auto"/>
        <w:rPr>
          <w:rFonts w:ascii="Times New Roman" w:hAnsi="Times New Roman" w:cs="Times New Roman"/>
        </w:rPr>
      </w:pPr>
      <w:r>
        <w:rPr>
          <w:rFonts w:ascii="Times New Roman" w:hAnsi="Times New Roman" w:cs="Times New Roman"/>
        </w:rPr>
        <w:t>As another example of the crucial nature of the sky are the decans.  These are groups of stars which are ordered by how they appear in the night sky in periods of ten days</w:t>
      </w:r>
      <w:r w:rsidR="008A1DC6">
        <w:rPr>
          <w:rFonts w:ascii="Times New Roman" w:hAnsi="Times New Roman" w:cs="Times New Roman"/>
        </w:rPr>
        <w:t>, every ten days a different star rises first</w:t>
      </w:r>
      <w:r>
        <w:rPr>
          <w:rFonts w:ascii="Times New Roman" w:hAnsi="Times New Roman" w:cs="Times New Roman"/>
        </w:rPr>
        <w:t xml:space="preserve">.  They appear on the walls of the monument of </w:t>
      </w:r>
      <w:proofErr w:type="spellStart"/>
      <w:r>
        <w:rPr>
          <w:rFonts w:ascii="Times New Roman" w:hAnsi="Times New Roman" w:cs="Times New Roman"/>
        </w:rPr>
        <w:t>Sety</w:t>
      </w:r>
      <w:proofErr w:type="spellEnd"/>
      <w:r>
        <w:rPr>
          <w:rFonts w:ascii="Times New Roman" w:hAnsi="Times New Roman" w:cs="Times New Roman"/>
        </w:rPr>
        <w:t xml:space="preserve"> I but go as far back as the 9</w:t>
      </w:r>
      <w:r w:rsidRPr="005B0AFD">
        <w:rPr>
          <w:rFonts w:ascii="Times New Roman" w:hAnsi="Times New Roman" w:cs="Times New Roman"/>
          <w:vertAlign w:val="superscript"/>
        </w:rPr>
        <w:t>th</w:t>
      </w:r>
      <w:r>
        <w:rPr>
          <w:rFonts w:ascii="Times New Roman" w:hAnsi="Times New Roman" w:cs="Times New Roman"/>
        </w:rPr>
        <w:t>/10</w:t>
      </w:r>
      <w:r w:rsidRPr="005B0AFD">
        <w:rPr>
          <w:rFonts w:ascii="Times New Roman" w:hAnsi="Times New Roman" w:cs="Times New Roman"/>
          <w:vertAlign w:val="superscript"/>
        </w:rPr>
        <w:t>th</w:t>
      </w:r>
      <w:r>
        <w:rPr>
          <w:rFonts w:ascii="Times New Roman" w:hAnsi="Times New Roman" w:cs="Times New Roman"/>
        </w:rPr>
        <w:t xml:space="preserve"> dynasties</w:t>
      </w:r>
      <w:r>
        <w:rPr>
          <w:rStyle w:val="FootnoteReference"/>
          <w:rFonts w:ascii="Times New Roman" w:hAnsi="Times New Roman" w:cs="Times New Roman"/>
        </w:rPr>
        <w:footnoteReference w:id="20"/>
      </w:r>
      <w:r w:rsidR="0066094F">
        <w:rPr>
          <w:rFonts w:ascii="Times New Roman" w:hAnsi="Times New Roman" w:cs="Times New Roman"/>
        </w:rPr>
        <w:t>.</w:t>
      </w:r>
    </w:p>
    <w:p w14:paraId="1CE631E8" w14:textId="77777777" w:rsidR="00877536" w:rsidRDefault="00877536" w:rsidP="0011338B">
      <w:pPr>
        <w:spacing w:line="480" w:lineRule="auto"/>
        <w:rPr>
          <w:rFonts w:ascii="Times New Roman" w:hAnsi="Times New Roman" w:cs="Times New Roman"/>
        </w:rPr>
      </w:pPr>
    </w:p>
    <w:p w14:paraId="6D78E135" w14:textId="6F5F2957" w:rsidR="00DB4063" w:rsidRDefault="00644C72" w:rsidP="0011338B">
      <w:pPr>
        <w:spacing w:line="480" w:lineRule="auto"/>
        <w:rPr>
          <w:rFonts w:ascii="Times New Roman" w:hAnsi="Times New Roman" w:cs="Times New Roman"/>
        </w:rPr>
      </w:pPr>
      <w:r>
        <w:rPr>
          <w:rFonts w:ascii="Times New Roman" w:hAnsi="Times New Roman" w:cs="Times New Roman"/>
        </w:rPr>
        <w:t xml:space="preserve">These are all very important deities in </w:t>
      </w:r>
      <w:r w:rsidR="004708C6">
        <w:rPr>
          <w:rFonts w:ascii="Times New Roman" w:hAnsi="Times New Roman" w:cs="Times New Roman"/>
        </w:rPr>
        <w:t>the ritual and spiritual life of the Egyptian peopl</w:t>
      </w:r>
      <w:r w:rsidR="005B0AFD">
        <w:rPr>
          <w:rFonts w:ascii="Times New Roman" w:hAnsi="Times New Roman" w:cs="Times New Roman"/>
        </w:rPr>
        <w:t xml:space="preserve">e </w:t>
      </w:r>
      <w:r w:rsidR="004708C6">
        <w:rPr>
          <w:rFonts w:ascii="Times New Roman" w:hAnsi="Times New Roman" w:cs="Times New Roman"/>
        </w:rPr>
        <w:t>but where is Re is this myth? As Quirke notes</w:t>
      </w:r>
      <w:r w:rsidR="003D610C">
        <w:rPr>
          <w:rStyle w:val="FootnoteReference"/>
          <w:rFonts w:ascii="Times New Roman" w:hAnsi="Times New Roman" w:cs="Times New Roman"/>
        </w:rPr>
        <w:footnoteReference w:id="21"/>
      </w:r>
      <w:r w:rsidR="004708C6">
        <w:rPr>
          <w:rFonts w:ascii="Times New Roman" w:hAnsi="Times New Roman" w:cs="Times New Roman"/>
        </w:rPr>
        <w:t xml:space="preserve">, </w:t>
      </w:r>
      <w:r w:rsidR="003D610C">
        <w:rPr>
          <w:rFonts w:ascii="Times New Roman" w:hAnsi="Times New Roman" w:cs="Times New Roman"/>
        </w:rPr>
        <w:t xml:space="preserve">the Egyptians had various names for the deity they identified with the Sun: </w:t>
      </w:r>
      <w:proofErr w:type="spellStart"/>
      <w:r w:rsidR="003D610C">
        <w:rPr>
          <w:rFonts w:ascii="Times New Roman" w:hAnsi="Times New Roman" w:cs="Times New Roman"/>
        </w:rPr>
        <w:t>Atum</w:t>
      </w:r>
      <w:proofErr w:type="spellEnd"/>
      <w:r w:rsidR="003D610C">
        <w:rPr>
          <w:rFonts w:ascii="Times New Roman" w:hAnsi="Times New Roman" w:cs="Times New Roman"/>
        </w:rPr>
        <w:t xml:space="preserve"> was one of them when they wanted the Sun to embody all matter; but the main word for what they saw as the source of life was Re.  A third way to describe the Sun as it emerged each in morning was </w:t>
      </w:r>
      <w:r w:rsidR="006E596F">
        <w:rPr>
          <w:rFonts w:ascii="Times New Roman" w:hAnsi="Times New Roman" w:cs="Times New Roman"/>
        </w:rPr>
        <w:t xml:space="preserve">derived </w:t>
      </w:r>
      <w:r w:rsidR="003D610C">
        <w:rPr>
          <w:rFonts w:ascii="Times New Roman" w:hAnsi="Times New Roman" w:cs="Times New Roman"/>
        </w:rPr>
        <w:t xml:space="preserve">from </w:t>
      </w:r>
      <w:proofErr w:type="spellStart"/>
      <w:proofErr w:type="gramStart"/>
      <w:r w:rsidR="003D610C">
        <w:rPr>
          <w:rFonts w:ascii="Times New Roman" w:hAnsi="Times New Roman" w:cs="Times New Roman"/>
          <w:i/>
          <w:iCs/>
        </w:rPr>
        <w:t>Kheper</w:t>
      </w:r>
      <w:proofErr w:type="spellEnd"/>
      <w:r w:rsidR="003D610C">
        <w:rPr>
          <w:rFonts w:ascii="Times New Roman" w:hAnsi="Times New Roman" w:cs="Times New Roman"/>
          <w:i/>
          <w:iCs/>
        </w:rPr>
        <w:t xml:space="preserve"> </w:t>
      </w:r>
      <w:r w:rsidR="003D610C">
        <w:rPr>
          <w:rFonts w:ascii="Times New Roman" w:hAnsi="Times New Roman" w:cs="Times New Roman"/>
        </w:rPr>
        <w:t xml:space="preserve"> -</w:t>
      </w:r>
      <w:proofErr w:type="gramEnd"/>
      <w:r w:rsidR="003D610C">
        <w:rPr>
          <w:rFonts w:ascii="Times New Roman" w:hAnsi="Times New Roman" w:cs="Times New Roman"/>
        </w:rPr>
        <w:t xml:space="preserve"> meaning ‘to come into being’ and symbolised by the scarab beetle image – and so the Sun God could also be called Khepri</w:t>
      </w:r>
      <w:r w:rsidR="006A0A92">
        <w:rPr>
          <w:rFonts w:ascii="Times New Roman" w:hAnsi="Times New Roman" w:cs="Times New Roman"/>
        </w:rPr>
        <w:t xml:space="preserve">.  These three terms, </w:t>
      </w:r>
      <w:proofErr w:type="spellStart"/>
      <w:r w:rsidR="006A0A92">
        <w:rPr>
          <w:rFonts w:ascii="Times New Roman" w:hAnsi="Times New Roman" w:cs="Times New Roman"/>
        </w:rPr>
        <w:t>Atum</w:t>
      </w:r>
      <w:proofErr w:type="spellEnd"/>
      <w:r w:rsidR="006A0A92">
        <w:rPr>
          <w:rFonts w:ascii="Times New Roman" w:hAnsi="Times New Roman" w:cs="Times New Roman"/>
        </w:rPr>
        <w:t xml:space="preserve">, Re, Khepri would be used to describe the state of the God in his passage across the </w:t>
      </w:r>
      <w:r w:rsidR="000C79F9">
        <w:rPr>
          <w:rFonts w:ascii="Times New Roman" w:hAnsi="Times New Roman" w:cs="Times New Roman"/>
        </w:rPr>
        <w:t>s</w:t>
      </w:r>
      <w:r w:rsidR="006A0A92">
        <w:rPr>
          <w:rFonts w:ascii="Times New Roman" w:hAnsi="Times New Roman" w:cs="Times New Roman"/>
        </w:rPr>
        <w:t>ky in day</w:t>
      </w:r>
      <w:r w:rsidR="00F31D65">
        <w:rPr>
          <w:rFonts w:ascii="Times New Roman" w:hAnsi="Times New Roman" w:cs="Times New Roman"/>
        </w:rPr>
        <w:t>tim</w:t>
      </w:r>
      <w:r w:rsidR="0066094F">
        <w:rPr>
          <w:rFonts w:ascii="Times New Roman" w:hAnsi="Times New Roman" w:cs="Times New Roman"/>
        </w:rPr>
        <w:t>e</w:t>
      </w:r>
      <w:r w:rsidR="00F31D65">
        <w:rPr>
          <w:rFonts w:ascii="Times New Roman" w:hAnsi="Times New Roman" w:cs="Times New Roman"/>
        </w:rPr>
        <w:t xml:space="preserve">. In later illustrations of the Ennead on tomb </w:t>
      </w:r>
      <w:r w:rsidR="00F31D65">
        <w:rPr>
          <w:rFonts w:ascii="Times New Roman" w:hAnsi="Times New Roman" w:cs="Times New Roman"/>
        </w:rPr>
        <w:lastRenderedPageBreak/>
        <w:t>walls in the New Kingdom, it would be Re at the head of the solar barque as it processed across the sky of the afterlife</w:t>
      </w:r>
      <w:r w:rsidR="00F31D65">
        <w:rPr>
          <w:rStyle w:val="FootnoteReference"/>
          <w:rFonts w:ascii="Times New Roman" w:hAnsi="Times New Roman" w:cs="Times New Roman"/>
        </w:rPr>
        <w:footnoteReference w:id="22"/>
      </w:r>
      <w:r w:rsidR="00F31D65">
        <w:rPr>
          <w:rFonts w:ascii="Times New Roman" w:hAnsi="Times New Roman" w:cs="Times New Roman"/>
        </w:rPr>
        <w:t xml:space="preserve">. </w:t>
      </w:r>
    </w:p>
    <w:p w14:paraId="20B72656" w14:textId="77777777" w:rsidR="00DB4063" w:rsidRDefault="00DB4063" w:rsidP="0011338B">
      <w:pPr>
        <w:spacing w:line="480" w:lineRule="auto"/>
        <w:rPr>
          <w:rFonts w:ascii="Times New Roman" w:hAnsi="Times New Roman" w:cs="Times New Roman"/>
        </w:rPr>
      </w:pPr>
    </w:p>
    <w:p w14:paraId="0EED9DFC" w14:textId="21FBF4FB" w:rsidR="00706C3E" w:rsidRDefault="00F31D65" w:rsidP="0011338B">
      <w:pPr>
        <w:spacing w:line="480" w:lineRule="auto"/>
        <w:rPr>
          <w:rFonts w:ascii="Times New Roman" w:hAnsi="Times New Roman" w:cs="Times New Roman"/>
        </w:rPr>
      </w:pPr>
      <w:r>
        <w:rPr>
          <w:rFonts w:ascii="Times New Roman" w:hAnsi="Times New Roman" w:cs="Times New Roman"/>
        </w:rPr>
        <w:t xml:space="preserve">Re would be syncretised with other important </w:t>
      </w:r>
      <w:r w:rsidR="00DB4063">
        <w:rPr>
          <w:rFonts w:ascii="Times New Roman" w:hAnsi="Times New Roman" w:cs="Times New Roman"/>
        </w:rPr>
        <w:t>g</w:t>
      </w:r>
      <w:r>
        <w:rPr>
          <w:rFonts w:ascii="Times New Roman" w:hAnsi="Times New Roman" w:cs="Times New Roman"/>
        </w:rPr>
        <w:t xml:space="preserve">ods, especially the </w:t>
      </w:r>
      <w:r w:rsidR="00DB4063">
        <w:rPr>
          <w:rFonts w:ascii="Times New Roman" w:hAnsi="Times New Roman" w:cs="Times New Roman"/>
        </w:rPr>
        <w:t>g</w:t>
      </w:r>
      <w:r>
        <w:rPr>
          <w:rFonts w:ascii="Times New Roman" w:hAnsi="Times New Roman" w:cs="Times New Roman"/>
        </w:rPr>
        <w:t xml:space="preserve">od Amun – ‘the hidden one’ – who first emerged in the Middle Kingdom </w:t>
      </w:r>
      <w:r w:rsidR="00E52697">
        <w:rPr>
          <w:rFonts w:ascii="Times New Roman" w:hAnsi="Times New Roman" w:cs="Times New Roman"/>
        </w:rPr>
        <w:t>(</w:t>
      </w:r>
      <w:r w:rsidR="00927A58">
        <w:rPr>
          <w:rFonts w:ascii="Times New Roman" w:hAnsi="Times New Roman" w:cs="Times New Roman"/>
        </w:rPr>
        <w:t>2055-1650 BCE</w:t>
      </w:r>
      <w:r w:rsidR="00E52697">
        <w:rPr>
          <w:rFonts w:ascii="Times New Roman" w:hAnsi="Times New Roman" w:cs="Times New Roman"/>
        </w:rPr>
        <w:t xml:space="preserve">) as the local </w:t>
      </w:r>
      <w:r w:rsidR="00DB4063">
        <w:rPr>
          <w:rFonts w:ascii="Times New Roman" w:hAnsi="Times New Roman" w:cs="Times New Roman"/>
        </w:rPr>
        <w:t>g</w:t>
      </w:r>
      <w:r w:rsidR="00E52697">
        <w:rPr>
          <w:rFonts w:ascii="Times New Roman" w:hAnsi="Times New Roman" w:cs="Times New Roman"/>
        </w:rPr>
        <w:t xml:space="preserve">od of Thebes but would grow in prominence in the New Kingdom </w:t>
      </w:r>
      <w:r w:rsidR="00927A58">
        <w:rPr>
          <w:rFonts w:ascii="Times New Roman" w:hAnsi="Times New Roman" w:cs="Times New Roman"/>
        </w:rPr>
        <w:t>(1550-1069 BCE</w:t>
      </w:r>
      <w:r w:rsidR="00E52697">
        <w:rPr>
          <w:rFonts w:ascii="Times New Roman" w:hAnsi="Times New Roman" w:cs="Times New Roman"/>
        </w:rPr>
        <w:t xml:space="preserve">) as Thebes became a dominant city. Amun-Re would </w:t>
      </w:r>
      <w:r w:rsidR="000C79F9">
        <w:rPr>
          <w:rFonts w:ascii="Times New Roman" w:hAnsi="Times New Roman" w:cs="Times New Roman"/>
        </w:rPr>
        <w:t xml:space="preserve">be </w:t>
      </w:r>
      <w:r w:rsidR="00E52697">
        <w:rPr>
          <w:rFonts w:ascii="Times New Roman" w:hAnsi="Times New Roman" w:cs="Times New Roman"/>
        </w:rPr>
        <w:t>a dominant spiritual force from then on, and the closet Egyptian society came to having a state God</w:t>
      </w:r>
      <w:r w:rsidR="00DB009B">
        <w:rPr>
          <w:rStyle w:val="FootnoteReference"/>
          <w:rFonts w:ascii="Times New Roman" w:hAnsi="Times New Roman" w:cs="Times New Roman"/>
        </w:rPr>
        <w:footnoteReference w:id="23"/>
      </w:r>
      <w:r w:rsidR="00E52697">
        <w:rPr>
          <w:rFonts w:ascii="Times New Roman" w:hAnsi="Times New Roman" w:cs="Times New Roman"/>
        </w:rPr>
        <w:t>.</w:t>
      </w:r>
    </w:p>
    <w:p w14:paraId="1E125109" w14:textId="77777777" w:rsidR="002C6D40" w:rsidRDefault="002C6D40" w:rsidP="0011338B">
      <w:pPr>
        <w:spacing w:line="480" w:lineRule="auto"/>
        <w:rPr>
          <w:rFonts w:ascii="Times New Roman" w:hAnsi="Times New Roman" w:cs="Times New Roman"/>
        </w:rPr>
      </w:pPr>
    </w:p>
    <w:p w14:paraId="7781B57D" w14:textId="7F650C1D" w:rsidR="00CD668D" w:rsidRPr="00825665" w:rsidRDefault="00CD668D" w:rsidP="0011338B">
      <w:pPr>
        <w:spacing w:line="480" w:lineRule="auto"/>
        <w:rPr>
          <w:rFonts w:ascii="Times New Roman" w:hAnsi="Times New Roman" w:cs="Times New Roman"/>
        </w:rPr>
      </w:pPr>
      <w:r>
        <w:rPr>
          <w:rFonts w:ascii="Times New Roman" w:hAnsi="Times New Roman" w:cs="Times New Roman"/>
        </w:rPr>
        <w:t xml:space="preserve">Other major cosmogonies include that which originates in </w:t>
      </w:r>
      <w:proofErr w:type="spellStart"/>
      <w:r>
        <w:rPr>
          <w:rFonts w:ascii="Times New Roman" w:hAnsi="Times New Roman" w:cs="Times New Roman"/>
        </w:rPr>
        <w:t>Hermopol</w:t>
      </w:r>
      <w:r w:rsidR="00825665">
        <w:rPr>
          <w:rFonts w:ascii="Times New Roman" w:hAnsi="Times New Roman" w:cs="Times New Roman"/>
        </w:rPr>
        <w:t>i</w:t>
      </w:r>
      <w:r>
        <w:rPr>
          <w:rFonts w:ascii="Times New Roman" w:hAnsi="Times New Roman" w:cs="Times New Roman"/>
        </w:rPr>
        <w:t>s</w:t>
      </w:r>
      <w:proofErr w:type="spellEnd"/>
      <w:r>
        <w:rPr>
          <w:rFonts w:ascii="Times New Roman" w:hAnsi="Times New Roman" w:cs="Times New Roman"/>
        </w:rPr>
        <w:t xml:space="preserve"> (</w:t>
      </w:r>
      <w:proofErr w:type="spellStart"/>
      <w:r w:rsidR="00825665">
        <w:rPr>
          <w:rFonts w:ascii="Times New Roman" w:hAnsi="Times New Roman" w:cs="Times New Roman"/>
          <w:i/>
          <w:iCs/>
        </w:rPr>
        <w:t>Hmnw</w:t>
      </w:r>
      <w:proofErr w:type="spellEnd"/>
      <w:r w:rsidR="00825665">
        <w:rPr>
          <w:rFonts w:ascii="Times New Roman" w:hAnsi="Times New Roman" w:cs="Times New Roman"/>
        </w:rPr>
        <w:t>) in Middle Egy</w:t>
      </w:r>
      <w:r w:rsidR="002719F6">
        <w:rPr>
          <w:rFonts w:ascii="Times New Roman" w:hAnsi="Times New Roman" w:cs="Times New Roman"/>
        </w:rPr>
        <w:t>p</w:t>
      </w:r>
      <w:r w:rsidR="00825665">
        <w:rPr>
          <w:rFonts w:ascii="Times New Roman" w:hAnsi="Times New Roman" w:cs="Times New Roman"/>
        </w:rPr>
        <w:t>t, the city whose main deity is Thoth, god of wisdom</w:t>
      </w:r>
      <w:r w:rsidR="001570F7">
        <w:rPr>
          <w:rFonts w:ascii="Times New Roman" w:hAnsi="Times New Roman" w:cs="Times New Roman"/>
        </w:rPr>
        <w:t xml:space="preserve"> and</w:t>
      </w:r>
      <w:r w:rsidR="00825665">
        <w:rPr>
          <w:rFonts w:ascii="Times New Roman" w:hAnsi="Times New Roman" w:cs="Times New Roman"/>
        </w:rPr>
        <w:t xml:space="preserve"> writing</w:t>
      </w:r>
      <w:r w:rsidR="001570F7">
        <w:rPr>
          <w:rFonts w:ascii="Times New Roman" w:hAnsi="Times New Roman" w:cs="Times New Roman"/>
        </w:rPr>
        <w:t>,</w:t>
      </w:r>
      <w:r w:rsidR="00825665">
        <w:rPr>
          <w:rFonts w:ascii="Times New Roman" w:hAnsi="Times New Roman" w:cs="Times New Roman"/>
        </w:rPr>
        <w:t xml:space="preserve"> and one of the deities associated with the Moon</w:t>
      </w:r>
      <w:r w:rsidR="001570F7">
        <w:rPr>
          <w:rStyle w:val="FootnoteReference"/>
          <w:rFonts w:ascii="Times New Roman" w:hAnsi="Times New Roman" w:cs="Times New Roman"/>
        </w:rPr>
        <w:footnoteReference w:id="24"/>
      </w:r>
      <w:r w:rsidR="001570F7">
        <w:rPr>
          <w:rFonts w:ascii="Times New Roman" w:hAnsi="Times New Roman" w:cs="Times New Roman"/>
        </w:rPr>
        <w:t xml:space="preserve">.  This myth involves the ogdoad, four couples representing the chaos of precreation: Amun and </w:t>
      </w:r>
      <w:proofErr w:type="spellStart"/>
      <w:r w:rsidR="001570F7">
        <w:rPr>
          <w:rFonts w:ascii="Times New Roman" w:hAnsi="Times New Roman" w:cs="Times New Roman"/>
        </w:rPr>
        <w:t>Amaunet</w:t>
      </w:r>
      <w:proofErr w:type="spellEnd"/>
      <w:r w:rsidR="001570F7">
        <w:rPr>
          <w:rFonts w:ascii="Times New Roman" w:hAnsi="Times New Roman" w:cs="Times New Roman"/>
        </w:rPr>
        <w:t xml:space="preserve"> are hiddenness; Huh and </w:t>
      </w:r>
      <w:proofErr w:type="spellStart"/>
      <w:r w:rsidR="001570F7">
        <w:rPr>
          <w:rFonts w:ascii="Times New Roman" w:hAnsi="Times New Roman" w:cs="Times New Roman"/>
        </w:rPr>
        <w:t>Haunet</w:t>
      </w:r>
      <w:proofErr w:type="spellEnd"/>
      <w:r w:rsidR="001570F7">
        <w:rPr>
          <w:rFonts w:ascii="Times New Roman" w:hAnsi="Times New Roman" w:cs="Times New Roman"/>
        </w:rPr>
        <w:t xml:space="preserve"> are formlessness; Kuk and </w:t>
      </w:r>
      <w:proofErr w:type="spellStart"/>
      <w:r w:rsidR="001570F7">
        <w:rPr>
          <w:rFonts w:ascii="Times New Roman" w:hAnsi="Times New Roman" w:cs="Times New Roman"/>
        </w:rPr>
        <w:t>Kauket</w:t>
      </w:r>
      <w:proofErr w:type="spellEnd"/>
      <w:r w:rsidR="001570F7">
        <w:rPr>
          <w:rFonts w:ascii="Times New Roman" w:hAnsi="Times New Roman" w:cs="Times New Roman"/>
        </w:rPr>
        <w:t xml:space="preserve"> are darkness: and Nun and </w:t>
      </w:r>
      <w:proofErr w:type="spellStart"/>
      <w:r w:rsidR="001570F7">
        <w:rPr>
          <w:rFonts w:ascii="Times New Roman" w:hAnsi="Times New Roman" w:cs="Times New Roman"/>
        </w:rPr>
        <w:t>Naunet</w:t>
      </w:r>
      <w:proofErr w:type="spellEnd"/>
      <w:r w:rsidR="001570F7">
        <w:rPr>
          <w:rFonts w:ascii="Times New Roman" w:hAnsi="Times New Roman" w:cs="Times New Roman"/>
        </w:rPr>
        <w:t xml:space="preserve"> represent the watery abyss</w:t>
      </w:r>
      <w:r w:rsidR="001570F7">
        <w:rPr>
          <w:rStyle w:val="FootnoteReference"/>
          <w:rFonts w:ascii="Times New Roman" w:hAnsi="Times New Roman" w:cs="Times New Roman"/>
        </w:rPr>
        <w:footnoteReference w:id="25"/>
      </w:r>
      <w:r w:rsidR="001570F7">
        <w:rPr>
          <w:rFonts w:ascii="Times New Roman" w:hAnsi="Times New Roman" w:cs="Times New Roman"/>
        </w:rPr>
        <w:t xml:space="preserve">. From these an egg evolved containing the </w:t>
      </w:r>
      <w:r w:rsidR="00C40409">
        <w:rPr>
          <w:rFonts w:ascii="Times New Roman" w:hAnsi="Times New Roman" w:cs="Times New Roman"/>
        </w:rPr>
        <w:t>g</w:t>
      </w:r>
      <w:r w:rsidR="001570F7">
        <w:rPr>
          <w:rFonts w:ascii="Times New Roman" w:hAnsi="Times New Roman" w:cs="Times New Roman"/>
        </w:rPr>
        <w:t xml:space="preserve">od </w:t>
      </w:r>
      <w:r w:rsidR="00C40409">
        <w:rPr>
          <w:rFonts w:ascii="Times New Roman" w:hAnsi="Times New Roman" w:cs="Times New Roman"/>
        </w:rPr>
        <w:t>responsible for creation. Thoth could have been the original creator god here</w:t>
      </w:r>
      <w:r w:rsidR="00C40409">
        <w:rPr>
          <w:rStyle w:val="FootnoteReference"/>
          <w:rFonts w:ascii="Times New Roman" w:hAnsi="Times New Roman" w:cs="Times New Roman"/>
        </w:rPr>
        <w:footnoteReference w:id="26"/>
      </w:r>
      <w:r w:rsidR="00C40409">
        <w:rPr>
          <w:rFonts w:ascii="Times New Roman" w:hAnsi="Times New Roman" w:cs="Times New Roman"/>
        </w:rPr>
        <w:t xml:space="preserve"> but in the texts from </w:t>
      </w:r>
      <w:proofErr w:type="spellStart"/>
      <w:r w:rsidR="00C40409">
        <w:rPr>
          <w:rFonts w:ascii="Times New Roman" w:hAnsi="Times New Roman" w:cs="Times New Roman"/>
        </w:rPr>
        <w:t>Hermopolis</w:t>
      </w:r>
      <w:proofErr w:type="spellEnd"/>
      <w:r w:rsidR="00C40409">
        <w:rPr>
          <w:rFonts w:ascii="Times New Roman" w:hAnsi="Times New Roman" w:cs="Times New Roman"/>
        </w:rPr>
        <w:t xml:space="preserve"> it is often </w:t>
      </w:r>
      <w:proofErr w:type="spellStart"/>
      <w:r w:rsidR="00C40409">
        <w:rPr>
          <w:rFonts w:ascii="Times New Roman" w:hAnsi="Times New Roman" w:cs="Times New Roman"/>
        </w:rPr>
        <w:t>Atum</w:t>
      </w:r>
      <w:proofErr w:type="spellEnd"/>
      <w:r w:rsidR="00C40409">
        <w:rPr>
          <w:rFonts w:ascii="Times New Roman" w:hAnsi="Times New Roman" w:cs="Times New Roman"/>
        </w:rPr>
        <w:t xml:space="preserve">. The ogdoad </w:t>
      </w:r>
      <w:proofErr w:type="gramStart"/>
      <w:r w:rsidR="00C40409">
        <w:rPr>
          <w:rFonts w:ascii="Times New Roman" w:hAnsi="Times New Roman" w:cs="Times New Roman"/>
        </w:rPr>
        <w:t>are</w:t>
      </w:r>
      <w:proofErr w:type="gramEnd"/>
      <w:r w:rsidR="00C40409">
        <w:rPr>
          <w:rFonts w:ascii="Times New Roman" w:hAnsi="Times New Roman" w:cs="Times New Roman"/>
        </w:rPr>
        <w:t xml:space="preserve"> mentioned in the Pyramid texts (no. 301) and the Coffin texts - texts inscribed on the interior of coffins that begin </w:t>
      </w:r>
      <w:r w:rsidR="00927A58">
        <w:rPr>
          <w:rFonts w:ascii="Times New Roman" w:hAnsi="Times New Roman" w:cs="Times New Roman"/>
        </w:rPr>
        <w:t xml:space="preserve">at the end of </w:t>
      </w:r>
      <w:r w:rsidR="00C40409">
        <w:rPr>
          <w:rFonts w:ascii="Times New Roman" w:hAnsi="Times New Roman" w:cs="Times New Roman"/>
        </w:rPr>
        <w:t>the first Intermediate period (</w:t>
      </w:r>
      <w:r w:rsidR="00927A58">
        <w:rPr>
          <w:rFonts w:ascii="Times New Roman" w:hAnsi="Times New Roman" w:cs="Times New Roman"/>
        </w:rPr>
        <w:t>c 2055 BCE</w:t>
      </w:r>
      <w:r w:rsidR="00C40409">
        <w:rPr>
          <w:rFonts w:ascii="Times New Roman" w:hAnsi="Times New Roman" w:cs="Times New Roman"/>
        </w:rPr>
        <w:t>) but mainly survive from the Middle Kingdom</w:t>
      </w:r>
      <w:r w:rsidR="00C40409">
        <w:rPr>
          <w:rStyle w:val="FootnoteReference"/>
          <w:rFonts w:ascii="Times New Roman" w:hAnsi="Times New Roman" w:cs="Times New Roman"/>
        </w:rPr>
        <w:footnoteReference w:id="27"/>
      </w:r>
      <w:r w:rsidR="006172EB">
        <w:rPr>
          <w:rFonts w:ascii="Times New Roman" w:hAnsi="Times New Roman" w:cs="Times New Roman"/>
        </w:rPr>
        <w:t xml:space="preserve">. Coffin Text 76 is interesting in that it has Shu creating the ogdoad which implies the interpreters wanted to give </w:t>
      </w:r>
      <w:proofErr w:type="spellStart"/>
      <w:r w:rsidR="006172EB">
        <w:rPr>
          <w:rFonts w:ascii="Times New Roman" w:hAnsi="Times New Roman" w:cs="Times New Roman"/>
        </w:rPr>
        <w:t>Atum</w:t>
      </w:r>
      <w:proofErr w:type="spellEnd"/>
      <w:r w:rsidR="006172EB">
        <w:rPr>
          <w:rFonts w:ascii="Times New Roman" w:hAnsi="Times New Roman" w:cs="Times New Roman"/>
        </w:rPr>
        <w:t xml:space="preserve"> prior presence in time and </w:t>
      </w:r>
      <w:r w:rsidR="006172EB">
        <w:rPr>
          <w:rFonts w:ascii="Times New Roman" w:hAnsi="Times New Roman" w:cs="Times New Roman"/>
        </w:rPr>
        <w:lastRenderedPageBreak/>
        <w:t>acts of creation</w:t>
      </w:r>
      <w:r w:rsidR="006172EB">
        <w:rPr>
          <w:rStyle w:val="FootnoteReference"/>
          <w:rFonts w:ascii="Times New Roman" w:hAnsi="Times New Roman" w:cs="Times New Roman"/>
        </w:rPr>
        <w:footnoteReference w:id="28"/>
      </w:r>
      <w:r w:rsidR="006172EB">
        <w:rPr>
          <w:rFonts w:ascii="Times New Roman" w:hAnsi="Times New Roman" w:cs="Times New Roman"/>
        </w:rPr>
        <w:t>.</w:t>
      </w:r>
      <w:r w:rsidR="0066094F">
        <w:rPr>
          <w:rStyle w:val="FootnoteReference"/>
          <w:rFonts w:ascii="Times New Roman" w:hAnsi="Times New Roman" w:cs="Times New Roman"/>
        </w:rPr>
        <w:t xml:space="preserve"> </w:t>
      </w:r>
      <w:r w:rsidR="0066094F">
        <w:rPr>
          <w:rFonts w:ascii="Times New Roman" w:hAnsi="Times New Roman" w:cs="Times New Roman"/>
        </w:rPr>
        <w:t>T</w:t>
      </w:r>
      <w:r w:rsidR="006172EB">
        <w:rPr>
          <w:rFonts w:ascii="Times New Roman" w:hAnsi="Times New Roman" w:cs="Times New Roman"/>
        </w:rPr>
        <w:t>his highlights that the chroniclers of Egyptian cosmogonies were aware of and happy to adapt what might be seen as competing myths in order to</w:t>
      </w:r>
      <w:r w:rsidR="006B6C14">
        <w:rPr>
          <w:rFonts w:ascii="Times New Roman" w:hAnsi="Times New Roman" w:cs="Times New Roman"/>
        </w:rPr>
        <w:t xml:space="preserve"> express a </w:t>
      </w:r>
      <w:r w:rsidR="006172EB">
        <w:rPr>
          <w:rFonts w:ascii="Times New Roman" w:hAnsi="Times New Roman" w:cs="Times New Roman"/>
        </w:rPr>
        <w:t xml:space="preserve">greater sense of </w:t>
      </w:r>
      <w:r w:rsidR="006B6C14">
        <w:rPr>
          <w:rFonts w:ascii="Times New Roman" w:hAnsi="Times New Roman" w:cs="Times New Roman"/>
        </w:rPr>
        <w:t>understanding of the divine and its relationship to the environment.</w:t>
      </w:r>
    </w:p>
    <w:p w14:paraId="14BF8793" w14:textId="5D9B1EA2" w:rsidR="00AD4DAC" w:rsidRDefault="00AD4DAC" w:rsidP="0011338B">
      <w:pPr>
        <w:spacing w:line="480" w:lineRule="auto"/>
        <w:rPr>
          <w:rFonts w:ascii="Times New Roman" w:hAnsi="Times New Roman" w:cs="Times New Roman"/>
        </w:rPr>
      </w:pPr>
    </w:p>
    <w:p w14:paraId="42EAD353" w14:textId="6B05301F" w:rsidR="00706C3E" w:rsidRDefault="00AD4DAC" w:rsidP="0011338B">
      <w:pPr>
        <w:spacing w:line="480" w:lineRule="auto"/>
        <w:rPr>
          <w:rFonts w:ascii="Times New Roman" w:hAnsi="Times New Roman" w:cs="Times New Roman"/>
        </w:rPr>
      </w:pPr>
      <w:r>
        <w:rPr>
          <w:rFonts w:ascii="Times New Roman" w:hAnsi="Times New Roman" w:cs="Times New Roman"/>
        </w:rPr>
        <w:t xml:space="preserve">A third creation myth </w:t>
      </w:r>
      <w:proofErr w:type="spellStart"/>
      <w:r>
        <w:rPr>
          <w:rFonts w:ascii="Times New Roman" w:hAnsi="Times New Roman" w:cs="Times New Roman"/>
        </w:rPr>
        <w:t>cent</w:t>
      </w:r>
      <w:r w:rsidR="00AC6267">
        <w:rPr>
          <w:rFonts w:ascii="Times New Roman" w:hAnsi="Times New Roman" w:cs="Times New Roman"/>
        </w:rPr>
        <w:t>e</w:t>
      </w:r>
      <w:r>
        <w:rPr>
          <w:rFonts w:ascii="Times New Roman" w:hAnsi="Times New Roman" w:cs="Times New Roman"/>
        </w:rPr>
        <w:t>red</w:t>
      </w:r>
      <w:proofErr w:type="spellEnd"/>
      <w:r>
        <w:rPr>
          <w:rFonts w:ascii="Times New Roman" w:hAnsi="Times New Roman" w:cs="Times New Roman"/>
        </w:rPr>
        <w:t xml:space="preserve"> on the very important city of Memphis in the North, and the god Ptah. According to Lesko</w:t>
      </w:r>
      <w:r w:rsidR="00AC6267">
        <w:rPr>
          <w:rFonts w:ascii="Times New Roman" w:hAnsi="Times New Roman" w:cs="Times New Roman"/>
        </w:rPr>
        <w:t xml:space="preserve"> </w:t>
      </w:r>
      <w:r>
        <w:rPr>
          <w:rFonts w:ascii="Times New Roman" w:hAnsi="Times New Roman" w:cs="Times New Roman"/>
        </w:rPr>
        <w:t xml:space="preserve">who is quoting from the only extant evidence of the Memphite cosmogony – a damaged stone inscription from the time of the Pharaoh </w:t>
      </w:r>
      <w:proofErr w:type="spellStart"/>
      <w:r>
        <w:rPr>
          <w:rFonts w:ascii="Times New Roman" w:hAnsi="Times New Roman" w:cs="Times New Roman"/>
        </w:rPr>
        <w:t>Shabaka</w:t>
      </w:r>
      <w:proofErr w:type="spellEnd"/>
      <w:r>
        <w:rPr>
          <w:rFonts w:ascii="Times New Roman" w:hAnsi="Times New Roman" w:cs="Times New Roman"/>
        </w:rPr>
        <w:t xml:space="preserve"> (c.710 BCE) – ‘[Ptah] conceives in his heart and creates with his tongue.’</w:t>
      </w:r>
      <w:r w:rsidRPr="00AD4DAC">
        <w:rPr>
          <w:rStyle w:val="FootnoteReference"/>
          <w:rFonts w:ascii="Times New Roman" w:hAnsi="Times New Roman" w:cs="Times New Roman"/>
        </w:rPr>
        <w:t xml:space="preserve"> </w:t>
      </w:r>
      <w:r>
        <w:rPr>
          <w:rStyle w:val="FootnoteReference"/>
          <w:rFonts w:ascii="Times New Roman" w:hAnsi="Times New Roman" w:cs="Times New Roman"/>
        </w:rPr>
        <w:footnoteReference w:id="29"/>
      </w:r>
      <w:r>
        <w:rPr>
          <w:rFonts w:ascii="Times New Roman" w:hAnsi="Times New Roman" w:cs="Times New Roman"/>
        </w:rPr>
        <w:t xml:space="preserve"> </w:t>
      </w:r>
      <w:r w:rsidR="00A43BDE">
        <w:rPr>
          <w:rFonts w:ascii="Times New Roman" w:hAnsi="Times New Roman" w:cs="Times New Roman"/>
        </w:rPr>
        <w:t xml:space="preserve">The inscription makes clear that it is Ptah who creates </w:t>
      </w:r>
      <w:proofErr w:type="spellStart"/>
      <w:r w:rsidR="00A43BDE">
        <w:rPr>
          <w:rFonts w:ascii="Times New Roman" w:hAnsi="Times New Roman" w:cs="Times New Roman"/>
        </w:rPr>
        <w:t>Atum</w:t>
      </w:r>
      <w:proofErr w:type="spellEnd"/>
      <w:r w:rsidR="00A43BDE">
        <w:rPr>
          <w:rFonts w:ascii="Times New Roman" w:hAnsi="Times New Roman" w:cs="Times New Roman"/>
        </w:rPr>
        <w:t xml:space="preserve"> and the rest of the Ennead.  Here in Memphis is another example of creation myth adaptation and incorporation to fit the local conceptions of the divine without denying others. </w:t>
      </w:r>
    </w:p>
    <w:p w14:paraId="23DF9532" w14:textId="77777777" w:rsidR="006E596F" w:rsidRDefault="006E596F" w:rsidP="0011338B">
      <w:pPr>
        <w:spacing w:line="480" w:lineRule="auto"/>
        <w:rPr>
          <w:rFonts w:ascii="Times New Roman" w:hAnsi="Times New Roman" w:cs="Times New Roman"/>
        </w:rPr>
      </w:pPr>
    </w:p>
    <w:p w14:paraId="76FD36BD" w14:textId="75DFC042" w:rsidR="00A66853" w:rsidRDefault="00A55D70" w:rsidP="0011338B">
      <w:pPr>
        <w:spacing w:line="480" w:lineRule="auto"/>
        <w:rPr>
          <w:rFonts w:ascii="Times New Roman" w:hAnsi="Times New Roman" w:cs="Times New Roman"/>
        </w:rPr>
      </w:pPr>
      <w:r>
        <w:rPr>
          <w:rFonts w:ascii="Times New Roman" w:hAnsi="Times New Roman" w:cs="Times New Roman"/>
        </w:rPr>
        <w:t>As Katharina Zinn as argued, if the word ‘cult’ can be defined as ‘an expression of religious ideas and values’</w:t>
      </w:r>
      <w:r>
        <w:rPr>
          <w:rStyle w:val="FootnoteReference"/>
          <w:rFonts w:ascii="Times New Roman" w:hAnsi="Times New Roman" w:cs="Times New Roman"/>
        </w:rPr>
        <w:footnoteReference w:id="30"/>
      </w:r>
      <w:r w:rsidR="00145BEF">
        <w:rPr>
          <w:rFonts w:ascii="Times New Roman" w:hAnsi="Times New Roman" w:cs="Times New Roman"/>
        </w:rPr>
        <w:t xml:space="preserve"> then a divine cult is the concept that all human activity is inculcated and given agency by a divine order, and part of that activity is focused upon communicating with a spiritual, deified power</w:t>
      </w:r>
      <w:r w:rsidR="00145BEF">
        <w:rPr>
          <w:rStyle w:val="FootnoteReference"/>
          <w:rFonts w:ascii="Times New Roman" w:hAnsi="Times New Roman" w:cs="Times New Roman"/>
        </w:rPr>
        <w:footnoteReference w:id="31"/>
      </w:r>
      <w:r w:rsidR="00145BEF">
        <w:rPr>
          <w:rFonts w:ascii="Times New Roman" w:hAnsi="Times New Roman" w:cs="Times New Roman"/>
        </w:rPr>
        <w:t>.  The long enduring myth of Isis and Osiris (only extant in a complete form from the 1</w:t>
      </w:r>
      <w:r w:rsidR="00145BEF" w:rsidRPr="00145BEF">
        <w:rPr>
          <w:rFonts w:ascii="Times New Roman" w:hAnsi="Times New Roman" w:cs="Times New Roman"/>
          <w:vertAlign w:val="superscript"/>
        </w:rPr>
        <w:t>st</w:t>
      </w:r>
      <w:r w:rsidR="00145BEF">
        <w:rPr>
          <w:rFonts w:ascii="Times New Roman" w:hAnsi="Times New Roman" w:cs="Times New Roman"/>
        </w:rPr>
        <w:t xml:space="preserve"> century CE</w:t>
      </w:r>
      <w:r w:rsidR="00AC6267">
        <w:rPr>
          <w:rFonts w:ascii="Times New Roman" w:hAnsi="Times New Roman" w:cs="Times New Roman"/>
        </w:rPr>
        <w:t xml:space="preserve"> but extracts abound throughout Egyptian history on temple and tomb walls</w:t>
      </w:r>
      <w:r w:rsidR="00AC6267">
        <w:rPr>
          <w:rStyle w:val="FootnoteReference"/>
          <w:rFonts w:ascii="Times New Roman" w:hAnsi="Times New Roman" w:cs="Times New Roman"/>
        </w:rPr>
        <w:footnoteReference w:id="32"/>
      </w:r>
      <w:r w:rsidR="00AC6267">
        <w:rPr>
          <w:rFonts w:ascii="Times New Roman" w:hAnsi="Times New Roman" w:cs="Times New Roman"/>
        </w:rPr>
        <w:t xml:space="preserve">), gave impetus and meaning to the notion of divine Kingship early in Pharaonic Egypt.  </w:t>
      </w:r>
      <w:r w:rsidR="003969E5">
        <w:rPr>
          <w:rFonts w:ascii="Times New Roman" w:hAnsi="Times New Roman" w:cs="Times New Roman"/>
        </w:rPr>
        <w:t>The cult of Osiris, which had its roots in fertility and agriculture</w:t>
      </w:r>
      <w:r w:rsidR="003969E5">
        <w:rPr>
          <w:rStyle w:val="FootnoteReference"/>
          <w:rFonts w:ascii="Times New Roman" w:hAnsi="Times New Roman" w:cs="Times New Roman"/>
        </w:rPr>
        <w:footnoteReference w:id="33"/>
      </w:r>
      <w:r w:rsidR="003969E5">
        <w:rPr>
          <w:rFonts w:ascii="Times New Roman" w:hAnsi="Times New Roman" w:cs="Times New Roman"/>
        </w:rPr>
        <w:t xml:space="preserve"> became one of the most important funerary cults and Osiris was a god worshipped in some form </w:t>
      </w:r>
      <w:r w:rsidR="003969E5">
        <w:rPr>
          <w:rFonts w:ascii="Times New Roman" w:hAnsi="Times New Roman" w:cs="Times New Roman"/>
        </w:rPr>
        <w:lastRenderedPageBreak/>
        <w:t xml:space="preserve">throughout the period considered.  </w:t>
      </w:r>
      <w:r w:rsidR="00E66B2E">
        <w:rPr>
          <w:rFonts w:ascii="Times New Roman" w:hAnsi="Times New Roman" w:cs="Times New Roman"/>
        </w:rPr>
        <w:t xml:space="preserve">Briefly, in the myth Osiris is murdered and dismembered by his brother Seth but is resurrected by Isis (with help from her sister Nephthys) who then gives birth to Horus, a living god on earth, whilst Osiris becomes the ruler of the </w:t>
      </w:r>
      <w:proofErr w:type="spellStart"/>
      <w:r w:rsidR="00E66B2E">
        <w:rPr>
          <w:rFonts w:ascii="Times New Roman" w:hAnsi="Times New Roman" w:cs="Times New Roman"/>
          <w:i/>
          <w:iCs/>
        </w:rPr>
        <w:t>Duat</w:t>
      </w:r>
      <w:proofErr w:type="spellEnd"/>
      <w:r w:rsidR="00E66B2E">
        <w:rPr>
          <w:rFonts w:ascii="Times New Roman" w:hAnsi="Times New Roman" w:cs="Times New Roman"/>
        </w:rPr>
        <w:t xml:space="preserve"> (translated usually as underworld).  Seth, a god who represented chaos and destructive change, battles with Horus for rulership of the divine realm and control of the people but loses.  </w:t>
      </w:r>
    </w:p>
    <w:p w14:paraId="3A326175" w14:textId="77777777" w:rsidR="00921027" w:rsidRDefault="00E66B2E" w:rsidP="00921027">
      <w:pPr>
        <w:spacing w:line="480" w:lineRule="auto"/>
        <w:rPr>
          <w:rFonts w:ascii="Times New Roman" w:hAnsi="Times New Roman" w:cs="Times New Roman"/>
        </w:rPr>
      </w:pPr>
      <w:r>
        <w:rPr>
          <w:rFonts w:ascii="Times New Roman" w:hAnsi="Times New Roman" w:cs="Times New Roman"/>
        </w:rPr>
        <w:t>In the cosmology of Egypt, this story was very important for Pharaohs and their subjects and became a way to legitimize power</w:t>
      </w:r>
      <w:r>
        <w:rPr>
          <w:rStyle w:val="FootnoteReference"/>
          <w:rFonts w:ascii="Times New Roman" w:hAnsi="Times New Roman" w:cs="Times New Roman"/>
        </w:rPr>
        <w:footnoteReference w:id="34"/>
      </w:r>
      <w:r w:rsidR="00B75559">
        <w:rPr>
          <w:rFonts w:ascii="Times New Roman" w:hAnsi="Times New Roman" w:cs="Times New Roman"/>
        </w:rPr>
        <w:t>.  The reigning Pharaoh considered themselves to be Horus on earth.  A dying one would become Osiris in the afterlife whilst the successor would be the new Horus and part of their role would be to maintain order and keep the chaos – as embodied by Seth – from overwhelming the country</w:t>
      </w:r>
      <w:r w:rsidR="00B75559">
        <w:rPr>
          <w:rStyle w:val="FootnoteReference"/>
          <w:rFonts w:ascii="Times New Roman" w:hAnsi="Times New Roman" w:cs="Times New Roman"/>
        </w:rPr>
        <w:footnoteReference w:id="35"/>
      </w:r>
      <w:r w:rsidR="00B75559">
        <w:rPr>
          <w:rFonts w:ascii="Times New Roman" w:hAnsi="Times New Roman" w:cs="Times New Roman"/>
        </w:rPr>
        <w:t xml:space="preserve">.  In this way Kings both alive and dead became recipients </w:t>
      </w:r>
      <w:r w:rsidR="00A66853">
        <w:rPr>
          <w:rFonts w:ascii="Times New Roman" w:hAnsi="Times New Roman" w:cs="Times New Roman"/>
        </w:rPr>
        <w:t xml:space="preserve">and protagonists </w:t>
      </w:r>
      <w:r w:rsidR="00B75559">
        <w:rPr>
          <w:rFonts w:ascii="Times New Roman" w:hAnsi="Times New Roman" w:cs="Times New Roman"/>
        </w:rPr>
        <w:t>of divine cult</w:t>
      </w:r>
      <w:r w:rsidR="00B75559">
        <w:rPr>
          <w:rStyle w:val="FootnoteReference"/>
          <w:rFonts w:ascii="Times New Roman" w:hAnsi="Times New Roman" w:cs="Times New Roman"/>
        </w:rPr>
        <w:footnoteReference w:id="36"/>
      </w:r>
      <w:r w:rsidR="00B75559">
        <w:rPr>
          <w:rFonts w:ascii="Times New Roman" w:hAnsi="Times New Roman" w:cs="Times New Roman"/>
        </w:rPr>
        <w:t>.  The King was also seen as the earthly embodiment of the sun god Re</w:t>
      </w:r>
      <w:r w:rsidR="00A66853">
        <w:rPr>
          <w:rFonts w:ascii="Times New Roman" w:hAnsi="Times New Roman" w:cs="Times New Roman"/>
        </w:rPr>
        <w:t>.  As Zinn notes, the ongoing cycles of life and the natural phenomena, such as the sun rising and setting, were held to part of the divine order and an act of ‘constant creation’</w:t>
      </w:r>
      <w:r w:rsidR="00A66853">
        <w:rPr>
          <w:rStyle w:val="FootnoteReference"/>
          <w:rFonts w:ascii="Times New Roman" w:hAnsi="Times New Roman" w:cs="Times New Roman"/>
        </w:rPr>
        <w:footnoteReference w:id="37"/>
      </w:r>
      <w:r w:rsidR="00A66853">
        <w:rPr>
          <w:rFonts w:ascii="Times New Roman" w:hAnsi="Times New Roman" w:cs="Times New Roman"/>
        </w:rPr>
        <w:t>. The King or their substitutes, the priests, had to make the sure the correct rituals were performed in the temples and elsewhere to ensure the Gods were pleased, and order and prosperity were maintained.</w:t>
      </w:r>
      <w:r w:rsidR="00A66853">
        <w:rPr>
          <w:rStyle w:val="FootnoteReference"/>
          <w:rFonts w:ascii="Times New Roman" w:hAnsi="Times New Roman" w:cs="Times New Roman"/>
        </w:rPr>
        <w:footnoteReference w:id="38"/>
      </w:r>
      <w:r w:rsidR="00921027">
        <w:rPr>
          <w:rFonts w:ascii="Times New Roman" w:hAnsi="Times New Roman" w:cs="Times New Roman"/>
        </w:rPr>
        <w:t xml:space="preserve"> Not only kings and gods were recipients of cult, but also deceased private individuals could be subject to it at their mortuary temples</w:t>
      </w:r>
      <w:r w:rsidR="00921027">
        <w:rPr>
          <w:rStyle w:val="FootnoteReference"/>
          <w:rFonts w:ascii="Times New Roman" w:hAnsi="Times New Roman" w:cs="Times New Roman"/>
        </w:rPr>
        <w:footnoteReference w:id="39"/>
      </w:r>
      <w:r w:rsidR="00921027">
        <w:rPr>
          <w:rFonts w:ascii="Times New Roman" w:hAnsi="Times New Roman" w:cs="Times New Roman"/>
        </w:rPr>
        <w:t>; some, for example Imhotep, the Old Kingdom architect of Djoser’s funerary complex at Saqqara, were deified and worshipped long after their earthly demise</w:t>
      </w:r>
      <w:r w:rsidR="00921027">
        <w:rPr>
          <w:rStyle w:val="FootnoteReference"/>
          <w:rFonts w:ascii="Times New Roman" w:hAnsi="Times New Roman" w:cs="Times New Roman"/>
        </w:rPr>
        <w:footnoteReference w:id="40"/>
      </w:r>
      <w:r w:rsidR="00921027">
        <w:rPr>
          <w:rFonts w:ascii="Times New Roman" w:hAnsi="Times New Roman" w:cs="Times New Roman"/>
        </w:rPr>
        <w:t>.</w:t>
      </w:r>
    </w:p>
    <w:p w14:paraId="703310EB" w14:textId="39D1893D" w:rsidR="00A66853" w:rsidRDefault="00A66853" w:rsidP="0011338B">
      <w:pPr>
        <w:spacing w:line="480" w:lineRule="auto"/>
        <w:rPr>
          <w:rFonts w:ascii="Times New Roman" w:hAnsi="Times New Roman" w:cs="Times New Roman"/>
        </w:rPr>
      </w:pPr>
    </w:p>
    <w:p w14:paraId="0D6A0014" w14:textId="2874008C" w:rsidR="00921027" w:rsidRDefault="00A66853" w:rsidP="0011338B">
      <w:pPr>
        <w:spacing w:line="480" w:lineRule="auto"/>
        <w:rPr>
          <w:rFonts w:ascii="Times New Roman" w:hAnsi="Times New Roman" w:cs="Times New Roman"/>
        </w:rPr>
      </w:pPr>
      <w:r>
        <w:rPr>
          <w:rFonts w:ascii="Times New Roman" w:hAnsi="Times New Roman" w:cs="Times New Roman"/>
        </w:rPr>
        <w:lastRenderedPageBreak/>
        <w:t xml:space="preserve">It must be stated that there was no specific word for religion, ritual or cult in the hieroglyphic language; </w:t>
      </w:r>
      <w:proofErr w:type="spellStart"/>
      <w:r>
        <w:rPr>
          <w:rFonts w:ascii="Times New Roman" w:hAnsi="Times New Roman" w:cs="Times New Roman"/>
          <w:i/>
          <w:iCs/>
        </w:rPr>
        <w:t>iret</w:t>
      </w:r>
      <w:proofErr w:type="spellEnd"/>
      <w:r>
        <w:rPr>
          <w:rFonts w:ascii="Times New Roman" w:hAnsi="Times New Roman" w:cs="Times New Roman"/>
          <w:i/>
          <w:iCs/>
        </w:rPr>
        <w:t xml:space="preserve"> </w:t>
      </w:r>
      <w:proofErr w:type="spellStart"/>
      <w:r>
        <w:rPr>
          <w:rFonts w:ascii="Times New Roman" w:hAnsi="Times New Roman" w:cs="Times New Roman"/>
          <w:i/>
          <w:iCs/>
        </w:rPr>
        <w:t>ikhet</w:t>
      </w:r>
      <w:proofErr w:type="spellEnd"/>
      <w:r>
        <w:rPr>
          <w:rFonts w:ascii="Times New Roman" w:hAnsi="Times New Roman" w:cs="Times New Roman"/>
        </w:rPr>
        <w:t xml:space="preserve"> has </w:t>
      </w:r>
      <w:r w:rsidR="00D93068">
        <w:rPr>
          <w:rFonts w:ascii="Times New Roman" w:hAnsi="Times New Roman" w:cs="Times New Roman"/>
        </w:rPr>
        <w:t xml:space="preserve">been </w:t>
      </w:r>
      <w:r>
        <w:rPr>
          <w:rFonts w:ascii="Times New Roman" w:hAnsi="Times New Roman" w:cs="Times New Roman"/>
        </w:rPr>
        <w:t>translated</w:t>
      </w:r>
      <w:r w:rsidR="00D93068">
        <w:rPr>
          <w:rFonts w:ascii="Times New Roman" w:hAnsi="Times New Roman" w:cs="Times New Roman"/>
        </w:rPr>
        <w:t xml:space="preserve"> as ‘doing things’ and to mean the act of worshipping</w:t>
      </w:r>
      <w:r w:rsidR="00D93068">
        <w:rPr>
          <w:rStyle w:val="FootnoteReference"/>
          <w:rFonts w:ascii="Times New Roman" w:hAnsi="Times New Roman" w:cs="Times New Roman"/>
        </w:rPr>
        <w:footnoteReference w:id="41"/>
      </w:r>
      <w:r w:rsidR="00D93068">
        <w:rPr>
          <w:rFonts w:ascii="Times New Roman" w:hAnsi="Times New Roman" w:cs="Times New Roman"/>
        </w:rPr>
        <w:t xml:space="preserve">. For all Egyptians it is was important to do the right things both in the </w:t>
      </w:r>
      <w:r w:rsidR="00B14B11">
        <w:rPr>
          <w:rFonts w:ascii="Times New Roman" w:hAnsi="Times New Roman" w:cs="Times New Roman"/>
        </w:rPr>
        <w:t xml:space="preserve">ritual </w:t>
      </w:r>
      <w:r w:rsidR="00D93068">
        <w:rPr>
          <w:rFonts w:ascii="Times New Roman" w:hAnsi="Times New Roman" w:cs="Times New Roman"/>
        </w:rPr>
        <w:t xml:space="preserve">sense but also in the way they conducted themselves in life. </w:t>
      </w:r>
    </w:p>
    <w:p w14:paraId="23DD6C69" w14:textId="77777777" w:rsidR="00921027" w:rsidRDefault="00921027" w:rsidP="0011338B">
      <w:pPr>
        <w:spacing w:line="480" w:lineRule="auto"/>
        <w:rPr>
          <w:rFonts w:ascii="Times New Roman" w:hAnsi="Times New Roman" w:cs="Times New Roman"/>
        </w:rPr>
      </w:pPr>
    </w:p>
    <w:p w14:paraId="565E7D82" w14:textId="6E9EEB44" w:rsidR="009A45BF" w:rsidRPr="007F7652" w:rsidRDefault="00D93068" w:rsidP="0011338B">
      <w:pPr>
        <w:spacing w:line="480" w:lineRule="auto"/>
        <w:rPr>
          <w:rFonts w:ascii="Times New Roman" w:hAnsi="Times New Roman" w:cs="Times New Roman"/>
          <w:i/>
          <w:iCs/>
        </w:rPr>
      </w:pPr>
      <w:r>
        <w:rPr>
          <w:rFonts w:ascii="Times New Roman" w:hAnsi="Times New Roman" w:cs="Times New Roman"/>
        </w:rPr>
        <w:t xml:space="preserve">The overall concept for this was termed </w:t>
      </w:r>
      <w:proofErr w:type="spellStart"/>
      <w:r w:rsidRPr="00D93068">
        <w:rPr>
          <w:rFonts w:ascii="Times New Roman" w:hAnsi="Times New Roman" w:cs="Times New Roman"/>
          <w:i/>
          <w:iCs/>
        </w:rPr>
        <w:t>Ma’at</w:t>
      </w:r>
      <w:proofErr w:type="spellEnd"/>
      <w:r>
        <w:rPr>
          <w:rFonts w:ascii="Times New Roman" w:hAnsi="Times New Roman" w:cs="Times New Roman"/>
        </w:rPr>
        <w:t xml:space="preserve">, a word that </w:t>
      </w:r>
      <w:r w:rsidR="00B14B11">
        <w:rPr>
          <w:rFonts w:ascii="Times New Roman" w:hAnsi="Times New Roman" w:cs="Times New Roman"/>
        </w:rPr>
        <w:t>is not</w:t>
      </w:r>
      <w:r>
        <w:rPr>
          <w:rFonts w:ascii="Times New Roman" w:hAnsi="Times New Roman" w:cs="Times New Roman"/>
        </w:rPr>
        <w:t xml:space="preserve"> translated</w:t>
      </w:r>
      <w:r w:rsidR="00B14B11">
        <w:rPr>
          <w:rFonts w:ascii="Times New Roman" w:hAnsi="Times New Roman" w:cs="Times New Roman"/>
        </w:rPr>
        <w:t xml:space="preserve"> easily</w:t>
      </w:r>
      <w:r>
        <w:rPr>
          <w:rFonts w:ascii="Times New Roman" w:hAnsi="Times New Roman" w:cs="Times New Roman"/>
        </w:rPr>
        <w:t xml:space="preserve"> but has been expressed as ‘order, balance and harmony’</w:t>
      </w:r>
      <w:r>
        <w:rPr>
          <w:rStyle w:val="FootnoteReference"/>
          <w:rFonts w:ascii="Times New Roman" w:hAnsi="Times New Roman" w:cs="Times New Roman"/>
        </w:rPr>
        <w:footnoteReference w:id="42"/>
      </w:r>
      <w:r>
        <w:rPr>
          <w:rFonts w:ascii="Times New Roman" w:hAnsi="Times New Roman" w:cs="Times New Roman"/>
        </w:rPr>
        <w:t>.  This concept</w:t>
      </w:r>
      <w:r w:rsidR="00B14B11">
        <w:rPr>
          <w:rFonts w:ascii="Times New Roman" w:hAnsi="Times New Roman" w:cs="Times New Roman"/>
        </w:rPr>
        <w:t xml:space="preserve"> </w:t>
      </w:r>
      <w:r>
        <w:rPr>
          <w:rFonts w:ascii="Times New Roman" w:hAnsi="Times New Roman" w:cs="Times New Roman"/>
        </w:rPr>
        <w:t>was also deified</w:t>
      </w:r>
      <w:r w:rsidR="005C0AB5">
        <w:rPr>
          <w:rFonts w:ascii="Times New Roman" w:hAnsi="Times New Roman" w:cs="Times New Roman"/>
        </w:rPr>
        <w:t>, this one</w:t>
      </w:r>
      <w:r>
        <w:rPr>
          <w:rFonts w:ascii="Times New Roman" w:hAnsi="Times New Roman" w:cs="Times New Roman"/>
        </w:rPr>
        <w:t xml:space="preserve"> as a goddess. </w:t>
      </w:r>
      <w:r w:rsidR="009A45BF">
        <w:rPr>
          <w:rFonts w:ascii="Times New Roman" w:hAnsi="Times New Roman" w:cs="Times New Roman"/>
        </w:rPr>
        <w:t xml:space="preserve">Jan </w:t>
      </w:r>
      <w:proofErr w:type="spellStart"/>
      <w:r w:rsidR="009A45BF">
        <w:rPr>
          <w:rFonts w:ascii="Times New Roman" w:hAnsi="Times New Roman" w:cs="Times New Roman"/>
        </w:rPr>
        <w:t>Assmann</w:t>
      </w:r>
      <w:proofErr w:type="spellEnd"/>
      <w:r w:rsidR="009A45BF">
        <w:rPr>
          <w:rFonts w:ascii="Times New Roman" w:hAnsi="Times New Roman" w:cs="Times New Roman"/>
        </w:rPr>
        <w:t xml:space="preserve"> argues that the Egyptian cosmic process ‘was viewed as an interplay of convergent and divergent powers’</w:t>
      </w:r>
      <w:r w:rsidR="009A45BF">
        <w:rPr>
          <w:rStyle w:val="FootnoteReference"/>
          <w:rFonts w:ascii="Times New Roman" w:hAnsi="Times New Roman" w:cs="Times New Roman"/>
        </w:rPr>
        <w:footnoteReference w:id="43"/>
      </w:r>
      <w:r w:rsidR="007F7652">
        <w:rPr>
          <w:rFonts w:ascii="Times New Roman" w:hAnsi="Times New Roman" w:cs="Times New Roman"/>
        </w:rPr>
        <w:t>.</w:t>
      </w:r>
      <w:r w:rsidR="009A45BF">
        <w:rPr>
          <w:rFonts w:ascii="Times New Roman" w:hAnsi="Times New Roman" w:cs="Times New Roman"/>
        </w:rPr>
        <w:t xml:space="preserve"> </w:t>
      </w:r>
      <w:r w:rsidR="007F7652">
        <w:rPr>
          <w:rFonts w:ascii="Times New Roman" w:hAnsi="Times New Roman" w:cs="Times New Roman"/>
        </w:rPr>
        <w:t>It was fully accepted that two, otherwise, conflicting powers – Horus and Seth – co-operated to defend the sun god against Apophis, a creature of the underworld that also personified chaos and threatened Re on his nightly journey</w:t>
      </w:r>
      <w:r w:rsidR="007F7652">
        <w:rPr>
          <w:rStyle w:val="FootnoteReference"/>
          <w:rFonts w:ascii="Times New Roman" w:hAnsi="Times New Roman" w:cs="Times New Roman"/>
        </w:rPr>
        <w:footnoteReference w:id="44"/>
      </w:r>
      <w:r w:rsidR="007F7652">
        <w:rPr>
          <w:rFonts w:ascii="Times New Roman" w:hAnsi="Times New Roman" w:cs="Times New Roman"/>
        </w:rPr>
        <w:t xml:space="preserve">. The key point is that this ‘battle’ to maintain order, </w:t>
      </w:r>
      <w:r w:rsidR="00606013">
        <w:rPr>
          <w:rFonts w:ascii="Times New Roman" w:hAnsi="Times New Roman" w:cs="Times New Roman"/>
        </w:rPr>
        <w:t xml:space="preserve">to uphold </w:t>
      </w:r>
      <w:r w:rsidR="007F7652">
        <w:rPr>
          <w:rFonts w:ascii="Times New Roman" w:hAnsi="Times New Roman" w:cs="Times New Roman"/>
        </w:rPr>
        <w:t xml:space="preserve">Maat, was never over and never meant to be.  Order was time and movement – </w:t>
      </w:r>
      <w:proofErr w:type="gramStart"/>
      <w:r w:rsidR="00921027">
        <w:rPr>
          <w:rFonts w:ascii="Times New Roman" w:hAnsi="Times New Roman" w:cs="Times New Roman"/>
        </w:rPr>
        <w:t>e.g.</w:t>
      </w:r>
      <w:proofErr w:type="gramEnd"/>
      <w:r w:rsidR="00921027">
        <w:rPr>
          <w:rFonts w:ascii="Times New Roman" w:hAnsi="Times New Roman" w:cs="Times New Roman"/>
        </w:rPr>
        <w:t xml:space="preserve"> </w:t>
      </w:r>
      <w:r w:rsidR="007F7652">
        <w:rPr>
          <w:rFonts w:ascii="Times New Roman" w:hAnsi="Times New Roman" w:cs="Times New Roman"/>
        </w:rPr>
        <w:t>the star</w:t>
      </w:r>
      <w:r w:rsidR="00606013">
        <w:rPr>
          <w:rFonts w:ascii="Times New Roman" w:hAnsi="Times New Roman" w:cs="Times New Roman"/>
        </w:rPr>
        <w:t>s</w:t>
      </w:r>
      <w:r w:rsidR="007F7652">
        <w:rPr>
          <w:rFonts w:ascii="Times New Roman" w:hAnsi="Times New Roman" w:cs="Times New Roman"/>
        </w:rPr>
        <w:t>, the sun’s progress</w:t>
      </w:r>
      <w:r w:rsidR="00921027">
        <w:rPr>
          <w:rFonts w:ascii="Times New Roman" w:hAnsi="Times New Roman" w:cs="Times New Roman"/>
        </w:rPr>
        <w:t xml:space="preserve"> - </w:t>
      </w:r>
      <w:r w:rsidR="007F7652">
        <w:rPr>
          <w:rFonts w:ascii="Times New Roman" w:hAnsi="Times New Roman" w:cs="Times New Roman"/>
        </w:rPr>
        <w:t xml:space="preserve">and if the </w:t>
      </w:r>
      <w:r w:rsidR="00921027">
        <w:rPr>
          <w:rFonts w:ascii="Times New Roman" w:hAnsi="Times New Roman" w:cs="Times New Roman"/>
        </w:rPr>
        <w:t>forces of disorder were ever to be defeated, the cosmos would come to a stop</w:t>
      </w:r>
      <w:r w:rsidR="00921027">
        <w:rPr>
          <w:rStyle w:val="FootnoteReference"/>
          <w:rFonts w:ascii="Times New Roman" w:hAnsi="Times New Roman" w:cs="Times New Roman"/>
        </w:rPr>
        <w:footnoteReference w:id="45"/>
      </w:r>
      <w:r w:rsidR="00606013">
        <w:rPr>
          <w:rFonts w:ascii="Times New Roman" w:hAnsi="Times New Roman" w:cs="Times New Roman"/>
        </w:rPr>
        <w:t>.</w:t>
      </w:r>
    </w:p>
    <w:p w14:paraId="186F5DA5" w14:textId="77777777" w:rsidR="009A45BF" w:rsidRDefault="009A45BF" w:rsidP="0011338B">
      <w:pPr>
        <w:spacing w:line="480" w:lineRule="auto"/>
        <w:rPr>
          <w:rFonts w:ascii="Times New Roman" w:hAnsi="Times New Roman" w:cs="Times New Roman"/>
        </w:rPr>
      </w:pPr>
    </w:p>
    <w:p w14:paraId="40D9992D" w14:textId="0201C1AB" w:rsidR="00A66853" w:rsidRDefault="00D93068" w:rsidP="0011338B">
      <w:pPr>
        <w:spacing w:line="480" w:lineRule="auto"/>
        <w:rPr>
          <w:rFonts w:ascii="Times New Roman" w:hAnsi="Times New Roman" w:cs="Times New Roman"/>
        </w:rPr>
      </w:pPr>
      <w:r>
        <w:rPr>
          <w:rFonts w:ascii="Times New Roman" w:hAnsi="Times New Roman" w:cs="Times New Roman"/>
        </w:rPr>
        <w:t>The importance of adhering to the principle of Maat was clear to any Egyptian because of the widespread belief that one’s soul (</w:t>
      </w:r>
      <w:r w:rsidR="005C0AB5">
        <w:rPr>
          <w:rFonts w:ascii="Times New Roman" w:hAnsi="Times New Roman" w:cs="Times New Roman"/>
        </w:rPr>
        <w:t xml:space="preserve">the Egyptian word is </w:t>
      </w:r>
      <w:r w:rsidR="005C0AB5">
        <w:rPr>
          <w:rFonts w:ascii="Times New Roman" w:hAnsi="Times New Roman" w:cs="Times New Roman"/>
          <w:i/>
          <w:iCs/>
        </w:rPr>
        <w:t>Ba</w:t>
      </w:r>
      <w:r w:rsidR="005C0AB5">
        <w:rPr>
          <w:rFonts w:ascii="Times New Roman" w:hAnsi="Times New Roman" w:cs="Times New Roman"/>
        </w:rPr>
        <w:t xml:space="preserve"> and again direct translation is difficult) travelled the underworld after death to be judged before joining with Osiris and being transformed into an </w:t>
      </w:r>
      <w:r w:rsidR="005C0AB5" w:rsidRPr="005C0AB5">
        <w:rPr>
          <w:rFonts w:ascii="Times New Roman" w:hAnsi="Times New Roman" w:cs="Times New Roman"/>
          <w:i/>
          <w:iCs/>
        </w:rPr>
        <w:t>akh</w:t>
      </w:r>
      <w:r w:rsidR="005C0AB5">
        <w:rPr>
          <w:rFonts w:ascii="Times New Roman" w:hAnsi="Times New Roman" w:cs="Times New Roman"/>
          <w:i/>
          <w:iCs/>
        </w:rPr>
        <w:t xml:space="preserve"> </w:t>
      </w:r>
      <w:r w:rsidR="005C0AB5">
        <w:rPr>
          <w:rFonts w:ascii="Times New Roman" w:hAnsi="Times New Roman" w:cs="Times New Roman"/>
        </w:rPr>
        <w:t>(an eternal being of light). This would only happen to those with unblemished lives on earth</w:t>
      </w:r>
      <w:r w:rsidR="005C0AB5">
        <w:rPr>
          <w:rStyle w:val="FootnoteReference"/>
          <w:rFonts w:ascii="Times New Roman" w:hAnsi="Times New Roman" w:cs="Times New Roman"/>
        </w:rPr>
        <w:footnoteReference w:id="46"/>
      </w:r>
      <w:r w:rsidR="005C0AB5">
        <w:rPr>
          <w:rFonts w:ascii="Times New Roman" w:hAnsi="Times New Roman" w:cs="Times New Roman"/>
        </w:rPr>
        <w:t xml:space="preserve">. </w:t>
      </w:r>
    </w:p>
    <w:p w14:paraId="47CB53F5" w14:textId="77777777" w:rsidR="00927A58" w:rsidRDefault="00927A58" w:rsidP="0011338B">
      <w:pPr>
        <w:spacing w:line="480" w:lineRule="auto"/>
        <w:rPr>
          <w:rFonts w:ascii="Times New Roman" w:hAnsi="Times New Roman" w:cs="Times New Roman"/>
        </w:rPr>
      </w:pPr>
    </w:p>
    <w:p w14:paraId="1AD88AAD" w14:textId="2069BAB1" w:rsidR="00927A58" w:rsidRDefault="00927A58" w:rsidP="0011338B">
      <w:pPr>
        <w:spacing w:line="480" w:lineRule="auto"/>
        <w:rPr>
          <w:rFonts w:ascii="Times New Roman" w:hAnsi="Times New Roman" w:cs="Times New Roman"/>
        </w:rPr>
      </w:pPr>
      <w:r>
        <w:rPr>
          <w:rFonts w:ascii="Times New Roman" w:hAnsi="Times New Roman" w:cs="Times New Roman"/>
        </w:rPr>
        <w:lastRenderedPageBreak/>
        <w:t xml:space="preserve">From the above summary of the important aspects of the Egyptian view of the universe, how it came to be and how it functioned, it is easy to agree with Campion when he states that their </w:t>
      </w:r>
      <w:r w:rsidR="005E468C">
        <w:rPr>
          <w:rFonts w:ascii="Times New Roman" w:hAnsi="Times New Roman" w:cs="Times New Roman"/>
        </w:rPr>
        <w:t xml:space="preserve">beliefs are ‘best described as </w:t>
      </w:r>
      <w:proofErr w:type="spellStart"/>
      <w:r w:rsidR="005E468C">
        <w:rPr>
          <w:rFonts w:ascii="Times New Roman" w:hAnsi="Times New Roman" w:cs="Times New Roman"/>
        </w:rPr>
        <w:t>cosmotheism</w:t>
      </w:r>
      <w:proofErr w:type="spellEnd"/>
      <w:r w:rsidR="005E468C">
        <w:rPr>
          <w:rFonts w:ascii="Times New Roman" w:hAnsi="Times New Roman" w:cs="Times New Roman"/>
        </w:rPr>
        <w:t>’</w:t>
      </w:r>
      <w:r w:rsidR="005E468C">
        <w:rPr>
          <w:rStyle w:val="FootnoteReference"/>
          <w:rFonts w:ascii="Times New Roman" w:hAnsi="Times New Roman" w:cs="Times New Roman"/>
        </w:rPr>
        <w:footnoteReference w:id="47"/>
      </w:r>
      <w:r w:rsidR="00877536">
        <w:rPr>
          <w:rFonts w:ascii="Times New Roman" w:hAnsi="Times New Roman" w:cs="Times New Roman"/>
        </w:rPr>
        <w:t xml:space="preserve"> by which he means that the object of worship is the cosmos itself.  </w:t>
      </w:r>
      <w:r w:rsidR="00B14B11">
        <w:rPr>
          <w:rFonts w:ascii="Times New Roman" w:hAnsi="Times New Roman" w:cs="Times New Roman"/>
        </w:rPr>
        <w:t>I</w:t>
      </w:r>
      <w:r w:rsidR="00877536">
        <w:rPr>
          <w:rFonts w:ascii="Times New Roman" w:hAnsi="Times New Roman" w:cs="Times New Roman"/>
        </w:rPr>
        <w:t>n the Egyptian polytheistic view of the world, each deity had a place in the overall cosmic order, even if there were differing views of pre-eminence. Thus, it can be argued, as Campion does, that it was the movement of the sun and moon, the procession of the stars and the annual changes in the season that were the ultimate focus of ritual and spiritual activity</w:t>
      </w:r>
      <w:r w:rsidR="006E596F">
        <w:rPr>
          <w:rStyle w:val="FootnoteReference"/>
          <w:rFonts w:ascii="Times New Roman" w:hAnsi="Times New Roman" w:cs="Times New Roman"/>
        </w:rPr>
        <w:footnoteReference w:id="48"/>
      </w:r>
      <w:r w:rsidR="00877536">
        <w:rPr>
          <w:rFonts w:ascii="Times New Roman" w:hAnsi="Times New Roman" w:cs="Times New Roman"/>
        </w:rPr>
        <w:t>.</w:t>
      </w:r>
    </w:p>
    <w:p w14:paraId="181D5056" w14:textId="77777777" w:rsidR="002C6D40" w:rsidRDefault="002C6D40" w:rsidP="002C6D40">
      <w:pPr>
        <w:spacing w:line="480" w:lineRule="auto"/>
        <w:rPr>
          <w:rFonts w:ascii="Times New Roman" w:hAnsi="Times New Roman" w:cs="Times New Roman"/>
        </w:rPr>
      </w:pPr>
    </w:p>
    <w:p w14:paraId="02757666" w14:textId="4A0A1E81" w:rsidR="002C6D40" w:rsidRDefault="002C6D40" w:rsidP="002C6D40">
      <w:pPr>
        <w:spacing w:line="480" w:lineRule="auto"/>
        <w:rPr>
          <w:rFonts w:ascii="Times New Roman" w:hAnsi="Times New Roman" w:cs="Times New Roman"/>
        </w:rPr>
      </w:pPr>
      <w:r>
        <w:rPr>
          <w:rFonts w:ascii="Times New Roman" w:hAnsi="Times New Roman" w:cs="Times New Roman"/>
        </w:rPr>
        <w:t xml:space="preserve">At this point, it is worth sounding a note of caution around attempting a cohesive, single view of Egyptian Cosmology, for a number of reasons. Firstly, this is a civilisation of 3000+ years and over that time </w:t>
      </w:r>
      <w:r w:rsidR="00B14B11">
        <w:rPr>
          <w:rFonts w:ascii="Times New Roman" w:hAnsi="Times New Roman" w:cs="Times New Roman"/>
        </w:rPr>
        <w:t>the</w:t>
      </w:r>
      <w:r>
        <w:rPr>
          <w:rFonts w:ascii="Times New Roman" w:hAnsi="Times New Roman" w:cs="Times New Roman"/>
        </w:rPr>
        <w:t xml:space="preserve"> meanings of concepts evolve and change</w:t>
      </w:r>
      <w:r>
        <w:rPr>
          <w:rStyle w:val="FootnoteReference"/>
          <w:rFonts w:ascii="Times New Roman" w:hAnsi="Times New Roman" w:cs="Times New Roman"/>
        </w:rPr>
        <w:footnoteReference w:id="49"/>
      </w:r>
      <w:r>
        <w:rPr>
          <w:rFonts w:ascii="Times New Roman" w:hAnsi="Times New Roman" w:cs="Times New Roman"/>
        </w:rPr>
        <w:t>. Secondly, as Campion argues, despite the impressive achievement of deciphering, our understanding of hieroglyphs must be ‘necessarily uncertain and provisional’</w:t>
      </w:r>
      <w:r>
        <w:rPr>
          <w:rStyle w:val="FootnoteReference"/>
          <w:rFonts w:ascii="Times New Roman" w:hAnsi="Times New Roman" w:cs="Times New Roman"/>
        </w:rPr>
        <w:footnoteReference w:id="50"/>
      </w:r>
      <w:r>
        <w:rPr>
          <w:rFonts w:ascii="Times New Roman" w:hAnsi="Times New Roman" w:cs="Times New Roman"/>
        </w:rPr>
        <w:t>. This is highlighted by the example of the Pyramid texts</w:t>
      </w:r>
      <w:r w:rsidR="000C11C4">
        <w:rPr>
          <w:rFonts w:ascii="Times New Roman" w:hAnsi="Times New Roman" w:cs="Times New Roman"/>
        </w:rPr>
        <w:t>, in which some translations make perfect sense whereas others appear to be nonsensical</w:t>
      </w:r>
      <w:r w:rsidR="000C11C4">
        <w:rPr>
          <w:rStyle w:val="FootnoteReference"/>
          <w:rFonts w:ascii="Times New Roman" w:hAnsi="Times New Roman" w:cs="Times New Roman"/>
        </w:rPr>
        <w:footnoteReference w:id="51"/>
      </w:r>
      <w:r w:rsidR="000C11C4">
        <w:rPr>
          <w:rFonts w:ascii="Times New Roman" w:hAnsi="Times New Roman" w:cs="Times New Roman"/>
        </w:rPr>
        <w:t>.</w:t>
      </w:r>
    </w:p>
    <w:p w14:paraId="2CD023EF" w14:textId="1336C3EB" w:rsidR="000C11C4" w:rsidRDefault="000C11C4" w:rsidP="002C6D40">
      <w:pPr>
        <w:spacing w:line="480" w:lineRule="auto"/>
        <w:rPr>
          <w:rFonts w:ascii="Times New Roman" w:hAnsi="Times New Roman" w:cs="Times New Roman"/>
        </w:rPr>
      </w:pPr>
      <w:r>
        <w:rPr>
          <w:rFonts w:ascii="Times New Roman" w:hAnsi="Times New Roman" w:cs="Times New Roman"/>
        </w:rPr>
        <w:t xml:space="preserve">Thirdly, the significant </w:t>
      </w:r>
      <w:r w:rsidR="00DE168D">
        <w:rPr>
          <w:rFonts w:ascii="Times New Roman" w:hAnsi="Times New Roman" w:cs="Times New Roman"/>
        </w:rPr>
        <w:t xml:space="preserve">number </w:t>
      </w:r>
      <w:r>
        <w:rPr>
          <w:rFonts w:ascii="Times New Roman" w:hAnsi="Times New Roman" w:cs="Times New Roman"/>
        </w:rPr>
        <w:t xml:space="preserve">of primary sources can and do appear to be contradictory.  The Egyptians showed a reluctance to discard any thought and idea in regard to the cosmos, preferring to attempt to make competing views complementary (as is evident in the different </w:t>
      </w:r>
      <w:proofErr w:type="spellStart"/>
      <w:r>
        <w:rPr>
          <w:rFonts w:ascii="Times New Roman" w:hAnsi="Times New Roman" w:cs="Times New Roman"/>
        </w:rPr>
        <w:t>cosomogen</w:t>
      </w:r>
      <w:r w:rsidR="00DE168D">
        <w:rPr>
          <w:rFonts w:ascii="Times New Roman" w:hAnsi="Times New Roman" w:cs="Times New Roman"/>
        </w:rPr>
        <w:t>ies</w:t>
      </w:r>
      <w:proofErr w:type="spellEnd"/>
      <w:r>
        <w:rPr>
          <w:rFonts w:ascii="Times New Roman" w:hAnsi="Times New Roman" w:cs="Times New Roman"/>
        </w:rPr>
        <w:t>) – this points to it not being possible to establish a single view</w:t>
      </w:r>
      <w:r>
        <w:rPr>
          <w:rStyle w:val="FootnoteReference"/>
          <w:rFonts w:ascii="Times New Roman" w:hAnsi="Times New Roman" w:cs="Times New Roman"/>
        </w:rPr>
        <w:footnoteReference w:id="52"/>
      </w:r>
      <w:r>
        <w:rPr>
          <w:rFonts w:ascii="Times New Roman" w:hAnsi="Times New Roman" w:cs="Times New Roman"/>
        </w:rPr>
        <w:t>.</w:t>
      </w:r>
      <w:r w:rsidR="00DE168D">
        <w:rPr>
          <w:rFonts w:ascii="Times New Roman" w:hAnsi="Times New Roman" w:cs="Times New Roman"/>
        </w:rPr>
        <w:t xml:space="preserve">  Fourthly, as the Isis-Osiris story highlights, the extant texts and imagery almost always offer an </w:t>
      </w:r>
      <w:r w:rsidR="00DE168D">
        <w:rPr>
          <w:rFonts w:ascii="Times New Roman" w:hAnsi="Times New Roman" w:cs="Times New Roman"/>
        </w:rPr>
        <w:lastRenderedPageBreak/>
        <w:t>incomplete picture with a full account only presented very late in the period (and thus no doubt an interpretation in itself influenced by when it is written)</w:t>
      </w:r>
      <w:r w:rsidR="00DE168D">
        <w:rPr>
          <w:rStyle w:val="FootnoteReference"/>
          <w:rFonts w:ascii="Times New Roman" w:hAnsi="Times New Roman" w:cs="Times New Roman"/>
        </w:rPr>
        <w:footnoteReference w:id="53"/>
      </w:r>
      <w:r w:rsidR="00DE168D">
        <w:rPr>
          <w:rFonts w:ascii="Times New Roman" w:hAnsi="Times New Roman" w:cs="Times New Roman"/>
        </w:rPr>
        <w:t>.</w:t>
      </w:r>
    </w:p>
    <w:p w14:paraId="42018EEF" w14:textId="710B31A3" w:rsidR="00D523DF" w:rsidRDefault="00DE168D" w:rsidP="0011338B">
      <w:pPr>
        <w:spacing w:line="480" w:lineRule="auto"/>
        <w:rPr>
          <w:rFonts w:ascii="Times New Roman" w:hAnsi="Times New Roman" w:cs="Times New Roman"/>
        </w:rPr>
      </w:pPr>
      <w:r>
        <w:rPr>
          <w:rFonts w:ascii="Times New Roman" w:hAnsi="Times New Roman" w:cs="Times New Roman"/>
        </w:rPr>
        <w:t xml:space="preserve">Finally, the cosmology and the polytheism of Egypt developed, as Silverman notes, in a country that was a </w:t>
      </w:r>
      <w:r w:rsidR="005B4C13">
        <w:rPr>
          <w:rFonts w:ascii="Times New Roman" w:hAnsi="Times New Roman" w:cs="Times New Roman"/>
        </w:rPr>
        <w:t>‘</w:t>
      </w:r>
      <w:r>
        <w:rPr>
          <w:rFonts w:ascii="Times New Roman" w:hAnsi="Times New Roman" w:cs="Times New Roman"/>
        </w:rPr>
        <w:t xml:space="preserve">composite of </w:t>
      </w:r>
      <w:r w:rsidR="005B4C13">
        <w:rPr>
          <w:rFonts w:ascii="Times New Roman" w:hAnsi="Times New Roman" w:cs="Times New Roman"/>
        </w:rPr>
        <w:t>many local areas, each having its own…traditions and customs’</w:t>
      </w:r>
      <w:r w:rsidR="005B4C13">
        <w:rPr>
          <w:rStyle w:val="FootnoteReference"/>
          <w:rFonts w:ascii="Times New Roman" w:hAnsi="Times New Roman" w:cs="Times New Roman"/>
        </w:rPr>
        <w:footnoteReference w:id="54"/>
      </w:r>
      <w:r w:rsidR="005B4C13">
        <w:rPr>
          <w:rFonts w:ascii="Times New Roman" w:hAnsi="Times New Roman" w:cs="Times New Roman"/>
        </w:rPr>
        <w:t xml:space="preserve">.  These local areas had their own ritual beliefs too, reflected in the fact that the term in the language for ‘local god’, </w:t>
      </w:r>
      <w:proofErr w:type="spellStart"/>
      <w:r w:rsidR="005B4C13">
        <w:rPr>
          <w:rFonts w:ascii="Times New Roman" w:hAnsi="Times New Roman" w:cs="Times New Roman"/>
          <w:i/>
          <w:iCs/>
        </w:rPr>
        <w:t>Njwty</w:t>
      </w:r>
      <w:proofErr w:type="spellEnd"/>
      <w:r w:rsidR="005B4C13">
        <w:rPr>
          <w:rFonts w:ascii="Times New Roman" w:hAnsi="Times New Roman" w:cs="Times New Roman"/>
        </w:rPr>
        <w:t xml:space="preserve">, is derived from </w:t>
      </w:r>
      <w:proofErr w:type="spellStart"/>
      <w:r w:rsidR="00FB5A81">
        <w:rPr>
          <w:rFonts w:ascii="Times New Roman" w:hAnsi="Times New Roman" w:cs="Times New Roman"/>
          <w:i/>
          <w:iCs/>
        </w:rPr>
        <w:t>niwt</w:t>
      </w:r>
      <w:proofErr w:type="spellEnd"/>
      <w:r w:rsidR="00FB5A81">
        <w:rPr>
          <w:rFonts w:ascii="Times New Roman" w:hAnsi="Times New Roman" w:cs="Times New Roman"/>
        </w:rPr>
        <w:t>, the word for ‘city’</w:t>
      </w:r>
      <w:r w:rsidR="00FB5A81">
        <w:rPr>
          <w:rStyle w:val="FootnoteReference"/>
          <w:rFonts w:ascii="Times New Roman" w:hAnsi="Times New Roman" w:cs="Times New Roman"/>
        </w:rPr>
        <w:footnoteReference w:id="55"/>
      </w:r>
      <w:r w:rsidR="00FB5A81">
        <w:rPr>
          <w:rFonts w:ascii="Times New Roman" w:hAnsi="Times New Roman" w:cs="Times New Roman"/>
        </w:rPr>
        <w:t>.  The political unification necessitated the synthesis of many local cosmologies.</w:t>
      </w:r>
    </w:p>
    <w:p w14:paraId="15E54DD5" w14:textId="77777777" w:rsidR="002719F6" w:rsidRDefault="002719F6" w:rsidP="001B392C">
      <w:pPr>
        <w:spacing w:line="480" w:lineRule="auto"/>
        <w:rPr>
          <w:rFonts w:ascii="Times New Roman" w:hAnsi="Times New Roman" w:cs="Times New Roman"/>
        </w:rPr>
      </w:pPr>
    </w:p>
    <w:p w14:paraId="0A2325D4" w14:textId="610D419A" w:rsidR="006257F7" w:rsidRDefault="006257F7" w:rsidP="001B392C">
      <w:pPr>
        <w:spacing w:line="480" w:lineRule="auto"/>
        <w:rPr>
          <w:rFonts w:ascii="Times New Roman" w:hAnsi="Times New Roman" w:cs="Times New Roman"/>
        </w:rPr>
      </w:pPr>
      <w:r>
        <w:rPr>
          <w:rFonts w:ascii="Times New Roman" w:hAnsi="Times New Roman" w:cs="Times New Roman"/>
        </w:rPr>
        <w:t>Divination</w:t>
      </w:r>
    </w:p>
    <w:p w14:paraId="549A8C82" w14:textId="77777777" w:rsidR="005F0B41" w:rsidRDefault="005F0B41" w:rsidP="001B392C">
      <w:pPr>
        <w:spacing w:line="480" w:lineRule="auto"/>
        <w:rPr>
          <w:rFonts w:ascii="Times New Roman" w:hAnsi="Times New Roman" w:cs="Times New Roman"/>
        </w:rPr>
      </w:pPr>
    </w:p>
    <w:p w14:paraId="2D5A1470" w14:textId="6A3709D9" w:rsidR="00561529" w:rsidRDefault="002719F6" w:rsidP="001B392C">
      <w:pPr>
        <w:spacing w:line="480" w:lineRule="auto"/>
        <w:rPr>
          <w:rFonts w:ascii="Times New Roman" w:hAnsi="Times New Roman" w:cs="Times New Roman"/>
        </w:rPr>
      </w:pPr>
      <w:r>
        <w:rPr>
          <w:rFonts w:ascii="Times New Roman" w:hAnsi="Times New Roman" w:cs="Times New Roman"/>
        </w:rPr>
        <w:t xml:space="preserve">It </w:t>
      </w:r>
      <w:r w:rsidR="00BF6A9D">
        <w:rPr>
          <w:rFonts w:ascii="Times New Roman" w:hAnsi="Times New Roman" w:cs="Times New Roman"/>
        </w:rPr>
        <w:t>was</w:t>
      </w:r>
      <w:r>
        <w:rPr>
          <w:rFonts w:ascii="Times New Roman" w:hAnsi="Times New Roman" w:cs="Times New Roman"/>
        </w:rPr>
        <w:t xml:space="preserve"> no wonder, given a view of the world imbued with the divine, and the notion of the constant interplay between order and chaos, that the Egyptians were interested in knowing the will and purpose of the divine</w:t>
      </w:r>
      <w:r>
        <w:rPr>
          <w:rStyle w:val="FootnoteReference"/>
          <w:rFonts w:ascii="Times New Roman" w:hAnsi="Times New Roman" w:cs="Times New Roman"/>
        </w:rPr>
        <w:footnoteReference w:id="56"/>
      </w:r>
      <w:r>
        <w:rPr>
          <w:rFonts w:ascii="Times New Roman" w:hAnsi="Times New Roman" w:cs="Times New Roman"/>
        </w:rPr>
        <w:t xml:space="preserve">. Divination </w:t>
      </w:r>
      <w:r w:rsidR="00BF6A9D">
        <w:rPr>
          <w:rFonts w:ascii="Times New Roman" w:hAnsi="Times New Roman" w:cs="Times New Roman"/>
        </w:rPr>
        <w:t>was a way to access the Gods, in order to: discover the cause or significance of an event; understand the present by uncovering the past; or inquire about the future</w:t>
      </w:r>
      <w:r w:rsidR="00BF6A9D">
        <w:rPr>
          <w:rStyle w:val="FootnoteReference"/>
          <w:rFonts w:ascii="Times New Roman" w:hAnsi="Times New Roman" w:cs="Times New Roman"/>
        </w:rPr>
        <w:footnoteReference w:id="57"/>
      </w:r>
      <w:r w:rsidR="00BF6A9D">
        <w:rPr>
          <w:rFonts w:ascii="Times New Roman" w:hAnsi="Times New Roman" w:cs="Times New Roman"/>
        </w:rPr>
        <w:t xml:space="preserve">. It is not to be confused with magic, or </w:t>
      </w:r>
      <w:proofErr w:type="spellStart"/>
      <w:r w:rsidR="00BF6A9D">
        <w:rPr>
          <w:rFonts w:ascii="Times New Roman" w:hAnsi="Times New Roman" w:cs="Times New Roman"/>
          <w:i/>
          <w:iCs/>
        </w:rPr>
        <w:t>heka</w:t>
      </w:r>
      <w:proofErr w:type="spellEnd"/>
      <w:r w:rsidR="00BF6A9D">
        <w:rPr>
          <w:rFonts w:ascii="Times New Roman" w:hAnsi="Times New Roman" w:cs="Times New Roman"/>
        </w:rPr>
        <w:t xml:space="preserve"> as it was normally called in Egypt.  Magic and magical practices were widespread in Egypt and </w:t>
      </w:r>
      <w:r w:rsidR="00A92C8A">
        <w:rPr>
          <w:rFonts w:ascii="Times New Roman" w:hAnsi="Times New Roman" w:cs="Times New Roman"/>
        </w:rPr>
        <w:t>signif</w:t>
      </w:r>
      <w:r w:rsidR="00606013">
        <w:rPr>
          <w:rFonts w:ascii="Times New Roman" w:hAnsi="Times New Roman" w:cs="Times New Roman"/>
        </w:rPr>
        <w:t>ied</w:t>
      </w:r>
      <w:r w:rsidR="00A92C8A">
        <w:rPr>
          <w:rFonts w:ascii="Times New Roman" w:hAnsi="Times New Roman" w:cs="Times New Roman"/>
        </w:rPr>
        <w:t xml:space="preserve"> a </w:t>
      </w:r>
      <w:proofErr w:type="gramStart"/>
      <w:r w:rsidR="00A92C8A">
        <w:rPr>
          <w:rFonts w:ascii="Times New Roman" w:hAnsi="Times New Roman" w:cs="Times New Roman"/>
        </w:rPr>
        <w:t>widely-held</w:t>
      </w:r>
      <w:proofErr w:type="gramEnd"/>
      <w:r w:rsidR="00A92C8A">
        <w:rPr>
          <w:rFonts w:ascii="Times New Roman" w:hAnsi="Times New Roman" w:cs="Times New Roman"/>
        </w:rPr>
        <w:t xml:space="preserve"> belief that one’s reality could be shaped and influenced by speaking the appropriate words and performing the right actions</w:t>
      </w:r>
      <w:r w:rsidR="00A92C8A">
        <w:rPr>
          <w:rStyle w:val="FootnoteReference"/>
          <w:rFonts w:ascii="Times New Roman" w:hAnsi="Times New Roman" w:cs="Times New Roman"/>
        </w:rPr>
        <w:footnoteReference w:id="58"/>
      </w:r>
      <w:r w:rsidR="00A92C8A">
        <w:rPr>
          <w:rFonts w:ascii="Times New Roman" w:hAnsi="Times New Roman" w:cs="Times New Roman"/>
        </w:rPr>
        <w:t>.  It was intimately related and entwined with ritual practice and medicine, and many sought treatments for ailments via magical as well as ‘conventional’ means</w:t>
      </w:r>
      <w:r w:rsidR="00A92C8A">
        <w:rPr>
          <w:rStyle w:val="FootnoteReference"/>
          <w:rFonts w:ascii="Times New Roman" w:hAnsi="Times New Roman" w:cs="Times New Roman"/>
        </w:rPr>
        <w:footnoteReference w:id="59"/>
      </w:r>
      <w:r w:rsidR="008E72B2">
        <w:rPr>
          <w:rFonts w:ascii="Times New Roman" w:hAnsi="Times New Roman" w:cs="Times New Roman"/>
        </w:rPr>
        <w:t xml:space="preserve">.  The creation and wearing of amulets for apotropaic reasons, </w:t>
      </w:r>
      <w:r w:rsidR="008E72B2">
        <w:rPr>
          <w:rFonts w:ascii="Times New Roman" w:hAnsi="Times New Roman" w:cs="Times New Roman"/>
        </w:rPr>
        <w:lastRenderedPageBreak/>
        <w:t>for example the scarab beetle, was also an extremely common experience, at all levels of society</w:t>
      </w:r>
      <w:r w:rsidR="008E72B2">
        <w:rPr>
          <w:rStyle w:val="FootnoteReference"/>
          <w:rFonts w:ascii="Times New Roman" w:hAnsi="Times New Roman" w:cs="Times New Roman"/>
        </w:rPr>
        <w:footnoteReference w:id="60"/>
      </w:r>
      <w:r w:rsidR="008E72B2">
        <w:rPr>
          <w:rFonts w:ascii="Times New Roman" w:hAnsi="Times New Roman" w:cs="Times New Roman"/>
        </w:rPr>
        <w:t xml:space="preserve">.  </w:t>
      </w:r>
    </w:p>
    <w:p w14:paraId="759307AC" w14:textId="77777777" w:rsidR="002D4945" w:rsidRDefault="002D4945" w:rsidP="001B392C">
      <w:pPr>
        <w:spacing w:line="480" w:lineRule="auto"/>
        <w:rPr>
          <w:rFonts w:ascii="Times New Roman" w:hAnsi="Times New Roman" w:cs="Times New Roman"/>
        </w:rPr>
      </w:pPr>
    </w:p>
    <w:p w14:paraId="2980FD8E" w14:textId="52AD2FA6" w:rsidR="00606013" w:rsidRDefault="008E72B2" w:rsidP="001B392C">
      <w:pPr>
        <w:spacing w:line="480" w:lineRule="auto"/>
        <w:rPr>
          <w:rFonts w:ascii="Times New Roman" w:hAnsi="Times New Roman" w:cs="Times New Roman"/>
        </w:rPr>
      </w:pPr>
      <w:r>
        <w:rPr>
          <w:rFonts w:ascii="Times New Roman" w:hAnsi="Times New Roman" w:cs="Times New Roman"/>
        </w:rPr>
        <w:t>Baines makes clear</w:t>
      </w:r>
      <w:r w:rsidR="002D4945">
        <w:rPr>
          <w:rFonts w:ascii="Times New Roman" w:hAnsi="Times New Roman" w:cs="Times New Roman"/>
        </w:rPr>
        <w:t xml:space="preserve"> -</w:t>
      </w:r>
      <w:r>
        <w:rPr>
          <w:rFonts w:ascii="Times New Roman" w:hAnsi="Times New Roman" w:cs="Times New Roman"/>
        </w:rPr>
        <w:t xml:space="preserve"> </w:t>
      </w:r>
      <w:r w:rsidR="001713D6">
        <w:rPr>
          <w:rFonts w:ascii="Times New Roman" w:hAnsi="Times New Roman" w:cs="Times New Roman"/>
        </w:rPr>
        <w:t>magic ‘was a beneficial force, although it could be perverted for anti-social ends’</w:t>
      </w:r>
      <w:r w:rsidR="001713D6">
        <w:rPr>
          <w:rStyle w:val="FootnoteReference"/>
          <w:rFonts w:ascii="Times New Roman" w:hAnsi="Times New Roman" w:cs="Times New Roman"/>
        </w:rPr>
        <w:footnoteReference w:id="61"/>
      </w:r>
      <w:r w:rsidR="001713D6">
        <w:rPr>
          <w:rFonts w:ascii="Times New Roman" w:hAnsi="Times New Roman" w:cs="Times New Roman"/>
        </w:rPr>
        <w:t xml:space="preserve">.  It could be used to deal with social and personal problems but because magic was embedded in the view of the cosmos, that meant that it could be exploited by the practitioner.  They could threaten to destabilize the order if the result they wanted from a spell ritual did not come forth.  In propounding such an action, </w:t>
      </w:r>
      <w:r w:rsidR="00561529">
        <w:rPr>
          <w:rFonts w:ascii="Times New Roman" w:hAnsi="Times New Roman" w:cs="Times New Roman"/>
        </w:rPr>
        <w:t>they were declaring that they were standing in the stead of a major deity (Heka itself being represented by a deity)</w:t>
      </w:r>
      <w:r w:rsidR="00561529">
        <w:rPr>
          <w:rStyle w:val="FootnoteReference"/>
          <w:rFonts w:ascii="Times New Roman" w:hAnsi="Times New Roman" w:cs="Times New Roman"/>
        </w:rPr>
        <w:footnoteReference w:id="62"/>
      </w:r>
      <w:r w:rsidR="00561529">
        <w:rPr>
          <w:rFonts w:ascii="Times New Roman" w:hAnsi="Times New Roman" w:cs="Times New Roman"/>
        </w:rPr>
        <w:t xml:space="preserve">.  This illuminates the difference between magic and divination.  In magic, the adept was able to use aspects of the divine cosmos to affect a change, whereas in divination the process was one of communicating with or becoming the vessel of the Gods in order to reveal what was hidden. Whilst magical practices sought to correct disorders, the response to a disturbance, a problem or a question would have the best chance of succeeding if the </w:t>
      </w:r>
      <w:r w:rsidR="00D47A17">
        <w:rPr>
          <w:rFonts w:ascii="Times New Roman" w:hAnsi="Times New Roman" w:cs="Times New Roman"/>
        </w:rPr>
        <w:t>cause or reason could be uncovered.  To do this required divination</w:t>
      </w:r>
      <w:r w:rsidR="00D47A17">
        <w:rPr>
          <w:rStyle w:val="FootnoteReference"/>
          <w:rFonts w:ascii="Times New Roman" w:hAnsi="Times New Roman" w:cs="Times New Roman"/>
        </w:rPr>
        <w:footnoteReference w:id="63"/>
      </w:r>
      <w:r w:rsidR="003D3A13">
        <w:rPr>
          <w:rFonts w:ascii="Times New Roman" w:hAnsi="Times New Roman" w:cs="Times New Roman"/>
        </w:rPr>
        <w:t xml:space="preserve">.  </w:t>
      </w:r>
      <w:r w:rsidR="002D4945">
        <w:rPr>
          <w:rFonts w:ascii="Times New Roman" w:hAnsi="Times New Roman" w:cs="Times New Roman"/>
        </w:rPr>
        <w:t>All this</w:t>
      </w:r>
      <w:r w:rsidR="003D3A13">
        <w:rPr>
          <w:rFonts w:ascii="Times New Roman" w:hAnsi="Times New Roman" w:cs="Times New Roman"/>
        </w:rPr>
        <w:t xml:space="preserve"> shows that the Egyptians believed that through the rituals of magic and divination they could </w:t>
      </w:r>
      <w:r w:rsidR="000F6CD1">
        <w:rPr>
          <w:rFonts w:ascii="Times New Roman" w:hAnsi="Times New Roman" w:cs="Times New Roman"/>
        </w:rPr>
        <w:t>change their present and future.</w:t>
      </w:r>
    </w:p>
    <w:p w14:paraId="180EF096" w14:textId="73DDE28B" w:rsidR="00606013" w:rsidRDefault="00606013" w:rsidP="00606013">
      <w:pPr>
        <w:spacing w:before="240" w:line="480" w:lineRule="auto"/>
        <w:rPr>
          <w:rFonts w:ascii="Times New Roman" w:hAnsi="Times New Roman" w:cs="Times New Roman"/>
        </w:rPr>
      </w:pPr>
      <w:r>
        <w:rPr>
          <w:rFonts w:ascii="Times New Roman" w:hAnsi="Times New Roman" w:cs="Times New Roman"/>
        </w:rPr>
        <w:t xml:space="preserve">However, there was no word for divination in the hieroglyphic language unlike in the other later cultures of Greece – </w:t>
      </w:r>
      <w:proofErr w:type="spellStart"/>
      <w:r>
        <w:rPr>
          <w:rFonts w:ascii="Times New Roman" w:hAnsi="Times New Roman" w:cs="Times New Roman"/>
          <w:i/>
          <w:iCs/>
        </w:rPr>
        <w:t>mantike</w:t>
      </w:r>
      <w:proofErr w:type="spellEnd"/>
      <w:r>
        <w:rPr>
          <w:rFonts w:ascii="Times New Roman" w:hAnsi="Times New Roman" w:cs="Times New Roman"/>
        </w:rPr>
        <w:t xml:space="preserve"> – or Rome </w:t>
      </w:r>
      <w:r>
        <w:rPr>
          <w:rFonts w:ascii="Times New Roman" w:hAnsi="Times New Roman" w:cs="Times New Roman"/>
        </w:rPr>
        <w:softHyphen/>
      </w:r>
      <w:r>
        <w:rPr>
          <w:rFonts w:ascii="Times New Roman" w:hAnsi="Times New Roman" w:cs="Times New Roman"/>
        </w:rPr>
        <w:softHyphen/>
        <w:t xml:space="preserve">– </w:t>
      </w:r>
      <w:proofErr w:type="spellStart"/>
      <w:r>
        <w:rPr>
          <w:rFonts w:ascii="Times New Roman" w:hAnsi="Times New Roman" w:cs="Times New Roman"/>
          <w:i/>
          <w:iCs/>
        </w:rPr>
        <w:t>divinatio</w:t>
      </w:r>
      <w:proofErr w:type="spellEnd"/>
      <w:r>
        <w:rPr>
          <w:rFonts w:ascii="Times New Roman" w:hAnsi="Times New Roman" w:cs="Times New Roman"/>
        </w:rPr>
        <w:t xml:space="preserve">. The </w:t>
      </w:r>
      <w:r w:rsidR="00F0673C">
        <w:rPr>
          <w:rFonts w:ascii="Times New Roman" w:hAnsi="Times New Roman" w:cs="Times New Roman"/>
        </w:rPr>
        <w:t xml:space="preserve">word the Egyptians used is </w:t>
      </w:r>
      <w:r w:rsidR="00F0673C">
        <w:rPr>
          <w:rFonts w:ascii="Times New Roman" w:hAnsi="Times New Roman" w:cs="Times New Roman"/>
          <w:i/>
          <w:iCs/>
        </w:rPr>
        <w:t>bi</w:t>
      </w:r>
      <w:r w:rsidR="009E4572">
        <w:rPr>
          <w:rFonts w:ascii="Times New Roman" w:hAnsi="Times New Roman" w:cs="Times New Roman"/>
          <w:i/>
          <w:iCs/>
        </w:rPr>
        <w:t>a</w:t>
      </w:r>
      <w:r w:rsidR="00F0673C">
        <w:rPr>
          <w:rFonts w:ascii="Times New Roman" w:hAnsi="Times New Roman" w:cs="Times New Roman"/>
          <w:i/>
          <w:iCs/>
        </w:rPr>
        <w:t xml:space="preserve">y.t </w:t>
      </w:r>
      <w:r w:rsidR="00F0673C">
        <w:rPr>
          <w:rFonts w:ascii="Times New Roman" w:hAnsi="Times New Roman" w:cs="Times New Roman"/>
        </w:rPr>
        <w:t>which has been translated as ‘wonder’ and which seems to have been used to apply to oracles</w:t>
      </w:r>
      <w:r w:rsidR="00F0673C">
        <w:rPr>
          <w:rStyle w:val="FootnoteReference"/>
          <w:rFonts w:ascii="Times New Roman" w:hAnsi="Times New Roman" w:cs="Times New Roman"/>
        </w:rPr>
        <w:footnoteReference w:id="64"/>
      </w:r>
      <w:r w:rsidR="0066673F">
        <w:rPr>
          <w:rFonts w:ascii="Times New Roman" w:hAnsi="Times New Roman" w:cs="Times New Roman"/>
        </w:rPr>
        <w:t>.</w:t>
      </w:r>
      <w:r w:rsidR="003D3A13">
        <w:rPr>
          <w:rFonts w:ascii="Times New Roman" w:hAnsi="Times New Roman" w:cs="Times New Roman"/>
        </w:rPr>
        <w:t xml:space="preserve">  </w:t>
      </w:r>
    </w:p>
    <w:p w14:paraId="2AC7F18C" w14:textId="77777777" w:rsidR="00A9671B" w:rsidRDefault="00A9671B" w:rsidP="00A9671B">
      <w:pPr>
        <w:spacing w:line="480" w:lineRule="auto"/>
        <w:rPr>
          <w:rFonts w:ascii="Times New Roman" w:hAnsi="Times New Roman" w:cs="Times New Roman"/>
        </w:rPr>
      </w:pPr>
    </w:p>
    <w:p w14:paraId="06926997" w14:textId="64526C25" w:rsidR="00A9671B" w:rsidRPr="00A9671B" w:rsidRDefault="005F5A18" w:rsidP="00A9671B">
      <w:pPr>
        <w:spacing w:line="480" w:lineRule="auto"/>
        <w:rPr>
          <w:rFonts w:ascii="Times New Roman" w:hAnsi="Times New Roman" w:cs="Times New Roman"/>
        </w:rPr>
      </w:pPr>
      <w:r>
        <w:rPr>
          <w:rFonts w:ascii="Times New Roman" w:hAnsi="Times New Roman" w:cs="Times New Roman"/>
        </w:rPr>
        <w:lastRenderedPageBreak/>
        <w:t xml:space="preserve">Divination can be categorised in a number of ways.  The sort </w:t>
      </w:r>
      <w:r w:rsidR="00A9671B">
        <w:rPr>
          <w:rFonts w:ascii="Times New Roman" w:hAnsi="Times New Roman" w:cs="Times New Roman"/>
        </w:rPr>
        <w:t xml:space="preserve">that is </w:t>
      </w:r>
      <w:r>
        <w:rPr>
          <w:rFonts w:ascii="Times New Roman" w:hAnsi="Times New Roman" w:cs="Times New Roman"/>
        </w:rPr>
        <w:t xml:space="preserve">initiated by the divine and </w:t>
      </w:r>
      <w:r w:rsidR="00A9671B">
        <w:rPr>
          <w:rFonts w:ascii="Times New Roman" w:hAnsi="Times New Roman" w:cs="Times New Roman"/>
        </w:rPr>
        <w:t xml:space="preserve">occurs </w:t>
      </w:r>
      <w:r>
        <w:rPr>
          <w:rFonts w:ascii="Times New Roman" w:hAnsi="Times New Roman" w:cs="Times New Roman"/>
        </w:rPr>
        <w:t xml:space="preserve">through direct contact with them is called </w:t>
      </w:r>
      <w:r w:rsidRPr="005F5A18">
        <w:rPr>
          <w:rFonts w:ascii="Times New Roman" w:hAnsi="Times New Roman" w:cs="Times New Roman"/>
          <w:i/>
          <w:iCs/>
        </w:rPr>
        <w:t>Natural</w:t>
      </w:r>
      <w:r>
        <w:rPr>
          <w:rFonts w:ascii="Times New Roman" w:hAnsi="Times New Roman" w:cs="Times New Roman"/>
        </w:rPr>
        <w:t xml:space="preserve"> (or Inspired or Intuitive). For example, dreams, visions and prophecies would be part of this category. </w:t>
      </w:r>
      <w:r>
        <w:rPr>
          <w:rFonts w:ascii="Times New Roman" w:hAnsi="Times New Roman" w:cs="Times New Roman"/>
          <w:i/>
          <w:iCs/>
        </w:rPr>
        <w:t xml:space="preserve">Artificial </w:t>
      </w:r>
      <w:r>
        <w:rPr>
          <w:rFonts w:ascii="Times New Roman" w:hAnsi="Times New Roman" w:cs="Times New Roman"/>
        </w:rPr>
        <w:t xml:space="preserve">(or Inductive) </w:t>
      </w:r>
      <w:r w:rsidR="00A9671B">
        <w:rPr>
          <w:rFonts w:ascii="Times New Roman" w:hAnsi="Times New Roman" w:cs="Times New Roman"/>
        </w:rPr>
        <w:t xml:space="preserve">requires </w:t>
      </w:r>
      <w:r w:rsidR="00A9671B" w:rsidRPr="00A9671B">
        <w:rPr>
          <w:rFonts w:ascii="Times New Roman" w:hAnsi="Times New Roman" w:cs="Times New Roman"/>
        </w:rPr>
        <w:t>a determinative procedur</w:t>
      </w:r>
      <w:r w:rsidR="00A9671B">
        <w:rPr>
          <w:rFonts w:ascii="Times New Roman" w:hAnsi="Times New Roman" w:cs="Times New Roman"/>
        </w:rPr>
        <w:t xml:space="preserve">e, the diviner acts deliberately to </w:t>
      </w:r>
      <w:r w:rsidR="00A9671B" w:rsidRPr="00A9671B">
        <w:rPr>
          <w:rFonts w:ascii="Times New Roman" w:hAnsi="Times New Roman" w:cs="Times New Roman"/>
        </w:rPr>
        <w:t>yield unambiguous decisions or predictions</w:t>
      </w:r>
      <w:r w:rsidR="00A9671B">
        <w:rPr>
          <w:rFonts w:ascii="Times New Roman" w:hAnsi="Times New Roman" w:cs="Times New Roman"/>
        </w:rPr>
        <w:t xml:space="preserve"> to questions</w:t>
      </w:r>
      <w:r w:rsidR="00A9671B">
        <w:rPr>
          <w:rStyle w:val="FootnoteReference"/>
          <w:rFonts w:ascii="Times New Roman" w:hAnsi="Times New Roman" w:cs="Times New Roman"/>
        </w:rPr>
        <w:footnoteReference w:id="65"/>
      </w:r>
      <w:r w:rsidR="00A9671B">
        <w:rPr>
          <w:rFonts w:ascii="Times New Roman" w:hAnsi="Times New Roman" w:cs="Times New Roman"/>
        </w:rPr>
        <w:t>. Another way to classify divination which has been identified especially in relation to Mesopotamia</w:t>
      </w:r>
      <w:r w:rsidR="003D3A13">
        <w:rPr>
          <w:rFonts w:ascii="Times New Roman" w:hAnsi="Times New Roman" w:cs="Times New Roman"/>
        </w:rPr>
        <w:t>n culture</w:t>
      </w:r>
      <w:r w:rsidR="00A9671B">
        <w:rPr>
          <w:rFonts w:ascii="Times New Roman" w:hAnsi="Times New Roman" w:cs="Times New Roman"/>
        </w:rPr>
        <w:t xml:space="preserve">, is to divide it into </w:t>
      </w:r>
      <w:r w:rsidR="00A9671B">
        <w:rPr>
          <w:rFonts w:ascii="Times New Roman" w:hAnsi="Times New Roman" w:cs="Times New Roman"/>
          <w:i/>
          <w:iCs/>
        </w:rPr>
        <w:t>Provoked</w:t>
      </w:r>
      <w:r w:rsidR="00A9671B">
        <w:rPr>
          <w:rFonts w:ascii="Times New Roman" w:hAnsi="Times New Roman" w:cs="Times New Roman"/>
        </w:rPr>
        <w:t xml:space="preserve"> and </w:t>
      </w:r>
      <w:r w:rsidR="00A9671B">
        <w:rPr>
          <w:rFonts w:ascii="Times New Roman" w:hAnsi="Times New Roman" w:cs="Times New Roman"/>
          <w:i/>
          <w:iCs/>
        </w:rPr>
        <w:t>Unprovoked</w:t>
      </w:r>
      <w:r w:rsidR="00A9671B">
        <w:rPr>
          <w:rFonts w:ascii="Times New Roman" w:hAnsi="Times New Roman" w:cs="Times New Roman"/>
        </w:rPr>
        <w:t xml:space="preserve">. </w:t>
      </w:r>
      <w:r w:rsidR="003D3A13">
        <w:rPr>
          <w:rFonts w:ascii="Times New Roman" w:hAnsi="Times New Roman" w:cs="Times New Roman"/>
        </w:rPr>
        <w:t>Provoked involved action by the diviner whereas unprovoked involved the reading and interpreting of cosmic signs</w:t>
      </w:r>
      <w:r w:rsidR="003D3A13">
        <w:rPr>
          <w:rStyle w:val="FootnoteReference"/>
          <w:rFonts w:ascii="Times New Roman" w:hAnsi="Times New Roman" w:cs="Times New Roman"/>
        </w:rPr>
        <w:footnoteReference w:id="66"/>
      </w:r>
      <w:r w:rsidR="003D3A13">
        <w:rPr>
          <w:rFonts w:ascii="Times New Roman" w:hAnsi="Times New Roman" w:cs="Times New Roman"/>
        </w:rPr>
        <w:t>.</w:t>
      </w:r>
    </w:p>
    <w:p w14:paraId="03FC7793" w14:textId="6B7EC7F8" w:rsidR="0066673F" w:rsidRDefault="00A9671B" w:rsidP="00606013">
      <w:pPr>
        <w:spacing w:before="240" w:line="480" w:lineRule="auto"/>
        <w:rPr>
          <w:rFonts w:ascii="Times New Roman" w:hAnsi="Times New Roman" w:cs="Times New Roman"/>
        </w:rPr>
      </w:pPr>
      <w:r>
        <w:rPr>
          <w:rFonts w:ascii="Times New Roman" w:hAnsi="Times New Roman" w:cs="Times New Roman"/>
        </w:rPr>
        <w:t>D</w:t>
      </w:r>
      <w:r w:rsidR="0066673F">
        <w:rPr>
          <w:rFonts w:ascii="Times New Roman" w:hAnsi="Times New Roman" w:cs="Times New Roman"/>
        </w:rPr>
        <w:t xml:space="preserve">ifferent types of divination that were practised in Egypt in the period </w:t>
      </w:r>
      <w:r w:rsidR="0066094F">
        <w:rPr>
          <w:rFonts w:ascii="Times New Roman" w:hAnsi="Times New Roman" w:cs="Times New Roman"/>
        </w:rPr>
        <w:t>were: Oracles; Dreams (and incubation</w:t>
      </w:r>
      <w:proofErr w:type="gramStart"/>
      <w:r w:rsidR="0066094F">
        <w:rPr>
          <w:rFonts w:ascii="Times New Roman" w:hAnsi="Times New Roman" w:cs="Times New Roman"/>
        </w:rPr>
        <w:t>);</w:t>
      </w:r>
      <w:r w:rsidR="0066673F" w:rsidRPr="0066094F">
        <w:rPr>
          <w:rFonts w:ascii="Times New Roman" w:hAnsi="Times New Roman" w:cs="Times New Roman"/>
        </w:rPr>
        <w:t>‘</w:t>
      </w:r>
      <w:proofErr w:type="gramEnd"/>
      <w:r w:rsidR="0066673F" w:rsidRPr="0066094F">
        <w:rPr>
          <w:rFonts w:ascii="Times New Roman" w:hAnsi="Times New Roman" w:cs="Times New Roman"/>
        </w:rPr>
        <w:t>celestial divination’ – the attempt to divine the purpose of the Gods from movements of the stars and celestial bodies</w:t>
      </w:r>
      <w:r w:rsidR="0066673F" w:rsidRPr="0066094F">
        <w:rPr>
          <w:rStyle w:val="FootnoteReference"/>
          <w:rFonts w:ascii="Times New Roman" w:hAnsi="Times New Roman" w:cs="Times New Roman"/>
        </w:rPr>
        <w:footnoteReference w:id="67"/>
      </w:r>
      <w:r w:rsidR="0066094F">
        <w:rPr>
          <w:rFonts w:ascii="Times New Roman" w:hAnsi="Times New Roman" w:cs="Times New Roman"/>
        </w:rPr>
        <w:t>; and related to the third, ‘divining the right time to act, understanding which days were lucky and unlucky</w:t>
      </w:r>
      <w:r w:rsidR="0066094F">
        <w:rPr>
          <w:rStyle w:val="FootnoteReference"/>
          <w:rFonts w:ascii="Times New Roman" w:hAnsi="Times New Roman" w:cs="Times New Roman"/>
        </w:rPr>
        <w:footnoteReference w:id="68"/>
      </w:r>
      <w:r w:rsidR="0066094F">
        <w:rPr>
          <w:rFonts w:ascii="Times New Roman" w:hAnsi="Times New Roman" w:cs="Times New Roman"/>
        </w:rPr>
        <w:t>.</w:t>
      </w:r>
      <w:r w:rsidR="0066673F">
        <w:rPr>
          <w:rFonts w:ascii="Times New Roman" w:hAnsi="Times New Roman" w:cs="Times New Roman"/>
        </w:rPr>
        <w:t xml:space="preserve"> </w:t>
      </w:r>
      <w:r w:rsidR="008A1DC6">
        <w:rPr>
          <w:rFonts w:ascii="Times New Roman" w:hAnsi="Times New Roman" w:cs="Times New Roman"/>
        </w:rPr>
        <w:t xml:space="preserve">Owing to lack of space, only </w:t>
      </w:r>
      <w:r w:rsidR="00A24AF2">
        <w:rPr>
          <w:rFonts w:ascii="Times New Roman" w:hAnsi="Times New Roman" w:cs="Times New Roman"/>
        </w:rPr>
        <w:t>Oracles and dreams</w:t>
      </w:r>
      <w:r w:rsidR="00252F44">
        <w:rPr>
          <w:rFonts w:ascii="Times New Roman" w:hAnsi="Times New Roman" w:cs="Times New Roman"/>
        </w:rPr>
        <w:t xml:space="preserve"> will now be discussed.</w:t>
      </w:r>
    </w:p>
    <w:p w14:paraId="57E9CCFA" w14:textId="75F6158C" w:rsidR="000F6CD1" w:rsidRPr="00FD3C95" w:rsidRDefault="00796EF2" w:rsidP="00606013">
      <w:pPr>
        <w:spacing w:before="240" w:line="480" w:lineRule="auto"/>
        <w:rPr>
          <w:rFonts w:ascii="Times New Roman" w:hAnsi="Times New Roman" w:cs="Times New Roman"/>
        </w:rPr>
      </w:pPr>
      <w:r w:rsidRPr="00FD3C95">
        <w:rPr>
          <w:rFonts w:ascii="Times New Roman" w:hAnsi="Times New Roman" w:cs="Times New Roman"/>
        </w:rPr>
        <w:t>Oracles</w:t>
      </w:r>
    </w:p>
    <w:p w14:paraId="7CA59397" w14:textId="2D4464EF" w:rsidR="00796EF2" w:rsidRDefault="00796EF2" w:rsidP="00606013">
      <w:pPr>
        <w:spacing w:before="240" w:line="480" w:lineRule="auto"/>
        <w:rPr>
          <w:rFonts w:ascii="Times New Roman" w:hAnsi="Times New Roman" w:cs="Times New Roman"/>
        </w:rPr>
      </w:pPr>
      <w:r>
        <w:rPr>
          <w:rFonts w:ascii="Times New Roman" w:hAnsi="Times New Roman" w:cs="Times New Roman"/>
        </w:rPr>
        <w:t>Oracles can be differentiated from magical procedures by considering them to be a request for answers to some practical questions – a request that is put to the deity through the agency of their public image</w:t>
      </w:r>
      <w:r>
        <w:rPr>
          <w:rStyle w:val="FootnoteReference"/>
          <w:rFonts w:ascii="Times New Roman" w:hAnsi="Times New Roman" w:cs="Times New Roman"/>
        </w:rPr>
        <w:footnoteReference w:id="69"/>
      </w:r>
      <w:r w:rsidR="00F434BA">
        <w:rPr>
          <w:rFonts w:ascii="Times New Roman" w:hAnsi="Times New Roman" w:cs="Times New Roman"/>
        </w:rPr>
        <w:t xml:space="preserve">.  As </w:t>
      </w:r>
      <w:proofErr w:type="spellStart"/>
      <w:r w:rsidR="00F434BA">
        <w:rPr>
          <w:rFonts w:ascii="Times New Roman" w:hAnsi="Times New Roman" w:cs="Times New Roman"/>
        </w:rPr>
        <w:t>Assmann</w:t>
      </w:r>
      <w:proofErr w:type="spellEnd"/>
      <w:r w:rsidR="00F434BA">
        <w:rPr>
          <w:rFonts w:ascii="Times New Roman" w:hAnsi="Times New Roman" w:cs="Times New Roman"/>
        </w:rPr>
        <w:t xml:space="preserve"> has </w:t>
      </w:r>
      <w:r w:rsidR="00DB009B">
        <w:rPr>
          <w:rFonts w:ascii="Times New Roman" w:hAnsi="Times New Roman" w:cs="Times New Roman"/>
        </w:rPr>
        <w:t>explained, the Egyptians believed that a particular deity came down from their celestial home – the concept of</w:t>
      </w:r>
      <w:r w:rsidR="00DB009B">
        <w:rPr>
          <w:rFonts w:ascii="Times New Roman" w:hAnsi="Times New Roman" w:cs="Times New Roman"/>
          <w:i/>
          <w:iCs/>
        </w:rPr>
        <w:t xml:space="preserve"> </w:t>
      </w:r>
      <w:proofErr w:type="spellStart"/>
      <w:r w:rsidR="00DB009B">
        <w:rPr>
          <w:rFonts w:ascii="Times New Roman" w:hAnsi="Times New Roman" w:cs="Times New Roman"/>
          <w:i/>
          <w:iCs/>
        </w:rPr>
        <w:t>descensio</w:t>
      </w:r>
      <w:proofErr w:type="spellEnd"/>
      <w:r w:rsidR="00DB009B">
        <w:rPr>
          <w:rFonts w:ascii="Times New Roman" w:hAnsi="Times New Roman" w:cs="Times New Roman"/>
        </w:rPr>
        <w:t xml:space="preserve"> - and dwelt in the cult </w:t>
      </w:r>
      <w:proofErr w:type="spellStart"/>
      <w:r w:rsidR="00DB009B">
        <w:rPr>
          <w:rFonts w:ascii="Times New Roman" w:hAnsi="Times New Roman" w:cs="Times New Roman"/>
        </w:rPr>
        <w:lastRenderedPageBreak/>
        <w:t>statue</w:t>
      </w:r>
      <w:proofErr w:type="spellEnd"/>
      <w:r w:rsidR="00DB009B">
        <w:rPr>
          <w:rFonts w:ascii="Times New Roman" w:hAnsi="Times New Roman" w:cs="Times New Roman"/>
        </w:rPr>
        <w:t xml:space="preserve"> and in the other images that were in their temple, known as the House of the God</w:t>
      </w:r>
      <w:r w:rsidR="00DB009B">
        <w:rPr>
          <w:rStyle w:val="FootnoteReference"/>
          <w:rFonts w:ascii="Times New Roman" w:hAnsi="Times New Roman" w:cs="Times New Roman"/>
        </w:rPr>
        <w:footnoteReference w:id="70"/>
      </w:r>
      <w:r w:rsidR="006404A2">
        <w:rPr>
          <w:rFonts w:ascii="Times New Roman" w:hAnsi="Times New Roman" w:cs="Times New Roman"/>
        </w:rPr>
        <w:t xml:space="preserve">. The Egyptian word used for image is </w:t>
      </w:r>
      <w:proofErr w:type="spellStart"/>
      <w:r w:rsidR="006404A2">
        <w:rPr>
          <w:rFonts w:ascii="Times New Roman" w:hAnsi="Times New Roman" w:cs="Times New Roman"/>
          <w:i/>
          <w:iCs/>
        </w:rPr>
        <w:t>Sekhem</w:t>
      </w:r>
      <w:proofErr w:type="spellEnd"/>
      <w:r w:rsidR="006404A2">
        <w:rPr>
          <w:rFonts w:ascii="Times New Roman" w:hAnsi="Times New Roman" w:cs="Times New Roman"/>
          <w:i/>
          <w:iCs/>
        </w:rPr>
        <w:t>,</w:t>
      </w:r>
      <w:r w:rsidR="006404A2">
        <w:rPr>
          <w:rFonts w:ascii="Times New Roman" w:hAnsi="Times New Roman" w:cs="Times New Roman"/>
        </w:rPr>
        <w:t xml:space="preserve"> which literally means ‘power’, and</w:t>
      </w:r>
      <w:r w:rsidR="007A6243">
        <w:rPr>
          <w:rFonts w:ascii="Times New Roman" w:hAnsi="Times New Roman" w:cs="Times New Roman"/>
        </w:rPr>
        <w:t xml:space="preserve">, </w:t>
      </w:r>
      <w:r w:rsidR="006404A2">
        <w:rPr>
          <w:rFonts w:ascii="Times New Roman" w:hAnsi="Times New Roman" w:cs="Times New Roman"/>
        </w:rPr>
        <w:t>for Egyptians</w:t>
      </w:r>
      <w:r w:rsidR="007A6243">
        <w:rPr>
          <w:rFonts w:ascii="Times New Roman" w:hAnsi="Times New Roman" w:cs="Times New Roman"/>
        </w:rPr>
        <w:t xml:space="preserve">, </w:t>
      </w:r>
      <w:r w:rsidR="006404A2">
        <w:rPr>
          <w:rFonts w:ascii="Times New Roman" w:hAnsi="Times New Roman" w:cs="Times New Roman"/>
        </w:rPr>
        <w:t>to seek oracles from the statues and images of their deities</w:t>
      </w:r>
      <w:r w:rsidR="007A6243">
        <w:rPr>
          <w:rFonts w:ascii="Times New Roman" w:hAnsi="Times New Roman" w:cs="Times New Roman"/>
        </w:rPr>
        <w:t xml:space="preserve"> would have been normative behaviour</w:t>
      </w:r>
      <w:r w:rsidR="006404A2">
        <w:rPr>
          <w:rStyle w:val="FootnoteReference"/>
          <w:rFonts w:ascii="Times New Roman" w:hAnsi="Times New Roman" w:cs="Times New Roman"/>
        </w:rPr>
        <w:footnoteReference w:id="71"/>
      </w:r>
      <w:r w:rsidR="006404A2">
        <w:rPr>
          <w:rFonts w:ascii="Times New Roman" w:hAnsi="Times New Roman" w:cs="Times New Roman"/>
        </w:rPr>
        <w:t>.</w:t>
      </w:r>
    </w:p>
    <w:p w14:paraId="0C6E3598" w14:textId="3672F6D1" w:rsidR="006404A2" w:rsidRDefault="009E4B41" w:rsidP="00606013">
      <w:pPr>
        <w:spacing w:before="240" w:line="480" w:lineRule="auto"/>
        <w:rPr>
          <w:rFonts w:ascii="Times New Roman" w:hAnsi="Times New Roman" w:cs="Times New Roman"/>
        </w:rPr>
      </w:pPr>
      <w:r>
        <w:rPr>
          <w:rFonts w:ascii="Times New Roman" w:hAnsi="Times New Roman" w:cs="Times New Roman"/>
        </w:rPr>
        <w:t xml:space="preserve">Alexandre </w:t>
      </w:r>
      <w:r w:rsidR="006404A2">
        <w:rPr>
          <w:rFonts w:ascii="Times New Roman" w:hAnsi="Times New Roman" w:cs="Times New Roman"/>
        </w:rPr>
        <w:t>Von Lieven makes a distinction between omens and oracles</w:t>
      </w:r>
      <w:r w:rsidR="00CB1D3A">
        <w:rPr>
          <w:rStyle w:val="FootnoteReference"/>
          <w:rFonts w:ascii="Times New Roman" w:hAnsi="Times New Roman" w:cs="Times New Roman"/>
        </w:rPr>
        <w:footnoteReference w:id="72"/>
      </w:r>
      <w:r w:rsidR="006404A2">
        <w:rPr>
          <w:rFonts w:ascii="Times New Roman" w:hAnsi="Times New Roman" w:cs="Times New Roman"/>
        </w:rPr>
        <w:t xml:space="preserve">. They are both interpretative forms of divination but in an omen the determinative process – the direction of agency – is from the </w:t>
      </w:r>
      <w:r w:rsidR="007A6243">
        <w:rPr>
          <w:rFonts w:ascii="Times New Roman" w:hAnsi="Times New Roman" w:cs="Times New Roman"/>
        </w:rPr>
        <w:t>g</w:t>
      </w:r>
      <w:r w:rsidR="006404A2">
        <w:rPr>
          <w:rFonts w:ascii="Times New Roman" w:hAnsi="Times New Roman" w:cs="Times New Roman"/>
        </w:rPr>
        <w:t xml:space="preserve">od to the sign to the human.  The deity produces the sign, for any cosmic sign has divine origin, and the human interprets that sign.  </w:t>
      </w:r>
      <w:r w:rsidR="007A6243">
        <w:rPr>
          <w:rFonts w:ascii="Times New Roman" w:hAnsi="Times New Roman" w:cs="Times New Roman"/>
        </w:rPr>
        <w:t>In an oracle, the process is from human to the god and then back to the human.  The person seeking the answer carries some agency as well as the image</w:t>
      </w:r>
      <w:r w:rsidR="00CB1D3A">
        <w:rPr>
          <w:rFonts w:ascii="Times New Roman" w:hAnsi="Times New Roman" w:cs="Times New Roman"/>
        </w:rPr>
        <w:t>, the object</w:t>
      </w:r>
      <w:r w:rsidR="007A6243">
        <w:rPr>
          <w:rFonts w:ascii="Times New Roman" w:hAnsi="Times New Roman" w:cs="Times New Roman"/>
        </w:rPr>
        <w:t xml:space="preserve"> of the god.  The flow of agency is bi-directional</w:t>
      </w:r>
      <w:r w:rsidR="00CB1D3A">
        <w:rPr>
          <w:rStyle w:val="FootnoteReference"/>
          <w:rFonts w:ascii="Times New Roman" w:hAnsi="Times New Roman" w:cs="Times New Roman"/>
        </w:rPr>
        <w:footnoteReference w:id="73"/>
      </w:r>
      <w:r w:rsidR="00CB1D3A">
        <w:rPr>
          <w:rFonts w:ascii="Times New Roman" w:hAnsi="Times New Roman" w:cs="Times New Roman"/>
        </w:rPr>
        <w:t>.</w:t>
      </w:r>
      <w:r w:rsidR="00C056E8">
        <w:rPr>
          <w:rFonts w:ascii="Times New Roman" w:hAnsi="Times New Roman" w:cs="Times New Roman"/>
        </w:rPr>
        <w:t xml:space="preserve">  </w:t>
      </w:r>
    </w:p>
    <w:p w14:paraId="0B68FA34" w14:textId="1CF444BA" w:rsidR="003A478A" w:rsidRPr="00377971" w:rsidRDefault="003A478A" w:rsidP="00606013">
      <w:pPr>
        <w:spacing w:before="240" w:line="480" w:lineRule="auto"/>
        <w:rPr>
          <w:rFonts w:ascii="Times New Roman" w:hAnsi="Times New Roman" w:cs="Times New Roman"/>
        </w:rPr>
      </w:pPr>
      <w:r>
        <w:rPr>
          <w:rFonts w:ascii="Times New Roman" w:hAnsi="Times New Roman" w:cs="Times New Roman"/>
        </w:rPr>
        <w:t>The answers to practical questions could be sought by all who had access to writing (and thus able to leave an archaeological trace)</w:t>
      </w:r>
      <w:r w:rsidR="00776F01">
        <w:rPr>
          <w:rFonts w:ascii="Times New Roman" w:hAnsi="Times New Roman" w:cs="Times New Roman"/>
        </w:rPr>
        <w:t xml:space="preserve"> </w:t>
      </w:r>
      <w:r>
        <w:rPr>
          <w:rFonts w:ascii="Times New Roman" w:hAnsi="Times New Roman" w:cs="Times New Roman"/>
        </w:rPr>
        <w:t xml:space="preserve">and perhaps others too made verbal </w:t>
      </w:r>
      <w:r w:rsidR="00776F01">
        <w:rPr>
          <w:rFonts w:ascii="Times New Roman" w:hAnsi="Times New Roman" w:cs="Times New Roman"/>
        </w:rPr>
        <w:t>supplications.  Oracles were made by Kings and commoners, and questions ranged from seeking approval for a particular military campaign to knowing which crop to plant for abundance</w:t>
      </w:r>
      <w:r w:rsidR="00776F01">
        <w:rPr>
          <w:rStyle w:val="FootnoteReference"/>
          <w:rFonts w:ascii="Times New Roman" w:hAnsi="Times New Roman" w:cs="Times New Roman"/>
        </w:rPr>
        <w:footnoteReference w:id="74"/>
      </w:r>
      <w:r w:rsidR="00776F01">
        <w:rPr>
          <w:rFonts w:ascii="Times New Roman" w:hAnsi="Times New Roman" w:cs="Times New Roman"/>
        </w:rPr>
        <w:t>.</w:t>
      </w:r>
    </w:p>
    <w:p w14:paraId="07A917D0" w14:textId="61FD5714" w:rsidR="009E4B41" w:rsidRDefault="009E4B41" w:rsidP="00606013">
      <w:pPr>
        <w:spacing w:before="240" w:line="480" w:lineRule="auto"/>
        <w:rPr>
          <w:rFonts w:ascii="Times New Roman" w:hAnsi="Times New Roman" w:cs="Times New Roman"/>
        </w:rPr>
      </w:pPr>
      <w:r>
        <w:rPr>
          <w:rFonts w:ascii="Times New Roman" w:hAnsi="Times New Roman" w:cs="Times New Roman"/>
        </w:rPr>
        <w:t xml:space="preserve">Before the Ptolemaic period, the evidence for oracles </w:t>
      </w:r>
      <w:r w:rsidR="00896F4B">
        <w:rPr>
          <w:rFonts w:ascii="Times New Roman" w:hAnsi="Times New Roman" w:cs="Times New Roman"/>
        </w:rPr>
        <w:t>exists in</w:t>
      </w:r>
      <w:r>
        <w:rPr>
          <w:rFonts w:ascii="Times New Roman" w:hAnsi="Times New Roman" w:cs="Times New Roman"/>
        </w:rPr>
        <w:t xml:space="preserve"> four sources: oracular decrees which were either carved on outer walls of temples or written on papyrus and given to individual who wore them as amulets; </w:t>
      </w:r>
      <w:r w:rsidR="00896F4B">
        <w:rPr>
          <w:rFonts w:ascii="Times New Roman" w:hAnsi="Times New Roman" w:cs="Times New Roman"/>
        </w:rPr>
        <w:t xml:space="preserve">references to processes involved in oracles in written records (private or administrative); original requests to the deities surviving on ostraca or </w:t>
      </w:r>
      <w:r w:rsidR="00896F4B">
        <w:rPr>
          <w:rFonts w:ascii="Times New Roman" w:hAnsi="Times New Roman" w:cs="Times New Roman"/>
        </w:rPr>
        <w:lastRenderedPageBreak/>
        <w:t>papyrus which have been offered ex-voto; and statues and reliefs where the oracular relationship is obvious</w:t>
      </w:r>
      <w:r w:rsidR="00896F4B">
        <w:rPr>
          <w:rStyle w:val="FootnoteReference"/>
          <w:rFonts w:ascii="Times New Roman" w:hAnsi="Times New Roman" w:cs="Times New Roman"/>
        </w:rPr>
        <w:footnoteReference w:id="75"/>
      </w:r>
      <w:r w:rsidR="00896F4B">
        <w:rPr>
          <w:rFonts w:ascii="Times New Roman" w:hAnsi="Times New Roman" w:cs="Times New Roman"/>
        </w:rPr>
        <w:t>.</w:t>
      </w:r>
      <w:r w:rsidR="00C056E8">
        <w:rPr>
          <w:rFonts w:ascii="Times New Roman" w:hAnsi="Times New Roman" w:cs="Times New Roman"/>
        </w:rPr>
        <w:t xml:space="preserve">  </w:t>
      </w:r>
    </w:p>
    <w:p w14:paraId="4F028D5B" w14:textId="3274AEA1" w:rsidR="00776F01" w:rsidRDefault="00114D65" w:rsidP="00606013">
      <w:pPr>
        <w:spacing w:before="240" w:line="480" w:lineRule="auto"/>
        <w:rPr>
          <w:rFonts w:ascii="Times New Roman" w:hAnsi="Times New Roman" w:cs="Times New Roman"/>
        </w:rPr>
      </w:pPr>
      <w:r>
        <w:rPr>
          <w:rFonts w:ascii="Times New Roman" w:hAnsi="Times New Roman" w:cs="Times New Roman"/>
        </w:rPr>
        <w:t>Actual accounts in regard to oracles are not generally accepted to appear before the New Kingdom</w:t>
      </w:r>
      <w:r>
        <w:rPr>
          <w:rStyle w:val="FootnoteReference"/>
          <w:rFonts w:ascii="Times New Roman" w:hAnsi="Times New Roman" w:cs="Times New Roman"/>
        </w:rPr>
        <w:footnoteReference w:id="76"/>
      </w:r>
      <w:r>
        <w:rPr>
          <w:rFonts w:ascii="Times New Roman" w:hAnsi="Times New Roman" w:cs="Times New Roman"/>
        </w:rPr>
        <w:t xml:space="preserve">.  </w:t>
      </w:r>
      <w:r w:rsidR="009E4572">
        <w:rPr>
          <w:rFonts w:ascii="Times New Roman" w:hAnsi="Times New Roman" w:cs="Times New Roman"/>
        </w:rPr>
        <w:t xml:space="preserve">However, </w:t>
      </w:r>
      <w:r>
        <w:rPr>
          <w:rFonts w:ascii="Times New Roman" w:hAnsi="Times New Roman" w:cs="Times New Roman"/>
        </w:rPr>
        <w:t>Quirke mentions</w:t>
      </w:r>
      <w:r w:rsidR="009E4572">
        <w:rPr>
          <w:rFonts w:ascii="Times New Roman" w:hAnsi="Times New Roman" w:cs="Times New Roman"/>
        </w:rPr>
        <w:t xml:space="preserve"> an inscription of 1900 BCE that appears to ascribe divine forecasting ability to Amenemhat II (1911-1877 BCE) for predicting a catch of fish, and a </w:t>
      </w:r>
      <w:r w:rsidR="009E4572">
        <w:rPr>
          <w:rFonts w:ascii="Times New Roman" w:hAnsi="Times New Roman" w:cs="Times New Roman"/>
          <w:i/>
          <w:iCs/>
        </w:rPr>
        <w:t>biay.t</w:t>
      </w:r>
      <w:r w:rsidR="009E4572">
        <w:rPr>
          <w:rFonts w:ascii="Times New Roman" w:hAnsi="Times New Roman" w:cs="Times New Roman"/>
        </w:rPr>
        <w:t xml:space="preserve"> (a flash flood revealed a gazelle giving birth on a stone) in the reign of Mentuhotep IV (c.1995 BCE) which apparently indicated to quarrymen that</w:t>
      </w:r>
      <w:r w:rsidR="00523070">
        <w:rPr>
          <w:rFonts w:ascii="Times New Roman" w:hAnsi="Times New Roman" w:cs="Times New Roman"/>
        </w:rPr>
        <w:t xml:space="preserve"> this was</w:t>
      </w:r>
      <w:r w:rsidR="009E4572">
        <w:rPr>
          <w:rFonts w:ascii="Times New Roman" w:hAnsi="Times New Roman" w:cs="Times New Roman"/>
        </w:rPr>
        <w:t xml:space="preserve"> the stone they should use for the king’s sarcophagus</w:t>
      </w:r>
      <w:r w:rsidR="009E4572">
        <w:rPr>
          <w:rStyle w:val="FootnoteReference"/>
          <w:rFonts w:ascii="Times New Roman" w:hAnsi="Times New Roman" w:cs="Times New Roman"/>
        </w:rPr>
        <w:footnoteReference w:id="77"/>
      </w:r>
      <w:r w:rsidR="009E4572">
        <w:rPr>
          <w:rFonts w:ascii="Times New Roman" w:hAnsi="Times New Roman" w:cs="Times New Roman"/>
        </w:rPr>
        <w:t xml:space="preserve">.  These events supposedly indicated divine </w:t>
      </w:r>
      <w:proofErr w:type="gramStart"/>
      <w:r w:rsidR="009E4572">
        <w:rPr>
          <w:rFonts w:ascii="Times New Roman" w:hAnsi="Times New Roman" w:cs="Times New Roman"/>
        </w:rPr>
        <w:t>intervention</w:t>
      </w:r>
      <w:proofErr w:type="gramEnd"/>
      <w:r w:rsidR="00523070">
        <w:rPr>
          <w:rFonts w:ascii="Times New Roman" w:hAnsi="Times New Roman" w:cs="Times New Roman"/>
        </w:rPr>
        <w:t xml:space="preserve"> but real evidence of oracles survive first from the New Kingdom and mainly from the </w:t>
      </w:r>
      <w:proofErr w:type="spellStart"/>
      <w:r w:rsidR="00523070">
        <w:rPr>
          <w:rFonts w:ascii="Times New Roman" w:hAnsi="Times New Roman" w:cs="Times New Roman"/>
        </w:rPr>
        <w:t>Ramessid</w:t>
      </w:r>
      <w:proofErr w:type="spellEnd"/>
      <w:r w:rsidR="00523070">
        <w:rPr>
          <w:rFonts w:ascii="Times New Roman" w:hAnsi="Times New Roman" w:cs="Times New Roman"/>
        </w:rPr>
        <w:t xml:space="preserve"> or Third Intermediate periods (1295-1069 and 1069-664 BCE respectively</w:t>
      </w:r>
      <w:r w:rsidR="00523070">
        <w:rPr>
          <w:rStyle w:val="FootnoteReference"/>
          <w:rFonts w:ascii="Times New Roman" w:hAnsi="Times New Roman" w:cs="Times New Roman"/>
        </w:rPr>
        <w:footnoteReference w:id="78"/>
      </w:r>
      <w:r w:rsidR="007A4CF6">
        <w:rPr>
          <w:rFonts w:ascii="Times New Roman" w:hAnsi="Times New Roman" w:cs="Times New Roman"/>
        </w:rPr>
        <w:t xml:space="preserve">. (Although Jean-Maire </w:t>
      </w:r>
      <w:proofErr w:type="spellStart"/>
      <w:r w:rsidR="007A4CF6">
        <w:rPr>
          <w:rFonts w:ascii="Times New Roman" w:hAnsi="Times New Roman" w:cs="Times New Roman"/>
        </w:rPr>
        <w:t>Kruchten</w:t>
      </w:r>
      <w:proofErr w:type="spellEnd"/>
      <w:r w:rsidR="007A4CF6">
        <w:rPr>
          <w:rFonts w:ascii="Times New Roman" w:hAnsi="Times New Roman" w:cs="Times New Roman"/>
        </w:rPr>
        <w:t xml:space="preserve"> does describe the documentation of </w:t>
      </w:r>
      <w:r w:rsidR="007A4CF6">
        <w:rPr>
          <w:rFonts w:ascii="Times New Roman" w:hAnsi="Times New Roman" w:cs="Times New Roman"/>
          <w:i/>
          <w:iCs/>
        </w:rPr>
        <w:t>biay.t</w:t>
      </w:r>
      <w:r w:rsidR="007A4CF6">
        <w:rPr>
          <w:rFonts w:ascii="Times New Roman" w:hAnsi="Times New Roman" w:cs="Times New Roman"/>
        </w:rPr>
        <w:t xml:space="preserve"> in the tombs of some early 18</w:t>
      </w:r>
      <w:r w:rsidR="007A4CF6" w:rsidRPr="007A4CF6">
        <w:rPr>
          <w:rFonts w:ascii="Times New Roman" w:hAnsi="Times New Roman" w:cs="Times New Roman"/>
          <w:vertAlign w:val="superscript"/>
        </w:rPr>
        <w:t>th</w:t>
      </w:r>
      <w:r w:rsidR="007A4CF6">
        <w:rPr>
          <w:rFonts w:ascii="Times New Roman" w:hAnsi="Times New Roman" w:cs="Times New Roman"/>
        </w:rPr>
        <w:t xml:space="preserve"> dynasty viziers which may refer to oracles from the Middle Kingdom owing to the titles used.</w:t>
      </w:r>
      <w:r w:rsidR="007A4CF6">
        <w:rPr>
          <w:rStyle w:val="FootnoteReference"/>
          <w:rFonts w:ascii="Times New Roman" w:hAnsi="Times New Roman" w:cs="Times New Roman"/>
        </w:rPr>
        <w:footnoteReference w:id="79"/>
      </w:r>
      <w:r w:rsidR="007A4CF6">
        <w:rPr>
          <w:rFonts w:ascii="Times New Roman" w:hAnsi="Times New Roman" w:cs="Times New Roman"/>
        </w:rPr>
        <w:t>)</w:t>
      </w:r>
    </w:p>
    <w:p w14:paraId="415C18BA" w14:textId="0CC08746" w:rsidR="007A4CF6" w:rsidRDefault="007A4CF6" w:rsidP="00606013">
      <w:pPr>
        <w:spacing w:before="240" w:line="480" w:lineRule="auto"/>
        <w:rPr>
          <w:rFonts w:ascii="Times New Roman" w:hAnsi="Times New Roman" w:cs="Times New Roman"/>
        </w:rPr>
      </w:pPr>
      <w:proofErr w:type="spellStart"/>
      <w:r>
        <w:rPr>
          <w:rFonts w:ascii="Times New Roman" w:hAnsi="Times New Roman" w:cs="Times New Roman"/>
        </w:rPr>
        <w:t>Kruchten</w:t>
      </w:r>
      <w:proofErr w:type="spellEnd"/>
      <w:r>
        <w:rPr>
          <w:rFonts w:ascii="Times New Roman" w:hAnsi="Times New Roman" w:cs="Times New Roman"/>
        </w:rPr>
        <w:t xml:space="preserve"> argues that oracles put to the </w:t>
      </w:r>
      <w:r w:rsidR="007308F4">
        <w:rPr>
          <w:rFonts w:ascii="Times New Roman" w:hAnsi="Times New Roman" w:cs="Times New Roman"/>
        </w:rPr>
        <w:t xml:space="preserve">public </w:t>
      </w:r>
      <w:r>
        <w:rPr>
          <w:rFonts w:ascii="Times New Roman" w:hAnsi="Times New Roman" w:cs="Times New Roman"/>
        </w:rPr>
        <w:t xml:space="preserve">image of the deity developed from the use </w:t>
      </w:r>
      <w:proofErr w:type="gramStart"/>
      <w:r>
        <w:rPr>
          <w:rFonts w:ascii="Times New Roman" w:hAnsi="Times New Roman" w:cs="Times New Roman"/>
        </w:rPr>
        <w:t>of</w:t>
      </w:r>
      <w:r w:rsidR="00E169FE">
        <w:rPr>
          <w:rFonts w:ascii="Times New Roman" w:hAnsi="Times New Roman" w:cs="Times New Roman"/>
        </w:rPr>
        <w:t xml:space="preserve"> </w:t>
      </w:r>
      <w:r>
        <w:rPr>
          <w:rFonts w:ascii="Times New Roman" w:hAnsi="Times New Roman" w:cs="Times New Roman"/>
        </w:rPr>
        <w:t xml:space="preserve"> statues</w:t>
      </w:r>
      <w:proofErr w:type="gramEnd"/>
      <w:r>
        <w:rPr>
          <w:rFonts w:ascii="Times New Roman" w:hAnsi="Times New Roman" w:cs="Times New Roman"/>
        </w:rPr>
        <w:t xml:space="preserve"> in festivals where </w:t>
      </w:r>
      <w:r w:rsidR="007308F4">
        <w:rPr>
          <w:rFonts w:ascii="Times New Roman" w:hAnsi="Times New Roman" w:cs="Times New Roman"/>
        </w:rPr>
        <w:t>the statue</w:t>
      </w:r>
      <w:r>
        <w:rPr>
          <w:rFonts w:ascii="Times New Roman" w:hAnsi="Times New Roman" w:cs="Times New Roman"/>
        </w:rPr>
        <w:t xml:space="preserve"> was processed – i.e. carried by the priestly staff – through the streets</w:t>
      </w:r>
      <w:r w:rsidR="00163188">
        <w:rPr>
          <w:rStyle w:val="FootnoteReference"/>
          <w:rFonts w:ascii="Times New Roman" w:hAnsi="Times New Roman" w:cs="Times New Roman"/>
        </w:rPr>
        <w:footnoteReference w:id="80"/>
      </w:r>
      <w:r w:rsidR="00163188">
        <w:rPr>
          <w:rFonts w:ascii="Times New Roman" w:hAnsi="Times New Roman" w:cs="Times New Roman"/>
        </w:rPr>
        <w:t xml:space="preserve">. For example, the </w:t>
      </w:r>
      <w:proofErr w:type="spellStart"/>
      <w:r w:rsidR="00163188">
        <w:rPr>
          <w:rFonts w:ascii="Times New Roman" w:hAnsi="Times New Roman" w:cs="Times New Roman"/>
        </w:rPr>
        <w:t>Opet</w:t>
      </w:r>
      <w:proofErr w:type="spellEnd"/>
      <w:r w:rsidR="00163188">
        <w:rPr>
          <w:rFonts w:ascii="Times New Roman" w:hAnsi="Times New Roman" w:cs="Times New Roman"/>
        </w:rPr>
        <w:t xml:space="preserve"> festival at Thebes saw the carrying in </w:t>
      </w:r>
      <w:r w:rsidR="00163188" w:rsidRPr="007308F4">
        <w:rPr>
          <w:rFonts w:ascii="Times New Roman" w:hAnsi="Times New Roman" w:cs="Times New Roman"/>
          <w:i/>
          <w:iCs/>
        </w:rPr>
        <w:t>barks</w:t>
      </w:r>
      <w:r w:rsidR="007308F4">
        <w:rPr>
          <w:rFonts w:ascii="Times New Roman" w:hAnsi="Times New Roman" w:cs="Times New Roman"/>
        </w:rPr>
        <w:t xml:space="preserve"> (boat shrines)</w:t>
      </w:r>
      <w:r w:rsidR="00163188">
        <w:rPr>
          <w:rFonts w:ascii="Times New Roman" w:hAnsi="Times New Roman" w:cs="Times New Roman"/>
        </w:rPr>
        <w:t xml:space="preserve"> of the statues of the sacred triad of Theban divinities – Amun, Mut and Khonsu – followed by the bark of the king</w:t>
      </w:r>
      <w:r w:rsidR="00163188">
        <w:rPr>
          <w:rStyle w:val="FootnoteReference"/>
          <w:rFonts w:ascii="Times New Roman" w:hAnsi="Times New Roman" w:cs="Times New Roman"/>
        </w:rPr>
        <w:footnoteReference w:id="81"/>
      </w:r>
      <w:r w:rsidR="00163188">
        <w:rPr>
          <w:rFonts w:ascii="Times New Roman" w:hAnsi="Times New Roman" w:cs="Times New Roman"/>
        </w:rPr>
        <w:t xml:space="preserve">. </w:t>
      </w:r>
      <w:r w:rsidR="007308F4">
        <w:rPr>
          <w:rFonts w:ascii="Times New Roman" w:hAnsi="Times New Roman" w:cs="Times New Roman"/>
        </w:rPr>
        <w:t>Although there is no representation of the dummy bark of Amun and its booth surrounding the deity of Karnak before the reign of Amenhotep I (1525-1504 BCE), the existence of it can be followed back through it being mentioned in extant texts</w:t>
      </w:r>
      <w:r w:rsidR="00E169FE">
        <w:rPr>
          <w:rFonts w:ascii="Times New Roman" w:hAnsi="Times New Roman" w:cs="Times New Roman"/>
        </w:rPr>
        <w:t xml:space="preserve"> – temple </w:t>
      </w:r>
      <w:r w:rsidR="00E169FE">
        <w:rPr>
          <w:rFonts w:ascii="Times New Roman" w:hAnsi="Times New Roman" w:cs="Times New Roman"/>
        </w:rPr>
        <w:lastRenderedPageBreak/>
        <w:t>dedications and oracular decrees</w:t>
      </w:r>
      <w:r w:rsidR="007308F4">
        <w:rPr>
          <w:rStyle w:val="FootnoteReference"/>
          <w:rFonts w:ascii="Times New Roman" w:hAnsi="Times New Roman" w:cs="Times New Roman"/>
        </w:rPr>
        <w:footnoteReference w:id="82"/>
      </w:r>
      <w:r w:rsidR="007308F4">
        <w:rPr>
          <w:rFonts w:ascii="Times New Roman" w:hAnsi="Times New Roman" w:cs="Times New Roman"/>
        </w:rPr>
        <w:t xml:space="preserve">.  The phrase used of the portable statue of the deity was </w:t>
      </w:r>
      <w:r w:rsidR="00E169FE">
        <w:rPr>
          <w:rFonts w:ascii="Times New Roman" w:hAnsi="Times New Roman" w:cs="Times New Roman"/>
        </w:rPr>
        <w:t>‘t</w:t>
      </w:r>
      <w:r w:rsidR="007308F4">
        <w:rPr>
          <w:rFonts w:ascii="Times New Roman" w:hAnsi="Times New Roman" w:cs="Times New Roman"/>
        </w:rPr>
        <w:t>his august god</w:t>
      </w:r>
      <w:r w:rsidR="00E169FE">
        <w:rPr>
          <w:rFonts w:ascii="Times New Roman" w:hAnsi="Times New Roman" w:cs="Times New Roman"/>
        </w:rPr>
        <w:t>’ stressing the importance of Amun but also used to distinguish it from the cult statue which would stay hidden in the temple</w:t>
      </w:r>
      <w:r w:rsidR="00E169FE">
        <w:rPr>
          <w:rStyle w:val="FootnoteReference"/>
          <w:rFonts w:ascii="Times New Roman" w:hAnsi="Times New Roman" w:cs="Times New Roman"/>
        </w:rPr>
        <w:footnoteReference w:id="83"/>
      </w:r>
      <w:r w:rsidR="00E169FE">
        <w:rPr>
          <w:rFonts w:ascii="Times New Roman" w:hAnsi="Times New Roman" w:cs="Times New Roman"/>
        </w:rPr>
        <w:t>. Another phrase used for this form of Amun was “Lord of Gods</w:t>
      </w:r>
      <w:r w:rsidR="0039735D">
        <w:rPr>
          <w:rFonts w:ascii="Times New Roman" w:hAnsi="Times New Roman" w:cs="Times New Roman"/>
        </w:rPr>
        <w:t>” (</w:t>
      </w:r>
      <w:r w:rsidR="0039735D">
        <w:rPr>
          <w:rFonts w:ascii="Times New Roman" w:hAnsi="Times New Roman" w:cs="Times New Roman"/>
          <w:i/>
          <w:iCs/>
        </w:rPr>
        <w:t>Nb-</w:t>
      </w:r>
      <w:proofErr w:type="spellStart"/>
      <w:r w:rsidR="0039735D">
        <w:rPr>
          <w:rFonts w:ascii="Times New Roman" w:hAnsi="Times New Roman" w:cs="Times New Roman"/>
          <w:i/>
          <w:iCs/>
        </w:rPr>
        <w:t>ntrw</w:t>
      </w:r>
      <w:proofErr w:type="spellEnd"/>
      <w:r w:rsidR="0039735D">
        <w:rPr>
          <w:rFonts w:ascii="Times New Roman" w:hAnsi="Times New Roman" w:cs="Times New Roman"/>
          <w:i/>
          <w:iCs/>
        </w:rPr>
        <w:t>)</w:t>
      </w:r>
      <w:r w:rsidR="00E169FE">
        <w:rPr>
          <w:rFonts w:ascii="Times New Roman" w:hAnsi="Times New Roman" w:cs="Times New Roman"/>
        </w:rPr>
        <w:t>, stressing his divine supremacy which was well established by the New Kingdom but was emerging in Middle Kingdom, as is evident from the use of the phrase at the beginning of the 12</w:t>
      </w:r>
      <w:r w:rsidR="00E169FE" w:rsidRPr="00E169FE">
        <w:rPr>
          <w:rFonts w:ascii="Times New Roman" w:hAnsi="Times New Roman" w:cs="Times New Roman"/>
          <w:vertAlign w:val="superscript"/>
        </w:rPr>
        <w:t>th</w:t>
      </w:r>
      <w:r w:rsidR="00E169FE">
        <w:rPr>
          <w:rFonts w:ascii="Times New Roman" w:hAnsi="Times New Roman" w:cs="Times New Roman"/>
        </w:rPr>
        <w:t xml:space="preserve"> dynasty (</w:t>
      </w:r>
      <w:r w:rsidR="00E169FE">
        <w:rPr>
          <w:rFonts w:ascii="Times New Roman" w:hAnsi="Times New Roman" w:cs="Times New Roman"/>
          <w:i/>
          <w:iCs/>
        </w:rPr>
        <w:t>Stela Louvre C 200; Graffito from Deir el-</w:t>
      </w:r>
      <w:proofErr w:type="spellStart"/>
      <w:r w:rsidR="00E169FE">
        <w:rPr>
          <w:rFonts w:ascii="Times New Roman" w:hAnsi="Times New Roman" w:cs="Times New Roman"/>
          <w:i/>
          <w:iCs/>
        </w:rPr>
        <w:t>Bahiri</w:t>
      </w:r>
      <w:proofErr w:type="spellEnd"/>
      <w:r w:rsidR="00627F3B">
        <w:rPr>
          <w:rFonts w:ascii="Times New Roman" w:hAnsi="Times New Roman" w:cs="Times New Roman"/>
        </w:rPr>
        <w:t>)</w:t>
      </w:r>
      <w:r w:rsidR="00627F3B">
        <w:rPr>
          <w:rStyle w:val="FootnoteReference"/>
          <w:rFonts w:ascii="Times New Roman" w:hAnsi="Times New Roman" w:cs="Times New Roman"/>
        </w:rPr>
        <w:footnoteReference w:id="84"/>
      </w:r>
      <w:r w:rsidR="00627F3B">
        <w:rPr>
          <w:rFonts w:ascii="Times New Roman" w:hAnsi="Times New Roman" w:cs="Times New Roman"/>
        </w:rPr>
        <w:t>.</w:t>
      </w:r>
    </w:p>
    <w:p w14:paraId="538AFE13" w14:textId="185E50EA" w:rsidR="00627F3B" w:rsidRDefault="00627F3B" w:rsidP="00606013">
      <w:pPr>
        <w:spacing w:before="240" w:line="480" w:lineRule="auto"/>
        <w:rPr>
          <w:rFonts w:ascii="Times New Roman" w:hAnsi="Times New Roman" w:cs="Times New Roman"/>
        </w:rPr>
      </w:pPr>
      <w:r>
        <w:rPr>
          <w:rFonts w:ascii="Times New Roman" w:hAnsi="Times New Roman" w:cs="Times New Roman"/>
        </w:rPr>
        <w:t xml:space="preserve">It should be remembered that, although the running of the ‘house of the God’ (the temple) excluded all who were not part of the priesthood and unauthorised to perform the cult rituals (both daily and on festival occasions) – especially any activities related to and around the </w:t>
      </w:r>
      <w:r>
        <w:rPr>
          <w:rFonts w:ascii="Times New Roman" w:hAnsi="Times New Roman" w:cs="Times New Roman"/>
          <w:i/>
          <w:iCs/>
        </w:rPr>
        <w:t xml:space="preserve">naos </w:t>
      </w:r>
      <w:r>
        <w:rPr>
          <w:rFonts w:ascii="Times New Roman" w:hAnsi="Times New Roman" w:cs="Times New Roman"/>
        </w:rPr>
        <w:t>(‘holy of holies’) where the cult statue was held – further away from the inner sanctuary, prohibition of interaction with the divine became less absolute</w:t>
      </w:r>
      <w:r>
        <w:rPr>
          <w:rStyle w:val="FootnoteReference"/>
          <w:rFonts w:ascii="Times New Roman" w:hAnsi="Times New Roman" w:cs="Times New Roman"/>
        </w:rPr>
        <w:footnoteReference w:id="85"/>
      </w:r>
      <w:r w:rsidR="003F60E3">
        <w:rPr>
          <w:rFonts w:ascii="Times New Roman" w:hAnsi="Times New Roman" w:cs="Times New Roman"/>
        </w:rPr>
        <w:t xml:space="preserve">.  </w:t>
      </w:r>
    </w:p>
    <w:p w14:paraId="7A075647" w14:textId="3CB556C3" w:rsidR="003F60E3" w:rsidRDefault="003F60E3" w:rsidP="003F60E3">
      <w:pPr>
        <w:spacing w:before="240" w:line="480" w:lineRule="auto"/>
        <w:rPr>
          <w:rFonts w:ascii="Times New Roman" w:hAnsi="Times New Roman" w:cs="Times New Roman"/>
          <w:lang w:val="en-US"/>
        </w:rPr>
      </w:pPr>
      <w:r>
        <w:rPr>
          <w:rFonts w:ascii="Times New Roman" w:hAnsi="Times New Roman" w:cs="Times New Roman"/>
          <w:lang w:val="en-US"/>
        </w:rPr>
        <w:t>In a</w:t>
      </w:r>
      <w:r w:rsidRPr="003F60E3">
        <w:rPr>
          <w:rFonts w:ascii="Times New Roman" w:hAnsi="Times New Roman" w:cs="Times New Roman"/>
          <w:lang w:val="en-US"/>
        </w:rPr>
        <w:t xml:space="preserve"> text </w:t>
      </w:r>
      <w:r>
        <w:rPr>
          <w:rFonts w:ascii="Times New Roman" w:hAnsi="Times New Roman" w:cs="Times New Roman"/>
          <w:lang w:val="en-US"/>
        </w:rPr>
        <w:t xml:space="preserve">from the reign of </w:t>
      </w:r>
      <w:r w:rsidRPr="003F60E3">
        <w:rPr>
          <w:rFonts w:ascii="Times New Roman" w:hAnsi="Times New Roman" w:cs="Times New Roman"/>
          <w:lang w:val="en-US"/>
        </w:rPr>
        <w:t>Ramesses II</w:t>
      </w:r>
      <w:r>
        <w:rPr>
          <w:rFonts w:ascii="Times New Roman" w:hAnsi="Times New Roman" w:cs="Times New Roman"/>
          <w:lang w:val="en-US"/>
        </w:rPr>
        <w:t xml:space="preserve"> </w:t>
      </w:r>
      <w:r w:rsidR="00E34C0E">
        <w:rPr>
          <w:rFonts w:ascii="Times New Roman" w:hAnsi="Times New Roman" w:cs="Times New Roman"/>
          <w:lang w:val="en-US"/>
        </w:rPr>
        <w:t>(1279-1213 BCE)</w:t>
      </w:r>
      <w:r w:rsidRPr="003F60E3">
        <w:rPr>
          <w:rFonts w:ascii="Times New Roman" w:hAnsi="Times New Roman" w:cs="Times New Roman"/>
          <w:lang w:val="en-US"/>
        </w:rPr>
        <w:t xml:space="preserve"> the hypostyle hall at Karnak was "the place of acclamation by the people."</w:t>
      </w:r>
      <w:r w:rsidR="00E34C0E">
        <w:rPr>
          <w:rFonts w:ascii="Times New Roman" w:hAnsi="Times New Roman" w:cs="Times New Roman"/>
          <w:lang w:val="en-US"/>
        </w:rPr>
        <w:t xml:space="preserve"> Th</w:t>
      </w:r>
      <w:r w:rsidRPr="003F60E3">
        <w:rPr>
          <w:rFonts w:ascii="Times New Roman" w:hAnsi="Times New Roman" w:cs="Times New Roman"/>
          <w:lang w:val="en-US"/>
        </w:rPr>
        <w:t xml:space="preserve">e people were </w:t>
      </w:r>
      <w:r w:rsidR="00E34C0E">
        <w:rPr>
          <w:rFonts w:ascii="Times New Roman" w:hAnsi="Times New Roman" w:cs="Times New Roman"/>
          <w:lang w:val="en-US"/>
        </w:rPr>
        <w:t xml:space="preserve">able to penetrate </w:t>
      </w:r>
      <w:r w:rsidRPr="003F60E3">
        <w:rPr>
          <w:rFonts w:ascii="Times New Roman" w:hAnsi="Times New Roman" w:cs="Times New Roman"/>
          <w:lang w:val="en-US"/>
        </w:rPr>
        <w:t xml:space="preserve">as far as the first columned hall and </w:t>
      </w:r>
      <w:r w:rsidR="00E34C0E">
        <w:rPr>
          <w:rFonts w:ascii="Times New Roman" w:hAnsi="Times New Roman" w:cs="Times New Roman"/>
          <w:lang w:val="en-US"/>
        </w:rPr>
        <w:t>relate to</w:t>
      </w:r>
      <w:r w:rsidRPr="003F60E3">
        <w:rPr>
          <w:rFonts w:ascii="Times New Roman" w:hAnsi="Times New Roman" w:cs="Times New Roman"/>
          <w:lang w:val="en-US"/>
        </w:rPr>
        <w:t xml:space="preserve">, </w:t>
      </w:r>
      <w:r w:rsidR="00E34C0E">
        <w:rPr>
          <w:rFonts w:ascii="Times New Roman" w:hAnsi="Times New Roman" w:cs="Times New Roman"/>
          <w:lang w:val="en-US"/>
        </w:rPr>
        <w:t>but still from a distance</w:t>
      </w:r>
      <w:r w:rsidRPr="003F60E3">
        <w:rPr>
          <w:rFonts w:ascii="Times New Roman" w:hAnsi="Times New Roman" w:cs="Times New Roman"/>
          <w:lang w:val="en-US"/>
        </w:rPr>
        <w:t xml:space="preserve">, the sanctity of the temple. </w:t>
      </w:r>
      <w:r w:rsidR="00E34C0E">
        <w:rPr>
          <w:rFonts w:ascii="Times New Roman" w:hAnsi="Times New Roman" w:cs="Times New Roman"/>
          <w:lang w:val="en-US"/>
        </w:rPr>
        <w:t>Similarly,</w:t>
      </w:r>
      <w:r w:rsidRPr="003F60E3">
        <w:rPr>
          <w:rFonts w:ascii="Times New Roman" w:hAnsi="Times New Roman" w:cs="Times New Roman"/>
          <w:lang w:val="en-US"/>
        </w:rPr>
        <w:t xml:space="preserve"> in the court</w:t>
      </w:r>
      <w:r w:rsidR="00E34C0E">
        <w:rPr>
          <w:rFonts w:ascii="Times New Roman" w:hAnsi="Times New Roman" w:cs="Times New Roman"/>
          <w:lang w:val="en-US"/>
        </w:rPr>
        <w:t>yard</w:t>
      </w:r>
      <w:r w:rsidRPr="003F60E3">
        <w:rPr>
          <w:rFonts w:ascii="Times New Roman" w:hAnsi="Times New Roman" w:cs="Times New Roman"/>
          <w:lang w:val="en-US"/>
        </w:rPr>
        <w:t xml:space="preserve"> </w:t>
      </w:r>
      <w:r w:rsidR="00E34C0E">
        <w:rPr>
          <w:rFonts w:ascii="Times New Roman" w:hAnsi="Times New Roman" w:cs="Times New Roman"/>
          <w:lang w:val="en-US"/>
        </w:rPr>
        <w:t>of</w:t>
      </w:r>
      <w:r w:rsidRPr="003F60E3">
        <w:rPr>
          <w:rFonts w:ascii="Times New Roman" w:hAnsi="Times New Roman" w:cs="Times New Roman"/>
          <w:lang w:val="en-US"/>
        </w:rPr>
        <w:t xml:space="preserve"> Luxor</w:t>
      </w:r>
      <w:r w:rsidR="00E34C0E">
        <w:rPr>
          <w:rFonts w:ascii="Times New Roman" w:hAnsi="Times New Roman" w:cs="Times New Roman"/>
          <w:lang w:val="en-US"/>
        </w:rPr>
        <w:t xml:space="preserve"> temple</w:t>
      </w:r>
      <w:r w:rsidRPr="003F60E3">
        <w:rPr>
          <w:rFonts w:ascii="Times New Roman" w:hAnsi="Times New Roman" w:cs="Times New Roman"/>
          <w:lang w:val="en-US"/>
        </w:rPr>
        <w:t>, "the place of supplication</w:t>
      </w:r>
      <w:r w:rsidR="00E34C0E">
        <w:rPr>
          <w:rFonts w:ascii="Times New Roman" w:hAnsi="Times New Roman" w:cs="Times New Roman"/>
          <w:lang w:val="en-US"/>
        </w:rPr>
        <w:t>” is noted, at which</w:t>
      </w:r>
      <w:r w:rsidRPr="003F60E3">
        <w:rPr>
          <w:rFonts w:ascii="Times New Roman" w:hAnsi="Times New Roman" w:cs="Times New Roman"/>
          <w:lang w:val="en-US"/>
        </w:rPr>
        <w:t xml:space="preserve"> requests were heard. </w:t>
      </w:r>
      <w:r w:rsidR="00E34C0E">
        <w:rPr>
          <w:rFonts w:ascii="Times New Roman" w:hAnsi="Times New Roman" w:cs="Times New Roman"/>
          <w:lang w:val="en-US"/>
        </w:rPr>
        <w:t>It is not clear if the supplicant put their request to the god directly or via a priestly intermediary.  However, in</w:t>
      </w:r>
      <w:r w:rsidRPr="003F60E3">
        <w:rPr>
          <w:rFonts w:ascii="Times New Roman" w:hAnsi="Times New Roman" w:cs="Times New Roman"/>
          <w:lang w:val="en-US"/>
        </w:rPr>
        <w:t xml:space="preserve"> late</w:t>
      </w:r>
      <w:r w:rsidR="00DB627A">
        <w:rPr>
          <w:rFonts w:ascii="Times New Roman" w:hAnsi="Times New Roman" w:cs="Times New Roman"/>
          <w:lang w:val="en-US"/>
        </w:rPr>
        <w:t>r</w:t>
      </w:r>
      <w:r w:rsidRPr="003F60E3">
        <w:rPr>
          <w:rFonts w:ascii="Times New Roman" w:hAnsi="Times New Roman" w:cs="Times New Roman"/>
          <w:lang w:val="en-US"/>
        </w:rPr>
        <w:t xml:space="preserve"> texts at</w:t>
      </w:r>
      <w:r w:rsidR="00DB627A">
        <w:rPr>
          <w:rFonts w:ascii="Times New Roman" w:hAnsi="Times New Roman" w:cs="Times New Roman"/>
          <w:lang w:val="en-US"/>
        </w:rPr>
        <w:t>, for example,</w:t>
      </w:r>
      <w:r w:rsidRPr="003F60E3">
        <w:rPr>
          <w:rFonts w:ascii="Times New Roman" w:hAnsi="Times New Roman" w:cs="Times New Roman"/>
          <w:lang w:val="en-US"/>
        </w:rPr>
        <w:t xml:space="preserve"> the temples of </w:t>
      </w:r>
      <w:proofErr w:type="spellStart"/>
      <w:r w:rsidRPr="003F60E3">
        <w:rPr>
          <w:rFonts w:ascii="Times New Roman" w:hAnsi="Times New Roman" w:cs="Times New Roman"/>
          <w:lang w:val="en-US"/>
        </w:rPr>
        <w:t>Esna</w:t>
      </w:r>
      <w:proofErr w:type="spellEnd"/>
      <w:r w:rsidRPr="003F60E3">
        <w:rPr>
          <w:rFonts w:ascii="Times New Roman" w:hAnsi="Times New Roman" w:cs="Times New Roman"/>
          <w:lang w:val="en-US"/>
        </w:rPr>
        <w:t xml:space="preserve"> and Phila</w:t>
      </w:r>
      <w:r w:rsidR="00E34C0E">
        <w:rPr>
          <w:rFonts w:ascii="Times New Roman" w:hAnsi="Times New Roman" w:cs="Times New Roman"/>
          <w:lang w:val="en-US"/>
        </w:rPr>
        <w:t>e</w:t>
      </w:r>
      <w:r w:rsidRPr="003F60E3">
        <w:rPr>
          <w:rFonts w:ascii="Times New Roman" w:hAnsi="Times New Roman" w:cs="Times New Roman"/>
          <w:lang w:val="en-US"/>
        </w:rPr>
        <w:t xml:space="preserve"> access was </w:t>
      </w:r>
      <w:r w:rsidR="00E34C0E">
        <w:rPr>
          <w:rFonts w:ascii="Times New Roman" w:hAnsi="Times New Roman" w:cs="Times New Roman"/>
          <w:lang w:val="en-US"/>
        </w:rPr>
        <w:t>forbidden to</w:t>
      </w:r>
      <w:r w:rsidRPr="003F60E3">
        <w:rPr>
          <w:rFonts w:ascii="Times New Roman" w:hAnsi="Times New Roman" w:cs="Times New Roman"/>
          <w:lang w:val="en-US"/>
        </w:rPr>
        <w:t xml:space="preserve"> foreigners, called "</w:t>
      </w:r>
      <w:proofErr w:type="spellStart"/>
      <w:r w:rsidRPr="003F60E3">
        <w:rPr>
          <w:rFonts w:ascii="Times New Roman" w:hAnsi="Times New Roman" w:cs="Times New Roman"/>
          <w:lang w:val="en-US"/>
        </w:rPr>
        <w:t>Asiatics</w:t>
      </w:r>
      <w:proofErr w:type="spellEnd"/>
      <w:r w:rsidR="00E34C0E">
        <w:rPr>
          <w:rFonts w:ascii="Times New Roman" w:hAnsi="Times New Roman" w:cs="Times New Roman"/>
          <w:lang w:val="en-US"/>
        </w:rPr>
        <w:t xml:space="preserve">”, </w:t>
      </w:r>
      <w:r w:rsidRPr="003F60E3">
        <w:rPr>
          <w:rFonts w:ascii="Times New Roman" w:hAnsi="Times New Roman" w:cs="Times New Roman"/>
          <w:lang w:val="en-US"/>
        </w:rPr>
        <w:t xml:space="preserve">who </w:t>
      </w:r>
      <w:r w:rsidR="00E34C0E">
        <w:rPr>
          <w:rFonts w:ascii="Times New Roman" w:hAnsi="Times New Roman" w:cs="Times New Roman"/>
          <w:lang w:val="en-US"/>
        </w:rPr>
        <w:t xml:space="preserve">were likely viewed </w:t>
      </w:r>
      <w:r w:rsidRPr="003F60E3">
        <w:rPr>
          <w:rFonts w:ascii="Times New Roman" w:hAnsi="Times New Roman" w:cs="Times New Roman"/>
          <w:lang w:val="en-US"/>
        </w:rPr>
        <w:t xml:space="preserve">as </w:t>
      </w:r>
      <w:r w:rsidR="00E34C0E">
        <w:rPr>
          <w:rFonts w:ascii="Times New Roman" w:hAnsi="Times New Roman" w:cs="Times New Roman"/>
          <w:lang w:val="en-US"/>
        </w:rPr>
        <w:t>impure</w:t>
      </w:r>
      <w:r w:rsidR="00E34C0E">
        <w:rPr>
          <w:rStyle w:val="FootnoteReference"/>
          <w:rFonts w:ascii="Times New Roman" w:hAnsi="Times New Roman" w:cs="Times New Roman"/>
          <w:lang w:val="en-US"/>
        </w:rPr>
        <w:footnoteReference w:id="86"/>
      </w:r>
      <w:r w:rsidR="00E34C0E">
        <w:rPr>
          <w:rFonts w:ascii="Times New Roman" w:hAnsi="Times New Roman" w:cs="Times New Roman"/>
          <w:lang w:val="en-US"/>
        </w:rPr>
        <w:t>.</w:t>
      </w:r>
    </w:p>
    <w:p w14:paraId="13CE47D7" w14:textId="52001C2F" w:rsidR="00DB627A" w:rsidRPr="00DB627A" w:rsidRDefault="00DB627A" w:rsidP="00DB627A">
      <w:pPr>
        <w:spacing w:before="240" w:line="480" w:lineRule="auto"/>
        <w:rPr>
          <w:rFonts w:ascii="Times New Roman" w:hAnsi="Times New Roman" w:cs="Times New Roman"/>
          <w:lang w:val="en-US"/>
        </w:rPr>
      </w:pPr>
      <w:r>
        <w:rPr>
          <w:rFonts w:ascii="Times New Roman" w:hAnsi="Times New Roman" w:cs="Times New Roman"/>
          <w:lang w:val="en-US"/>
        </w:rPr>
        <w:lastRenderedPageBreak/>
        <w:t xml:space="preserve">In these courts, ordinary </w:t>
      </w:r>
      <w:r w:rsidRPr="00DB627A">
        <w:rPr>
          <w:rFonts w:ascii="Times New Roman" w:hAnsi="Times New Roman" w:cs="Times New Roman"/>
          <w:lang w:val="en-US"/>
        </w:rPr>
        <w:t xml:space="preserve">people who were not necessarily temple </w:t>
      </w:r>
      <w:r>
        <w:rPr>
          <w:rFonts w:ascii="Times New Roman" w:hAnsi="Times New Roman" w:cs="Times New Roman"/>
          <w:lang w:val="en-US"/>
        </w:rPr>
        <w:t>staff</w:t>
      </w:r>
      <w:r w:rsidRPr="00DB627A">
        <w:rPr>
          <w:rFonts w:ascii="Times New Roman" w:hAnsi="Times New Roman" w:cs="Times New Roman"/>
          <w:lang w:val="en-US"/>
        </w:rPr>
        <w:t xml:space="preserve"> </w:t>
      </w:r>
      <w:r>
        <w:rPr>
          <w:rFonts w:ascii="Times New Roman" w:hAnsi="Times New Roman" w:cs="Times New Roman"/>
          <w:lang w:val="en-US"/>
        </w:rPr>
        <w:t xml:space="preserve">were able to leave offerings, </w:t>
      </w:r>
      <w:proofErr w:type="gramStart"/>
      <w:r>
        <w:rPr>
          <w:rFonts w:ascii="Times New Roman" w:hAnsi="Times New Roman" w:cs="Times New Roman"/>
          <w:lang w:val="en-US"/>
        </w:rPr>
        <w:t>e.g.</w:t>
      </w:r>
      <w:proofErr w:type="gramEnd"/>
      <w:r>
        <w:rPr>
          <w:rFonts w:ascii="Times New Roman" w:hAnsi="Times New Roman" w:cs="Times New Roman"/>
          <w:lang w:val="en-US"/>
        </w:rPr>
        <w:t xml:space="preserve"> a</w:t>
      </w:r>
      <w:r w:rsidRPr="00DB627A">
        <w:rPr>
          <w:rFonts w:ascii="Times New Roman" w:hAnsi="Times New Roman" w:cs="Times New Roman"/>
          <w:lang w:val="en-US"/>
        </w:rPr>
        <w:t xml:space="preserve"> </w:t>
      </w:r>
      <w:r>
        <w:rPr>
          <w:rFonts w:ascii="Times New Roman" w:hAnsi="Times New Roman" w:cs="Times New Roman"/>
          <w:lang w:val="en-US"/>
        </w:rPr>
        <w:t xml:space="preserve">votive </w:t>
      </w:r>
      <w:r w:rsidRPr="00DB627A">
        <w:rPr>
          <w:rFonts w:ascii="Times New Roman" w:hAnsi="Times New Roman" w:cs="Times New Roman"/>
          <w:lang w:val="en-US"/>
        </w:rPr>
        <w:t>statue</w:t>
      </w:r>
      <w:r>
        <w:rPr>
          <w:rFonts w:ascii="Times New Roman" w:hAnsi="Times New Roman" w:cs="Times New Roman"/>
          <w:lang w:val="en-US"/>
        </w:rPr>
        <w:t>, and thus</w:t>
      </w:r>
      <w:r w:rsidRPr="00DB627A">
        <w:rPr>
          <w:rFonts w:ascii="Times New Roman" w:hAnsi="Times New Roman" w:cs="Times New Roman"/>
          <w:lang w:val="en-US"/>
        </w:rPr>
        <w:t xml:space="preserve"> participa</w:t>
      </w:r>
      <w:r>
        <w:rPr>
          <w:rFonts w:ascii="Times New Roman" w:hAnsi="Times New Roman" w:cs="Times New Roman"/>
          <w:lang w:val="en-US"/>
        </w:rPr>
        <w:t>te</w:t>
      </w:r>
      <w:r w:rsidRPr="00DB627A">
        <w:rPr>
          <w:rFonts w:ascii="Times New Roman" w:hAnsi="Times New Roman" w:cs="Times New Roman"/>
          <w:lang w:val="en-US"/>
        </w:rPr>
        <w:t xml:space="preserve"> indirect</w:t>
      </w:r>
      <w:r>
        <w:rPr>
          <w:rFonts w:ascii="Times New Roman" w:hAnsi="Times New Roman" w:cs="Times New Roman"/>
          <w:lang w:val="en-US"/>
        </w:rPr>
        <w:t xml:space="preserve">ly </w:t>
      </w:r>
      <w:r w:rsidRPr="00DB627A">
        <w:rPr>
          <w:rFonts w:ascii="Times New Roman" w:hAnsi="Times New Roman" w:cs="Times New Roman"/>
          <w:lang w:val="en-US"/>
        </w:rPr>
        <w:t>in</w:t>
      </w:r>
      <w:r>
        <w:rPr>
          <w:rFonts w:ascii="Times New Roman" w:hAnsi="Times New Roman" w:cs="Times New Roman"/>
          <w:lang w:val="en-US"/>
        </w:rPr>
        <w:t xml:space="preserve"> </w:t>
      </w:r>
      <w:r w:rsidRPr="00DB627A">
        <w:rPr>
          <w:rFonts w:ascii="Times New Roman" w:hAnsi="Times New Roman" w:cs="Times New Roman"/>
          <w:lang w:val="en-US"/>
        </w:rPr>
        <w:t>the sacred</w:t>
      </w:r>
      <w:r>
        <w:rPr>
          <w:rFonts w:ascii="Times New Roman" w:hAnsi="Times New Roman" w:cs="Times New Roman"/>
          <w:lang w:val="en-US"/>
        </w:rPr>
        <w:t xml:space="preserve"> temple life.</w:t>
      </w:r>
      <w:r w:rsidRPr="00DB627A">
        <w:rPr>
          <w:rFonts w:ascii="Times New Roman" w:hAnsi="Times New Roman" w:cs="Times New Roman"/>
          <w:lang w:val="en-US"/>
        </w:rPr>
        <w:t xml:space="preserve"> This </w:t>
      </w:r>
      <w:r>
        <w:rPr>
          <w:rFonts w:ascii="Times New Roman" w:hAnsi="Times New Roman" w:cs="Times New Roman"/>
          <w:lang w:val="en-US"/>
        </w:rPr>
        <w:t>practice developed more widely from the New Kingdom onwards</w:t>
      </w:r>
      <w:r>
        <w:rPr>
          <w:rStyle w:val="FootnoteReference"/>
          <w:rFonts w:ascii="Times New Roman" w:hAnsi="Times New Roman" w:cs="Times New Roman"/>
          <w:lang w:val="en-US"/>
        </w:rPr>
        <w:footnoteReference w:id="87"/>
      </w:r>
      <w:r>
        <w:rPr>
          <w:rFonts w:ascii="Times New Roman" w:hAnsi="Times New Roman" w:cs="Times New Roman"/>
          <w:lang w:val="en-US"/>
        </w:rPr>
        <w:t>.</w:t>
      </w:r>
    </w:p>
    <w:p w14:paraId="6E7217A4" w14:textId="77777777" w:rsidR="00CF1622" w:rsidRDefault="00CF1622" w:rsidP="00CF1622">
      <w:pPr>
        <w:spacing w:line="480" w:lineRule="auto"/>
        <w:rPr>
          <w:rFonts w:ascii="Times New Roman" w:hAnsi="Times New Roman" w:cs="Times New Roman"/>
          <w:lang w:val="en-US"/>
        </w:rPr>
      </w:pPr>
    </w:p>
    <w:p w14:paraId="55C85F5A" w14:textId="106771BE" w:rsidR="00CF1622" w:rsidRDefault="00CF1622" w:rsidP="00CF1622">
      <w:pPr>
        <w:spacing w:line="480" w:lineRule="auto"/>
        <w:rPr>
          <w:rFonts w:ascii="Times New Roman" w:hAnsi="Times New Roman" w:cs="Times New Roman"/>
          <w:lang w:val="en-US"/>
        </w:rPr>
      </w:pPr>
      <w:r>
        <w:rPr>
          <w:rFonts w:ascii="Times New Roman" w:hAnsi="Times New Roman" w:cs="Times New Roman"/>
          <w:lang w:val="en-US"/>
        </w:rPr>
        <w:t xml:space="preserve">The </w:t>
      </w:r>
      <w:r w:rsidR="00DB627A" w:rsidRPr="00DB627A">
        <w:rPr>
          <w:rFonts w:ascii="Times New Roman" w:hAnsi="Times New Roman" w:cs="Times New Roman"/>
          <w:lang w:val="en-US"/>
        </w:rPr>
        <w:t>place</w:t>
      </w:r>
      <w:r>
        <w:rPr>
          <w:rFonts w:ascii="Times New Roman" w:hAnsi="Times New Roman" w:cs="Times New Roman"/>
          <w:lang w:val="en-US"/>
        </w:rPr>
        <w:t>s</w:t>
      </w:r>
      <w:r w:rsidR="00DB627A" w:rsidRPr="00DB627A">
        <w:rPr>
          <w:rFonts w:ascii="Times New Roman" w:hAnsi="Times New Roman" w:cs="Times New Roman"/>
          <w:lang w:val="en-US"/>
        </w:rPr>
        <w:t xml:space="preserve"> </w:t>
      </w:r>
      <w:r>
        <w:rPr>
          <w:rFonts w:ascii="Times New Roman" w:hAnsi="Times New Roman" w:cs="Times New Roman"/>
          <w:lang w:val="en-US"/>
        </w:rPr>
        <w:t xml:space="preserve">of great import to which anyone could come from anywhere at any time was the liminal boundaries between the sacred and the profane - </w:t>
      </w:r>
      <w:r w:rsidR="00DB627A" w:rsidRPr="00DB627A">
        <w:rPr>
          <w:rFonts w:ascii="Times New Roman" w:hAnsi="Times New Roman" w:cs="Times New Roman"/>
          <w:lang w:val="en-US"/>
        </w:rPr>
        <w:t xml:space="preserve">the </w:t>
      </w:r>
      <w:r>
        <w:rPr>
          <w:rFonts w:ascii="Times New Roman" w:hAnsi="Times New Roman" w:cs="Times New Roman"/>
          <w:lang w:val="en-US"/>
        </w:rPr>
        <w:t xml:space="preserve">temple </w:t>
      </w:r>
      <w:r w:rsidR="00DB627A" w:rsidRPr="00DB627A">
        <w:rPr>
          <w:rFonts w:ascii="Times New Roman" w:hAnsi="Times New Roman" w:cs="Times New Roman"/>
          <w:lang w:val="en-US"/>
        </w:rPr>
        <w:t xml:space="preserve">doorways or gates or </w:t>
      </w:r>
      <w:r>
        <w:rPr>
          <w:rFonts w:ascii="Times New Roman" w:hAnsi="Times New Roman" w:cs="Times New Roman"/>
          <w:lang w:val="en-US"/>
        </w:rPr>
        <w:t xml:space="preserve">those </w:t>
      </w:r>
      <w:r w:rsidR="00DB627A" w:rsidRPr="00DB627A">
        <w:rPr>
          <w:rFonts w:ascii="Times New Roman" w:hAnsi="Times New Roman" w:cs="Times New Roman"/>
          <w:lang w:val="en-US"/>
        </w:rPr>
        <w:t xml:space="preserve">of its </w:t>
      </w:r>
      <w:r>
        <w:rPr>
          <w:rFonts w:ascii="Times New Roman" w:hAnsi="Times New Roman" w:cs="Times New Roman"/>
          <w:i/>
          <w:iCs/>
          <w:lang w:val="en-US"/>
        </w:rPr>
        <w:t xml:space="preserve">temenos </w:t>
      </w:r>
      <w:r>
        <w:rPr>
          <w:rFonts w:ascii="Times New Roman" w:hAnsi="Times New Roman" w:cs="Times New Roman"/>
          <w:lang w:val="en-US"/>
        </w:rPr>
        <w:t>(</w:t>
      </w:r>
      <w:r w:rsidR="00DB627A" w:rsidRPr="00DB627A">
        <w:rPr>
          <w:rFonts w:ascii="Times New Roman" w:hAnsi="Times New Roman" w:cs="Times New Roman"/>
          <w:lang w:val="en-US"/>
        </w:rPr>
        <w:t>enclosure wall</w:t>
      </w:r>
      <w:r>
        <w:rPr>
          <w:rFonts w:ascii="Times New Roman" w:hAnsi="Times New Roman" w:cs="Times New Roman"/>
          <w:lang w:val="en-US"/>
        </w:rPr>
        <w:t>)</w:t>
      </w:r>
      <w:r w:rsidR="00DB627A" w:rsidRPr="00DB627A">
        <w:rPr>
          <w:rFonts w:ascii="Times New Roman" w:hAnsi="Times New Roman" w:cs="Times New Roman"/>
          <w:lang w:val="en-US"/>
        </w:rPr>
        <w:t xml:space="preserve">. </w:t>
      </w:r>
      <w:r>
        <w:rPr>
          <w:rFonts w:ascii="Times New Roman" w:hAnsi="Times New Roman" w:cs="Times New Roman"/>
          <w:lang w:val="en-US"/>
        </w:rPr>
        <w:t xml:space="preserve"> These were much more than geographic</w:t>
      </w:r>
      <w:r w:rsidR="00DB627A" w:rsidRPr="00DB627A">
        <w:rPr>
          <w:rFonts w:ascii="Times New Roman" w:hAnsi="Times New Roman" w:cs="Times New Roman"/>
          <w:lang w:val="en-US"/>
        </w:rPr>
        <w:t xml:space="preserve"> points</w:t>
      </w:r>
      <w:r>
        <w:rPr>
          <w:rFonts w:ascii="Times New Roman" w:hAnsi="Times New Roman" w:cs="Times New Roman"/>
          <w:lang w:val="en-US"/>
        </w:rPr>
        <w:t xml:space="preserve"> but were the points of interaction</w:t>
      </w:r>
      <w:r w:rsidR="00DB627A" w:rsidRPr="00DB627A">
        <w:rPr>
          <w:rFonts w:ascii="Times New Roman" w:hAnsi="Times New Roman" w:cs="Times New Roman"/>
          <w:lang w:val="en-US"/>
        </w:rPr>
        <w:t xml:space="preserve"> between the</w:t>
      </w:r>
      <w:r>
        <w:rPr>
          <w:rFonts w:ascii="Times New Roman" w:hAnsi="Times New Roman" w:cs="Times New Roman"/>
          <w:lang w:val="en-US"/>
        </w:rPr>
        <w:t xml:space="preserve"> t</w:t>
      </w:r>
      <w:r w:rsidR="00DB627A" w:rsidRPr="00DB627A">
        <w:rPr>
          <w:rFonts w:ascii="Times New Roman" w:hAnsi="Times New Roman" w:cs="Times New Roman"/>
          <w:lang w:val="en-US"/>
        </w:rPr>
        <w:t>wo spheres</w:t>
      </w:r>
      <w:r>
        <w:rPr>
          <w:rFonts w:ascii="Times New Roman" w:hAnsi="Times New Roman" w:cs="Times New Roman"/>
          <w:lang w:val="en-US"/>
        </w:rPr>
        <w:t xml:space="preserve"> and were obviously important from the epithets given to them, for example</w:t>
      </w:r>
      <w:r w:rsidR="00DB627A" w:rsidRPr="00DB627A">
        <w:rPr>
          <w:rFonts w:ascii="Times New Roman" w:hAnsi="Times New Roman" w:cs="Times New Roman"/>
          <w:lang w:val="en-US"/>
        </w:rPr>
        <w:t xml:space="preserve"> "god X, worshiped by the people." The eastern entry to Karnak, </w:t>
      </w:r>
      <w:r>
        <w:rPr>
          <w:rFonts w:ascii="Times New Roman" w:hAnsi="Times New Roman" w:cs="Times New Roman"/>
          <w:lang w:val="en-US"/>
        </w:rPr>
        <w:t>was denoted the</w:t>
      </w:r>
      <w:r w:rsidR="00DB627A" w:rsidRPr="00DB627A">
        <w:rPr>
          <w:rFonts w:ascii="Times New Roman" w:hAnsi="Times New Roman" w:cs="Times New Roman"/>
          <w:lang w:val="en-US"/>
        </w:rPr>
        <w:t xml:space="preserve"> "upper door of the house of Amun</w:t>
      </w:r>
      <w:r>
        <w:rPr>
          <w:rFonts w:ascii="Times New Roman" w:hAnsi="Times New Roman" w:cs="Times New Roman"/>
          <w:lang w:val="en-US"/>
        </w:rPr>
        <w:t>.” A</w:t>
      </w:r>
      <w:r w:rsidR="00DB627A" w:rsidRPr="00DB627A">
        <w:rPr>
          <w:rFonts w:ascii="Times New Roman" w:hAnsi="Times New Roman" w:cs="Times New Roman"/>
          <w:lang w:val="en-US"/>
        </w:rPr>
        <w:t xml:space="preserve">round </w:t>
      </w:r>
      <w:r>
        <w:rPr>
          <w:rFonts w:ascii="Times New Roman" w:hAnsi="Times New Roman" w:cs="Times New Roman"/>
          <w:lang w:val="en-US"/>
        </w:rPr>
        <w:t>it</w:t>
      </w:r>
      <w:r w:rsidR="00DB627A" w:rsidRPr="00DB627A">
        <w:rPr>
          <w:rFonts w:ascii="Times New Roman" w:hAnsi="Times New Roman" w:cs="Times New Roman"/>
          <w:lang w:val="en-US"/>
        </w:rPr>
        <w:t xml:space="preserve"> an exterior chapel was built </w:t>
      </w:r>
      <w:r>
        <w:rPr>
          <w:rFonts w:ascii="Times New Roman" w:hAnsi="Times New Roman" w:cs="Times New Roman"/>
          <w:lang w:val="en-US"/>
        </w:rPr>
        <w:t xml:space="preserve">that </w:t>
      </w:r>
      <w:r w:rsidR="00DB627A" w:rsidRPr="00DB627A">
        <w:rPr>
          <w:rFonts w:ascii="Times New Roman" w:hAnsi="Times New Roman" w:cs="Times New Roman"/>
          <w:lang w:val="en-US"/>
        </w:rPr>
        <w:t>was reserved for devotees who did not have access to the temple; they invoked "Amun who hears prayers</w:t>
      </w:r>
      <w:r>
        <w:rPr>
          <w:rFonts w:ascii="Times New Roman" w:hAnsi="Times New Roman" w:cs="Times New Roman"/>
          <w:lang w:val="en-US"/>
        </w:rPr>
        <w:t>”</w:t>
      </w:r>
      <w:r>
        <w:rPr>
          <w:rStyle w:val="FootnoteReference"/>
          <w:rFonts w:ascii="Times New Roman" w:hAnsi="Times New Roman" w:cs="Times New Roman"/>
          <w:lang w:val="en-US"/>
        </w:rPr>
        <w:footnoteReference w:id="88"/>
      </w:r>
      <w:r>
        <w:rPr>
          <w:rFonts w:ascii="Times New Roman" w:hAnsi="Times New Roman" w:cs="Times New Roman"/>
          <w:lang w:val="en-US"/>
        </w:rPr>
        <w:t xml:space="preserve">.  </w:t>
      </w:r>
      <w:proofErr w:type="spellStart"/>
      <w:r>
        <w:rPr>
          <w:rFonts w:ascii="Times New Roman" w:hAnsi="Times New Roman" w:cs="Times New Roman"/>
          <w:lang w:val="en-US"/>
        </w:rPr>
        <w:t>Its</w:t>
      </w:r>
      <w:proofErr w:type="spellEnd"/>
      <w:r>
        <w:rPr>
          <w:rFonts w:ascii="Times New Roman" w:hAnsi="Times New Roman" w:cs="Times New Roman"/>
          <w:lang w:val="en-US"/>
        </w:rPr>
        <w:t xml:space="preserve"> obvious importance is reflected in the fact that successive kings, </w:t>
      </w:r>
      <w:proofErr w:type="gramStart"/>
      <w:r w:rsidR="0067638F">
        <w:rPr>
          <w:rFonts w:ascii="Times New Roman" w:hAnsi="Times New Roman" w:cs="Times New Roman"/>
          <w:lang w:val="en-US"/>
        </w:rPr>
        <w:t>e.g.</w:t>
      </w:r>
      <w:proofErr w:type="gramEnd"/>
      <w:r w:rsidR="0067638F">
        <w:rPr>
          <w:rFonts w:ascii="Times New Roman" w:hAnsi="Times New Roman" w:cs="Times New Roman"/>
          <w:lang w:val="en-US"/>
        </w:rPr>
        <w:t xml:space="preserve"> </w:t>
      </w:r>
      <w:proofErr w:type="spellStart"/>
      <w:r>
        <w:rPr>
          <w:rFonts w:ascii="Times New Roman" w:hAnsi="Times New Roman" w:cs="Times New Roman"/>
          <w:lang w:val="en-US"/>
        </w:rPr>
        <w:t>Tuthmosis</w:t>
      </w:r>
      <w:proofErr w:type="spellEnd"/>
      <w:r>
        <w:rPr>
          <w:rFonts w:ascii="Times New Roman" w:hAnsi="Times New Roman" w:cs="Times New Roman"/>
          <w:lang w:val="en-US"/>
        </w:rPr>
        <w:t xml:space="preserve"> </w:t>
      </w:r>
      <w:r w:rsidR="0067638F">
        <w:rPr>
          <w:rFonts w:ascii="Times New Roman" w:hAnsi="Times New Roman" w:cs="Times New Roman"/>
          <w:lang w:val="en-US"/>
        </w:rPr>
        <w:t xml:space="preserve">III, </w:t>
      </w:r>
      <w:proofErr w:type="spellStart"/>
      <w:r w:rsidR="0067638F">
        <w:rPr>
          <w:rFonts w:ascii="Times New Roman" w:hAnsi="Times New Roman" w:cs="Times New Roman"/>
          <w:lang w:val="en-US"/>
        </w:rPr>
        <w:t>Ramesess</w:t>
      </w:r>
      <w:proofErr w:type="spellEnd"/>
      <w:r w:rsidR="0067638F">
        <w:rPr>
          <w:rFonts w:ascii="Times New Roman" w:hAnsi="Times New Roman" w:cs="Times New Roman"/>
          <w:lang w:val="en-US"/>
        </w:rPr>
        <w:t xml:space="preserve"> II, and Ptolemy VIII, busied themselves with construction in the area</w:t>
      </w:r>
      <w:r w:rsidR="0067638F">
        <w:rPr>
          <w:rStyle w:val="FootnoteReference"/>
          <w:rFonts w:ascii="Times New Roman" w:hAnsi="Times New Roman" w:cs="Times New Roman"/>
          <w:lang w:val="en-US"/>
        </w:rPr>
        <w:footnoteReference w:id="89"/>
      </w:r>
      <w:r w:rsidR="0067638F">
        <w:rPr>
          <w:rFonts w:ascii="Times New Roman" w:hAnsi="Times New Roman" w:cs="Times New Roman"/>
          <w:lang w:val="en-US"/>
        </w:rPr>
        <w:t>.</w:t>
      </w:r>
    </w:p>
    <w:p w14:paraId="2F385379" w14:textId="77777777" w:rsidR="0067638F" w:rsidRDefault="0067638F" w:rsidP="00CF1622">
      <w:pPr>
        <w:spacing w:line="480" w:lineRule="auto"/>
        <w:rPr>
          <w:rFonts w:ascii="Times New Roman" w:hAnsi="Times New Roman" w:cs="Times New Roman"/>
          <w:lang w:val="en-US"/>
        </w:rPr>
      </w:pPr>
    </w:p>
    <w:p w14:paraId="6BA6C424" w14:textId="7BC9A703" w:rsidR="00DB627A" w:rsidRDefault="0067638F" w:rsidP="00CF1622">
      <w:pPr>
        <w:spacing w:line="480" w:lineRule="auto"/>
        <w:rPr>
          <w:rFonts w:ascii="Times New Roman" w:hAnsi="Times New Roman" w:cs="Times New Roman"/>
          <w:lang w:val="en-US"/>
        </w:rPr>
      </w:pPr>
      <w:r>
        <w:rPr>
          <w:rFonts w:ascii="Times New Roman" w:hAnsi="Times New Roman" w:cs="Times New Roman"/>
          <w:lang w:val="en-US"/>
        </w:rPr>
        <w:t xml:space="preserve">In a similar vein at Memphis there was a popular part of the worship of that city and creator god Ptah close to a basin, the wall of which took the form of a niched façade. Rendered upon it is a text greeting Ptah </w:t>
      </w:r>
      <w:r w:rsidR="00DB627A" w:rsidRPr="00DB627A">
        <w:rPr>
          <w:rFonts w:ascii="Times New Roman" w:hAnsi="Times New Roman" w:cs="Times New Roman"/>
          <w:lang w:val="en-US"/>
        </w:rPr>
        <w:t>"at the base of the great rampart, for it is the place where requests are heard."</w:t>
      </w:r>
      <w:r>
        <w:rPr>
          <w:rStyle w:val="FootnoteReference"/>
          <w:rFonts w:ascii="Times New Roman" w:hAnsi="Times New Roman" w:cs="Times New Roman"/>
          <w:lang w:val="en-US"/>
        </w:rPr>
        <w:footnoteReference w:id="90"/>
      </w:r>
    </w:p>
    <w:p w14:paraId="3DFE335F" w14:textId="77777777" w:rsidR="0067638F" w:rsidRDefault="0067638F" w:rsidP="00CF1622">
      <w:pPr>
        <w:spacing w:line="480" w:lineRule="auto"/>
        <w:rPr>
          <w:rFonts w:ascii="Times New Roman" w:hAnsi="Times New Roman" w:cs="Times New Roman"/>
          <w:lang w:val="en-US"/>
        </w:rPr>
      </w:pPr>
    </w:p>
    <w:p w14:paraId="3D58E227" w14:textId="7E4A7406" w:rsidR="0067638F" w:rsidRDefault="0067638F" w:rsidP="00CF1622">
      <w:pPr>
        <w:spacing w:line="480" w:lineRule="auto"/>
        <w:rPr>
          <w:rFonts w:ascii="Times New Roman" w:hAnsi="Times New Roman" w:cs="Times New Roman"/>
          <w:lang w:val="en-US"/>
        </w:rPr>
      </w:pPr>
      <w:r>
        <w:rPr>
          <w:rFonts w:ascii="Times New Roman" w:hAnsi="Times New Roman" w:cs="Times New Roman"/>
          <w:lang w:val="en-US"/>
        </w:rPr>
        <w:t>All of which is provides a context of a people not divorced completely from the main religious activity of a particular area of Egypt</w:t>
      </w:r>
      <w:r w:rsidR="009C0694">
        <w:rPr>
          <w:rFonts w:ascii="Times New Roman" w:hAnsi="Times New Roman" w:cs="Times New Roman"/>
          <w:lang w:val="en-US"/>
        </w:rPr>
        <w:t xml:space="preserve"> but actually embodied within it in different </w:t>
      </w:r>
      <w:r w:rsidR="009C0694">
        <w:rPr>
          <w:rFonts w:ascii="Times New Roman" w:hAnsi="Times New Roman" w:cs="Times New Roman"/>
          <w:lang w:val="en-US"/>
        </w:rPr>
        <w:lastRenderedPageBreak/>
        <w:t xml:space="preserve">ways, and knowing the right actions, social and ritual, in their engagement with the gods and their temples. </w:t>
      </w:r>
      <w:r>
        <w:rPr>
          <w:rFonts w:ascii="Times New Roman" w:hAnsi="Times New Roman" w:cs="Times New Roman"/>
          <w:lang w:val="en-US"/>
        </w:rPr>
        <w:t xml:space="preserve"> </w:t>
      </w:r>
      <w:r w:rsidR="009C0694">
        <w:rPr>
          <w:rFonts w:ascii="Times New Roman" w:hAnsi="Times New Roman" w:cs="Times New Roman"/>
          <w:lang w:val="en-US"/>
        </w:rPr>
        <w:t>So,</w:t>
      </w:r>
      <w:r>
        <w:rPr>
          <w:rFonts w:ascii="Times New Roman" w:hAnsi="Times New Roman" w:cs="Times New Roman"/>
          <w:lang w:val="en-US"/>
        </w:rPr>
        <w:t xml:space="preserve"> it can be argued that the proces</w:t>
      </w:r>
      <w:r w:rsidR="00DF2EC4">
        <w:rPr>
          <w:rFonts w:ascii="Times New Roman" w:hAnsi="Times New Roman" w:cs="Times New Roman"/>
          <w:lang w:val="en-US"/>
        </w:rPr>
        <w:t xml:space="preserve">sional </w:t>
      </w:r>
      <w:r>
        <w:rPr>
          <w:rFonts w:ascii="Times New Roman" w:hAnsi="Times New Roman" w:cs="Times New Roman"/>
          <w:lang w:val="en-US"/>
        </w:rPr>
        <w:t xml:space="preserve">events </w:t>
      </w:r>
      <w:r w:rsidR="00DF2EC4">
        <w:rPr>
          <w:rFonts w:ascii="Times New Roman" w:hAnsi="Times New Roman" w:cs="Times New Roman"/>
          <w:lang w:val="en-US"/>
        </w:rPr>
        <w:t xml:space="preserve">during which </w:t>
      </w:r>
      <w:r w:rsidR="00DF2EC4">
        <w:rPr>
          <w:rFonts w:ascii="Times New Roman" w:hAnsi="Times New Roman" w:cs="Times New Roman"/>
          <w:i/>
          <w:iCs/>
          <w:lang w:val="en-US"/>
        </w:rPr>
        <w:t xml:space="preserve">biay.t </w:t>
      </w:r>
      <w:r w:rsidR="00DF2EC4">
        <w:rPr>
          <w:rFonts w:ascii="Times New Roman" w:hAnsi="Times New Roman" w:cs="Times New Roman"/>
          <w:lang w:val="en-US"/>
        </w:rPr>
        <w:t>or oracles took place, whilst special and perhaps anticipated with joy, were an expected and integral part of the being able to communicate with the divine.</w:t>
      </w:r>
    </w:p>
    <w:p w14:paraId="0951FFF8" w14:textId="77777777" w:rsidR="0034203E" w:rsidRDefault="0034203E" w:rsidP="00CF1622">
      <w:pPr>
        <w:spacing w:line="480" w:lineRule="auto"/>
        <w:rPr>
          <w:rFonts w:ascii="Times New Roman" w:hAnsi="Times New Roman" w:cs="Times New Roman"/>
          <w:lang w:val="en-US"/>
        </w:rPr>
      </w:pPr>
    </w:p>
    <w:p w14:paraId="2DB2D3F1" w14:textId="4BE3EE10" w:rsidR="0034203E" w:rsidRDefault="0034203E" w:rsidP="00CF1622">
      <w:pPr>
        <w:spacing w:line="480" w:lineRule="auto"/>
        <w:rPr>
          <w:rFonts w:ascii="Times New Roman" w:hAnsi="Times New Roman" w:cs="Times New Roman"/>
          <w:lang w:val="en-US"/>
        </w:rPr>
      </w:pPr>
      <w:r>
        <w:rPr>
          <w:rFonts w:ascii="Times New Roman" w:hAnsi="Times New Roman" w:cs="Times New Roman"/>
          <w:lang w:val="en-US"/>
        </w:rPr>
        <w:t>However, the first attested perambulation of the bark which has details of the oracular process is an entirely royal affair</w:t>
      </w:r>
      <w:r>
        <w:rPr>
          <w:rStyle w:val="FootnoteReference"/>
          <w:rFonts w:ascii="Times New Roman" w:hAnsi="Times New Roman" w:cs="Times New Roman"/>
          <w:lang w:val="en-US"/>
        </w:rPr>
        <w:footnoteReference w:id="91"/>
      </w:r>
      <w:r>
        <w:rPr>
          <w:rFonts w:ascii="Times New Roman" w:hAnsi="Times New Roman" w:cs="Times New Roman"/>
          <w:lang w:val="en-US"/>
        </w:rPr>
        <w:t xml:space="preserve">. During the reign of </w:t>
      </w:r>
      <w:proofErr w:type="spellStart"/>
      <w:r>
        <w:rPr>
          <w:rFonts w:ascii="Times New Roman" w:hAnsi="Times New Roman" w:cs="Times New Roman"/>
          <w:lang w:val="en-US"/>
        </w:rPr>
        <w:t>Thutmosis</w:t>
      </w:r>
      <w:proofErr w:type="spellEnd"/>
      <w:r>
        <w:rPr>
          <w:rFonts w:ascii="Times New Roman" w:hAnsi="Times New Roman" w:cs="Times New Roman"/>
          <w:lang w:val="en-US"/>
        </w:rPr>
        <w:t xml:space="preserve"> III</w:t>
      </w:r>
      <w:r w:rsidR="0039735D">
        <w:rPr>
          <w:rFonts w:ascii="Times New Roman" w:hAnsi="Times New Roman" w:cs="Times New Roman"/>
          <w:lang w:val="en-US"/>
        </w:rPr>
        <w:t xml:space="preserve"> (1479-1425 BCE)</w:t>
      </w:r>
      <w:r>
        <w:rPr>
          <w:rFonts w:ascii="Times New Roman" w:hAnsi="Times New Roman" w:cs="Times New Roman"/>
          <w:lang w:val="en-US"/>
        </w:rPr>
        <w:t xml:space="preserve">, in an engraving at Karnak describing his life, the story of how he </w:t>
      </w:r>
      <w:r w:rsidR="0039735D">
        <w:rPr>
          <w:rFonts w:ascii="Times New Roman" w:hAnsi="Times New Roman" w:cs="Times New Roman"/>
          <w:lang w:val="en-US"/>
        </w:rPr>
        <w:t>became</w:t>
      </w:r>
      <w:r>
        <w:rPr>
          <w:rFonts w:ascii="Times New Roman" w:hAnsi="Times New Roman" w:cs="Times New Roman"/>
          <w:lang w:val="en-US"/>
        </w:rPr>
        <w:t xml:space="preserve"> </w:t>
      </w:r>
      <w:r w:rsidR="0039735D">
        <w:rPr>
          <w:rFonts w:ascii="Times New Roman" w:hAnsi="Times New Roman" w:cs="Times New Roman"/>
          <w:lang w:val="en-US"/>
        </w:rPr>
        <w:t>k</w:t>
      </w:r>
      <w:r>
        <w:rPr>
          <w:rFonts w:ascii="Times New Roman" w:hAnsi="Times New Roman" w:cs="Times New Roman"/>
          <w:lang w:val="en-US"/>
        </w:rPr>
        <w:t xml:space="preserve">ing is told.  </w:t>
      </w:r>
      <w:r w:rsidR="0039735D">
        <w:rPr>
          <w:rFonts w:ascii="Times New Roman" w:hAnsi="Times New Roman" w:cs="Times New Roman"/>
          <w:lang w:val="en-US"/>
        </w:rPr>
        <w:t>The god Amun in his bark perambulated the Northern hall and before the courtiers stopped in front of the</w:t>
      </w:r>
      <w:r w:rsidR="00F8505A">
        <w:rPr>
          <w:rFonts w:ascii="Times New Roman" w:hAnsi="Times New Roman" w:cs="Times New Roman"/>
          <w:lang w:val="en-US"/>
        </w:rPr>
        <w:t>,</w:t>
      </w:r>
      <w:r w:rsidR="0039735D">
        <w:rPr>
          <w:rFonts w:ascii="Times New Roman" w:hAnsi="Times New Roman" w:cs="Times New Roman"/>
          <w:lang w:val="en-US"/>
        </w:rPr>
        <w:t xml:space="preserve"> then</w:t>
      </w:r>
      <w:r w:rsidR="00F8505A">
        <w:rPr>
          <w:rFonts w:ascii="Times New Roman" w:hAnsi="Times New Roman" w:cs="Times New Roman"/>
          <w:lang w:val="en-US"/>
        </w:rPr>
        <w:t>,</w:t>
      </w:r>
      <w:r w:rsidR="0039735D">
        <w:rPr>
          <w:rFonts w:ascii="Times New Roman" w:hAnsi="Times New Roman" w:cs="Times New Roman"/>
          <w:lang w:val="en-US"/>
        </w:rPr>
        <w:t xml:space="preserve"> Prince </w:t>
      </w:r>
      <w:proofErr w:type="spellStart"/>
      <w:r w:rsidR="0039735D">
        <w:rPr>
          <w:rFonts w:ascii="Times New Roman" w:hAnsi="Times New Roman" w:cs="Times New Roman"/>
          <w:lang w:val="en-US"/>
        </w:rPr>
        <w:t>Thutmosis</w:t>
      </w:r>
      <w:proofErr w:type="spellEnd"/>
      <w:r w:rsidR="0039735D">
        <w:rPr>
          <w:rFonts w:ascii="Times New Roman" w:hAnsi="Times New Roman" w:cs="Times New Roman"/>
          <w:lang w:val="en-US"/>
        </w:rPr>
        <w:t xml:space="preserve">.  He threw himself on the ground and then was led to the place reserved for the rightful king.  And, according to the P. Turin 1882, this procedure was repeated over 300 years later to legitimize the power of </w:t>
      </w:r>
      <w:proofErr w:type="spellStart"/>
      <w:r w:rsidR="0039735D">
        <w:rPr>
          <w:rFonts w:ascii="Times New Roman" w:hAnsi="Times New Roman" w:cs="Times New Roman"/>
          <w:lang w:val="en-US"/>
        </w:rPr>
        <w:t>Ramesess</w:t>
      </w:r>
      <w:proofErr w:type="spellEnd"/>
      <w:r w:rsidR="0039735D">
        <w:rPr>
          <w:rFonts w:ascii="Times New Roman" w:hAnsi="Times New Roman" w:cs="Times New Roman"/>
          <w:lang w:val="en-US"/>
        </w:rPr>
        <w:t xml:space="preserve"> IV (1153-1147 BCE)</w:t>
      </w:r>
      <w:r w:rsidR="0039735D">
        <w:rPr>
          <w:rStyle w:val="FootnoteReference"/>
          <w:rFonts w:ascii="Times New Roman" w:hAnsi="Times New Roman" w:cs="Times New Roman"/>
          <w:lang w:val="en-US"/>
        </w:rPr>
        <w:footnoteReference w:id="92"/>
      </w:r>
      <w:r w:rsidR="0039735D">
        <w:rPr>
          <w:rFonts w:ascii="Times New Roman" w:hAnsi="Times New Roman" w:cs="Times New Roman"/>
          <w:lang w:val="en-US"/>
        </w:rPr>
        <w:t>.</w:t>
      </w:r>
      <w:r w:rsidR="00F8505A">
        <w:rPr>
          <w:rFonts w:ascii="Times New Roman" w:hAnsi="Times New Roman" w:cs="Times New Roman"/>
          <w:lang w:val="en-US"/>
        </w:rPr>
        <w:t xml:space="preserve"> Another famous example of the power of the oracle being used, perhaps, for political ends, is Queen Hatshepsut (1473-1458 BCE) asking the Lord of Gods for the best route to Punt. However, this message was not sought in the midst of the procession (when the statue would move to answer questions) – rather, according to </w:t>
      </w:r>
      <w:proofErr w:type="spellStart"/>
      <w:r w:rsidR="00F8505A">
        <w:rPr>
          <w:rFonts w:ascii="Times New Roman" w:hAnsi="Times New Roman" w:cs="Times New Roman"/>
          <w:lang w:val="en-US"/>
        </w:rPr>
        <w:t>Kruchten</w:t>
      </w:r>
      <w:proofErr w:type="spellEnd"/>
      <w:r w:rsidR="00F8505A">
        <w:rPr>
          <w:rFonts w:ascii="Times New Roman" w:hAnsi="Times New Roman" w:cs="Times New Roman"/>
          <w:lang w:val="en-US"/>
        </w:rPr>
        <w:t>, Hatshepsut states she “heard” the divine “order” at the “stairway” which refers to the bark shrine in Karnak</w:t>
      </w:r>
      <w:r w:rsidR="00F8505A">
        <w:rPr>
          <w:rStyle w:val="FootnoteReference"/>
          <w:rFonts w:ascii="Times New Roman" w:hAnsi="Times New Roman" w:cs="Times New Roman"/>
          <w:lang w:val="en-US"/>
        </w:rPr>
        <w:footnoteReference w:id="93"/>
      </w:r>
      <w:r w:rsidR="00F8505A">
        <w:rPr>
          <w:rFonts w:ascii="Times New Roman" w:hAnsi="Times New Roman" w:cs="Times New Roman"/>
          <w:lang w:val="en-US"/>
        </w:rPr>
        <w:t xml:space="preserve">.  This could then refer to speaking oracle or it could be considered to be </w:t>
      </w:r>
      <w:r w:rsidR="00FF3295">
        <w:rPr>
          <w:rFonts w:ascii="Times New Roman" w:hAnsi="Times New Roman" w:cs="Times New Roman"/>
          <w:lang w:val="en-US"/>
        </w:rPr>
        <w:t>an example of revelations obtained whilst sleeping (an early example of incubation)</w:t>
      </w:r>
      <w:r w:rsidR="00FF3295">
        <w:rPr>
          <w:rStyle w:val="FootnoteReference"/>
          <w:rFonts w:ascii="Times New Roman" w:hAnsi="Times New Roman" w:cs="Times New Roman"/>
          <w:lang w:val="en-US"/>
        </w:rPr>
        <w:footnoteReference w:id="94"/>
      </w:r>
      <w:r w:rsidR="00FF3295">
        <w:rPr>
          <w:rFonts w:ascii="Times New Roman" w:hAnsi="Times New Roman" w:cs="Times New Roman"/>
          <w:lang w:val="en-US"/>
        </w:rPr>
        <w:t>.</w:t>
      </w:r>
    </w:p>
    <w:p w14:paraId="34457142" w14:textId="77777777" w:rsidR="00FF3295" w:rsidRDefault="00FF3295" w:rsidP="00CF1622">
      <w:pPr>
        <w:spacing w:line="480" w:lineRule="auto"/>
        <w:rPr>
          <w:rFonts w:ascii="Times New Roman" w:hAnsi="Times New Roman" w:cs="Times New Roman"/>
          <w:lang w:val="en-US"/>
        </w:rPr>
      </w:pPr>
    </w:p>
    <w:p w14:paraId="1A57DF7E" w14:textId="0A0DC1E8" w:rsidR="00C82D2D" w:rsidRDefault="00FF3295" w:rsidP="00CF1622">
      <w:pPr>
        <w:spacing w:line="480" w:lineRule="auto"/>
        <w:rPr>
          <w:rFonts w:ascii="Times New Roman" w:hAnsi="Times New Roman" w:cs="Times New Roman"/>
          <w:lang w:val="en-US"/>
        </w:rPr>
      </w:pPr>
      <w:r>
        <w:rPr>
          <w:rFonts w:ascii="Times New Roman" w:hAnsi="Times New Roman" w:cs="Times New Roman"/>
          <w:lang w:val="en-US"/>
        </w:rPr>
        <w:t>After 1300 BCE, festival processions became the opportunity of ordinary people to ask a question</w:t>
      </w:r>
      <w:r>
        <w:rPr>
          <w:rStyle w:val="FootnoteReference"/>
          <w:rFonts w:ascii="Times New Roman" w:hAnsi="Times New Roman" w:cs="Times New Roman"/>
          <w:lang w:val="en-US"/>
        </w:rPr>
        <w:footnoteReference w:id="95"/>
      </w:r>
      <w:r>
        <w:rPr>
          <w:rFonts w:ascii="Times New Roman" w:hAnsi="Times New Roman" w:cs="Times New Roman"/>
          <w:lang w:val="en-US"/>
        </w:rPr>
        <w:t xml:space="preserve">.  Many ostraca and papyri have survived in the artefacts of Deir el-Medina which </w:t>
      </w:r>
      <w:r>
        <w:rPr>
          <w:rFonts w:ascii="Times New Roman" w:hAnsi="Times New Roman" w:cs="Times New Roman"/>
          <w:lang w:val="en-US"/>
        </w:rPr>
        <w:lastRenderedPageBreak/>
        <w:t>show that oracles became part of the exercise of judicial powers</w:t>
      </w:r>
      <w:r>
        <w:rPr>
          <w:rStyle w:val="FootnoteReference"/>
          <w:rFonts w:ascii="Times New Roman" w:hAnsi="Times New Roman" w:cs="Times New Roman"/>
          <w:lang w:val="en-US"/>
        </w:rPr>
        <w:footnoteReference w:id="96"/>
      </w:r>
      <w:r w:rsidR="00C82D2D">
        <w:rPr>
          <w:rFonts w:ascii="Times New Roman" w:hAnsi="Times New Roman" w:cs="Times New Roman"/>
          <w:lang w:val="en-US"/>
        </w:rPr>
        <w:t>.</w:t>
      </w:r>
      <w:r w:rsidR="00FA4A76">
        <w:rPr>
          <w:rFonts w:ascii="Times New Roman" w:hAnsi="Times New Roman" w:cs="Times New Roman"/>
          <w:lang w:val="en-US"/>
        </w:rPr>
        <w:t xml:space="preserve">  The petitioner would present or ask their question (normally through a senior priestly intermediary) and the God would indicate the answer by “nodding’, moving forwards or backwards depending upon the answer being positive or negative. </w:t>
      </w:r>
      <w:r w:rsidR="00C82D2D">
        <w:rPr>
          <w:rFonts w:ascii="Times New Roman" w:hAnsi="Times New Roman" w:cs="Times New Roman"/>
          <w:lang w:val="en-US"/>
        </w:rPr>
        <w:t>Oracles could be uttered by any processional statue or image. Other oracular gods</w:t>
      </w:r>
      <w:r w:rsidR="00FA4A76">
        <w:rPr>
          <w:rFonts w:ascii="Times New Roman" w:hAnsi="Times New Roman" w:cs="Times New Roman"/>
          <w:lang w:val="en-US"/>
        </w:rPr>
        <w:t xml:space="preserve"> around the </w:t>
      </w:r>
      <w:proofErr w:type="spellStart"/>
      <w:r w:rsidR="00FA4A76">
        <w:rPr>
          <w:rFonts w:ascii="Times New Roman" w:hAnsi="Times New Roman" w:cs="Times New Roman"/>
          <w:lang w:val="en-US"/>
        </w:rPr>
        <w:t>countrty</w:t>
      </w:r>
      <w:proofErr w:type="spellEnd"/>
      <w:r w:rsidR="00C82D2D">
        <w:rPr>
          <w:rFonts w:ascii="Times New Roman" w:hAnsi="Times New Roman" w:cs="Times New Roman"/>
          <w:lang w:val="en-US"/>
        </w:rPr>
        <w:t xml:space="preserve">, </w:t>
      </w:r>
      <w:proofErr w:type="gramStart"/>
      <w:r w:rsidR="00C82D2D">
        <w:rPr>
          <w:rFonts w:ascii="Times New Roman" w:hAnsi="Times New Roman" w:cs="Times New Roman"/>
          <w:lang w:val="en-US"/>
        </w:rPr>
        <w:t>e.g.</w:t>
      </w:r>
      <w:proofErr w:type="gramEnd"/>
      <w:r w:rsidR="00C82D2D">
        <w:rPr>
          <w:rFonts w:ascii="Times New Roman" w:hAnsi="Times New Roman" w:cs="Times New Roman"/>
          <w:lang w:val="en-US"/>
        </w:rPr>
        <w:t xml:space="preserve"> Isis at </w:t>
      </w:r>
      <w:proofErr w:type="spellStart"/>
      <w:r w:rsidR="00C82D2D">
        <w:rPr>
          <w:rFonts w:ascii="Times New Roman" w:hAnsi="Times New Roman" w:cs="Times New Roman"/>
          <w:lang w:val="en-US"/>
        </w:rPr>
        <w:t>Coptos</w:t>
      </w:r>
      <w:proofErr w:type="spellEnd"/>
      <w:r w:rsidR="00C82D2D">
        <w:rPr>
          <w:rFonts w:ascii="Times New Roman" w:hAnsi="Times New Roman" w:cs="Times New Roman"/>
          <w:lang w:val="en-US"/>
        </w:rPr>
        <w:t xml:space="preserve"> and Sutekh at </w:t>
      </w:r>
      <w:proofErr w:type="spellStart"/>
      <w:r w:rsidR="00C82D2D">
        <w:rPr>
          <w:rFonts w:ascii="Times New Roman" w:hAnsi="Times New Roman" w:cs="Times New Roman"/>
          <w:lang w:val="en-US"/>
        </w:rPr>
        <w:t>Dakhla</w:t>
      </w:r>
      <w:proofErr w:type="spellEnd"/>
      <w:r w:rsidR="00C82D2D">
        <w:rPr>
          <w:rFonts w:ascii="Times New Roman" w:hAnsi="Times New Roman" w:cs="Times New Roman"/>
          <w:lang w:val="en-US"/>
        </w:rPr>
        <w:t>, are attested</w:t>
      </w:r>
      <w:r w:rsidR="00FA4A76">
        <w:rPr>
          <w:rStyle w:val="FootnoteReference"/>
          <w:rFonts w:ascii="Times New Roman" w:hAnsi="Times New Roman" w:cs="Times New Roman"/>
          <w:lang w:val="en-US"/>
        </w:rPr>
        <w:footnoteReference w:id="97"/>
      </w:r>
      <w:r w:rsidR="00C82D2D">
        <w:rPr>
          <w:rFonts w:ascii="Times New Roman" w:hAnsi="Times New Roman" w:cs="Times New Roman"/>
          <w:lang w:val="en-US"/>
        </w:rPr>
        <w:t xml:space="preserve">.  The image of the god was carried by </w:t>
      </w:r>
      <w:proofErr w:type="spellStart"/>
      <w:r w:rsidR="00C82D2D">
        <w:rPr>
          <w:rFonts w:ascii="Times New Roman" w:hAnsi="Times New Roman" w:cs="Times New Roman"/>
          <w:i/>
          <w:iCs/>
          <w:lang w:val="en-US"/>
        </w:rPr>
        <w:t>wb</w:t>
      </w:r>
      <w:proofErr w:type="spellEnd"/>
      <w:r w:rsidR="00C82D2D">
        <w:rPr>
          <w:rFonts w:ascii="Times New Roman" w:hAnsi="Times New Roman" w:cs="Times New Roman"/>
          <w:lang w:val="en-US"/>
        </w:rPr>
        <w:t>-priests and when the bark was placed on its “Great seat” (either something built on the processional way or its home shrine, such as the sanctuary at Karnak), the oracular session was over</w:t>
      </w:r>
      <w:r w:rsidR="00C82D2D">
        <w:rPr>
          <w:rStyle w:val="FootnoteReference"/>
          <w:rFonts w:ascii="Times New Roman" w:hAnsi="Times New Roman" w:cs="Times New Roman"/>
          <w:lang w:val="en-US"/>
        </w:rPr>
        <w:footnoteReference w:id="98"/>
      </w:r>
      <w:r w:rsidR="00FA4A76">
        <w:rPr>
          <w:rFonts w:ascii="Times New Roman" w:hAnsi="Times New Roman" w:cs="Times New Roman"/>
          <w:lang w:val="en-US"/>
        </w:rPr>
        <w:t>.</w:t>
      </w:r>
    </w:p>
    <w:p w14:paraId="77A4D860" w14:textId="77777777" w:rsidR="00CC2FB0" w:rsidRDefault="00CC2FB0" w:rsidP="00CF1622">
      <w:pPr>
        <w:spacing w:line="480" w:lineRule="auto"/>
        <w:rPr>
          <w:rFonts w:ascii="Times New Roman" w:hAnsi="Times New Roman" w:cs="Times New Roman"/>
          <w:lang w:val="en-US"/>
        </w:rPr>
      </w:pPr>
    </w:p>
    <w:p w14:paraId="12035634" w14:textId="480D2FB7" w:rsidR="00A2419F" w:rsidRDefault="00CC2FB0" w:rsidP="00CF1622">
      <w:pPr>
        <w:spacing w:line="480" w:lineRule="auto"/>
        <w:rPr>
          <w:rFonts w:ascii="Times New Roman" w:hAnsi="Times New Roman" w:cs="Times New Roman"/>
          <w:lang w:val="en-US"/>
        </w:rPr>
      </w:pPr>
      <w:r>
        <w:rPr>
          <w:rFonts w:ascii="Times New Roman" w:hAnsi="Times New Roman" w:cs="Times New Roman"/>
          <w:lang w:val="en-US"/>
        </w:rPr>
        <w:t xml:space="preserve">At </w:t>
      </w:r>
      <w:proofErr w:type="spellStart"/>
      <w:r>
        <w:rPr>
          <w:rFonts w:ascii="Times New Roman" w:hAnsi="Times New Roman" w:cs="Times New Roman"/>
          <w:lang w:val="en-US"/>
        </w:rPr>
        <w:t>Waset</w:t>
      </w:r>
      <w:proofErr w:type="spellEnd"/>
      <w:r>
        <w:rPr>
          <w:rFonts w:ascii="Times New Roman" w:hAnsi="Times New Roman" w:cs="Times New Roman"/>
          <w:lang w:val="en-US"/>
        </w:rPr>
        <w:t>, during the period 950 to 850 BCE, over twenty examples of an amuletic oracular decree have survived</w:t>
      </w:r>
      <w:r>
        <w:rPr>
          <w:rStyle w:val="FootnoteReference"/>
          <w:rFonts w:ascii="Times New Roman" w:hAnsi="Times New Roman" w:cs="Times New Roman"/>
          <w:lang w:val="en-US"/>
        </w:rPr>
        <w:footnoteReference w:id="99"/>
      </w:r>
      <w:r>
        <w:rPr>
          <w:rFonts w:ascii="Times New Roman" w:hAnsi="Times New Roman" w:cs="Times New Roman"/>
          <w:lang w:val="en-US"/>
        </w:rPr>
        <w:t>. They are pronouncements for good health and fortune for named individuals written on long, thin papyrus strips and were designed to be rolled and worn as amulets in cases of wood or gold</w:t>
      </w:r>
      <w:r>
        <w:rPr>
          <w:rStyle w:val="FootnoteReference"/>
          <w:rFonts w:ascii="Times New Roman" w:hAnsi="Times New Roman" w:cs="Times New Roman"/>
          <w:lang w:val="en-US"/>
        </w:rPr>
        <w:footnoteReference w:id="100"/>
      </w:r>
      <w:r>
        <w:rPr>
          <w:rFonts w:ascii="Times New Roman" w:hAnsi="Times New Roman" w:cs="Times New Roman"/>
          <w:lang w:val="en-US"/>
        </w:rPr>
        <w:t>. In another</w:t>
      </w:r>
      <w:r w:rsidR="008C7903">
        <w:rPr>
          <w:rFonts w:ascii="Times New Roman" w:hAnsi="Times New Roman" w:cs="Times New Roman"/>
          <w:lang w:val="en-US"/>
        </w:rPr>
        <w:t xml:space="preserve"> expression of their importance in Egyptian life</w:t>
      </w:r>
      <w:r>
        <w:rPr>
          <w:rFonts w:ascii="Times New Roman" w:hAnsi="Times New Roman" w:cs="Times New Roman"/>
          <w:lang w:val="en-US"/>
        </w:rPr>
        <w:t>, the oracles of Amun</w:t>
      </w:r>
      <w:r w:rsidR="008C7903">
        <w:rPr>
          <w:rFonts w:ascii="Times New Roman" w:hAnsi="Times New Roman" w:cs="Times New Roman"/>
          <w:lang w:val="en-US"/>
        </w:rPr>
        <w:t>-Re</w:t>
      </w:r>
      <w:r>
        <w:rPr>
          <w:rFonts w:ascii="Times New Roman" w:hAnsi="Times New Roman" w:cs="Times New Roman"/>
          <w:lang w:val="en-US"/>
        </w:rPr>
        <w:t xml:space="preserve"> in Thebes were increasingly used </w:t>
      </w:r>
      <w:r w:rsidR="008C7903">
        <w:rPr>
          <w:rFonts w:ascii="Times New Roman" w:hAnsi="Times New Roman" w:cs="Times New Roman"/>
          <w:lang w:val="en-US"/>
        </w:rPr>
        <w:t xml:space="preserve">from the reign of </w:t>
      </w:r>
      <w:proofErr w:type="spellStart"/>
      <w:r w:rsidR="008C7903">
        <w:rPr>
          <w:rFonts w:ascii="Times New Roman" w:hAnsi="Times New Roman" w:cs="Times New Roman"/>
          <w:lang w:val="en-US"/>
        </w:rPr>
        <w:t>Ramesess</w:t>
      </w:r>
      <w:proofErr w:type="spellEnd"/>
      <w:r w:rsidR="008C7903">
        <w:rPr>
          <w:rFonts w:ascii="Times New Roman" w:hAnsi="Times New Roman" w:cs="Times New Roman"/>
          <w:lang w:val="en-US"/>
        </w:rPr>
        <w:t xml:space="preserve"> VI (1143-1136 BCE) onwards as a powerful political weapon for the priesthood as the surviving messages speak of matters such as the endowment of high-ranking persons and shrines</w:t>
      </w:r>
      <w:r w:rsidR="008C7903">
        <w:rPr>
          <w:rStyle w:val="FootnoteReference"/>
          <w:rFonts w:ascii="Times New Roman" w:hAnsi="Times New Roman" w:cs="Times New Roman"/>
          <w:lang w:val="en-US"/>
        </w:rPr>
        <w:footnoteReference w:id="101"/>
      </w:r>
      <w:r w:rsidR="00A2419F">
        <w:rPr>
          <w:rFonts w:ascii="Times New Roman" w:hAnsi="Times New Roman" w:cs="Times New Roman"/>
          <w:lang w:val="en-US"/>
        </w:rPr>
        <w:t>.</w:t>
      </w:r>
    </w:p>
    <w:p w14:paraId="6642FCC8" w14:textId="77777777" w:rsidR="00BF2990" w:rsidRDefault="00BF2990" w:rsidP="00CF1622">
      <w:pPr>
        <w:spacing w:line="480" w:lineRule="auto"/>
        <w:rPr>
          <w:rFonts w:ascii="Times New Roman" w:hAnsi="Times New Roman" w:cs="Times New Roman"/>
          <w:i/>
          <w:lang w:val="en-US"/>
        </w:rPr>
      </w:pPr>
    </w:p>
    <w:p w14:paraId="6403E6D3" w14:textId="00001396" w:rsidR="00BF2990" w:rsidRPr="00FD3C95" w:rsidRDefault="00A2419F" w:rsidP="00CF1622">
      <w:pPr>
        <w:spacing w:line="480" w:lineRule="auto"/>
        <w:rPr>
          <w:rFonts w:ascii="Times New Roman" w:hAnsi="Times New Roman" w:cs="Times New Roman"/>
          <w:iCs/>
          <w:lang w:val="en-US"/>
        </w:rPr>
      </w:pPr>
      <w:r w:rsidRPr="00FD3C95">
        <w:rPr>
          <w:rFonts w:ascii="Times New Roman" w:hAnsi="Times New Roman" w:cs="Times New Roman"/>
          <w:iCs/>
          <w:lang w:val="en-US"/>
        </w:rPr>
        <w:t>Dream</w:t>
      </w:r>
      <w:r w:rsidR="00E665C4" w:rsidRPr="00FD3C95">
        <w:rPr>
          <w:rFonts w:ascii="Times New Roman" w:hAnsi="Times New Roman" w:cs="Times New Roman"/>
          <w:iCs/>
          <w:lang w:val="en-US"/>
        </w:rPr>
        <w:t>s</w:t>
      </w:r>
    </w:p>
    <w:p w14:paraId="218AB99C" w14:textId="77777777" w:rsidR="00FD3C95" w:rsidRDefault="00FD3C95" w:rsidP="00CF1622">
      <w:pPr>
        <w:spacing w:line="480" w:lineRule="auto"/>
        <w:rPr>
          <w:rFonts w:ascii="Times New Roman" w:hAnsi="Times New Roman" w:cs="Times New Roman"/>
          <w:iCs/>
          <w:lang w:val="en-US"/>
        </w:rPr>
      </w:pPr>
    </w:p>
    <w:p w14:paraId="02ACFEAD" w14:textId="6519958A" w:rsidR="00E665C4" w:rsidRDefault="00E665C4" w:rsidP="00CF1622">
      <w:pPr>
        <w:spacing w:line="480" w:lineRule="auto"/>
        <w:rPr>
          <w:rFonts w:ascii="Times New Roman" w:hAnsi="Times New Roman" w:cs="Times New Roman"/>
          <w:iCs/>
          <w:lang w:val="en-US"/>
        </w:rPr>
      </w:pPr>
      <w:r w:rsidRPr="00E665C4">
        <w:rPr>
          <w:rFonts w:ascii="Times New Roman" w:hAnsi="Times New Roman" w:cs="Times New Roman"/>
          <w:iCs/>
          <w:lang w:val="en-US"/>
        </w:rPr>
        <w:t xml:space="preserve">There was </w:t>
      </w:r>
      <w:r>
        <w:rPr>
          <w:rFonts w:ascii="Times New Roman" w:hAnsi="Times New Roman" w:cs="Times New Roman"/>
          <w:iCs/>
          <w:lang w:val="en-US"/>
        </w:rPr>
        <w:t xml:space="preserve">another </w:t>
      </w:r>
      <w:r w:rsidRPr="00E665C4">
        <w:rPr>
          <w:rFonts w:ascii="Times New Roman" w:hAnsi="Times New Roman" w:cs="Times New Roman"/>
          <w:iCs/>
          <w:lang w:val="en-US"/>
        </w:rPr>
        <w:t xml:space="preserve">state, that of sleep and dreams, that </w:t>
      </w:r>
      <w:r>
        <w:rPr>
          <w:rFonts w:ascii="Times New Roman" w:hAnsi="Times New Roman" w:cs="Times New Roman"/>
          <w:iCs/>
          <w:lang w:val="en-US"/>
        </w:rPr>
        <w:t xml:space="preserve">was also an opportunity to connect with the divine and receive messages.  In Egypt ‘sleep, </w:t>
      </w:r>
      <w:r w:rsidRPr="00E665C4">
        <w:rPr>
          <w:rFonts w:ascii="Times New Roman" w:hAnsi="Times New Roman" w:cs="Times New Roman"/>
          <w:iCs/>
          <w:lang w:val="en-US"/>
        </w:rPr>
        <w:t xml:space="preserve">though temporary, was associated </w:t>
      </w:r>
      <w:r w:rsidRPr="00E665C4">
        <w:rPr>
          <w:rFonts w:ascii="Times New Roman" w:hAnsi="Times New Roman" w:cs="Times New Roman"/>
          <w:iCs/>
          <w:lang w:val="en-US"/>
        </w:rPr>
        <w:lastRenderedPageBreak/>
        <w:t>with the idea of death</w:t>
      </w:r>
      <w:r>
        <w:rPr>
          <w:rFonts w:ascii="Times New Roman" w:hAnsi="Times New Roman" w:cs="Times New Roman"/>
          <w:iCs/>
          <w:lang w:val="en-US"/>
        </w:rPr>
        <w:t>’</w:t>
      </w:r>
      <w:r>
        <w:rPr>
          <w:rStyle w:val="FootnoteReference"/>
          <w:rFonts w:ascii="Times New Roman" w:hAnsi="Times New Roman" w:cs="Times New Roman"/>
          <w:iCs/>
          <w:lang w:val="en-US"/>
        </w:rPr>
        <w:footnoteReference w:id="102"/>
      </w:r>
      <w:r>
        <w:rPr>
          <w:rFonts w:ascii="Times New Roman" w:hAnsi="Times New Roman" w:cs="Times New Roman"/>
          <w:iCs/>
          <w:lang w:val="en-US"/>
        </w:rPr>
        <w:t>.  Whilst a</w:t>
      </w:r>
      <w:r w:rsidRPr="00E665C4">
        <w:rPr>
          <w:rFonts w:ascii="Times New Roman" w:hAnsi="Times New Roman" w:cs="Times New Roman"/>
          <w:iCs/>
          <w:lang w:val="en-US"/>
        </w:rPr>
        <w:t xml:space="preserve">sleep, one returned to a world of disorder that could </w:t>
      </w:r>
      <w:r>
        <w:rPr>
          <w:rFonts w:ascii="Times New Roman" w:hAnsi="Times New Roman" w:cs="Times New Roman"/>
          <w:iCs/>
          <w:lang w:val="en-US"/>
        </w:rPr>
        <w:t xml:space="preserve">be </w:t>
      </w:r>
      <w:r w:rsidRPr="00E665C4">
        <w:rPr>
          <w:rFonts w:ascii="Times New Roman" w:hAnsi="Times New Roman" w:cs="Times New Roman"/>
          <w:iCs/>
          <w:lang w:val="en-US"/>
        </w:rPr>
        <w:t xml:space="preserve">dangerous </w:t>
      </w:r>
      <w:r>
        <w:rPr>
          <w:rFonts w:ascii="Times New Roman" w:hAnsi="Times New Roman" w:cs="Times New Roman"/>
          <w:iCs/>
          <w:lang w:val="en-US"/>
        </w:rPr>
        <w:t>(similar in concept to the notion of Re on his nightly journey) which is why the headrests used for pillows often carried an image of a protective deity</w:t>
      </w:r>
      <w:r>
        <w:rPr>
          <w:rStyle w:val="FootnoteReference"/>
          <w:rFonts w:ascii="Times New Roman" w:hAnsi="Times New Roman" w:cs="Times New Roman"/>
          <w:iCs/>
          <w:lang w:val="en-US"/>
        </w:rPr>
        <w:footnoteReference w:id="103"/>
      </w:r>
      <w:r>
        <w:rPr>
          <w:rFonts w:ascii="Times New Roman" w:hAnsi="Times New Roman" w:cs="Times New Roman"/>
          <w:iCs/>
          <w:lang w:val="en-US"/>
        </w:rPr>
        <w:t>.</w:t>
      </w:r>
    </w:p>
    <w:p w14:paraId="6ABE8131" w14:textId="77777777" w:rsidR="00081479" w:rsidRDefault="00081479" w:rsidP="00081479">
      <w:pPr>
        <w:spacing w:line="480" w:lineRule="auto"/>
        <w:rPr>
          <w:rFonts w:ascii="Times New Roman" w:hAnsi="Times New Roman" w:cs="Times New Roman"/>
          <w:iCs/>
          <w:lang w:val="en-US"/>
        </w:rPr>
      </w:pPr>
    </w:p>
    <w:p w14:paraId="121E11ED" w14:textId="0CC07E19" w:rsidR="00081479" w:rsidRDefault="00081479" w:rsidP="00081479">
      <w:pPr>
        <w:spacing w:line="480" w:lineRule="auto"/>
        <w:rPr>
          <w:rFonts w:ascii="Times New Roman" w:hAnsi="Times New Roman" w:cs="Times New Roman"/>
          <w:iCs/>
          <w:lang w:val="en-US"/>
        </w:rPr>
      </w:pPr>
      <w:r>
        <w:rPr>
          <w:rFonts w:ascii="Times New Roman" w:hAnsi="Times New Roman" w:cs="Times New Roman"/>
          <w:iCs/>
          <w:lang w:val="en-US"/>
        </w:rPr>
        <w:t>That dreaming was important is shown by the place given to it in Egyptian literature.  These are royal chronicles and pseudo-</w:t>
      </w:r>
      <w:proofErr w:type="gramStart"/>
      <w:r>
        <w:rPr>
          <w:rFonts w:ascii="Times New Roman" w:hAnsi="Times New Roman" w:cs="Times New Roman"/>
          <w:iCs/>
          <w:lang w:val="en-US"/>
        </w:rPr>
        <w:t>histories</w:t>
      </w:r>
      <w:proofErr w:type="gramEnd"/>
      <w:r>
        <w:rPr>
          <w:rFonts w:ascii="Times New Roman" w:hAnsi="Times New Roman" w:cs="Times New Roman"/>
          <w:iCs/>
          <w:lang w:val="en-US"/>
        </w:rPr>
        <w:t xml:space="preserve"> and the dreaming is of the premonitory kind. For example, the deity appears before the king (or his heir) announcing the keeping of a promise, usually the granting of Pharaonic power as a reward for devotion</w:t>
      </w:r>
      <w:r>
        <w:rPr>
          <w:rStyle w:val="FootnoteReference"/>
          <w:rFonts w:ascii="Times New Roman" w:hAnsi="Times New Roman" w:cs="Times New Roman"/>
          <w:iCs/>
          <w:lang w:val="en-US"/>
        </w:rPr>
        <w:footnoteReference w:id="104"/>
      </w:r>
      <w:r>
        <w:rPr>
          <w:rFonts w:ascii="Times New Roman" w:hAnsi="Times New Roman" w:cs="Times New Roman"/>
          <w:iCs/>
          <w:lang w:val="en-US"/>
        </w:rPr>
        <w:t xml:space="preserve">. According to </w:t>
      </w:r>
      <w:proofErr w:type="spellStart"/>
      <w:r>
        <w:rPr>
          <w:rFonts w:ascii="Times New Roman" w:hAnsi="Times New Roman" w:cs="Times New Roman"/>
          <w:iCs/>
          <w:lang w:val="en-US"/>
        </w:rPr>
        <w:t>Dunand</w:t>
      </w:r>
      <w:proofErr w:type="spellEnd"/>
      <w:r>
        <w:rPr>
          <w:rFonts w:ascii="Times New Roman" w:hAnsi="Times New Roman" w:cs="Times New Roman"/>
          <w:iCs/>
          <w:lang w:val="en-US"/>
        </w:rPr>
        <w:t xml:space="preserve"> and </w:t>
      </w:r>
      <w:proofErr w:type="spellStart"/>
      <w:r>
        <w:rPr>
          <w:rFonts w:ascii="Times New Roman" w:hAnsi="Times New Roman" w:cs="Times New Roman"/>
          <w:iCs/>
          <w:lang w:val="en-US"/>
        </w:rPr>
        <w:t>Zivie</w:t>
      </w:r>
      <w:proofErr w:type="spellEnd"/>
      <w:r>
        <w:rPr>
          <w:rFonts w:ascii="Times New Roman" w:hAnsi="Times New Roman" w:cs="Times New Roman"/>
          <w:iCs/>
          <w:lang w:val="en-US"/>
        </w:rPr>
        <w:t xml:space="preserve">-Coche, this dreaming tradition, which extends in literature from the Middle </w:t>
      </w:r>
      <w:proofErr w:type="spellStart"/>
      <w:r>
        <w:rPr>
          <w:rFonts w:ascii="Times New Roman" w:hAnsi="Times New Roman" w:cs="Times New Roman"/>
          <w:iCs/>
          <w:lang w:val="en-US"/>
        </w:rPr>
        <w:t>Kingdon</w:t>
      </w:r>
      <w:proofErr w:type="spellEnd"/>
      <w:r>
        <w:rPr>
          <w:rFonts w:ascii="Times New Roman" w:hAnsi="Times New Roman" w:cs="Times New Roman"/>
          <w:iCs/>
          <w:lang w:val="en-US"/>
        </w:rPr>
        <w:t xml:space="preserve"> to the Ptolemies could be just fiction</w:t>
      </w:r>
      <w:r>
        <w:rPr>
          <w:rStyle w:val="FootnoteReference"/>
          <w:rFonts w:ascii="Times New Roman" w:hAnsi="Times New Roman" w:cs="Times New Roman"/>
          <w:iCs/>
          <w:lang w:val="en-US"/>
        </w:rPr>
        <w:footnoteReference w:id="105"/>
      </w:r>
      <w:r>
        <w:rPr>
          <w:rFonts w:ascii="Times New Roman" w:hAnsi="Times New Roman" w:cs="Times New Roman"/>
          <w:iCs/>
          <w:lang w:val="en-US"/>
        </w:rPr>
        <w:t xml:space="preserve"> but it does, as with oracles, show that dreams and their possible meanings had the agency to reveal divine power</w:t>
      </w:r>
      <w:r w:rsidR="002E144D">
        <w:rPr>
          <w:rFonts w:ascii="Times New Roman" w:hAnsi="Times New Roman" w:cs="Times New Roman"/>
          <w:iCs/>
          <w:lang w:val="en-US"/>
        </w:rPr>
        <w:t>, and if the genre is long lived then that signifies belief in that agency.</w:t>
      </w:r>
    </w:p>
    <w:p w14:paraId="131F1B4B" w14:textId="77777777" w:rsidR="002E144D" w:rsidRDefault="002E144D" w:rsidP="00081479">
      <w:pPr>
        <w:spacing w:line="480" w:lineRule="auto"/>
        <w:rPr>
          <w:rFonts w:ascii="Times New Roman" w:hAnsi="Times New Roman" w:cs="Times New Roman"/>
          <w:iCs/>
          <w:lang w:val="en-US"/>
        </w:rPr>
      </w:pPr>
    </w:p>
    <w:p w14:paraId="4FB22E11" w14:textId="011717A1" w:rsidR="002E144D" w:rsidRDefault="002E144D" w:rsidP="00081479">
      <w:pPr>
        <w:spacing w:line="480" w:lineRule="auto"/>
        <w:rPr>
          <w:rFonts w:ascii="Times New Roman" w:hAnsi="Times New Roman" w:cs="Times New Roman"/>
          <w:iCs/>
          <w:lang w:val="en-US"/>
        </w:rPr>
      </w:pPr>
      <w:r>
        <w:rPr>
          <w:rFonts w:ascii="Times New Roman" w:hAnsi="Times New Roman" w:cs="Times New Roman"/>
          <w:iCs/>
          <w:lang w:val="en-US"/>
        </w:rPr>
        <w:t>Interestingly.</w:t>
      </w:r>
      <w:r w:rsidRPr="002E144D">
        <w:rPr>
          <w:rFonts w:ascii="Times New Roman" w:hAnsi="Times New Roman" w:cs="Times New Roman"/>
          <w:iCs/>
          <w:lang w:val="en-US"/>
        </w:rPr>
        <w:t xml:space="preserve"> the </w:t>
      </w:r>
      <w:r>
        <w:rPr>
          <w:rFonts w:ascii="Times New Roman" w:hAnsi="Times New Roman" w:cs="Times New Roman"/>
          <w:iCs/>
          <w:lang w:val="en-US"/>
        </w:rPr>
        <w:t xml:space="preserve">Egyptian word for dream is </w:t>
      </w:r>
      <w:proofErr w:type="spellStart"/>
      <w:r>
        <w:rPr>
          <w:rFonts w:ascii="Times New Roman" w:hAnsi="Times New Roman" w:cs="Times New Roman"/>
          <w:i/>
          <w:lang w:val="en-US"/>
        </w:rPr>
        <w:t>rst</w:t>
      </w:r>
      <w:proofErr w:type="spellEnd"/>
      <w:r>
        <w:rPr>
          <w:rFonts w:ascii="Times New Roman" w:hAnsi="Times New Roman" w:cs="Times New Roman"/>
          <w:iCs/>
          <w:lang w:val="en-US"/>
        </w:rPr>
        <w:t xml:space="preserve"> and </w:t>
      </w:r>
      <w:r w:rsidRPr="002E144D">
        <w:rPr>
          <w:rFonts w:ascii="Times New Roman" w:hAnsi="Times New Roman" w:cs="Times New Roman"/>
          <w:iCs/>
          <w:lang w:val="en-US"/>
        </w:rPr>
        <w:t xml:space="preserve">is derived from a root expressing the </w:t>
      </w:r>
      <w:r>
        <w:rPr>
          <w:rFonts w:ascii="Times New Roman" w:hAnsi="Times New Roman" w:cs="Times New Roman"/>
          <w:iCs/>
          <w:lang w:val="en-US"/>
        </w:rPr>
        <w:t>concept</w:t>
      </w:r>
      <w:r w:rsidRPr="002E144D">
        <w:rPr>
          <w:rFonts w:ascii="Times New Roman" w:hAnsi="Times New Roman" w:cs="Times New Roman"/>
          <w:iCs/>
          <w:lang w:val="en-US"/>
        </w:rPr>
        <w:t xml:space="preserve"> of wakefulness</w:t>
      </w:r>
      <w:r>
        <w:rPr>
          <w:rFonts w:ascii="Times New Roman" w:hAnsi="Times New Roman" w:cs="Times New Roman"/>
          <w:iCs/>
          <w:lang w:val="en-US"/>
        </w:rPr>
        <w:t xml:space="preserve">. However, this </w:t>
      </w:r>
      <w:r w:rsidRPr="002E144D">
        <w:rPr>
          <w:rFonts w:ascii="Times New Roman" w:hAnsi="Times New Roman" w:cs="Times New Roman"/>
          <w:iCs/>
          <w:lang w:val="en-US"/>
        </w:rPr>
        <w:t xml:space="preserve">"wakefulness" after falling asleep was </w:t>
      </w:r>
      <w:r>
        <w:rPr>
          <w:rFonts w:ascii="Times New Roman" w:hAnsi="Times New Roman" w:cs="Times New Roman"/>
          <w:iCs/>
          <w:lang w:val="en-US"/>
        </w:rPr>
        <w:t xml:space="preserve">a meant to capture a </w:t>
      </w:r>
      <w:r w:rsidRPr="002E144D">
        <w:rPr>
          <w:rFonts w:ascii="Times New Roman" w:hAnsi="Times New Roman" w:cs="Times New Roman"/>
          <w:iCs/>
          <w:lang w:val="en-US"/>
        </w:rPr>
        <w:t xml:space="preserve">different </w:t>
      </w:r>
      <w:r>
        <w:rPr>
          <w:rFonts w:ascii="Times New Roman" w:hAnsi="Times New Roman" w:cs="Times New Roman"/>
          <w:iCs/>
          <w:lang w:val="en-US"/>
        </w:rPr>
        <w:t xml:space="preserve">state </w:t>
      </w:r>
      <w:r w:rsidRPr="002E144D">
        <w:rPr>
          <w:rFonts w:ascii="Times New Roman" w:hAnsi="Times New Roman" w:cs="Times New Roman"/>
          <w:iCs/>
          <w:lang w:val="en-US"/>
        </w:rPr>
        <w:t xml:space="preserve">from </w:t>
      </w:r>
      <w:r>
        <w:rPr>
          <w:rFonts w:ascii="Times New Roman" w:hAnsi="Times New Roman" w:cs="Times New Roman"/>
          <w:iCs/>
          <w:lang w:val="en-US"/>
        </w:rPr>
        <w:t xml:space="preserve">the </w:t>
      </w:r>
      <w:r w:rsidRPr="002E144D">
        <w:rPr>
          <w:rFonts w:ascii="Times New Roman" w:hAnsi="Times New Roman" w:cs="Times New Roman"/>
          <w:iCs/>
          <w:lang w:val="en-US"/>
        </w:rPr>
        <w:t xml:space="preserve">ordinary </w:t>
      </w:r>
      <w:r>
        <w:rPr>
          <w:rFonts w:ascii="Times New Roman" w:hAnsi="Times New Roman" w:cs="Times New Roman"/>
          <w:iCs/>
          <w:lang w:val="en-US"/>
        </w:rPr>
        <w:t>being a</w:t>
      </w:r>
      <w:r w:rsidRPr="002E144D">
        <w:rPr>
          <w:rFonts w:ascii="Times New Roman" w:hAnsi="Times New Roman" w:cs="Times New Roman"/>
          <w:iCs/>
          <w:lang w:val="en-US"/>
        </w:rPr>
        <w:t>wak</w:t>
      </w:r>
      <w:r>
        <w:rPr>
          <w:rFonts w:ascii="Times New Roman" w:hAnsi="Times New Roman" w:cs="Times New Roman"/>
          <w:iCs/>
          <w:lang w:val="en-US"/>
        </w:rPr>
        <w:t>e</w:t>
      </w:r>
      <w:r w:rsidRPr="002E144D">
        <w:rPr>
          <w:rFonts w:ascii="Times New Roman" w:hAnsi="Times New Roman" w:cs="Times New Roman"/>
          <w:iCs/>
          <w:lang w:val="en-US"/>
        </w:rPr>
        <w:t>. It was</w:t>
      </w:r>
      <w:r>
        <w:rPr>
          <w:rFonts w:ascii="Times New Roman" w:hAnsi="Times New Roman" w:cs="Times New Roman"/>
          <w:iCs/>
          <w:lang w:val="en-US"/>
        </w:rPr>
        <w:t xml:space="preserve"> when the “sleeper” was in that state</w:t>
      </w:r>
      <w:r w:rsidRPr="002E144D">
        <w:rPr>
          <w:rFonts w:ascii="Times New Roman" w:hAnsi="Times New Roman" w:cs="Times New Roman"/>
          <w:iCs/>
          <w:lang w:val="en-US"/>
        </w:rPr>
        <w:t xml:space="preserve"> then that deities could </w:t>
      </w:r>
      <w:r>
        <w:rPr>
          <w:rFonts w:ascii="Times New Roman" w:hAnsi="Times New Roman" w:cs="Times New Roman"/>
          <w:iCs/>
          <w:lang w:val="en-US"/>
        </w:rPr>
        <w:t>appear</w:t>
      </w:r>
      <w:r w:rsidRPr="002E144D">
        <w:rPr>
          <w:rFonts w:ascii="Times New Roman" w:hAnsi="Times New Roman" w:cs="Times New Roman"/>
          <w:iCs/>
          <w:lang w:val="en-US"/>
        </w:rPr>
        <w:t>,</w:t>
      </w:r>
      <w:r>
        <w:rPr>
          <w:rFonts w:ascii="Times New Roman" w:hAnsi="Times New Roman" w:cs="Times New Roman"/>
          <w:iCs/>
          <w:lang w:val="en-US"/>
        </w:rPr>
        <w:t xml:space="preserve"> either</w:t>
      </w:r>
      <w:r w:rsidRPr="002E144D">
        <w:rPr>
          <w:rFonts w:ascii="Times New Roman" w:hAnsi="Times New Roman" w:cs="Times New Roman"/>
          <w:iCs/>
          <w:lang w:val="en-US"/>
        </w:rPr>
        <w:t xml:space="preserve"> for good or for ill</w:t>
      </w:r>
      <w:r>
        <w:rPr>
          <w:rStyle w:val="FootnoteReference"/>
          <w:rFonts w:ascii="Times New Roman" w:hAnsi="Times New Roman" w:cs="Times New Roman"/>
          <w:iCs/>
          <w:lang w:val="en-US"/>
        </w:rPr>
        <w:footnoteReference w:id="106"/>
      </w:r>
      <w:r>
        <w:rPr>
          <w:rFonts w:ascii="Times New Roman" w:hAnsi="Times New Roman" w:cs="Times New Roman"/>
          <w:iCs/>
          <w:lang w:val="en-US"/>
        </w:rPr>
        <w:t>.</w:t>
      </w:r>
    </w:p>
    <w:p w14:paraId="6DF21AA8" w14:textId="7BF58E73" w:rsidR="002E144D" w:rsidRDefault="002E144D" w:rsidP="00081479">
      <w:pPr>
        <w:spacing w:line="480" w:lineRule="auto"/>
        <w:rPr>
          <w:rFonts w:ascii="Times New Roman" w:hAnsi="Times New Roman" w:cs="Times New Roman"/>
          <w:iCs/>
          <w:lang w:val="en-US"/>
        </w:rPr>
      </w:pPr>
    </w:p>
    <w:p w14:paraId="1666BB0E" w14:textId="1B398CAB" w:rsidR="002E144D" w:rsidRDefault="002E144D" w:rsidP="00081479">
      <w:pPr>
        <w:spacing w:line="480" w:lineRule="auto"/>
        <w:rPr>
          <w:rFonts w:ascii="Times New Roman" w:hAnsi="Times New Roman" w:cs="Times New Roman"/>
          <w:iCs/>
          <w:lang w:val="en-US"/>
        </w:rPr>
      </w:pPr>
      <w:r>
        <w:rPr>
          <w:rFonts w:ascii="Times New Roman" w:hAnsi="Times New Roman" w:cs="Times New Roman"/>
          <w:iCs/>
          <w:lang w:val="en-US"/>
        </w:rPr>
        <w:t>Everyone could dream</w:t>
      </w:r>
      <w:r w:rsidR="00F81D48">
        <w:rPr>
          <w:rFonts w:ascii="Times New Roman" w:hAnsi="Times New Roman" w:cs="Times New Roman"/>
          <w:iCs/>
          <w:lang w:val="en-US"/>
        </w:rPr>
        <w:t xml:space="preserve"> </w:t>
      </w:r>
      <w:r>
        <w:rPr>
          <w:rFonts w:ascii="Times New Roman" w:hAnsi="Times New Roman" w:cs="Times New Roman"/>
          <w:iCs/>
          <w:lang w:val="en-US"/>
        </w:rPr>
        <w:t>but the only evidence we have of it are “dream books”</w:t>
      </w:r>
      <w:r>
        <w:rPr>
          <w:rStyle w:val="FootnoteReference"/>
          <w:rFonts w:ascii="Times New Roman" w:hAnsi="Times New Roman" w:cs="Times New Roman"/>
          <w:iCs/>
          <w:lang w:val="en-US"/>
        </w:rPr>
        <w:footnoteReference w:id="107"/>
      </w:r>
      <w:r>
        <w:rPr>
          <w:rFonts w:ascii="Times New Roman" w:hAnsi="Times New Roman" w:cs="Times New Roman"/>
          <w:iCs/>
          <w:lang w:val="en-US"/>
        </w:rPr>
        <w:t>.</w:t>
      </w:r>
      <w:r w:rsidR="00F81D48">
        <w:rPr>
          <w:rFonts w:ascii="Times New Roman" w:hAnsi="Times New Roman" w:cs="Times New Roman"/>
          <w:iCs/>
          <w:lang w:val="en-US"/>
        </w:rPr>
        <w:t xml:space="preserve">  As Baines notes ‘…a dream could portray an event that was later interpreted as being either auspicious </w:t>
      </w:r>
      <w:r w:rsidR="00F81D48">
        <w:rPr>
          <w:rFonts w:ascii="Times New Roman" w:hAnsi="Times New Roman" w:cs="Times New Roman"/>
          <w:iCs/>
          <w:lang w:val="en-US"/>
        </w:rPr>
        <w:lastRenderedPageBreak/>
        <w:t>or inauspicious.’</w:t>
      </w:r>
      <w:r w:rsidR="00F81D48">
        <w:rPr>
          <w:rStyle w:val="FootnoteReference"/>
          <w:rFonts w:ascii="Times New Roman" w:hAnsi="Times New Roman" w:cs="Times New Roman"/>
          <w:iCs/>
          <w:lang w:val="en-US"/>
        </w:rPr>
        <w:footnoteReference w:id="108"/>
      </w:r>
      <w:r w:rsidR="00F81D48">
        <w:rPr>
          <w:rFonts w:ascii="Times New Roman" w:hAnsi="Times New Roman" w:cs="Times New Roman"/>
          <w:iCs/>
          <w:lang w:val="en-US"/>
        </w:rPr>
        <w:t xml:space="preserve"> To have that interpretation, the dreamer would need to consult a specialist – which could be a priest or a member of an elite community, </w:t>
      </w:r>
      <w:proofErr w:type="gramStart"/>
      <w:r w:rsidR="00F81D48">
        <w:rPr>
          <w:rFonts w:ascii="Times New Roman" w:hAnsi="Times New Roman" w:cs="Times New Roman"/>
          <w:iCs/>
          <w:lang w:val="en-US"/>
        </w:rPr>
        <w:t>e.g.</w:t>
      </w:r>
      <w:proofErr w:type="gramEnd"/>
      <w:r w:rsidR="00F81D48">
        <w:rPr>
          <w:rFonts w:ascii="Times New Roman" w:hAnsi="Times New Roman" w:cs="Times New Roman"/>
          <w:iCs/>
          <w:lang w:val="en-US"/>
        </w:rPr>
        <w:t xml:space="preserve"> the scribes at Deir el-Medina – who would look up the meaning of the dream in the book and classify it as good or bad</w:t>
      </w:r>
      <w:r w:rsidR="00F81D48">
        <w:rPr>
          <w:rStyle w:val="FootnoteReference"/>
          <w:rFonts w:ascii="Times New Roman" w:hAnsi="Times New Roman" w:cs="Times New Roman"/>
          <w:iCs/>
          <w:lang w:val="en-US"/>
        </w:rPr>
        <w:footnoteReference w:id="109"/>
      </w:r>
      <w:r w:rsidR="00F81D48">
        <w:rPr>
          <w:rFonts w:ascii="Times New Roman" w:hAnsi="Times New Roman" w:cs="Times New Roman"/>
          <w:iCs/>
          <w:lang w:val="en-US"/>
        </w:rPr>
        <w:t xml:space="preserve">.   </w:t>
      </w:r>
    </w:p>
    <w:p w14:paraId="2CE768AF" w14:textId="77777777" w:rsidR="00B14B11" w:rsidRDefault="00F81D48" w:rsidP="007D6110">
      <w:pPr>
        <w:spacing w:before="240" w:line="480" w:lineRule="auto"/>
        <w:rPr>
          <w:rFonts w:ascii="Times New Roman" w:hAnsi="Times New Roman" w:cs="Times New Roman"/>
          <w:iCs/>
          <w:lang w:val="en-US"/>
        </w:rPr>
      </w:pPr>
      <w:r>
        <w:rPr>
          <w:rFonts w:ascii="Times New Roman" w:hAnsi="Times New Roman" w:cs="Times New Roman"/>
          <w:iCs/>
          <w:lang w:val="en-US"/>
        </w:rPr>
        <w:t xml:space="preserve">Though oldest extant dream book is from the Ramesside period, both Baines, and </w:t>
      </w:r>
      <w:proofErr w:type="spellStart"/>
      <w:r>
        <w:rPr>
          <w:rFonts w:ascii="Times New Roman" w:hAnsi="Times New Roman" w:cs="Times New Roman"/>
          <w:iCs/>
          <w:lang w:val="en-US"/>
        </w:rPr>
        <w:t>Dunand</w:t>
      </w:r>
      <w:proofErr w:type="spellEnd"/>
      <w:r>
        <w:rPr>
          <w:rFonts w:ascii="Times New Roman" w:hAnsi="Times New Roman" w:cs="Times New Roman"/>
          <w:iCs/>
          <w:lang w:val="en-US"/>
        </w:rPr>
        <w:t xml:space="preserve"> and </w:t>
      </w:r>
      <w:proofErr w:type="spellStart"/>
      <w:r>
        <w:rPr>
          <w:rFonts w:ascii="Times New Roman" w:hAnsi="Times New Roman" w:cs="Times New Roman"/>
          <w:iCs/>
          <w:lang w:val="en-US"/>
        </w:rPr>
        <w:t>Zivie</w:t>
      </w:r>
      <w:proofErr w:type="spellEnd"/>
      <w:r>
        <w:rPr>
          <w:rFonts w:ascii="Times New Roman" w:hAnsi="Times New Roman" w:cs="Times New Roman"/>
          <w:iCs/>
          <w:lang w:val="en-US"/>
        </w:rPr>
        <w:t xml:space="preserve">-Coche, speculate that the format and structure may mean the origins </w:t>
      </w:r>
      <w:r w:rsidR="00BE51B5">
        <w:rPr>
          <w:rFonts w:ascii="Times New Roman" w:hAnsi="Times New Roman" w:cs="Times New Roman"/>
          <w:iCs/>
          <w:lang w:val="en-US"/>
        </w:rPr>
        <w:t>of</w:t>
      </w:r>
      <w:r>
        <w:rPr>
          <w:rFonts w:ascii="Times New Roman" w:hAnsi="Times New Roman" w:cs="Times New Roman"/>
          <w:iCs/>
          <w:lang w:val="en-US"/>
        </w:rPr>
        <w:t xml:space="preserve"> them lie in the Middle Kingdom</w:t>
      </w:r>
      <w:r>
        <w:rPr>
          <w:rStyle w:val="FootnoteReference"/>
          <w:rFonts w:ascii="Times New Roman" w:hAnsi="Times New Roman" w:cs="Times New Roman"/>
          <w:iCs/>
          <w:lang w:val="en-US"/>
        </w:rPr>
        <w:footnoteReference w:id="110"/>
      </w:r>
      <w:r w:rsidR="00BE51B5">
        <w:rPr>
          <w:rFonts w:ascii="Times New Roman" w:hAnsi="Times New Roman" w:cs="Times New Roman"/>
          <w:iCs/>
          <w:lang w:val="en-US"/>
        </w:rPr>
        <w:t xml:space="preserve">.  The later ones are in Demotic from the Greco-Roman period but stylistically the content is consistent.  </w:t>
      </w:r>
      <w:r w:rsidR="00C93B0B">
        <w:rPr>
          <w:rFonts w:ascii="Times New Roman" w:hAnsi="Times New Roman" w:cs="Times New Roman"/>
          <w:iCs/>
          <w:lang w:val="en-US"/>
        </w:rPr>
        <w:t>However, the earliest known manuscript is P. Chester Beatty 3</w:t>
      </w:r>
      <w:r w:rsidR="004429E6">
        <w:rPr>
          <w:rFonts w:ascii="Times New Roman" w:hAnsi="Times New Roman" w:cs="Times New Roman"/>
          <w:iCs/>
          <w:lang w:val="en-US"/>
        </w:rPr>
        <w:t>.  The format is that each line contains a dream description and its interpretation, explaining what will happen to the dreamer or his relatives.  For example, in column 2/21: “if a man sees himself in a dream eating donkey meat: good, it indicates promotion”</w:t>
      </w:r>
      <w:r w:rsidR="004429E6">
        <w:rPr>
          <w:rStyle w:val="FootnoteReference"/>
          <w:rFonts w:ascii="Times New Roman" w:hAnsi="Times New Roman" w:cs="Times New Roman"/>
          <w:iCs/>
          <w:lang w:val="en-US"/>
        </w:rPr>
        <w:footnoteReference w:id="111"/>
      </w:r>
      <w:r w:rsidR="004429E6">
        <w:rPr>
          <w:rFonts w:ascii="Times New Roman" w:hAnsi="Times New Roman" w:cs="Times New Roman"/>
          <w:iCs/>
          <w:lang w:val="en-US"/>
        </w:rPr>
        <w:t xml:space="preserve">. </w:t>
      </w:r>
    </w:p>
    <w:p w14:paraId="09D62A21" w14:textId="453F6A8C" w:rsidR="00F81D48" w:rsidRPr="007D6110" w:rsidRDefault="004429E6" w:rsidP="007D6110">
      <w:pPr>
        <w:spacing w:before="240" w:line="480" w:lineRule="auto"/>
        <w:rPr>
          <w:rFonts w:ascii="Times New Roman" w:hAnsi="Times New Roman" w:cs="Times New Roman"/>
          <w:lang w:val="en-US"/>
        </w:rPr>
      </w:pPr>
      <w:proofErr w:type="gramStart"/>
      <w:r>
        <w:rPr>
          <w:rFonts w:ascii="Times New Roman" w:hAnsi="Times New Roman" w:cs="Times New Roman"/>
          <w:iCs/>
          <w:lang w:val="en-US"/>
        </w:rPr>
        <w:t>According</w:t>
      </w:r>
      <w:proofErr w:type="gramEnd"/>
      <w:r>
        <w:rPr>
          <w:rFonts w:ascii="Times New Roman" w:hAnsi="Times New Roman" w:cs="Times New Roman"/>
          <w:iCs/>
          <w:lang w:val="en-US"/>
        </w:rPr>
        <w:t xml:space="preserve"> the Prada, there was an ‘exponential rise’ in material related to dreams in this later </w:t>
      </w:r>
      <w:proofErr w:type="spellStart"/>
      <w:r>
        <w:rPr>
          <w:rFonts w:ascii="Times New Roman" w:hAnsi="Times New Roman" w:cs="Times New Roman"/>
          <w:iCs/>
          <w:lang w:val="en-US"/>
        </w:rPr>
        <w:t>periodand</w:t>
      </w:r>
      <w:proofErr w:type="spellEnd"/>
      <w:r>
        <w:rPr>
          <w:rFonts w:ascii="Times New Roman" w:hAnsi="Times New Roman" w:cs="Times New Roman"/>
          <w:iCs/>
          <w:lang w:val="en-US"/>
        </w:rPr>
        <w:t xml:space="preserve"> the books are extended, divided into chapters and cover myriad of topics covering such aspects of life as sex, drinking and animals! </w:t>
      </w:r>
      <w:r>
        <w:rPr>
          <w:rStyle w:val="FootnoteReference"/>
          <w:rFonts w:ascii="Times New Roman" w:hAnsi="Times New Roman" w:cs="Times New Roman"/>
          <w:iCs/>
          <w:lang w:val="en-US"/>
        </w:rPr>
        <w:footnoteReference w:id="112"/>
      </w:r>
      <w:r>
        <w:rPr>
          <w:rFonts w:ascii="Times New Roman" w:hAnsi="Times New Roman" w:cs="Times New Roman"/>
          <w:iCs/>
          <w:lang w:val="en-US"/>
        </w:rPr>
        <w:t xml:space="preserve">  </w:t>
      </w:r>
      <w:proofErr w:type="spellStart"/>
      <w:r>
        <w:rPr>
          <w:rFonts w:ascii="Times New Roman" w:hAnsi="Times New Roman" w:cs="Times New Roman"/>
          <w:iCs/>
          <w:lang w:val="en-US"/>
        </w:rPr>
        <w:t>Dunand</w:t>
      </w:r>
      <w:proofErr w:type="spellEnd"/>
      <w:r>
        <w:rPr>
          <w:rFonts w:ascii="Times New Roman" w:hAnsi="Times New Roman" w:cs="Times New Roman"/>
          <w:iCs/>
          <w:lang w:val="en-US"/>
        </w:rPr>
        <w:t xml:space="preserve"> and </w:t>
      </w:r>
      <w:proofErr w:type="spellStart"/>
      <w:r>
        <w:rPr>
          <w:rFonts w:ascii="Times New Roman" w:hAnsi="Times New Roman" w:cs="Times New Roman"/>
          <w:iCs/>
          <w:lang w:val="en-US"/>
        </w:rPr>
        <w:t>Zivie</w:t>
      </w:r>
      <w:proofErr w:type="spellEnd"/>
      <w:r>
        <w:rPr>
          <w:rFonts w:ascii="Times New Roman" w:hAnsi="Times New Roman" w:cs="Times New Roman"/>
          <w:iCs/>
          <w:lang w:val="en-US"/>
        </w:rPr>
        <w:t xml:space="preserve"> Coche point out that the </w:t>
      </w:r>
      <w:r w:rsidR="007D6110">
        <w:rPr>
          <w:rFonts w:ascii="Times New Roman" w:hAnsi="Times New Roman" w:cs="Times New Roman"/>
          <w:iCs/>
          <w:lang w:val="en-US"/>
        </w:rPr>
        <w:t>meaningful aspect of the dream was often related to the status of the dreamer</w:t>
      </w:r>
      <w:r w:rsidR="007D6110">
        <w:rPr>
          <w:rStyle w:val="FootnoteReference"/>
          <w:rFonts w:ascii="Times New Roman" w:hAnsi="Times New Roman" w:cs="Times New Roman"/>
          <w:iCs/>
          <w:lang w:val="en-US"/>
        </w:rPr>
        <w:footnoteReference w:id="113"/>
      </w:r>
      <w:r w:rsidR="007D6110">
        <w:rPr>
          <w:rFonts w:ascii="Times New Roman" w:hAnsi="Times New Roman" w:cs="Times New Roman"/>
          <w:iCs/>
          <w:lang w:val="en-US"/>
        </w:rPr>
        <w:t xml:space="preserve">.  For </w:t>
      </w:r>
      <w:proofErr w:type="gramStart"/>
      <w:r w:rsidR="007D6110">
        <w:rPr>
          <w:rFonts w:ascii="Times New Roman" w:hAnsi="Times New Roman" w:cs="Times New Roman"/>
          <w:iCs/>
          <w:lang w:val="en-US"/>
        </w:rPr>
        <w:t>example</w:t>
      </w:r>
      <w:proofErr w:type="gramEnd"/>
      <w:r w:rsidR="007D6110">
        <w:rPr>
          <w:rFonts w:ascii="Times New Roman" w:hAnsi="Times New Roman" w:cs="Times New Roman"/>
          <w:iCs/>
          <w:lang w:val="en-US"/>
        </w:rPr>
        <w:t xml:space="preserve"> one interpretation of a dream a woman has of having sex with a snake depends upon her marital status. It was good if she was single (she would find a husband) and bad if married (she would fall ill)</w:t>
      </w:r>
      <w:r w:rsidR="007D6110">
        <w:rPr>
          <w:rStyle w:val="FootnoteReference"/>
          <w:rFonts w:ascii="Times New Roman" w:hAnsi="Times New Roman" w:cs="Times New Roman"/>
          <w:iCs/>
          <w:lang w:val="en-US"/>
        </w:rPr>
        <w:footnoteReference w:id="114"/>
      </w:r>
      <w:r w:rsidR="007D6110">
        <w:rPr>
          <w:rFonts w:ascii="Times New Roman" w:hAnsi="Times New Roman" w:cs="Times New Roman"/>
          <w:iCs/>
          <w:lang w:val="en-US"/>
        </w:rPr>
        <w:t xml:space="preserve">.  Prada argues that the basis of interpretation is either </w:t>
      </w:r>
      <w:r w:rsidR="007D6110">
        <w:rPr>
          <w:rFonts w:ascii="Times New Roman" w:hAnsi="Times New Roman" w:cs="Times New Roman"/>
          <w:iCs/>
          <w:lang w:val="en-US"/>
        </w:rPr>
        <w:lastRenderedPageBreak/>
        <w:t>association by image – the snake with the phallus – or something the Egyptians loved, wordplay and sound.  The words for donkey (</w:t>
      </w:r>
      <w:r w:rsidR="007D6110">
        <w:rPr>
          <w:rFonts w:ascii="Times New Roman" w:hAnsi="Times New Roman" w:cs="Times New Roman"/>
          <w:i/>
          <w:lang w:val="en-US"/>
        </w:rPr>
        <w:t>‘a’a</w:t>
      </w:r>
      <w:r w:rsidR="007D6110">
        <w:rPr>
          <w:rFonts w:ascii="Times New Roman" w:hAnsi="Times New Roman" w:cs="Times New Roman"/>
          <w:lang w:val="en-US"/>
        </w:rPr>
        <w:t>) and promotion (</w:t>
      </w:r>
      <w:proofErr w:type="spellStart"/>
      <w:r w:rsidR="007D6110" w:rsidRPr="007D6110">
        <w:rPr>
          <w:rFonts w:ascii="Times New Roman" w:hAnsi="Times New Roman" w:cs="Times New Roman"/>
          <w:i/>
          <w:iCs/>
          <w:lang w:val="en-US"/>
        </w:rPr>
        <w:t>s’a’a</w:t>
      </w:r>
      <w:proofErr w:type="spellEnd"/>
      <w:r w:rsidR="007D6110">
        <w:rPr>
          <w:rFonts w:ascii="Times New Roman" w:hAnsi="Times New Roman" w:cs="Times New Roman"/>
          <w:lang w:val="en-US"/>
        </w:rPr>
        <w:t>) sounded alike</w:t>
      </w:r>
      <w:r w:rsidR="007D6110">
        <w:rPr>
          <w:rStyle w:val="FootnoteReference"/>
          <w:rFonts w:ascii="Times New Roman" w:hAnsi="Times New Roman" w:cs="Times New Roman"/>
          <w:lang w:val="en-US"/>
        </w:rPr>
        <w:footnoteReference w:id="115"/>
      </w:r>
    </w:p>
    <w:p w14:paraId="57933404" w14:textId="77777777" w:rsidR="00B14B11" w:rsidRDefault="00B14B11" w:rsidP="00CF1622">
      <w:pPr>
        <w:spacing w:line="480" w:lineRule="auto"/>
        <w:rPr>
          <w:rFonts w:ascii="Times New Roman" w:hAnsi="Times New Roman" w:cs="Times New Roman"/>
          <w:iCs/>
          <w:lang w:val="en-US"/>
        </w:rPr>
      </w:pPr>
    </w:p>
    <w:p w14:paraId="4995EDD0" w14:textId="06F09BBC" w:rsidR="00E665C4" w:rsidRDefault="00A24AF2" w:rsidP="00CF1622">
      <w:pPr>
        <w:spacing w:line="480" w:lineRule="auto"/>
        <w:rPr>
          <w:rFonts w:ascii="Times New Roman" w:hAnsi="Times New Roman" w:cs="Times New Roman"/>
          <w:iCs/>
          <w:lang w:val="en-US"/>
        </w:rPr>
      </w:pPr>
      <w:r>
        <w:rPr>
          <w:rFonts w:ascii="Times New Roman" w:hAnsi="Times New Roman" w:cs="Times New Roman"/>
          <w:iCs/>
          <w:lang w:val="en-US"/>
        </w:rPr>
        <w:t>Though it might appear trivial, and occasionally nonsensical to western minds, it must be remembered that these dream interpretations were a culturally encoded system, and the full meaning of that encoding is lost to us</w:t>
      </w:r>
      <w:r>
        <w:rPr>
          <w:rStyle w:val="FootnoteReference"/>
          <w:rFonts w:ascii="Times New Roman" w:hAnsi="Times New Roman" w:cs="Times New Roman"/>
          <w:iCs/>
          <w:lang w:val="en-US"/>
        </w:rPr>
        <w:footnoteReference w:id="116"/>
      </w:r>
      <w:r>
        <w:rPr>
          <w:rFonts w:ascii="Times New Roman" w:hAnsi="Times New Roman" w:cs="Times New Roman"/>
          <w:iCs/>
          <w:lang w:val="en-US"/>
        </w:rPr>
        <w:t>.</w:t>
      </w:r>
      <w:r w:rsidR="00686196">
        <w:rPr>
          <w:rFonts w:ascii="Times New Roman" w:hAnsi="Times New Roman" w:cs="Times New Roman"/>
          <w:iCs/>
          <w:lang w:val="en-US"/>
        </w:rPr>
        <w:t xml:space="preserve"> As Prada comments, Egyptian people considered dreams to be a vehicle for understanding their future.</w:t>
      </w:r>
      <w:r w:rsidR="00686196">
        <w:rPr>
          <w:rStyle w:val="FootnoteReference"/>
          <w:rFonts w:ascii="Times New Roman" w:hAnsi="Times New Roman" w:cs="Times New Roman"/>
          <w:iCs/>
          <w:lang w:val="en-US"/>
        </w:rPr>
        <w:footnoteReference w:id="117"/>
      </w:r>
      <w:r w:rsidR="00686196">
        <w:rPr>
          <w:rFonts w:ascii="Times New Roman" w:hAnsi="Times New Roman" w:cs="Times New Roman"/>
          <w:iCs/>
          <w:lang w:val="en-US"/>
        </w:rPr>
        <w:t xml:space="preserve">  In this way they were an example of unprovoked divination.  The fact </w:t>
      </w:r>
      <w:proofErr w:type="gramStart"/>
      <w:r w:rsidR="00686196">
        <w:rPr>
          <w:rFonts w:ascii="Times New Roman" w:hAnsi="Times New Roman" w:cs="Times New Roman"/>
          <w:iCs/>
          <w:lang w:val="en-US"/>
        </w:rPr>
        <w:t>dream</w:t>
      </w:r>
      <w:proofErr w:type="gramEnd"/>
      <w:r w:rsidR="00686196">
        <w:rPr>
          <w:rFonts w:ascii="Times New Roman" w:hAnsi="Times New Roman" w:cs="Times New Roman"/>
          <w:iCs/>
          <w:lang w:val="en-US"/>
        </w:rPr>
        <w:t xml:space="preserve"> books, or </w:t>
      </w:r>
      <w:proofErr w:type="spellStart"/>
      <w:r w:rsidR="00686196" w:rsidRPr="00686196">
        <w:rPr>
          <w:rFonts w:ascii="Times New Roman" w:hAnsi="Times New Roman" w:cs="Times New Roman"/>
          <w:i/>
          <w:lang w:val="en-US"/>
        </w:rPr>
        <w:t>oneiocritica</w:t>
      </w:r>
      <w:proofErr w:type="spellEnd"/>
      <w:r w:rsidR="00686196">
        <w:rPr>
          <w:rFonts w:ascii="Times New Roman" w:hAnsi="Times New Roman" w:cs="Times New Roman"/>
          <w:iCs/>
          <w:lang w:val="en-US"/>
        </w:rPr>
        <w:t>, belonged, like medical and legal texts, to scribal and temple libraries attests to how seriously they were considered</w:t>
      </w:r>
      <w:r w:rsidR="00C81556">
        <w:rPr>
          <w:rStyle w:val="FootnoteReference"/>
          <w:rFonts w:ascii="Times New Roman" w:hAnsi="Times New Roman" w:cs="Times New Roman"/>
          <w:iCs/>
          <w:lang w:val="en-US"/>
        </w:rPr>
        <w:footnoteReference w:id="118"/>
      </w:r>
      <w:r w:rsidR="00686196">
        <w:rPr>
          <w:rFonts w:ascii="Times New Roman" w:hAnsi="Times New Roman" w:cs="Times New Roman"/>
          <w:iCs/>
          <w:lang w:val="en-US"/>
        </w:rPr>
        <w:t>.</w:t>
      </w:r>
    </w:p>
    <w:p w14:paraId="2FA9D6EC" w14:textId="21A6FADC" w:rsidR="00C81556" w:rsidRDefault="00C81556" w:rsidP="00CF1622">
      <w:pPr>
        <w:spacing w:line="480" w:lineRule="auto"/>
        <w:rPr>
          <w:rFonts w:ascii="Times New Roman" w:hAnsi="Times New Roman" w:cs="Times New Roman"/>
          <w:iCs/>
          <w:lang w:val="en-US"/>
        </w:rPr>
      </w:pPr>
    </w:p>
    <w:p w14:paraId="38C60E7D" w14:textId="58AF774F" w:rsidR="00B82BC9" w:rsidRDefault="00C81556" w:rsidP="00CF1622">
      <w:pPr>
        <w:spacing w:line="480" w:lineRule="auto"/>
        <w:rPr>
          <w:rFonts w:ascii="Times New Roman" w:hAnsi="Times New Roman" w:cs="Times New Roman"/>
          <w:iCs/>
          <w:lang w:val="en-US"/>
        </w:rPr>
      </w:pPr>
      <w:r>
        <w:rPr>
          <w:rFonts w:ascii="Times New Roman" w:hAnsi="Times New Roman" w:cs="Times New Roman"/>
          <w:iCs/>
          <w:lang w:val="en-US"/>
        </w:rPr>
        <w:t xml:space="preserve">Dream divination could also be </w:t>
      </w:r>
      <w:proofErr w:type="gramStart"/>
      <w:r>
        <w:rPr>
          <w:rFonts w:ascii="Times New Roman" w:hAnsi="Times New Roman" w:cs="Times New Roman"/>
          <w:iCs/>
          <w:lang w:val="en-US"/>
        </w:rPr>
        <w:t>provoked</w:t>
      </w:r>
      <w:proofErr w:type="gramEnd"/>
      <w:r>
        <w:rPr>
          <w:rFonts w:ascii="Times New Roman" w:hAnsi="Times New Roman" w:cs="Times New Roman"/>
          <w:iCs/>
          <w:lang w:val="en-US"/>
        </w:rPr>
        <w:t xml:space="preserve"> and this was the practice of incubation.</w:t>
      </w:r>
      <w:r w:rsidR="0056515B">
        <w:rPr>
          <w:rFonts w:ascii="Times New Roman" w:hAnsi="Times New Roman" w:cs="Times New Roman"/>
          <w:iCs/>
          <w:lang w:val="en-US"/>
        </w:rPr>
        <w:t xml:space="preserve">  Although the oracle of Hatshepsut discussed earlier might be considered an early example of </w:t>
      </w:r>
      <w:r w:rsidR="0000677E">
        <w:rPr>
          <w:rFonts w:ascii="Times New Roman" w:hAnsi="Times New Roman" w:cs="Times New Roman"/>
          <w:iCs/>
          <w:lang w:val="en-US"/>
        </w:rPr>
        <w:t>a divinatory message obtained by sleeping in a sacred space of a God, the practice of doing just that – incubation – is only well attested in Egypt in the period of the Ptolemies</w:t>
      </w:r>
      <w:r w:rsidR="0000677E">
        <w:rPr>
          <w:rStyle w:val="FootnoteReference"/>
          <w:rFonts w:ascii="Times New Roman" w:hAnsi="Times New Roman" w:cs="Times New Roman"/>
          <w:iCs/>
          <w:lang w:val="en-US"/>
        </w:rPr>
        <w:footnoteReference w:id="119"/>
      </w:r>
      <w:r w:rsidR="0000677E">
        <w:rPr>
          <w:rFonts w:ascii="Times New Roman" w:hAnsi="Times New Roman" w:cs="Times New Roman"/>
          <w:iCs/>
          <w:lang w:val="en-US"/>
        </w:rPr>
        <w:t xml:space="preserve">.  Incubation especially took place in the famous </w:t>
      </w:r>
      <w:proofErr w:type="spellStart"/>
      <w:r w:rsidR="0000677E">
        <w:rPr>
          <w:rFonts w:ascii="Times New Roman" w:hAnsi="Times New Roman" w:cs="Times New Roman"/>
          <w:iCs/>
          <w:lang w:val="en-US"/>
        </w:rPr>
        <w:t>Sarapeum</w:t>
      </w:r>
      <w:proofErr w:type="spellEnd"/>
      <w:r w:rsidR="0000677E">
        <w:rPr>
          <w:rFonts w:ascii="Times New Roman" w:hAnsi="Times New Roman" w:cs="Times New Roman"/>
          <w:iCs/>
          <w:lang w:val="en-US"/>
        </w:rPr>
        <w:t xml:space="preserve"> complex in Saqqara</w:t>
      </w:r>
      <w:r w:rsidR="00B82BC9">
        <w:rPr>
          <w:rFonts w:ascii="Times New Roman" w:hAnsi="Times New Roman" w:cs="Times New Roman"/>
          <w:iCs/>
          <w:lang w:val="en-US"/>
        </w:rPr>
        <w:t xml:space="preserve"> (the necropolis for the major city of Memphis)</w:t>
      </w:r>
      <w:r w:rsidR="0000677E">
        <w:rPr>
          <w:rFonts w:ascii="Times New Roman" w:hAnsi="Times New Roman" w:cs="Times New Roman"/>
          <w:iCs/>
          <w:lang w:val="en-US"/>
        </w:rPr>
        <w:t xml:space="preserve">, although it is unclear, according to </w:t>
      </w:r>
      <w:proofErr w:type="spellStart"/>
      <w:r w:rsidR="0000677E">
        <w:rPr>
          <w:rFonts w:ascii="Times New Roman" w:hAnsi="Times New Roman" w:cs="Times New Roman"/>
          <w:iCs/>
          <w:lang w:val="en-US"/>
        </w:rPr>
        <w:t>Renberg</w:t>
      </w:r>
      <w:proofErr w:type="spellEnd"/>
      <w:r w:rsidR="0000677E">
        <w:rPr>
          <w:rFonts w:ascii="Times New Roman" w:hAnsi="Times New Roman" w:cs="Times New Roman"/>
          <w:iCs/>
          <w:lang w:val="en-US"/>
        </w:rPr>
        <w:t>, whom it was who was undertaking the process – priests, scribes or ordinary folk</w:t>
      </w:r>
      <w:r w:rsidR="0000677E">
        <w:rPr>
          <w:rStyle w:val="FootnoteReference"/>
          <w:rFonts w:ascii="Times New Roman" w:hAnsi="Times New Roman" w:cs="Times New Roman"/>
          <w:iCs/>
          <w:lang w:val="en-US"/>
        </w:rPr>
        <w:footnoteReference w:id="120"/>
      </w:r>
      <w:r w:rsidR="0000677E">
        <w:rPr>
          <w:rFonts w:ascii="Times New Roman" w:hAnsi="Times New Roman" w:cs="Times New Roman"/>
          <w:iCs/>
          <w:lang w:val="en-US"/>
        </w:rPr>
        <w:t xml:space="preserve">.  The main deity to which this type of divination was addressed is the </w:t>
      </w:r>
      <w:r w:rsidR="00B82BC9">
        <w:rPr>
          <w:rFonts w:ascii="Times New Roman" w:hAnsi="Times New Roman" w:cs="Times New Roman"/>
          <w:iCs/>
          <w:lang w:val="en-US"/>
        </w:rPr>
        <w:t xml:space="preserve">syncretized figure called </w:t>
      </w:r>
      <w:proofErr w:type="spellStart"/>
      <w:r w:rsidR="00B82BC9">
        <w:rPr>
          <w:rFonts w:ascii="Times New Roman" w:hAnsi="Times New Roman" w:cs="Times New Roman"/>
          <w:iCs/>
          <w:lang w:val="en-US"/>
        </w:rPr>
        <w:t>Sarapis</w:t>
      </w:r>
      <w:proofErr w:type="spellEnd"/>
      <w:r w:rsidR="00B82BC9">
        <w:rPr>
          <w:rFonts w:ascii="Times New Roman" w:hAnsi="Times New Roman" w:cs="Times New Roman"/>
          <w:iCs/>
          <w:lang w:val="en-US"/>
        </w:rPr>
        <w:t xml:space="preserve">.  </w:t>
      </w:r>
      <w:proofErr w:type="spellStart"/>
      <w:r w:rsidR="00B82BC9">
        <w:rPr>
          <w:rFonts w:ascii="Times New Roman" w:hAnsi="Times New Roman" w:cs="Times New Roman"/>
          <w:iCs/>
          <w:lang w:val="en-US"/>
        </w:rPr>
        <w:t>Sarapis</w:t>
      </w:r>
      <w:proofErr w:type="spellEnd"/>
      <w:r w:rsidR="00B82BC9">
        <w:rPr>
          <w:rFonts w:ascii="Times New Roman" w:hAnsi="Times New Roman" w:cs="Times New Roman"/>
          <w:iCs/>
          <w:lang w:val="en-US"/>
        </w:rPr>
        <w:t xml:space="preserve"> was a Greek invention, an amalgamation of Osiris and the </w:t>
      </w:r>
      <w:proofErr w:type="spellStart"/>
      <w:r w:rsidR="00B82BC9">
        <w:rPr>
          <w:rFonts w:ascii="Times New Roman" w:hAnsi="Times New Roman" w:cs="Times New Roman"/>
          <w:iCs/>
          <w:lang w:val="en-US"/>
        </w:rPr>
        <w:t>Apis</w:t>
      </w:r>
      <w:proofErr w:type="spellEnd"/>
      <w:r w:rsidR="00B82BC9">
        <w:rPr>
          <w:rFonts w:ascii="Times New Roman" w:hAnsi="Times New Roman" w:cs="Times New Roman"/>
          <w:iCs/>
          <w:lang w:val="en-US"/>
        </w:rPr>
        <w:t xml:space="preserve"> bull – a long-lived cult based in Memphis that elevated a bull which was associated with the creator God Ptah – to divine </w:t>
      </w:r>
      <w:r w:rsidR="00B82BC9">
        <w:rPr>
          <w:rFonts w:ascii="Times New Roman" w:hAnsi="Times New Roman" w:cs="Times New Roman"/>
          <w:iCs/>
          <w:lang w:val="en-US"/>
        </w:rPr>
        <w:lastRenderedPageBreak/>
        <w:t>status</w:t>
      </w:r>
      <w:r w:rsidR="00B82BC9">
        <w:rPr>
          <w:rStyle w:val="FootnoteReference"/>
          <w:rFonts w:ascii="Times New Roman" w:hAnsi="Times New Roman" w:cs="Times New Roman"/>
          <w:iCs/>
          <w:lang w:val="en-US"/>
        </w:rPr>
        <w:footnoteReference w:id="121"/>
      </w:r>
      <w:r w:rsidR="00B82BC9">
        <w:rPr>
          <w:rFonts w:ascii="Times New Roman" w:hAnsi="Times New Roman" w:cs="Times New Roman"/>
          <w:iCs/>
          <w:lang w:val="en-US"/>
        </w:rPr>
        <w:t>.</w:t>
      </w:r>
      <w:r w:rsidR="00330A1A">
        <w:rPr>
          <w:rFonts w:ascii="Times New Roman" w:hAnsi="Times New Roman" w:cs="Times New Roman"/>
          <w:iCs/>
          <w:lang w:val="en-US"/>
        </w:rPr>
        <w:t xml:space="preserve">  Over the period and into late antiquity, dream sanctuaries developed for a number of other gods, including Isis and Bes (a protective god, especially of fertility and pregnancy).</w:t>
      </w:r>
    </w:p>
    <w:p w14:paraId="7A52E6BE" w14:textId="77777777" w:rsidR="00330A1A" w:rsidRDefault="00330A1A" w:rsidP="00CF1622">
      <w:pPr>
        <w:spacing w:line="480" w:lineRule="auto"/>
        <w:rPr>
          <w:rFonts w:ascii="Times New Roman" w:hAnsi="Times New Roman" w:cs="Times New Roman"/>
          <w:iCs/>
          <w:lang w:val="en-US"/>
        </w:rPr>
      </w:pPr>
    </w:p>
    <w:p w14:paraId="7B7F096C" w14:textId="3CEC6D2D" w:rsidR="008A1DC6" w:rsidRDefault="00B82BC9" w:rsidP="00CF1622">
      <w:pPr>
        <w:spacing w:line="480" w:lineRule="auto"/>
        <w:rPr>
          <w:rFonts w:ascii="Times New Roman" w:hAnsi="Times New Roman" w:cs="Times New Roman"/>
          <w:iCs/>
          <w:lang w:val="en-US"/>
        </w:rPr>
      </w:pPr>
      <w:r>
        <w:rPr>
          <w:rFonts w:ascii="Times New Roman" w:hAnsi="Times New Roman" w:cs="Times New Roman"/>
          <w:iCs/>
          <w:lang w:val="en-US"/>
        </w:rPr>
        <w:t>Incubation often required the supplicant to prepare first before being allowed to sleep in the sanctuary – ablutions and perhaps the wearing of particular garments as a process of purification</w:t>
      </w:r>
      <w:r w:rsidR="00A53423">
        <w:rPr>
          <w:rStyle w:val="FootnoteReference"/>
          <w:rFonts w:ascii="Times New Roman" w:hAnsi="Times New Roman" w:cs="Times New Roman"/>
          <w:iCs/>
          <w:lang w:val="en-US"/>
        </w:rPr>
        <w:footnoteReference w:id="122"/>
      </w:r>
      <w:r w:rsidR="00A53423">
        <w:rPr>
          <w:rFonts w:ascii="Times New Roman" w:hAnsi="Times New Roman" w:cs="Times New Roman"/>
          <w:iCs/>
          <w:lang w:val="en-US"/>
        </w:rPr>
        <w:t>.  It seems especially that incubation was undertaken by those in need of a cure for some ailment</w:t>
      </w:r>
      <w:r w:rsidR="00A53423">
        <w:rPr>
          <w:rStyle w:val="FootnoteReference"/>
          <w:rFonts w:ascii="Times New Roman" w:hAnsi="Times New Roman" w:cs="Times New Roman"/>
          <w:iCs/>
          <w:lang w:val="en-US"/>
        </w:rPr>
        <w:footnoteReference w:id="123"/>
      </w:r>
      <w:r w:rsidR="00A53423">
        <w:rPr>
          <w:rFonts w:ascii="Times New Roman" w:hAnsi="Times New Roman" w:cs="Times New Roman"/>
          <w:iCs/>
          <w:lang w:val="en-US"/>
        </w:rPr>
        <w:t>.</w:t>
      </w:r>
    </w:p>
    <w:p w14:paraId="437CD701" w14:textId="77777777" w:rsidR="004C121A" w:rsidRDefault="004C121A" w:rsidP="00CF1622">
      <w:pPr>
        <w:spacing w:line="480" w:lineRule="auto"/>
        <w:rPr>
          <w:rFonts w:ascii="Times New Roman" w:hAnsi="Times New Roman" w:cs="Times New Roman"/>
          <w:iCs/>
          <w:lang w:val="en-US"/>
        </w:rPr>
      </w:pPr>
    </w:p>
    <w:p w14:paraId="6ADD3C39" w14:textId="4F34AF38" w:rsidR="00A53423" w:rsidRDefault="00A53423" w:rsidP="00CF1622">
      <w:pPr>
        <w:spacing w:line="480" w:lineRule="auto"/>
        <w:rPr>
          <w:rFonts w:ascii="Times New Roman" w:hAnsi="Times New Roman" w:cs="Times New Roman"/>
          <w:iCs/>
          <w:lang w:val="en-US"/>
        </w:rPr>
      </w:pPr>
      <w:r>
        <w:rPr>
          <w:rFonts w:ascii="Times New Roman" w:hAnsi="Times New Roman" w:cs="Times New Roman"/>
          <w:iCs/>
          <w:lang w:val="en-US"/>
        </w:rPr>
        <w:t>Conclusions</w:t>
      </w:r>
    </w:p>
    <w:p w14:paraId="3332DAC6" w14:textId="77777777" w:rsidR="00FD3C95" w:rsidRDefault="00FD3C95" w:rsidP="00CF1622">
      <w:pPr>
        <w:spacing w:line="480" w:lineRule="auto"/>
        <w:rPr>
          <w:rFonts w:ascii="Times New Roman" w:hAnsi="Times New Roman" w:cs="Times New Roman"/>
          <w:iCs/>
          <w:lang w:val="en-US"/>
        </w:rPr>
      </w:pPr>
    </w:p>
    <w:p w14:paraId="3E7F9C2E" w14:textId="61FF4D6B" w:rsidR="008A1DC6" w:rsidRDefault="008A1DC6" w:rsidP="00CF1622">
      <w:pPr>
        <w:spacing w:line="480" w:lineRule="auto"/>
        <w:rPr>
          <w:rFonts w:ascii="Times New Roman" w:hAnsi="Times New Roman" w:cs="Times New Roman"/>
          <w:iCs/>
          <w:lang w:val="en-US"/>
        </w:rPr>
      </w:pPr>
      <w:r>
        <w:rPr>
          <w:rFonts w:ascii="Times New Roman" w:hAnsi="Times New Roman" w:cs="Times New Roman"/>
          <w:iCs/>
          <w:lang w:val="en-US"/>
        </w:rPr>
        <w:t xml:space="preserve">This essay has examined cosmology and divination, and their relationship in Ancient Egypt.  It is clear that for the Egyptians the entire cosmos was living and </w:t>
      </w:r>
      <w:r w:rsidR="00C86FEC">
        <w:rPr>
          <w:rFonts w:ascii="Times New Roman" w:hAnsi="Times New Roman" w:cs="Times New Roman"/>
          <w:iCs/>
          <w:lang w:val="en-US"/>
        </w:rPr>
        <w:t>embodied</w:t>
      </w:r>
      <w:r>
        <w:rPr>
          <w:rFonts w:ascii="Times New Roman" w:hAnsi="Times New Roman" w:cs="Times New Roman"/>
          <w:iCs/>
          <w:lang w:val="en-US"/>
        </w:rPr>
        <w:t xml:space="preserve"> with the personality and soul of the divine</w:t>
      </w:r>
      <w:r>
        <w:rPr>
          <w:rStyle w:val="FootnoteReference"/>
          <w:rFonts w:ascii="Times New Roman" w:hAnsi="Times New Roman" w:cs="Times New Roman"/>
          <w:iCs/>
          <w:lang w:val="en-US"/>
        </w:rPr>
        <w:footnoteReference w:id="124"/>
      </w:r>
      <w:r w:rsidR="00C86FEC">
        <w:rPr>
          <w:rFonts w:ascii="Times New Roman" w:hAnsi="Times New Roman" w:cs="Times New Roman"/>
          <w:iCs/>
          <w:lang w:val="en-US"/>
        </w:rPr>
        <w:t>.  They considered themselves to have immortal souls and spent their time attempting to live good lives and relating to the divine through the principles of Maat; performing the right actions and speaking the right words, in order to ensure for themselves eternal life.  There’s was a world in constant interplay between order and chaos.  As part of engaging with deities, they embraced the notion that they had agency to influence and even change the outcome of their situation.  A crucial aspect of this agency was the practice of divination which allowed them to know the will and purpose of the Gods,</w:t>
      </w:r>
      <w:r w:rsidR="004C121A">
        <w:rPr>
          <w:rFonts w:ascii="Times New Roman" w:hAnsi="Times New Roman" w:cs="Times New Roman"/>
          <w:iCs/>
          <w:lang w:val="en-US"/>
        </w:rPr>
        <w:t xml:space="preserve"> </w:t>
      </w:r>
      <w:r w:rsidR="00C86FEC">
        <w:rPr>
          <w:rFonts w:ascii="Times New Roman" w:hAnsi="Times New Roman" w:cs="Times New Roman"/>
          <w:iCs/>
          <w:lang w:val="en-US"/>
        </w:rPr>
        <w:t xml:space="preserve">and </w:t>
      </w:r>
      <w:r w:rsidR="004C121A">
        <w:rPr>
          <w:rFonts w:ascii="Times New Roman" w:hAnsi="Times New Roman" w:cs="Times New Roman"/>
          <w:iCs/>
          <w:lang w:val="en-US"/>
        </w:rPr>
        <w:t xml:space="preserve">to </w:t>
      </w:r>
      <w:r w:rsidR="00C86FEC">
        <w:rPr>
          <w:rFonts w:ascii="Times New Roman" w:hAnsi="Times New Roman" w:cs="Times New Roman"/>
          <w:iCs/>
          <w:lang w:val="en-US"/>
        </w:rPr>
        <w:t>ask</w:t>
      </w:r>
      <w:r w:rsidR="004C121A">
        <w:rPr>
          <w:rFonts w:ascii="Times New Roman" w:hAnsi="Times New Roman" w:cs="Times New Roman"/>
          <w:iCs/>
          <w:lang w:val="en-US"/>
        </w:rPr>
        <w:t xml:space="preserve"> for their assistance.</w:t>
      </w:r>
    </w:p>
    <w:p w14:paraId="1A49E11C" w14:textId="55252E30" w:rsidR="00FD3C95" w:rsidRDefault="00FD3C95" w:rsidP="00CF1622">
      <w:pPr>
        <w:spacing w:line="480" w:lineRule="auto"/>
        <w:rPr>
          <w:rFonts w:ascii="Times New Roman" w:hAnsi="Times New Roman" w:cs="Times New Roman"/>
          <w:iCs/>
          <w:lang w:val="en-US"/>
        </w:rPr>
      </w:pPr>
    </w:p>
    <w:p w14:paraId="0E69D549" w14:textId="77777777" w:rsidR="005F0B41" w:rsidRDefault="005F0B41" w:rsidP="00CF1622">
      <w:pPr>
        <w:spacing w:line="480" w:lineRule="auto"/>
        <w:rPr>
          <w:rFonts w:ascii="Times New Roman" w:hAnsi="Times New Roman" w:cs="Times New Roman"/>
          <w:iCs/>
          <w:lang w:val="en-US"/>
        </w:rPr>
      </w:pPr>
    </w:p>
    <w:p w14:paraId="7F9F34E5" w14:textId="50035685" w:rsidR="00FD3C95" w:rsidRDefault="00FD3C95" w:rsidP="00CF1622">
      <w:pPr>
        <w:spacing w:line="480" w:lineRule="auto"/>
        <w:rPr>
          <w:rFonts w:ascii="Times New Roman" w:hAnsi="Times New Roman" w:cs="Times New Roman"/>
          <w:iCs/>
          <w:lang w:val="en-US"/>
        </w:rPr>
      </w:pPr>
      <w:r>
        <w:rPr>
          <w:rFonts w:ascii="Times New Roman" w:hAnsi="Times New Roman" w:cs="Times New Roman"/>
          <w:iCs/>
          <w:lang w:val="en-US"/>
        </w:rPr>
        <w:lastRenderedPageBreak/>
        <w:t>References</w:t>
      </w:r>
    </w:p>
    <w:p w14:paraId="0EDD46CC" w14:textId="77777777" w:rsidR="00FD3C95" w:rsidRDefault="00FD3C95" w:rsidP="00FD3C95">
      <w:pPr>
        <w:spacing w:line="480" w:lineRule="auto"/>
        <w:rPr>
          <w:rFonts w:ascii="Times New Roman" w:hAnsi="Times New Roman" w:cs="Times New Roman"/>
          <w:iCs/>
        </w:rPr>
      </w:pPr>
    </w:p>
    <w:p w14:paraId="22672809" w14:textId="0C32AB2B" w:rsidR="00FD3C95" w:rsidRPr="00FD3C95" w:rsidRDefault="00FD3C95" w:rsidP="00FD3C95">
      <w:pPr>
        <w:spacing w:line="480" w:lineRule="auto"/>
        <w:rPr>
          <w:rFonts w:ascii="Times New Roman" w:hAnsi="Times New Roman" w:cs="Times New Roman"/>
          <w:iCs/>
        </w:rPr>
      </w:pPr>
      <w:proofErr w:type="spellStart"/>
      <w:r w:rsidRPr="00FD3C95">
        <w:rPr>
          <w:rFonts w:ascii="Times New Roman" w:hAnsi="Times New Roman" w:cs="Times New Roman"/>
          <w:iCs/>
        </w:rPr>
        <w:t>Assmann</w:t>
      </w:r>
      <w:proofErr w:type="spellEnd"/>
      <w:r w:rsidRPr="00FD3C95">
        <w:rPr>
          <w:rFonts w:ascii="Times New Roman" w:hAnsi="Times New Roman" w:cs="Times New Roman"/>
          <w:iCs/>
        </w:rPr>
        <w:t xml:space="preserve">, J.  </w:t>
      </w:r>
      <w:r w:rsidRPr="00FD3C95">
        <w:rPr>
          <w:rFonts w:ascii="Times New Roman" w:hAnsi="Times New Roman" w:cs="Times New Roman"/>
          <w:i/>
          <w:iCs/>
        </w:rPr>
        <w:t>Egyptian Solar Religion in the New Kingdom: Re, Amun and the Crisis of Polytheism</w:t>
      </w:r>
      <w:r w:rsidRPr="00FD3C95">
        <w:rPr>
          <w:rFonts w:ascii="Times New Roman" w:hAnsi="Times New Roman" w:cs="Times New Roman"/>
          <w:iCs/>
        </w:rPr>
        <w:t xml:space="preserve"> London and New York: Kegan Paul International, 1995.</w:t>
      </w:r>
    </w:p>
    <w:p w14:paraId="6A77B137" w14:textId="77777777" w:rsidR="00FD3C95" w:rsidRPr="00FD3C95" w:rsidRDefault="00FD3C95" w:rsidP="00FD3C95">
      <w:pPr>
        <w:spacing w:line="480" w:lineRule="auto"/>
        <w:rPr>
          <w:rFonts w:ascii="Times New Roman" w:hAnsi="Times New Roman" w:cs="Times New Roman"/>
          <w:iCs/>
        </w:rPr>
      </w:pPr>
    </w:p>
    <w:p w14:paraId="0CD683EB" w14:textId="77777777" w:rsidR="00FD3C95" w:rsidRPr="00FD3C95" w:rsidRDefault="00FD3C95" w:rsidP="00FD3C95">
      <w:pPr>
        <w:spacing w:line="480" w:lineRule="auto"/>
        <w:rPr>
          <w:rFonts w:ascii="Times New Roman" w:hAnsi="Times New Roman" w:cs="Times New Roman"/>
          <w:iCs/>
        </w:rPr>
      </w:pPr>
      <w:proofErr w:type="spellStart"/>
      <w:r w:rsidRPr="00FD3C95">
        <w:rPr>
          <w:rFonts w:ascii="Times New Roman" w:hAnsi="Times New Roman" w:cs="Times New Roman"/>
          <w:iCs/>
        </w:rPr>
        <w:t>Assmann</w:t>
      </w:r>
      <w:proofErr w:type="spellEnd"/>
      <w:r w:rsidRPr="00FD3C95">
        <w:rPr>
          <w:rFonts w:ascii="Times New Roman" w:hAnsi="Times New Roman" w:cs="Times New Roman"/>
          <w:iCs/>
        </w:rPr>
        <w:t xml:space="preserve">, J. </w:t>
      </w:r>
      <w:r w:rsidRPr="00FD3C95">
        <w:rPr>
          <w:rFonts w:ascii="Times New Roman" w:hAnsi="Times New Roman" w:cs="Times New Roman"/>
          <w:i/>
          <w:iCs/>
        </w:rPr>
        <w:t>The Search for God in Ancient Egypt</w:t>
      </w:r>
      <w:r w:rsidRPr="00FD3C95">
        <w:rPr>
          <w:rFonts w:ascii="Times New Roman" w:hAnsi="Times New Roman" w:cs="Times New Roman"/>
          <w:iCs/>
        </w:rPr>
        <w:t>, trans. David Lorton, Ithaca, NY: Cornell University Press, 2001.</w:t>
      </w:r>
    </w:p>
    <w:p w14:paraId="1C8F884B" w14:textId="77777777" w:rsidR="00FD3C95" w:rsidRPr="00FD3C95" w:rsidRDefault="00FD3C95" w:rsidP="00FD3C95">
      <w:pPr>
        <w:spacing w:line="480" w:lineRule="auto"/>
        <w:rPr>
          <w:rFonts w:ascii="Times New Roman" w:hAnsi="Times New Roman" w:cs="Times New Roman"/>
          <w:iCs/>
        </w:rPr>
      </w:pPr>
    </w:p>
    <w:p w14:paraId="496C6862" w14:textId="77777777" w:rsidR="00FD3C95" w:rsidRPr="00FD3C95" w:rsidRDefault="00FD3C95" w:rsidP="00FD3C95">
      <w:pPr>
        <w:spacing w:line="480" w:lineRule="auto"/>
        <w:rPr>
          <w:rFonts w:ascii="Times New Roman" w:hAnsi="Times New Roman" w:cs="Times New Roman"/>
          <w:iCs/>
        </w:rPr>
      </w:pPr>
      <w:proofErr w:type="spellStart"/>
      <w:r w:rsidRPr="00FD3C95">
        <w:rPr>
          <w:rFonts w:ascii="Times New Roman" w:hAnsi="Times New Roman" w:cs="Times New Roman"/>
          <w:iCs/>
        </w:rPr>
        <w:t>Assmann</w:t>
      </w:r>
      <w:proofErr w:type="spellEnd"/>
      <w:r w:rsidRPr="00FD3C95">
        <w:rPr>
          <w:rFonts w:ascii="Times New Roman" w:hAnsi="Times New Roman" w:cs="Times New Roman"/>
          <w:iCs/>
        </w:rPr>
        <w:t xml:space="preserve">, J. ‘Monotheism and Polytheism’ in S. I. Johnson (ed.) (2004), </w:t>
      </w:r>
      <w:r w:rsidRPr="00FD3C95">
        <w:rPr>
          <w:rFonts w:ascii="Times New Roman" w:hAnsi="Times New Roman" w:cs="Times New Roman"/>
          <w:i/>
          <w:iCs/>
        </w:rPr>
        <w:t>Ancient Religions</w:t>
      </w:r>
      <w:r w:rsidRPr="00FD3C95">
        <w:rPr>
          <w:rFonts w:ascii="Times New Roman" w:hAnsi="Times New Roman" w:cs="Times New Roman"/>
          <w:iCs/>
        </w:rPr>
        <w:t xml:space="preserve"> Cambridge, MA: The </w:t>
      </w:r>
      <w:proofErr w:type="spellStart"/>
      <w:r w:rsidRPr="00FD3C95">
        <w:rPr>
          <w:rFonts w:ascii="Times New Roman" w:hAnsi="Times New Roman" w:cs="Times New Roman"/>
          <w:iCs/>
        </w:rPr>
        <w:t>Belknap</w:t>
      </w:r>
      <w:proofErr w:type="spellEnd"/>
      <w:r w:rsidRPr="00FD3C95">
        <w:rPr>
          <w:rFonts w:ascii="Times New Roman" w:hAnsi="Times New Roman" w:cs="Times New Roman"/>
          <w:iCs/>
        </w:rPr>
        <w:t xml:space="preserve"> Press of Harvard University Press: 17-31.</w:t>
      </w:r>
    </w:p>
    <w:p w14:paraId="5EED47D9" w14:textId="77777777" w:rsidR="00FD3C95" w:rsidRPr="00FD3C95" w:rsidRDefault="00FD3C95" w:rsidP="00FD3C95">
      <w:pPr>
        <w:spacing w:line="480" w:lineRule="auto"/>
        <w:rPr>
          <w:rFonts w:ascii="Times New Roman" w:hAnsi="Times New Roman" w:cs="Times New Roman"/>
          <w:iCs/>
        </w:rPr>
      </w:pPr>
    </w:p>
    <w:p w14:paraId="4FEA3E47" w14:textId="77777777" w:rsidR="00FD3C95" w:rsidRP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t>Baines J</w:t>
      </w:r>
      <w:r w:rsidRPr="00FD3C95">
        <w:rPr>
          <w:rFonts w:ascii="Times New Roman" w:hAnsi="Times New Roman" w:cs="Times New Roman" w:hint="eastAsia"/>
          <w:iCs/>
        </w:rPr>
        <w:t>. </w:t>
      </w:r>
      <w:r w:rsidRPr="00FD3C95">
        <w:rPr>
          <w:rFonts w:ascii="Times New Roman" w:hAnsi="Times New Roman" w:cs="Times New Roman"/>
          <w:iCs/>
        </w:rPr>
        <w:t xml:space="preserve">‘Society, Morality and Religious Practice’ in </w:t>
      </w:r>
      <w:r w:rsidRPr="00FD3C95">
        <w:rPr>
          <w:rFonts w:ascii="Times New Roman" w:hAnsi="Times New Roman" w:cs="Times New Roman" w:hint="eastAsia"/>
          <w:iCs/>
        </w:rPr>
        <w:t>Shafer, B. E.</w:t>
      </w:r>
      <w:r w:rsidRPr="00FD3C95">
        <w:rPr>
          <w:rFonts w:ascii="Times New Roman" w:hAnsi="Times New Roman" w:cs="Times New Roman"/>
          <w:iCs/>
        </w:rPr>
        <w:t xml:space="preserve"> (ed.) </w:t>
      </w:r>
      <w:r w:rsidRPr="00FD3C95">
        <w:rPr>
          <w:rFonts w:ascii="Times New Roman" w:hAnsi="Times New Roman" w:cs="Times New Roman" w:hint="eastAsia"/>
          <w:iCs/>
        </w:rPr>
        <w:t>(1991)</w:t>
      </w:r>
      <w:r w:rsidRPr="00FD3C95">
        <w:rPr>
          <w:rFonts w:ascii="Times New Roman" w:hAnsi="Times New Roman" w:cs="Times New Roman"/>
          <w:iCs/>
        </w:rPr>
        <w:t xml:space="preserve">, </w:t>
      </w:r>
      <w:r w:rsidRPr="00FD3C95">
        <w:rPr>
          <w:rFonts w:ascii="Times New Roman" w:hAnsi="Times New Roman" w:cs="Times New Roman" w:hint="eastAsia"/>
          <w:i/>
          <w:iCs/>
        </w:rPr>
        <w:t>Religion in ancient Egypt: Gods, myths, and personal practice</w:t>
      </w:r>
      <w:r w:rsidRPr="00FD3C95">
        <w:rPr>
          <w:rFonts w:ascii="Times New Roman" w:hAnsi="Times New Roman" w:cs="Times New Roman"/>
          <w:iCs/>
        </w:rPr>
        <w:t xml:space="preserve"> (Cornell University), London: Routledge: 123-200.</w:t>
      </w:r>
    </w:p>
    <w:p w14:paraId="6863F997" w14:textId="77777777" w:rsidR="00FD3C95" w:rsidRPr="00FD3C95" w:rsidRDefault="00FD3C95" w:rsidP="00FD3C95">
      <w:pPr>
        <w:spacing w:line="480" w:lineRule="auto"/>
        <w:rPr>
          <w:rFonts w:ascii="Times New Roman" w:hAnsi="Times New Roman" w:cs="Times New Roman"/>
          <w:iCs/>
        </w:rPr>
      </w:pPr>
    </w:p>
    <w:p w14:paraId="5E6B00DA" w14:textId="77777777" w:rsidR="00FD3C95" w:rsidRP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t xml:space="preserve">Bowie, F. </w:t>
      </w:r>
      <w:r w:rsidRPr="00FD3C95">
        <w:rPr>
          <w:rFonts w:ascii="Times New Roman" w:hAnsi="Times New Roman" w:cs="Times New Roman"/>
          <w:i/>
          <w:iCs/>
        </w:rPr>
        <w:t>The Anthropology of Religion: An Introduction</w:t>
      </w:r>
      <w:r w:rsidRPr="00FD3C95">
        <w:rPr>
          <w:rFonts w:ascii="Times New Roman" w:hAnsi="Times New Roman" w:cs="Times New Roman"/>
          <w:iCs/>
        </w:rPr>
        <w:t>, 2</w:t>
      </w:r>
      <w:r w:rsidRPr="00FD3C95">
        <w:rPr>
          <w:rFonts w:ascii="Times New Roman" w:hAnsi="Times New Roman" w:cs="Times New Roman"/>
          <w:iCs/>
          <w:vertAlign w:val="superscript"/>
        </w:rPr>
        <w:t>nd</w:t>
      </w:r>
      <w:r w:rsidRPr="00FD3C95">
        <w:rPr>
          <w:rFonts w:ascii="Times New Roman" w:hAnsi="Times New Roman" w:cs="Times New Roman"/>
          <w:iCs/>
        </w:rPr>
        <w:t xml:space="preserve"> </w:t>
      </w:r>
      <w:proofErr w:type="spellStart"/>
      <w:r w:rsidRPr="00FD3C95">
        <w:rPr>
          <w:rFonts w:ascii="Times New Roman" w:hAnsi="Times New Roman" w:cs="Times New Roman"/>
          <w:iCs/>
        </w:rPr>
        <w:t>edn</w:t>
      </w:r>
      <w:proofErr w:type="spellEnd"/>
      <w:r w:rsidRPr="00FD3C95">
        <w:rPr>
          <w:rFonts w:ascii="Times New Roman" w:hAnsi="Times New Roman" w:cs="Times New Roman"/>
          <w:iCs/>
        </w:rPr>
        <w:t>., Oxford: Blackwell, 2006: 332pp.</w:t>
      </w:r>
    </w:p>
    <w:p w14:paraId="4A0C93B8" w14:textId="77777777" w:rsidR="00FD3C95" w:rsidRPr="00FD3C95" w:rsidRDefault="00FD3C95" w:rsidP="00FD3C95">
      <w:pPr>
        <w:spacing w:line="480" w:lineRule="auto"/>
        <w:rPr>
          <w:rFonts w:ascii="Times New Roman" w:hAnsi="Times New Roman" w:cs="Times New Roman"/>
          <w:iCs/>
        </w:rPr>
      </w:pPr>
    </w:p>
    <w:p w14:paraId="5F8BE298" w14:textId="77777777" w:rsidR="00FD3C95" w:rsidRP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t xml:space="preserve">Brewer, D. and Teeter, E. </w:t>
      </w:r>
      <w:r w:rsidRPr="00FD3C95">
        <w:rPr>
          <w:rFonts w:ascii="Times New Roman" w:hAnsi="Times New Roman" w:cs="Times New Roman"/>
          <w:i/>
          <w:iCs/>
        </w:rPr>
        <w:t>Egypt and the Egyptians</w:t>
      </w:r>
      <w:r w:rsidRPr="00FD3C95">
        <w:rPr>
          <w:rFonts w:ascii="Times New Roman" w:hAnsi="Times New Roman" w:cs="Times New Roman"/>
          <w:iCs/>
        </w:rPr>
        <w:t>, Cambridge: CUP, 2007: 255pp.</w:t>
      </w:r>
    </w:p>
    <w:p w14:paraId="1480B883" w14:textId="77777777" w:rsidR="00FD3C95" w:rsidRPr="00FD3C95" w:rsidRDefault="00FD3C95" w:rsidP="00FD3C95">
      <w:pPr>
        <w:spacing w:line="480" w:lineRule="auto"/>
        <w:rPr>
          <w:rFonts w:ascii="Times New Roman" w:hAnsi="Times New Roman" w:cs="Times New Roman"/>
          <w:iCs/>
        </w:rPr>
      </w:pPr>
    </w:p>
    <w:p w14:paraId="29334485" w14:textId="77777777" w:rsidR="00FD3C95" w:rsidRP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t xml:space="preserve">Campion, N. </w:t>
      </w:r>
      <w:r w:rsidRPr="00FD3C95">
        <w:rPr>
          <w:rFonts w:ascii="Times New Roman" w:hAnsi="Times New Roman" w:cs="Times New Roman"/>
          <w:i/>
          <w:iCs/>
        </w:rPr>
        <w:t>Astrology and Cosmology in the World’s Religions</w:t>
      </w:r>
      <w:r w:rsidRPr="00FD3C95">
        <w:rPr>
          <w:rFonts w:ascii="Times New Roman" w:hAnsi="Times New Roman" w:cs="Times New Roman"/>
          <w:iCs/>
        </w:rPr>
        <w:t>, New York: NYU Press, 2012: 288pp.</w:t>
      </w:r>
    </w:p>
    <w:p w14:paraId="2ED86E5F" w14:textId="77777777" w:rsidR="00FD3C95" w:rsidRPr="00FD3C95" w:rsidRDefault="00FD3C95" w:rsidP="00FD3C95">
      <w:pPr>
        <w:spacing w:line="480" w:lineRule="auto"/>
        <w:rPr>
          <w:rFonts w:ascii="Times New Roman" w:hAnsi="Times New Roman" w:cs="Times New Roman"/>
          <w:iCs/>
        </w:rPr>
      </w:pPr>
    </w:p>
    <w:p w14:paraId="400EF400" w14:textId="77777777" w:rsidR="00FD3C95" w:rsidRP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t xml:space="preserve">Conman, J. “It's about Time: Ancient Egyptian Cosmology” </w:t>
      </w:r>
      <w:proofErr w:type="spellStart"/>
      <w:r w:rsidRPr="00FD3C95">
        <w:rPr>
          <w:rFonts w:ascii="Times New Roman" w:hAnsi="Times New Roman" w:cs="Times New Roman"/>
          <w:i/>
          <w:iCs/>
        </w:rPr>
        <w:t>Studien</w:t>
      </w:r>
      <w:proofErr w:type="spellEnd"/>
      <w:r w:rsidRPr="00FD3C95">
        <w:rPr>
          <w:rFonts w:ascii="Times New Roman" w:hAnsi="Times New Roman" w:cs="Times New Roman"/>
          <w:i/>
          <w:iCs/>
        </w:rPr>
        <w:t xml:space="preserve"> </w:t>
      </w:r>
      <w:proofErr w:type="spellStart"/>
      <w:r w:rsidRPr="00FD3C95">
        <w:rPr>
          <w:rFonts w:ascii="Times New Roman" w:hAnsi="Times New Roman" w:cs="Times New Roman"/>
          <w:i/>
          <w:iCs/>
        </w:rPr>
        <w:t>zur</w:t>
      </w:r>
      <w:proofErr w:type="spellEnd"/>
      <w:r w:rsidRPr="00FD3C95">
        <w:rPr>
          <w:rFonts w:ascii="Times New Roman" w:hAnsi="Times New Roman" w:cs="Times New Roman"/>
          <w:i/>
          <w:iCs/>
        </w:rPr>
        <w:t xml:space="preserve"> </w:t>
      </w:r>
      <w:proofErr w:type="spellStart"/>
      <w:r w:rsidRPr="00FD3C95">
        <w:rPr>
          <w:rFonts w:ascii="Times New Roman" w:hAnsi="Times New Roman" w:cs="Times New Roman"/>
          <w:i/>
          <w:iCs/>
        </w:rPr>
        <w:t>Altägyptischen</w:t>
      </w:r>
      <w:proofErr w:type="spellEnd"/>
      <w:r w:rsidRPr="00FD3C95">
        <w:rPr>
          <w:rFonts w:ascii="Times New Roman" w:hAnsi="Times New Roman" w:cs="Times New Roman"/>
          <w:i/>
          <w:iCs/>
        </w:rPr>
        <w:t xml:space="preserve"> Kultur</w:t>
      </w:r>
      <w:r w:rsidRPr="00FD3C95">
        <w:rPr>
          <w:rFonts w:ascii="Times New Roman" w:hAnsi="Times New Roman" w:cs="Times New Roman"/>
          <w:iCs/>
        </w:rPr>
        <w:t xml:space="preserve"> Bd. 31 (2003): 33-71.</w:t>
      </w:r>
    </w:p>
    <w:p w14:paraId="18B37467" w14:textId="77777777" w:rsidR="00FD3C95" w:rsidRPr="00FD3C95" w:rsidRDefault="00FD3C95" w:rsidP="00FD3C95">
      <w:pPr>
        <w:spacing w:line="480" w:lineRule="auto"/>
        <w:rPr>
          <w:rFonts w:ascii="Times New Roman" w:hAnsi="Times New Roman" w:cs="Times New Roman"/>
          <w:iCs/>
        </w:rPr>
      </w:pPr>
    </w:p>
    <w:p w14:paraId="37854313" w14:textId="77777777" w:rsidR="00FD3C95" w:rsidRP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t xml:space="preserve">David, R. </w:t>
      </w:r>
      <w:r w:rsidRPr="00FD3C95">
        <w:rPr>
          <w:rFonts w:ascii="Times New Roman" w:hAnsi="Times New Roman" w:cs="Times New Roman"/>
          <w:i/>
          <w:iCs/>
        </w:rPr>
        <w:t>Religion and Magic in Ancient Egypt</w:t>
      </w:r>
      <w:r w:rsidRPr="00FD3C95">
        <w:rPr>
          <w:rFonts w:ascii="Times New Roman" w:hAnsi="Times New Roman" w:cs="Times New Roman"/>
          <w:iCs/>
        </w:rPr>
        <w:t>, London: Penguin, 2002: 488</w:t>
      </w:r>
      <w:proofErr w:type="gramStart"/>
      <w:r w:rsidRPr="00FD3C95">
        <w:rPr>
          <w:rFonts w:ascii="Times New Roman" w:hAnsi="Times New Roman" w:cs="Times New Roman"/>
          <w:iCs/>
        </w:rPr>
        <w:t>pp..</w:t>
      </w:r>
      <w:proofErr w:type="gramEnd"/>
    </w:p>
    <w:p w14:paraId="0E6AF776" w14:textId="77777777" w:rsidR="00FD3C95" w:rsidRPr="00FD3C95" w:rsidRDefault="00FD3C95" w:rsidP="00FD3C95">
      <w:pPr>
        <w:spacing w:line="480" w:lineRule="auto"/>
        <w:rPr>
          <w:rFonts w:ascii="Times New Roman" w:hAnsi="Times New Roman" w:cs="Times New Roman"/>
          <w:iCs/>
        </w:rPr>
      </w:pPr>
    </w:p>
    <w:p w14:paraId="0DB58BBC" w14:textId="02D06F67" w:rsidR="00FD3C95" w:rsidRDefault="00FD3C95" w:rsidP="00FD3C95">
      <w:pPr>
        <w:spacing w:line="480" w:lineRule="auto"/>
        <w:rPr>
          <w:rFonts w:ascii="Times New Roman" w:hAnsi="Times New Roman" w:cs="Times New Roman"/>
          <w:iCs/>
        </w:rPr>
      </w:pPr>
      <w:proofErr w:type="spellStart"/>
      <w:r w:rsidRPr="00FD3C95">
        <w:rPr>
          <w:rFonts w:ascii="Times New Roman" w:hAnsi="Times New Roman" w:cs="Times New Roman"/>
          <w:iCs/>
        </w:rPr>
        <w:t>Dunand</w:t>
      </w:r>
      <w:proofErr w:type="spellEnd"/>
      <w:r w:rsidRPr="00FD3C95">
        <w:rPr>
          <w:rFonts w:ascii="Times New Roman" w:hAnsi="Times New Roman" w:cs="Times New Roman"/>
          <w:iCs/>
        </w:rPr>
        <w:t xml:space="preserve">, F. and </w:t>
      </w:r>
      <w:proofErr w:type="spellStart"/>
      <w:r w:rsidRPr="00FD3C95">
        <w:rPr>
          <w:rFonts w:ascii="Times New Roman" w:hAnsi="Times New Roman" w:cs="Times New Roman"/>
          <w:iCs/>
        </w:rPr>
        <w:t>Zivie</w:t>
      </w:r>
      <w:proofErr w:type="spellEnd"/>
      <w:r w:rsidRPr="00FD3C95">
        <w:rPr>
          <w:rFonts w:ascii="Times New Roman" w:hAnsi="Times New Roman" w:cs="Times New Roman"/>
          <w:iCs/>
        </w:rPr>
        <w:t xml:space="preserve">-Coche, C. </w:t>
      </w:r>
      <w:r w:rsidRPr="00FD3C95">
        <w:rPr>
          <w:rFonts w:ascii="Times New Roman" w:hAnsi="Times New Roman" w:cs="Times New Roman"/>
          <w:i/>
          <w:iCs/>
        </w:rPr>
        <w:t>Gods and Men in Egypt, 3000 BCE to 395 CE</w:t>
      </w:r>
      <w:r w:rsidRPr="00FD3C95">
        <w:rPr>
          <w:rFonts w:ascii="Times New Roman" w:hAnsi="Times New Roman" w:cs="Times New Roman"/>
          <w:iCs/>
        </w:rPr>
        <w:t>. Translated by David Lorton. Ithaca, New York and London: Cornell University Press, 2004. pp. xiii + 378 + 21 figs.</w:t>
      </w:r>
    </w:p>
    <w:p w14:paraId="114E8435" w14:textId="77777777" w:rsidR="00FD3C95" w:rsidRPr="00FD3C95" w:rsidRDefault="00FD3C95" w:rsidP="00FD3C95">
      <w:pPr>
        <w:spacing w:line="480" w:lineRule="auto"/>
        <w:rPr>
          <w:rFonts w:ascii="Times New Roman" w:hAnsi="Times New Roman" w:cs="Times New Roman"/>
          <w:iCs/>
        </w:rPr>
      </w:pPr>
    </w:p>
    <w:p w14:paraId="08BE6AD7" w14:textId="77777777" w:rsidR="00FD3C95" w:rsidRP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t xml:space="preserve">Gilbert, R.A. and Park, G. K. "Divination" in </w:t>
      </w:r>
      <w:proofErr w:type="spellStart"/>
      <w:r w:rsidRPr="00FD3C95">
        <w:rPr>
          <w:rFonts w:ascii="Times New Roman" w:hAnsi="Times New Roman" w:cs="Times New Roman"/>
          <w:i/>
          <w:iCs/>
        </w:rPr>
        <w:t>Encyclopedia</w:t>
      </w:r>
      <w:proofErr w:type="spellEnd"/>
      <w:r w:rsidRPr="00FD3C95">
        <w:rPr>
          <w:rFonts w:ascii="Times New Roman" w:hAnsi="Times New Roman" w:cs="Times New Roman"/>
          <w:i/>
          <w:iCs/>
        </w:rPr>
        <w:t xml:space="preserve"> Britannica</w:t>
      </w:r>
      <w:r w:rsidRPr="00FD3C95">
        <w:rPr>
          <w:rFonts w:ascii="Times New Roman" w:hAnsi="Times New Roman" w:cs="Times New Roman"/>
          <w:iCs/>
        </w:rPr>
        <w:t xml:space="preserve">, 16 Feb. 2001, </w:t>
      </w:r>
      <w:hyperlink r:id="rId8" w:history="1">
        <w:r w:rsidRPr="00FD3C95">
          <w:rPr>
            <w:rStyle w:val="Hyperlink"/>
            <w:rFonts w:ascii="Times New Roman" w:hAnsi="Times New Roman" w:cs="Times New Roman"/>
            <w:iCs/>
          </w:rPr>
          <w:t>https://www.britannica.com/topic/divination. Accessed 10 May 2021</w:t>
        </w:r>
      </w:hyperlink>
      <w:r w:rsidRPr="00FD3C95">
        <w:rPr>
          <w:rFonts w:ascii="Times New Roman" w:hAnsi="Times New Roman" w:cs="Times New Roman"/>
          <w:iCs/>
        </w:rPr>
        <w:t>.</w:t>
      </w:r>
    </w:p>
    <w:p w14:paraId="0C156EC9" w14:textId="77777777" w:rsidR="00FD3C95" w:rsidRPr="00FD3C95" w:rsidRDefault="00FD3C95" w:rsidP="00FD3C95">
      <w:pPr>
        <w:spacing w:line="480" w:lineRule="auto"/>
        <w:rPr>
          <w:rFonts w:ascii="Times New Roman" w:hAnsi="Times New Roman" w:cs="Times New Roman"/>
          <w:iCs/>
        </w:rPr>
      </w:pPr>
    </w:p>
    <w:p w14:paraId="3420361D" w14:textId="18AF598A" w:rsid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t xml:space="preserve">Hornung, E. </w:t>
      </w:r>
      <w:r w:rsidRPr="00FD3C95">
        <w:rPr>
          <w:rFonts w:ascii="Times New Roman" w:hAnsi="Times New Roman" w:cs="Times New Roman"/>
          <w:i/>
          <w:iCs/>
        </w:rPr>
        <w:t>The Secret Lore of Egypt: Its Impact on the West</w:t>
      </w:r>
      <w:r w:rsidRPr="00FD3C95">
        <w:rPr>
          <w:rFonts w:ascii="Times New Roman" w:hAnsi="Times New Roman" w:cs="Times New Roman"/>
          <w:iCs/>
        </w:rPr>
        <w:t>, trans. David Lorton, Ithaca, NY: Cornell University Press, 2001.</w:t>
      </w:r>
    </w:p>
    <w:p w14:paraId="1A0ACB24" w14:textId="77777777" w:rsidR="00FD3C95" w:rsidRPr="00FD3C95" w:rsidRDefault="00FD3C95" w:rsidP="00FD3C95">
      <w:pPr>
        <w:spacing w:line="480" w:lineRule="auto"/>
        <w:rPr>
          <w:rFonts w:ascii="Times New Roman" w:hAnsi="Times New Roman" w:cs="Times New Roman"/>
          <w:iCs/>
        </w:rPr>
      </w:pPr>
    </w:p>
    <w:p w14:paraId="7C172E3E" w14:textId="55149704" w:rsidR="00FD3C95" w:rsidRP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t xml:space="preserve">Hoskins, J. ‘Agency, Biography and Objects’ in C. Tilley, W. Keane, S. </w:t>
      </w:r>
      <w:proofErr w:type="spellStart"/>
      <w:r w:rsidRPr="00FD3C95">
        <w:rPr>
          <w:rFonts w:ascii="Times New Roman" w:hAnsi="Times New Roman" w:cs="Times New Roman"/>
          <w:iCs/>
        </w:rPr>
        <w:t>Küchler</w:t>
      </w:r>
      <w:proofErr w:type="spellEnd"/>
      <w:r w:rsidRPr="00FD3C95">
        <w:rPr>
          <w:rFonts w:ascii="Times New Roman" w:hAnsi="Times New Roman" w:cs="Times New Roman"/>
          <w:iCs/>
        </w:rPr>
        <w:t xml:space="preserve">, M. Rowlands, and P. </w:t>
      </w:r>
      <w:proofErr w:type="spellStart"/>
      <w:r w:rsidRPr="00FD3C95">
        <w:rPr>
          <w:rFonts w:ascii="Times New Roman" w:hAnsi="Times New Roman" w:cs="Times New Roman"/>
          <w:iCs/>
        </w:rPr>
        <w:t>Syper</w:t>
      </w:r>
      <w:proofErr w:type="spellEnd"/>
      <w:r w:rsidRPr="00FD3C95">
        <w:rPr>
          <w:rFonts w:ascii="Times New Roman" w:hAnsi="Times New Roman" w:cs="Times New Roman"/>
          <w:iCs/>
        </w:rPr>
        <w:t xml:space="preserve"> (eds) (2006), </w:t>
      </w:r>
      <w:r w:rsidRPr="00FD3C95">
        <w:rPr>
          <w:rFonts w:ascii="Times New Roman" w:hAnsi="Times New Roman" w:cs="Times New Roman"/>
          <w:i/>
          <w:iCs/>
        </w:rPr>
        <w:t>Handbook of Material Culture</w:t>
      </w:r>
      <w:r w:rsidRPr="00FD3C95">
        <w:rPr>
          <w:rFonts w:ascii="Times New Roman" w:hAnsi="Times New Roman" w:cs="Times New Roman"/>
          <w:iCs/>
        </w:rPr>
        <w:t xml:space="preserve"> London: Sage:74-84.</w:t>
      </w:r>
    </w:p>
    <w:p w14:paraId="20560274" w14:textId="77777777" w:rsidR="00FD3C95" w:rsidRPr="00FD3C95" w:rsidRDefault="00FD3C95" w:rsidP="00FD3C95">
      <w:pPr>
        <w:spacing w:line="480" w:lineRule="auto"/>
        <w:rPr>
          <w:rFonts w:ascii="Times New Roman" w:hAnsi="Times New Roman" w:cs="Times New Roman"/>
          <w:iCs/>
        </w:rPr>
      </w:pPr>
    </w:p>
    <w:p w14:paraId="1EA8CE6B" w14:textId="77777777" w:rsidR="00FD3C95" w:rsidRP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t xml:space="preserve">Hughes, George R. “A Demotic Astrological Text” </w:t>
      </w:r>
      <w:r w:rsidRPr="00FD3C95">
        <w:rPr>
          <w:rFonts w:ascii="Times New Roman" w:hAnsi="Times New Roman" w:cs="Times New Roman"/>
          <w:i/>
          <w:iCs/>
        </w:rPr>
        <w:t>JNES</w:t>
      </w:r>
      <w:r w:rsidRPr="00FD3C95">
        <w:rPr>
          <w:rFonts w:ascii="Times New Roman" w:hAnsi="Times New Roman" w:cs="Times New Roman"/>
          <w:iCs/>
        </w:rPr>
        <w:t>10, no. 4 (1951): 256-64.</w:t>
      </w:r>
    </w:p>
    <w:p w14:paraId="222297AE" w14:textId="77777777" w:rsidR="00FD3C95" w:rsidRPr="00FD3C95" w:rsidRDefault="00FD3C95" w:rsidP="00FD3C95">
      <w:pPr>
        <w:spacing w:line="480" w:lineRule="auto"/>
        <w:rPr>
          <w:rFonts w:ascii="Times New Roman" w:hAnsi="Times New Roman" w:cs="Times New Roman"/>
          <w:iCs/>
        </w:rPr>
      </w:pPr>
    </w:p>
    <w:p w14:paraId="2421B672" w14:textId="77777777" w:rsidR="00FD3C95" w:rsidRP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t xml:space="preserve">King, C. J. “Plutarch, Alexander, and Dream Divination” </w:t>
      </w:r>
      <w:r w:rsidRPr="00FD3C95">
        <w:rPr>
          <w:rFonts w:ascii="Times New Roman" w:hAnsi="Times New Roman" w:cs="Times New Roman"/>
          <w:i/>
          <w:iCs/>
        </w:rPr>
        <w:t>Illinois Classical Studies</w:t>
      </w:r>
      <w:r w:rsidRPr="00FD3C95">
        <w:rPr>
          <w:rFonts w:ascii="Times New Roman" w:hAnsi="Times New Roman" w:cs="Times New Roman"/>
          <w:iCs/>
        </w:rPr>
        <w:t xml:space="preserve"> No. 38 (2013): 81-111.</w:t>
      </w:r>
    </w:p>
    <w:p w14:paraId="3C60EAC9" w14:textId="77777777" w:rsidR="00FD3C95" w:rsidRPr="00FD3C95" w:rsidRDefault="00FD3C95" w:rsidP="00FD3C95">
      <w:pPr>
        <w:spacing w:line="480" w:lineRule="auto"/>
        <w:rPr>
          <w:rFonts w:ascii="Times New Roman" w:hAnsi="Times New Roman" w:cs="Times New Roman"/>
          <w:iCs/>
        </w:rPr>
      </w:pPr>
    </w:p>
    <w:p w14:paraId="6D1C03C6" w14:textId="77777777" w:rsidR="00FD3C95" w:rsidRPr="00FD3C95" w:rsidRDefault="00FD3C95" w:rsidP="00FD3C95">
      <w:pPr>
        <w:spacing w:line="480" w:lineRule="auto"/>
        <w:rPr>
          <w:rFonts w:ascii="Times New Roman" w:hAnsi="Times New Roman" w:cs="Times New Roman"/>
          <w:iCs/>
        </w:rPr>
      </w:pPr>
      <w:proofErr w:type="spellStart"/>
      <w:r w:rsidRPr="00FD3C95">
        <w:rPr>
          <w:rFonts w:ascii="Times New Roman" w:hAnsi="Times New Roman" w:cs="Times New Roman"/>
          <w:iCs/>
        </w:rPr>
        <w:t>Kruchten</w:t>
      </w:r>
      <w:proofErr w:type="spellEnd"/>
      <w:r w:rsidRPr="00FD3C95">
        <w:rPr>
          <w:rFonts w:ascii="Times New Roman" w:hAnsi="Times New Roman" w:cs="Times New Roman"/>
          <w:iCs/>
        </w:rPr>
        <w:t xml:space="preserve">, J-M. ’Oracles’ in D.B Redford (ed.) (2002) </w:t>
      </w:r>
      <w:r w:rsidRPr="00FD3C95">
        <w:rPr>
          <w:rFonts w:ascii="Times New Roman" w:hAnsi="Times New Roman" w:cs="Times New Roman"/>
          <w:i/>
          <w:iCs/>
        </w:rPr>
        <w:t>The Ancient Gods Speak: A Guide to Egyptian Religion</w:t>
      </w:r>
      <w:r w:rsidRPr="00FD3C95">
        <w:rPr>
          <w:rFonts w:ascii="Times New Roman" w:hAnsi="Times New Roman" w:cs="Times New Roman"/>
          <w:iCs/>
        </w:rPr>
        <w:t>, Oxford/New York: Oxford University Press: 609-612.</w:t>
      </w:r>
    </w:p>
    <w:p w14:paraId="66C9AC34" w14:textId="77777777" w:rsidR="00FD3C95" w:rsidRPr="00FD3C95" w:rsidRDefault="00FD3C95" w:rsidP="00FD3C95">
      <w:pPr>
        <w:spacing w:line="480" w:lineRule="auto"/>
        <w:rPr>
          <w:rFonts w:ascii="Times New Roman" w:hAnsi="Times New Roman" w:cs="Times New Roman"/>
          <w:iCs/>
        </w:rPr>
      </w:pPr>
    </w:p>
    <w:p w14:paraId="61E028AC" w14:textId="77777777" w:rsidR="00FD3C95" w:rsidRPr="00FD3C95" w:rsidRDefault="00FD3C95" w:rsidP="00FD3C95">
      <w:pPr>
        <w:spacing w:line="480" w:lineRule="auto"/>
        <w:rPr>
          <w:rFonts w:ascii="Times New Roman" w:hAnsi="Times New Roman" w:cs="Times New Roman"/>
          <w:iCs/>
        </w:rPr>
      </w:pPr>
      <w:proofErr w:type="spellStart"/>
      <w:r w:rsidRPr="00FD3C95">
        <w:rPr>
          <w:rFonts w:ascii="Times New Roman" w:hAnsi="Times New Roman" w:cs="Times New Roman"/>
          <w:iCs/>
        </w:rPr>
        <w:lastRenderedPageBreak/>
        <w:t>Lehoux</w:t>
      </w:r>
      <w:proofErr w:type="spellEnd"/>
      <w:r w:rsidRPr="00FD3C95">
        <w:rPr>
          <w:rFonts w:ascii="Times New Roman" w:hAnsi="Times New Roman" w:cs="Times New Roman"/>
          <w:iCs/>
        </w:rPr>
        <w:t xml:space="preserve">, D. “Tomorrow's News Today: Astrology, Fate and the Way Out” </w:t>
      </w:r>
      <w:r w:rsidRPr="00FD3C95">
        <w:rPr>
          <w:rFonts w:ascii="Times New Roman" w:hAnsi="Times New Roman" w:cs="Times New Roman"/>
          <w:i/>
          <w:iCs/>
        </w:rPr>
        <w:t xml:space="preserve">Representations </w:t>
      </w:r>
      <w:r w:rsidRPr="00FD3C95">
        <w:rPr>
          <w:rFonts w:ascii="Times New Roman" w:hAnsi="Times New Roman" w:cs="Times New Roman"/>
          <w:iCs/>
        </w:rPr>
        <w:t>95 (2006): 105-22.</w:t>
      </w:r>
    </w:p>
    <w:p w14:paraId="6F8529E5" w14:textId="77777777" w:rsidR="00FD3C95" w:rsidRPr="00FD3C95" w:rsidRDefault="00FD3C95" w:rsidP="00FD3C95">
      <w:pPr>
        <w:spacing w:line="480" w:lineRule="auto"/>
        <w:rPr>
          <w:rFonts w:ascii="Times New Roman" w:hAnsi="Times New Roman" w:cs="Times New Roman"/>
          <w:iCs/>
        </w:rPr>
      </w:pPr>
    </w:p>
    <w:p w14:paraId="62A5271B" w14:textId="77777777" w:rsidR="00FD3C95" w:rsidRPr="00FD3C95" w:rsidRDefault="00FD3C95" w:rsidP="00FD3C95">
      <w:pPr>
        <w:spacing w:line="480" w:lineRule="auto"/>
        <w:rPr>
          <w:rFonts w:ascii="Times New Roman" w:hAnsi="Times New Roman" w:cs="Times New Roman"/>
          <w:iCs/>
        </w:rPr>
      </w:pPr>
      <w:r w:rsidRPr="00FD3C95">
        <w:rPr>
          <w:rFonts w:ascii="Times New Roman" w:hAnsi="Times New Roman" w:cs="Times New Roman" w:hint="eastAsia"/>
          <w:iCs/>
        </w:rPr>
        <w:t>Lesko, L. H. </w:t>
      </w:r>
      <w:r w:rsidRPr="00FD3C95">
        <w:rPr>
          <w:rFonts w:ascii="Times New Roman" w:hAnsi="Times New Roman" w:cs="Times New Roman"/>
          <w:iCs/>
        </w:rPr>
        <w:t xml:space="preserve">‘Ancient Egyptian Cosmogonies and Cosmology’ in </w:t>
      </w:r>
      <w:r w:rsidRPr="00FD3C95">
        <w:rPr>
          <w:rFonts w:ascii="Times New Roman" w:hAnsi="Times New Roman" w:cs="Times New Roman" w:hint="eastAsia"/>
          <w:iCs/>
        </w:rPr>
        <w:t>Shafer, B. E.</w:t>
      </w:r>
      <w:r w:rsidRPr="00FD3C95">
        <w:rPr>
          <w:rFonts w:ascii="Times New Roman" w:hAnsi="Times New Roman" w:cs="Times New Roman"/>
          <w:iCs/>
        </w:rPr>
        <w:t xml:space="preserve"> (ed.) </w:t>
      </w:r>
      <w:r w:rsidRPr="00FD3C95">
        <w:rPr>
          <w:rFonts w:ascii="Times New Roman" w:hAnsi="Times New Roman" w:cs="Times New Roman" w:hint="eastAsia"/>
          <w:iCs/>
        </w:rPr>
        <w:t>(1991)</w:t>
      </w:r>
      <w:r w:rsidRPr="00FD3C95">
        <w:rPr>
          <w:rFonts w:ascii="Times New Roman" w:hAnsi="Times New Roman" w:cs="Times New Roman"/>
          <w:iCs/>
        </w:rPr>
        <w:t xml:space="preserve">, </w:t>
      </w:r>
      <w:r w:rsidRPr="00FD3C95">
        <w:rPr>
          <w:rFonts w:ascii="Times New Roman" w:hAnsi="Times New Roman" w:cs="Times New Roman" w:hint="eastAsia"/>
          <w:i/>
          <w:iCs/>
        </w:rPr>
        <w:t>Religion in ancient Egypt: Gods, myths, and personal practice</w:t>
      </w:r>
      <w:r w:rsidRPr="00FD3C95">
        <w:rPr>
          <w:rFonts w:ascii="Times New Roman" w:hAnsi="Times New Roman" w:cs="Times New Roman"/>
          <w:iCs/>
        </w:rPr>
        <w:t xml:space="preserve"> (Cornell University), London: Routledge: 88-122.</w:t>
      </w:r>
    </w:p>
    <w:p w14:paraId="74DA2CD1" w14:textId="77777777" w:rsidR="00FD3C95" w:rsidRPr="00FD3C95" w:rsidRDefault="00FD3C95" w:rsidP="00FD3C95">
      <w:pPr>
        <w:spacing w:line="480" w:lineRule="auto"/>
        <w:rPr>
          <w:rFonts w:ascii="Times New Roman" w:hAnsi="Times New Roman" w:cs="Times New Roman"/>
          <w:iCs/>
        </w:rPr>
      </w:pPr>
    </w:p>
    <w:p w14:paraId="70F65159" w14:textId="77777777" w:rsidR="00FD3C95" w:rsidRP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t xml:space="preserve">Maul, Stefan M. 'Divination Culture and the Handling of the Future' in G. </w:t>
      </w:r>
      <w:proofErr w:type="spellStart"/>
      <w:r w:rsidRPr="00FD3C95">
        <w:rPr>
          <w:rFonts w:ascii="Times New Roman" w:hAnsi="Times New Roman" w:cs="Times New Roman"/>
          <w:iCs/>
        </w:rPr>
        <w:t>Leick</w:t>
      </w:r>
      <w:proofErr w:type="spellEnd"/>
      <w:r w:rsidRPr="00FD3C95">
        <w:rPr>
          <w:rFonts w:ascii="Times New Roman" w:hAnsi="Times New Roman" w:cs="Times New Roman"/>
          <w:iCs/>
        </w:rPr>
        <w:t xml:space="preserve"> (ed.) (2007)</w:t>
      </w:r>
      <w:r w:rsidRPr="00FD3C95">
        <w:rPr>
          <w:rFonts w:ascii="Times New Roman" w:hAnsi="Times New Roman" w:cs="Times New Roman"/>
          <w:i/>
          <w:iCs/>
        </w:rPr>
        <w:t xml:space="preserve"> The Babylonian World</w:t>
      </w:r>
      <w:r w:rsidRPr="00FD3C95">
        <w:rPr>
          <w:rFonts w:ascii="Times New Roman" w:hAnsi="Times New Roman" w:cs="Times New Roman"/>
          <w:iCs/>
        </w:rPr>
        <w:t xml:space="preserve"> New York/London: Routledge: 361-372.</w:t>
      </w:r>
    </w:p>
    <w:p w14:paraId="349BB440" w14:textId="77777777" w:rsidR="00FD3C95" w:rsidRPr="00FD3C95" w:rsidRDefault="00FD3C95" w:rsidP="00FD3C95">
      <w:pPr>
        <w:spacing w:line="480" w:lineRule="auto"/>
        <w:rPr>
          <w:rFonts w:ascii="Times New Roman" w:hAnsi="Times New Roman" w:cs="Times New Roman"/>
          <w:iCs/>
        </w:rPr>
      </w:pPr>
    </w:p>
    <w:p w14:paraId="545ECAE6" w14:textId="77777777" w:rsidR="00FD3C95" w:rsidRP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t xml:space="preserve">Patton, K.C. “A Great and Strange Correction”: Intentionality, Locality, and Epiphany in the Category of Dream Incubation </w:t>
      </w:r>
      <w:r w:rsidRPr="00FD3C95">
        <w:rPr>
          <w:rFonts w:ascii="Times New Roman" w:hAnsi="Times New Roman" w:cs="Times New Roman"/>
          <w:i/>
          <w:iCs/>
        </w:rPr>
        <w:t>History of Religions</w:t>
      </w:r>
      <w:r w:rsidRPr="00FD3C95">
        <w:rPr>
          <w:rFonts w:ascii="Times New Roman" w:hAnsi="Times New Roman" w:cs="Times New Roman"/>
          <w:iCs/>
        </w:rPr>
        <w:t>, Vol. 43, No. 3 (February 2004): 194-223.</w:t>
      </w:r>
    </w:p>
    <w:p w14:paraId="539AB69D" w14:textId="77777777" w:rsidR="00FD3C95" w:rsidRPr="00FD3C95" w:rsidRDefault="00FD3C95" w:rsidP="00FD3C95">
      <w:pPr>
        <w:spacing w:line="480" w:lineRule="auto"/>
        <w:rPr>
          <w:rFonts w:ascii="Times New Roman" w:hAnsi="Times New Roman" w:cs="Times New Roman"/>
          <w:iCs/>
        </w:rPr>
      </w:pPr>
    </w:p>
    <w:p w14:paraId="715C95CD" w14:textId="77777777" w:rsidR="00FD3C95" w:rsidRP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t xml:space="preserve">Plutarch, “Isis and Osiris,” </w:t>
      </w:r>
      <w:proofErr w:type="spellStart"/>
      <w:r w:rsidRPr="00FD3C95">
        <w:rPr>
          <w:rFonts w:ascii="Times New Roman" w:hAnsi="Times New Roman" w:cs="Times New Roman"/>
          <w:i/>
          <w:iCs/>
        </w:rPr>
        <w:t>Moralia</w:t>
      </w:r>
      <w:proofErr w:type="spellEnd"/>
      <w:r w:rsidRPr="00FD3C95">
        <w:rPr>
          <w:rFonts w:ascii="Times New Roman" w:hAnsi="Times New Roman" w:cs="Times New Roman"/>
          <w:iCs/>
        </w:rPr>
        <w:t xml:space="preserve">, Vol. 5, trans. F. C. </w:t>
      </w:r>
      <w:proofErr w:type="spellStart"/>
      <w:r w:rsidRPr="00FD3C95">
        <w:rPr>
          <w:rFonts w:ascii="Times New Roman" w:hAnsi="Times New Roman" w:cs="Times New Roman"/>
          <w:iCs/>
        </w:rPr>
        <w:t>Babbit</w:t>
      </w:r>
      <w:proofErr w:type="spellEnd"/>
      <w:r w:rsidRPr="00FD3C95">
        <w:rPr>
          <w:rFonts w:ascii="Times New Roman" w:hAnsi="Times New Roman" w:cs="Times New Roman"/>
          <w:iCs/>
        </w:rPr>
        <w:t xml:space="preserve"> (Cambridge, MA: Harvard University Press, 1936).</w:t>
      </w:r>
    </w:p>
    <w:p w14:paraId="07EBC17A" w14:textId="77777777" w:rsidR="00FD3C95" w:rsidRPr="00FD3C95" w:rsidRDefault="00FD3C95" w:rsidP="00FD3C95">
      <w:pPr>
        <w:spacing w:line="480" w:lineRule="auto"/>
        <w:rPr>
          <w:rFonts w:ascii="Times New Roman" w:hAnsi="Times New Roman" w:cs="Times New Roman"/>
          <w:iCs/>
        </w:rPr>
      </w:pPr>
    </w:p>
    <w:p w14:paraId="7A6A1D4A" w14:textId="77777777" w:rsidR="00FD3C95" w:rsidRP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t xml:space="preserve">Quirke, S. </w:t>
      </w:r>
      <w:r w:rsidRPr="00FD3C95">
        <w:rPr>
          <w:rFonts w:ascii="Times New Roman" w:hAnsi="Times New Roman" w:cs="Times New Roman"/>
          <w:i/>
          <w:iCs/>
        </w:rPr>
        <w:t>The Cult of Ra</w:t>
      </w:r>
      <w:r w:rsidRPr="00FD3C95">
        <w:rPr>
          <w:rFonts w:ascii="Times New Roman" w:hAnsi="Times New Roman" w:cs="Times New Roman"/>
          <w:iCs/>
        </w:rPr>
        <w:t>, London: Thames &amp; Hudson, 2001: 184pp.</w:t>
      </w:r>
    </w:p>
    <w:p w14:paraId="53F29405" w14:textId="77777777" w:rsidR="00FD3C95" w:rsidRPr="00FD3C95" w:rsidRDefault="00FD3C95" w:rsidP="00FD3C95">
      <w:pPr>
        <w:spacing w:line="480" w:lineRule="auto"/>
        <w:rPr>
          <w:rFonts w:ascii="Times New Roman" w:hAnsi="Times New Roman" w:cs="Times New Roman"/>
          <w:iCs/>
        </w:rPr>
      </w:pPr>
    </w:p>
    <w:p w14:paraId="1C2572A3" w14:textId="77777777" w:rsidR="00FD3C95" w:rsidRP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t xml:space="preserve">Quirke, S. </w:t>
      </w:r>
      <w:r w:rsidRPr="00FD3C95">
        <w:rPr>
          <w:rFonts w:ascii="Times New Roman" w:hAnsi="Times New Roman" w:cs="Times New Roman"/>
          <w:i/>
          <w:iCs/>
        </w:rPr>
        <w:t>Exploring Religion in Ancient Egypt</w:t>
      </w:r>
      <w:r w:rsidRPr="00FD3C95">
        <w:rPr>
          <w:rFonts w:ascii="Times New Roman" w:hAnsi="Times New Roman" w:cs="Times New Roman"/>
          <w:iCs/>
        </w:rPr>
        <w:t>, Chichester, UK: Wiley, 2015: 272pp.</w:t>
      </w:r>
    </w:p>
    <w:p w14:paraId="63ABA37D" w14:textId="77777777" w:rsidR="00FD3C95" w:rsidRPr="00FD3C95" w:rsidRDefault="00FD3C95" w:rsidP="00FD3C95">
      <w:pPr>
        <w:spacing w:line="480" w:lineRule="auto"/>
        <w:rPr>
          <w:rFonts w:ascii="Times New Roman" w:hAnsi="Times New Roman" w:cs="Times New Roman"/>
          <w:iCs/>
        </w:rPr>
      </w:pPr>
    </w:p>
    <w:p w14:paraId="4AABEF2A" w14:textId="77777777" w:rsidR="00FD3C95" w:rsidRP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t xml:space="preserve">Parker, R.A. “The Place of Astronomy in the Ancient World” </w:t>
      </w:r>
      <w:r w:rsidRPr="00FD3C95">
        <w:rPr>
          <w:rFonts w:ascii="Times New Roman" w:hAnsi="Times New Roman" w:cs="Times New Roman"/>
          <w:i/>
          <w:iCs/>
        </w:rPr>
        <w:t>Philosophical Transactions of the Royal Society of London.</w:t>
      </w:r>
      <w:r w:rsidRPr="00FD3C95">
        <w:rPr>
          <w:rFonts w:ascii="Times New Roman" w:hAnsi="Times New Roman" w:cs="Times New Roman"/>
          <w:iCs/>
        </w:rPr>
        <w:t xml:space="preserve"> </w:t>
      </w:r>
      <w:r w:rsidRPr="00FD3C95">
        <w:rPr>
          <w:rFonts w:ascii="Times New Roman" w:hAnsi="Times New Roman" w:cs="Times New Roman"/>
          <w:i/>
          <w:iCs/>
        </w:rPr>
        <w:t>Series A, Mathematical and Physical Sciences</w:t>
      </w:r>
      <w:r w:rsidRPr="00FD3C95">
        <w:rPr>
          <w:rFonts w:ascii="Times New Roman" w:hAnsi="Times New Roman" w:cs="Times New Roman"/>
          <w:iCs/>
        </w:rPr>
        <w:t>, May 2, 1974, Vol. 276, No. 1257: 51-65.</w:t>
      </w:r>
    </w:p>
    <w:p w14:paraId="410308A8" w14:textId="77777777" w:rsidR="00FD3C95" w:rsidRPr="00FD3C95" w:rsidRDefault="00FD3C95" w:rsidP="00FD3C95">
      <w:pPr>
        <w:spacing w:line="480" w:lineRule="auto"/>
        <w:rPr>
          <w:rFonts w:ascii="Times New Roman" w:hAnsi="Times New Roman" w:cs="Times New Roman"/>
          <w:iCs/>
        </w:rPr>
      </w:pPr>
    </w:p>
    <w:p w14:paraId="2C6FEC2D" w14:textId="77777777" w:rsidR="00FD3C95" w:rsidRP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lastRenderedPageBreak/>
        <w:t xml:space="preserve">Prada, L. “Dreams, Rising Stars and Falling Geckos: Divination in Ancient Egypt” </w:t>
      </w:r>
      <w:r w:rsidRPr="00FD3C95">
        <w:rPr>
          <w:rFonts w:ascii="Times New Roman" w:hAnsi="Times New Roman" w:cs="Times New Roman"/>
          <w:i/>
          <w:iCs/>
        </w:rPr>
        <w:t xml:space="preserve">Egyptian Archaeology </w:t>
      </w:r>
      <w:r w:rsidRPr="00FD3C95">
        <w:rPr>
          <w:rFonts w:ascii="Times New Roman" w:hAnsi="Times New Roman" w:cs="Times New Roman"/>
          <w:iCs/>
        </w:rPr>
        <w:t>51 (Autumn 2017): 4-9.</w:t>
      </w:r>
    </w:p>
    <w:p w14:paraId="5CC43756" w14:textId="77777777" w:rsidR="00FD3C95" w:rsidRPr="00FD3C95" w:rsidRDefault="00FD3C95" w:rsidP="00FD3C95">
      <w:pPr>
        <w:spacing w:line="480" w:lineRule="auto"/>
        <w:rPr>
          <w:rFonts w:ascii="Times New Roman" w:hAnsi="Times New Roman" w:cs="Times New Roman"/>
          <w:iCs/>
        </w:rPr>
      </w:pPr>
    </w:p>
    <w:p w14:paraId="6E8BD8E6" w14:textId="77777777" w:rsidR="00FD3C95" w:rsidRPr="00FD3C95" w:rsidRDefault="00FD3C95" w:rsidP="00FD3C95">
      <w:pPr>
        <w:spacing w:line="480" w:lineRule="auto"/>
        <w:rPr>
          <w:rFonts w:ascii="Times New Roman" w:hAnsi="Times New Roman" w:cs="Times New Roman"/>
          <w:iCs/>
        </w:rPr>
      </w:pPr>
      <w:proofErr w:type="spellStart"/>
      <w:r w:rsidRPr="00FD3C95">
        <w:rPr>
          <w:rFonts w:ascii="Times New Roman" w:hAnsi="Times New Roman" w:cs="Times New Roman"/>
          <w:iCs/>
        </w:rPr>
        <w:t>Renberg</w:t>
      </w:r>
      <w:proofErr w:type="spellEnd"/>
      <w:r w:rsidRPr="00FD3C95">
        <w:rPr>
          <w:rFonts w:ascii="Times New Roman" w:hAnsi="Times New Roman" w:cs="Times New Roman"/>
          <w:iCs/>
        </w:rPr>
        <w:t xml:space="preserve">, G. H. ‘Incubation at </w:t>
      </w:r>
      <w:proofErr w:type="spellStart"/>
      <w:r w:rsidRPr="00FD3C95">
        <w:rPr>
          <w:rFonts w:ascii="Times New Roman" w:hAnsi="Times New Roman" w:cs="Times New Roman"/>
          <w:iCs/>
        </w:rPr>
        <w:t>Saqqâra</w:t>
      </w:r>
      <w:proofErr w:type="spellEnd"/>
      <w:r w:rsidRPr="00FD3C95">
        <w:rPr>
          <w:rFonts w:ascii="Times New Roman" w:hAnsi="Times New Roman" w:cs="Times New Roman"/>
          <w:iCs/>
        </w:rPr>
        <w:t xml:space="preserve">’ in </w:t>
      </w:r>
      <w:r w:rsidRPr="00FD3C95">
        <w:rPr>
          <w:rFonts w:ascii="Times New Roman" w:hAnsi="Times New Roman" w:cs="Times New Roman"/>
          <w:i/>
          <w:iCs/>
        </w:rPr>
        <w:t>Proceedings of the Twenty-Fifth International Congress of Papyrology</w:t>
      </w:r>
      <w:r w:rsidRPr="00FD3C95">
        <w:rPr>
          <w:rFonts w:ascii="Times New Roman" w:hAnsi="Times New Roman" w:cs="Times New Roman"/>
          <w:iCs/>
        </w:rPr>
        <w:t xml:space="preserve">, Ann Arbor 2007 </w:t>
      </w:r>
      <w:r w:rsidRPr="00FD3C95">
        <w:rPr>
          <w:rFonts w:ascii="Times New Roman" w:hAnsi="Times New Roman" w:cs="Times New Roman"/>
          <w:i/>
          <w:iCs/>
        </w:rPr>
        <w:t>American Studies in Papyrology</w:t>
      </w:r>
      <w:r w:rsidRPr="00FD3C95">
        <w:rPr>
          <w:rFonts w:ascii="Times New Roman" w:hAnsi="Times New Roman" w:cs="Times New Roman"/>
          <w:iCs/>
        </w:rPr>
        <w:t xml:space="preserve"> (Ann Arbor 2010): 649–662.</w:t>
      </w:r>
    </w:p>
    <w:p w14:paraId="060CD6A9" w14:textId="77777777" w:rsidR="00FD3C95" w:rsidRPr="00FD3C95" w:rsidRDefault="00FD3C95" w:rsidP="00FD3C95">
      <w:pPr>
        <w:spacing w:line="480" w:lineRule="auto"/>
        <w:rPr>
          <w:rFonts w:ascii="Times New Roman" w:hAnsi="Times New Roman" w:cs="Times New Roman"/>
          <w:iCs/>
        </w:rPr>
      </w:pPr>
    </w:p>
    <w:p w14:paraId="3593C279" w14:textId="77777777" w:rsidR="00FD3C95" w:rsidRP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t xml:space="preserve">Rundle Clark, R.T. 1959 </w:t>
      </w:r>
      <w:r w:rsidRPr="00FD3C95">
        <w:rPr>
          <w:rFonts w:ascii="Times New Roman" w:hAnsi="Times New Roman" w:cs="Times New Roman"/>
          <w:i/>
          <w:iCs/>
        </w:rPr>
        <w:t xml:space="preserve">Myth and symbol in ancient Egypt, </w:t>
      </w:r>
      <w:r w:rsidRPr="00FD3C95">
        <w:rPr>
          <w:rFonts w:ascii="Times New Roman" w:hAnsi="Times New Roman" w:cs="Times New Roman"/>
          <w:iCs/>
        </w:rPr>
        <w:t>London: Thames and Hudson, 292pp.</w:t>
      </w:r>
    </w:p>
    <w:p w14:paraId="009874D4" w14:textId="77777777" w:rsidR="00FD3C95" w:rsidRPr="00FD3C95" w:rsidRDefault="00FD3C95" w:rsidP="00FD3C95">
      <w:pPr>
        <w:spacing w:line="480" w:lineRule="auto"/>
        <w:rPr>
          <w:rFonts w:ascii="Times New Roman" w:hAnsi="Times New Roman" w:cs="Times New Roman"/>
          <w:iCs/>
        </w:rPr>
      </w:pPr>
    </w:p>
    <w:p w14:paraId="73C68676" w14:textId="77777777" w:rsidR="00FD3C95" w:rsidRP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t xml:space="preserve">Sellers, Jane B., </w:t>
      </w:r>
      <w:r w:rsidRPr="00FD3C95">
        <w:rPr>
          <w:rFonts w:ascii="Times New Roman" w:hAnsi="Times New Roman" w:cs="Times New Roman"/>
          <w:i/>
          <w:iCs/>
        </w:rPr>
        <w:t>The Death of Gods in Ancient Egypt</w:t>
      </w:r>
      <w:r w:rsidRPr="00FD3C95">
        <w:rPr>
          <w:rFonts w:ascii="Times New Roman" w:hAnsi="Times New Roman" w:cs="Times New Roman"/>
          <w:iCs/>
        </w:rPr>
        <w:t>, London: Penguin Books, 1992.</w:t>
      </w:r>
    </w:p>
    <w:p w14:paraId="22214578" w14:textId="77777777" w:rsidR="00FD3C95" w:rsidRPr="00FD3C95" w:rsidRDefault="00FD3C95" w:rsidP="00FD3C95">
      <w:pPr>
        <w:spacing w:line="480" w:lineRule="auto"/>
        <w:rPr>
          <w:rFonts w:ascii="Times New Roman" w:hAnsi="Times New Roman" w:cs="Times New Roman"/>
          <w:iCs/>
        </w:rPr>
      </w:pPr>
    </w:p>
    <w:p w14:paraId="7172E17C" w14:textId="77777777" w:rsidR="00FD3C95" w:rsidRP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t xml:space="preserve">Shaw, Ian, </w:t>
      </w:r>
      <w:r w:rsidRPr="00FD3C95">
        <w:rPr>
          <w:rFonts w:ascii="Times New Roman" w:hAnsi="Times New Roman" w:cs="Times New Roman"/>
          <w:i/>
          <w:iCs/>
        </w:rPr>
        <w:t>The Oxford History of Ancient Egypt</w:t>
      </w:r>
      <w:r w:rsidRPr="00FD3C95">
        <w:rPr>
          <w:rFonts w:ascii="Times New Roman" w:hAnsi="Times New Roman" w:cs="Times New Roman"/>
          <w:iCs/>
        </w:rPr>
        <w:t>, Oxford: Oxford University Press, 2003.</w:t>
      </w:r>
    </w:p>
    <w:p w14:paraId="5F414A88" w14:textId="77777777" w:rsidR="00FD3C95" w:rsidRPr="00FD3C95" w:rsidRDefault="00FD3C95" w:rsidP="00FD3C95">
      <w:pPr>
        <w:spacing w:line="480" w:lineRule="auto"/>
        <w:rPr>
          <w:rFonts w:ascii="Times New Roman" w:hAnsi="Times New Roman" w:cs="Times New Roman"/>
          <w:iCs/>
        </w:rPr>
      </w:pPr>
    </w:p>
    <w:p w14:paraId="1942C663" w14:textId="7F615C08" w:rsidR="00FD3C95" w:rsidRP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t xml:space="preserve">Silverman, D.P.  ‘Divinities and Deities in Ancient Egypt’ in </w:t>
      </w:r>
      <w:r w:rsidRPr="00FD3C95">
        <w:rPr>
          <w:rFonts w:ascii="Times New Roman" w:hAnsi="Times New Roman" w:cs="Times New Roman" w:hint="eastAsia"/>
          <w:iCs/>
        </w:rPr>
        <w:t>Shafer, B. E.</w:t>
      </w:r>
      <w:r w:rsidRPr="00FD3C95">
        <w:rPr>
          <w:rFonts w:ascii="Times New Roman" w:hAnsi="Times New Roman" w:cs="Times New Roman"/>
          <w:iCs/>
        </w:rPr>
        <w:t xml:space="preserve"> (ed.) </w:t>
      </w:r>
      <w:r w:rsidRPr="00FD3C95">
        <w:rPr>
          <w:rFonts w:ascii="Times New Roman" w:hAnsi="Times New Roman" w:cs="Times New Roman" w:hint="eastAsia"/>
          <w:iCs/>
        </w:rPr>
        <w:t>(1991)</w:t>
      </w:r>
      <w:r w:rsidRPr="00FD3C95">
        <w:rPr>
          <w:rFonts w:ascii="Times New Roman" w:hAnsi="Times New Roman" w:cs="Times New Roman"/>
          <w:iCs/>
        </w:rPr>
        <w:t xml:space="preserve">, </w:t>
      </w:r>
      <w:r w:rsidRPr="00FD3C95">
        <w:rPr>
          <w:rFonts w:ascii="Times New Roman" w:hAnsi="Times New Roman" w:cs="Times New Roman" w:hint="eastAsia"/>
          <w:i/>
          <w:iCs/>
        </w:rPr>
        <w:t>Religion in ancient Egypt: Gods, myths, and personal practice</w:t>
      </w:r>
      <w:r w:rsidRPr="00FD3C95">
        <w:rPr>
          <w:rFonts w:ascii="Times New Roman" w:hAnsi="Times New Roman" w:cs="Times New Roman"/>
          <w:iCs/>
        </w:rPr>
        <w:t xml:space="preserve"> (Cornell University), London: Routledge: 7-87.</w:t>
      </w:r>
    </w:p>
    <w:p w14:paraId="31C191F7" w14:textId="77777777" w:rsidR="00FD3C95" w:rsidRPr="00FD3C95" w:rsidRDefault="00FD3C95" w:rsidP="00FD3C95">
      <w:pPr>
        <w:spacing w:line="480" w:lineRule="auto"/>
        <w:rPr>
          <w:rFonts w:ascii="Times New Roman" w:hAnsi="Times New Roman" w:cs="Times New Roman"/>
          <w:iCs/>
        </w:rPr>
      </w:pPr>
    </w:p>
    <w:p w14:paraId="6A098DF0" w14:textId="77777777" w:rsidR="00FD3C95" w:rsidRPr="00FD3C95" w:rsidRDefault="00FD3C95" w:rsidP="00FD3C95">
      <w:pPr>
        <w:spacing w:line="480" w:lineRule="auto"/>
        <w:rPr>
          <w:rFonts w:ascii="Times New Roman" w:hAnsi="Times New Roman" w:cs="Times New Roman"/>
          <w:iCs/>
        </w:rPr>
      </w:pPr>
      <w:proofErr w:type="spellStart"/>
      <w:r w:rsidRPr="00FD3C95">
        <w:rPr>
          <w:rFonts w:ascii="Times New Roman" w:hAnsi="Times New Roman" w:cs="Times New Roman"/>
          <w:iCs/>
        </w:rPr>
        <w:t>Szpakowska</w:t>
      </w:r>
      <w:proofErr w:type="spellEnd"/>
      <w:r w:rsidRPr="00FD3C95">
        <w:rPr>
          <w:rFonts w:ascii="Times New Roman" w:hAnsi="Times New Roman" w:cs="Times New Roman"/>
          <w:iCs/>
        </w:rPr>
        <w:t xml:space="preserve">, K. 'The Open Portal: Dreams and Divine Power in Pharaonic Egypt' in S </w:t>
      </w:r>
      <w:proofErr w:type="spellStart"/>
      <w:r w:rsidRPr="00FD3C95">
        <w:rPr>
          <w:rFonts w:ascii="Times New Roman" w:hAnsi="Times New Roman" w:cs="Times New Roman"/>
          <w:iCs/>
        </w:rPr>
        <w:t>Noegel</w:t>
      </w:r>
      <w:proofErr w:type="spellEnd"/>
      <w:r w:rsidRPr="00FD3C95">
        <w:rPr>
          <w:rFonts w:ascii="Times New Roman" w:hAnsi="Times New Roman" w:cs="Times New Roman"/>
          <w:iCs/>
        </w:rPr>
        <w:t xml:space="preserve">, J Walker and B Wheeler (eds) (2003), </w:t>
      </w:r>
      <w:r w:rsidRPr="00FD3C95">
        <w:rPr>
          <w:rFonts w:ascii="Times New Roman" w:hAnsi="Times New Roman" w:cs="Times New Roman"/>
          <w:i/>
          <w:iCs/>
        </w:rPr>
        <w:t>Prayer, Magic and the Stars in the Antique and Late Antique World</w:t>
      </w:r>
      <w:r w:rsidRPr="00FD3C95">
        <w:rPr>
          <w:rFonts w:ascii="Times New Roman" w:hAnsi="Times New Roman" w:cs="Times New Roman"/>
          <w:iCs/>
        </w:rPr>
        <w:t>, University Park, PA: Pennsylvania State University Press: 111-24.</w:t>
      </w:r>
    </w:p>
    <w:p w14:paraId="0B972EE5" w14:textId="77777777" w:rsidR="00FD3C95" w:rsidRPr="00FD3C95" w:rsidRDefault="00FD3C95" w:rsidP="00FD3C95">
      <w:pPr>
        <w:spacing w:line="480" w:lineRule="auto"/>
        <w:rPr>
          <w:rFonts w:ascii="Times New Roman" w:hAnsi="Times New Roman" w:cs="Times New Roman"/>
          <w:iCs/>
        </w:rPr>
      </w:pPr>
    </w:p>
    <w:p w14:paraId="7F5F1993" w14:textId="2A635D91" w:rsid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t xml:space="preserve">Zinn, K. ‘Cults: divine, Pharaonic Egypt’ in Bagnall, R.S., </w:t>
      </w:r>
      <w:proofErr w:type="spellStart"/>
      <w:r w:rsidRPr="00FD3C95">
        <w:rPr>
          <w:rFonts w:ascii="Times New Roman" w:hAnsi="Times New Roman" w:cs="Times New Roman"/>
          <w:iCs/>
        </w:rPr>
        <w:t>Brodersen</w:t>
      </w:r>
      <w:proofErr w:type="spellEnd"/>
      <w:r w:rsidRPr="00FD3C95">
        <w:rPr>
          <w:rFonts w:ascii="Times New Roman" w:hAnsi="Times New Roman" w:cs="Times New Roman"/>
          <w:iCs/>
        </w:rPr>
        <w:t xml:space="preserve">, K., Champion, C.B., Erskine, A. and Huebner, S.R. (eds) (2013), </w:t>
      </w:r>
      <w:r w:rsidRPr="00FD3C95">
        <w:rPr>
          <w:rFonts w:ascii="Times New Roman" w:hAnsi="Times New Roman" w:cs="Times New Roman"/>
          <w:i/>
          <w:iCs/>
        </w:rPr>
        <w:t xml:space="preserve">The </w:t>
      </w:r>
      <w:proofErr w:type="spellStart"/>
      <w:r w:rsidRPr="00FD3C95">
        <w:rPr>
          <w:rFonts w:ascii="Times New Roman" w:hAnsi="Times New Roman" w:cs="Times New Roman"/>
          <w:i/>
          <w:iCs/>
        </w:rPr>
        <w:t>Encyclopedia</w:t>
      </w:r>
      <w:proofErr w:type="spellEnd"/>
      <w:r w:rsidRPr="00FD3C95">
        <w:rPr>
          <w:rFonts w:ascii="Times New Roman" w:hAnsi="Times New Roman" w:cs="Times New Roman"/>
          <w:i/>
          <w:iCs/>
        </w:rPr>
        <w:t xml:space="preserve"> of Ancient History, </w:t>
      </w:r>
      <w:r w:rsidRPr="00FD3C95">
        <w:rPr>
          <w:rFonts w:ascii="Times New Roman" w:hAnsi="Times New Roman" w:cs="Times New Roman"/>
          <w:iCs/>
        </w:rPr>
        <w:t>1</w:t>
      </w:r>
      <w:r w:rsidRPr="00FD3C95">
        <w:rPr>
          <w:rFonts w:ascii="Times New Roman" w:hAnsi="Times New Roman" w:cs="Times New Roman"/>
          <w:iCs/>
          <w:vertAlign w:val="superscript"/>
        </w:rPr>
        <w:t>st</w:t>
      </w:r>
      <w:r w:rsidRPr="00FD3C95">
        <w:rPr>
          <w:rFonts w:ascii="Times New Roman" w:hAnsi="Times New Roman" w:cs="Times New Roman"/>
          <w:iCs/>
        </w:rPr>
        <w:t xml:space="preserve"> ed.: 1861-1866.</w:t>
      </w:r>
    </w:p>
    <w:p w14:paraId="41095F63" w14:textId="77777777" w:rsidR="00FD3C95" w:rsidRPr="00FD3C95" w:rsidRDefault="00FD3C95" w:rsidP="00FD3C95">
      <w:pPr>
        <w:spacing w:line="480" w:lineRule="auto"/>
        <w:rPr>
          <w:rFonts w:ascii="Times New Roman" w:hAnsi="Times New Roman" w:cs="Times New Roman"/>
          <w:iCs/>
        </w:rPr>
      </w:pPr>
    </w:p>
    <w:p w14:paraId="2F3A3F27" w14:textId="5A99AEF7" w:rsidR="00B65DA9" w:rsidRPr="00FD3C95" w:rsidRDefault="00FD3C95" w:rsidP="00FD3C95">
      <w:pPr>
        <w:spacing w:line="480" w:lineRule="auto"/>
        <w:rPr>
          <w:rFonts w:ascii="Times New Roman" w:hAnsi="Times New Roman" w:cs="Times New Roman"/>
          <w:iCs/>
        </w:rPr>
      </w:pPr>
      <w:r w:rsidRPr="00FD3C95">
        <w:rPr>
          <w:rFonts w:ascii="Times New Roman" w:hAnsi="Times New Roman" w:cs="Times New Roman"/>
          <w:iCs/>
        </w:rPr>
        <w:t xml:space="preserve">von Lieven, A. “Divination in </w:t>
      </w:r>
      <w:proofErr w:type="spellStart"/>
      <w:r w:rsidRPr="00FD3C95">
        <w:rPr>
          <w:rFonts w:ascii="Times New Roman" w:hAnsi="Times New Roman" w:cs="Times New Roman"/>
          <w:iCs/>
        </w:rPr>
        <w:t>Ägypten</w:t>
      </w:r>
      <w:proofErr w:type="spellEnd"/>
      <w:r w:rsidRPr="00FD3C95">
        <w:rPr>
          <w:rFonts w:ascii="Times New Roman" w:hAnsi="Times New Roman" w:cs="Times New Roman"/>
          <w:iCs/>
        </w:rPr>
        <w:t xml:space="preserve">” </w:t>
      </w:r>
      <w:proofErr w:type="spellStart"/>
      <w:r w:rsidRPr="00FD3C95">
        <w:rPr>
          <w:rFonts w:ascii="Times New Roman" w:hAnsi="Times New Roman" w:cs="Times New Roman"/>
          <w:i/>
          <w:iCs/>
        </w:rPr>
        <w:t>Altorientalische</w:t>
      </w:r>
      <w:proofErr w:type="spellEnd"/>
      <w:r w:rsidRPr="00FD3C95">
        <w:rPr>
          <w:rFonts w:ascii="Times New Roman" w:hAnsi="Times New Roman" w:cs="Times New Roman"/>
          <w:i/>
          <w:iCs/>
        </w:rPr>
        <w:t xml:space="preserve"> </w:t>
      </w:r>
      <w:proofErr w:type="spellStart"/>
      <w:r w:rsidRPr="00FD3C95">
        <w:rPr>
          <w:rFonts w:ascii="Times New Roman" w:hAnsi="Times New Roman" w:cs="Times New Roman"/>
          <w:i/>
          <w:iCs/>
        </w:rPr>
        <w:t>Forschungen</w:t>
      </w:r>
      <w:proofErr w:type="spellEnd"/>
      <w:r w:rsidRPr="00FD3C95">
        <w:rPr>
          <w:rFonts w:ascii="Times New Roman" w:hAnsi="Times New Roman" w:cs="Times New Roman"/>
          <w:iCs/>
        </w:rPr>
        <w:t xml:space="preserve"> 26, no.1 (1999):77-126</w:t>
      </w:r>
      <w:r>
        <w:rPr>
          <w:rFonts w:ascii="Times New Roman" w:hAnsi="Times New Roman" w:cs="Times New Roman"/>
          <w:iCs/>
        </w:rPr>
        <w:t>.</w:t>
      </w:r>
    </w:p>
    <w:sectPr w:rsidR="00B65DA9" w:rsidRPr="00FD3C9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0BDB0D" w14:textId="77777777" w:rsidR="001D5DB7" w:rsidRDefault="001D5DB7" w:rsidP="00DB4148">
      <w:r>
        <w:separator/>
      </w:r>
    </w:p>
  </w:endnote>
  <w:endnote w:type="continuationSeparator" w:id="0">
    <w:p w14:paraId="7E9AA28F" w14:textId="77777777" w:rsidR="001D5DB7" w:rsidRDefault="001D5DB7" w:rsidP="00DB4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vetica Neue">
    <w:altName w:val="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altName w:val="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1B4BB2" w14:textId="77777777" w:rsidR="001D5DB7" w:rsidRDefault="001D5DB7" w:rsidP="00DB4148">
      <w:r>
        <w:separator/>
      </w:r>
    </w:p>
  </w:footnote>
  <w:footnote w:type="continuationSeparator" w:id="0">
    <w:p w14:paraId="7B0F1F6D" w14:textId="77777777" w:rsidR="001D5DB7" w:rsidRDefault="001D5DB7" w:rsidP="00DB4148">
      <w:r>
        <w:continuationSeparator/>
      </w:r>
    </w:p>
  </w:footnote>
  <w:footnote w:id="1">
    <w:p w14:paraId="49012589" w14:textId="05C9242B" w:rsidR="007D6110" w:rsidRDefault="007D6110">
      <w:pPr>
        <w:pStyle w:val="FootnoteText"/>
      </w:pPr>
      <w:r>
        <w:rPr>
          <w:rStyle w:val="FootnoteReference"/>
        </w:rPr>
        <w:footnoteRef/>
      </w:r>
      <w:r>
        <w:t xml:space="preserve"> Ian Shaw, </w:t>
      </w:r>
      <w:r w:rsidRPr="00CD668D">
        <w:rPr>
          <w:i/>
          <w:iCs/>
        </w:rPr>
        <w:t>The Oxford History of Ancient Egypt</w:t>
      </w:r>
      <w:r w:rsidRPr="00CD668D">
        <w:t>, Oxford: Oxford University Press, 2003</w:t>
      </w:r>
      <w:r>
        <w:t>: p.1, NB – all subsequent dates are taken from this book.</w:t>
      </w:r>
    </w:p>
  </w:footnote>
  <w:footnote w:id="2">
    <w:p w14:paraId="6624D4BE" w14:textId="4AA3CA56" w:rsidR="007D6110" w:rsidRPr="00A10EF1" w:rsidRDefault="007D6110">
      <w:pPr>
        <w:pStyle w:val="FootnoteText"/>
      </w:pPr>
      <w:r>
        <w:rPr>
          <w:rStyle w:val="FootnoteReference"/>
        </w:rPr>
        <w:footnoteRef/>
      </w:r>
      <w:r>
        <w:t xml:space="preserve"> Shaw, </w:t>
      </w:r>
      <w:r w:rsidRPr="00CD668D">
        <w:rPr>
          <w:i/>
          <w:iCs/>
        </w:rPr>
        <w:t>The Oxford History of Ancient Egypt</w:t>
      </w:r>
      <w:r>
        <w:t>, p.42.</w:t>
      </w:r>
    </w:p>
  </w:footnote>
  <w:footnote w:id="3">
    <w:p w14:paraId="447B76E8" w14:textId="2D199CDE" w:rsidR="007D6110" w:rsidRDefault="007D6110">
      <w:pPr>
        <w:pStyle w:val="FootnoteText"/>
      </w:pPr>
      <w:r>
        <w:rPr>
          <w:rStyle w:val="FootnoteReference"/>
        </w:rPr>
        <w:footnoteRef/>
      </w:r>
      <w:r>
        <w:t xml:space="preserve"> Jane Sellars, </w:t>
      </w:r>
      <w:r>
        <w:rPr>
          <w:rFonts w:cstheme="minorHAnsi"/>
          <w:i/>
          <w:iCs/>
        </w:rPr>
        <w:t>The Death of Gods in Ancient Egypt</w:t>
      </w:r>
      <w:r>
        <w:rPr>
          <w:rFonts w:cstheme="minorHAnsi"/>
        </w:rPr>
        <w:t>, London: Penguin Books, 1992: p.42.</w:t>
      </w:r>
    </w:p>
  </w:footnote>
  <w:footnote w:id="4">
    <w:p w14:paraId="49452FA9" w14:textId="4C045055" w:rsidR="007D6110" w:rsidRDefault="007D6110">
      <w:pPr>
        <w:pStyle w:val="FootnoteText"/>
      </w:pPr>
      <w:r>
        <w:rPr>
          <w:rStyle w:val="FootnoteReference"/>
        </w:rPr>
        <w:footnoteRef/>
      </w:r>
      <w:r>
        <w:t xml:space="preserve"> Shaw, </w:t>
      </w:r>
      <w:r w:rsidRPr="00CD668D">
        <w:rPr>
          <w:i/>
          <w:iCs/>
        </w:rPr>
        <w:t>The Oxford History of Ancient Egypt</w:t>
      </w:r>
      <w:r>
        <w:t>, p.413-414.</w:t>
      </w:r>
    </w:p>
  </w:footnote>
  <w:footnote w:id="5">
    <w:p w14:paraId="154678D1" w14:textId="6E60ED93" w:rsidR="007D6110" w:rsidRDefault="007D6110">
      <w:pPr>
        <w:pStyle w:val="FootnoteText"/>
      </w:pPr>
      <w:r>
        <w:rPr>
          <w:rStyle w:val="FootnoteReference"/>
        </w:rPr>
        <w:footnoteRef/>
      </w:r>
      <w:r>
        <w:t xml:space="preserve"> Shaw, </w:t>
      </w:r>
      <w:r w:rsidRPr="00CD668D">
        <w:rPr>
          <w:i/>
          <w:iCs/>
        </w:rPr>
        <w:t>The Oxford History of Ancient Egypt</w:t>
      </w:r>
      <w:r>
        <w:t xml:space="preserve">, p.388; Francoise </w:t>
      </w:r>
      <w:proofErr w:type="spellStart"/>
      <w:r>
        <w:rPr>
          <w:rFonts w:cstheme="minorHAnsi"/>
        </w:rPr>
        <w:t>Dunand</w:t>
      </w:r>
      <w:proofErr w:type="spellEnd"/>
      <w:r>
        <w:rPr>
          <w:rFonts w:cstheme="minorHAnsi"/>
        </w:rPr>
        <w:t xml:space="preserve"> and Christiane </w:t>
      </w:r>
      <w:proofErr w:type="spellStart"/>
      <w:r>
        <w:rPr>
          <w:rFonts w:cstheme="minorHAnsi"/>
        </w:rPr>
        <w:t>Zivie</w:t>
      </w:r>
      <w:proofErr w:type="spellEnd"/>
      <w:r>
        <w:rPr>
          <w:rFonts w:cstheme="minorHAnsi"/>
        </w:rPr>
        <w:t xml:space="preserve">-Coche, </w:t>
      </w:r>
      <w:r w:rsidRPr="00982445">
        <w:rPr>
          <w:rFonts w:cstheme="minorHAnsi"/>
          <w:i/>
          <w:iCs/>
        </w:rPr>
        <w:t>Gods and Men in Egypt, 3000 BCE to 395 CE</w:t>
      </w:r>
      <w:r w:rsidRPr="00982445">
        <w:rPr>
          <w:rFonts w:cstheme="minorHAnsi"/>
        </w:rPr>
        <w:t>. Translated by</w:t>
      </w:r>
      <w:r>
        <w:rPr>
          <w:rFonts w:cstheme="minorHAnsi"/>
        </w:rPr>
        <w:t xml:space="preserve"> </w:t>
      </w:r>
      <w:r w:rsidRPr="00982445">
        <w:rPr>
          <w:rFonts w:cstheme="minorHAnsi"/>
        </w:rPr>
        <w:t>David Lorton. Ithaca, New York and London: Cornell University Press, 2004</w:t>
      </w:r>
      <w:r>
        <w:rPr>
          <w:rFonts w:cstheme="minorHAnsi"/>
        </w:rPr>
        <w:t>; pp.197-198</w:t>
      </w:r>
    </w:p>
  </w:footnote>
  <w:footnote w:id="6">
    <w:p w14:paraId="6492A6CF" w14:textId="71E5C4CF" w:rsidR="007D6110" w:rsidRDefault="007D6110">
      <w:pPr>
        <w:pStyle w:val="FootnoteText"/>
      </w:pPr>
      <w:r>
        <w:rPr>
          <w:rStyle w:val="FootnoteReference"/>
        </w:rPr>
        <w:footnoteRef/>
      </w:r>
      <w:r>
        <w:t xml:space="preserve"> Fiona Bowie, </w:t>
      </w:r>
      <w:r w:rsidRPr="00AF2D5F">
        <w:rPr>
          <w:i/>
          <w:iCs/>
        </w:rPr>
        <w:t>The Anthropology of Religion: An Introduction</w:t>
      </w:r>
      <w:r w:rsidRPr="00AF2D5F">
        <w:t>, 2</w:t>
      </w:r>
      <w:r w:rsidRPr="00AF2D5F">
        <w:rPr>
          <w:vertAlign w:val="superscript"/>
        </w:rPr>
        <w:t>nd</w:t>
      </w:r>
      <w:r w:rsidRPr="00AF2D5F">
        <w:t xml:space="preserve"> </w:t>
      </w:r>
      <w:proofErr w:type="spellStart"/>
      <w:r w:rsidRPr="00AF2D5F">
        <w:t>edn</w:t>
      </w:r>
      <w:proofErr w:type="spellEnd"/>
      <w:r w:rsidRPr="00AF2D5F">
        <w:t>., Oxford: Blackwell, 2006:</w:t>
      </w:r>
      <w:r>
        <w:t xml:space="preserve"> p. 108.</w:t>
      </w:r>
    </w:p>
  </w:footnote>
  <w:footnote w:id="7">
    <w:p w14:paraId="34553F1D" w14:textId="0E942768" w:rsidR="007D6110" w:rsidRPr="0044028B" w:rsidRDefault="007D6110">
      <w:pPr>
        <w:pStyle w:val="FootnoteText"/>
      </w:pPr>
      <w:r>
        <w:rPr>
          <w:rStyle w:val="FootnoteReference"/>
        </w:rPr>
        <w:footnoteRef/>
      </w:r>
      <w:r>
        <w:t xml:space="preserve"> Bowie, </w:t>
      </w:r>
      <w:r w:rsidRPr="00AF2D5F">
        <w:rPr>
          <w:i/>
          <w:iCs/>
        </w:rPr>
        <w:t>The Anthropology of Religion: An Introduction</w:t>
      </w:r>
      <w:r>
        <w:t>, pp.108-109.</w:t>
      </w:r>
    </w:p>
  </w:footnote>
  <w:footnote w:id="8">
    <w:p w14:paraId="076E8213" w14:textId="0BDBDA50" w:rsidR="007D6110" w:rsidRDefault="007D6110">
      <w:pPr>
        <w:pStyle w:val="FootnoteText"/>
      </w:pPr>
      <w:r>
        <w:rPr>
          <w:rStyle w:val="FootnoteReference"/>
        </w:rPr>
        <w:footnoteRef/>
      </w:r>
      <w:r>
        <w:t xml:space="preserve"> Leonard H. Lesko “</w:t>
      </w:r>
      <w:r w:rsidRPr="00B07E8B">
        <w:t xml:space="preserve">Ancient Egyptian Cosmogonies and Cosmology” in </w:t>
      </w:r>
      <w:r w:rsidRPr="00C95360">
        <w:rPr>
          <w:rFonts w:hint="eastAsia"/>
        </w:rPr>
        <w:t>Shafer, B. E.</w:t>
      </w:r>
      <w:r w:rsidRPr="00B07E8B">
        <w:t xml:space="preserve"> (ed.) </w:t>
      </w:r>
      <w:r w:rsidRPr="00C95360">
        <w:rPr>
          <w:rFonts w:hint="eastAsia"/>
        </w:rPr>
        <w:t>(1991)</w:t>
      </w:r>
      <w:r w:rsidRPr="00B07E8B">
        <w:t xml:space="preserve">, </w:t>
      </w:r>
      <w:r w:rsidRPr="00C95360">
        <w:rPr>
          <w:rFonts w:hint="eastAsia"/>
          <w:i/>
          <w:iCs/>
        </w:rPr>
        <w:t>Religion in ancient Egypt: Gods, myths, and personal practice</w:t>
      </w:r>
      <w:r w:rsidRPr="00B07E8B">
        <w:t xml:space="preserve"> (Cornell University), London: Routledge</w:t>
      </w:r>
      <w:r>
        <w:t>, pp.116-117.</w:t>
      </w:r>
    </w:p>
  </w:footnote>
  <w:footnote w:id="9">
    <w:p w14:paraId="43982B94" w14:textId="11F36CB2" w:rsidR="007D6110" w:rsidRDefault="007D6110">
      <w:pPr>
        <w:pStyle w:val="FootnoteText"/>
      </w:pPr>
      <w:r>
        <w:rPr>
          <w:rStyle w:val="FootnoteReference"/>
        </w:rPr>
        <w:footnoteRef/>
      </w:r>
      <w:r>
        <w:t xml:space="preserve"> Nicholas Campion, </w:t>
      </w:r>
      <w:r w:rsidRPr="00DE77EC">
        <w:rPr>
          <w:i/>
          <w:iCs/>
        </w:rPr>
        <w:t>Astrology and Cosmology in the World’s Religions</w:t>
      </w:r>
      <w:r>
        <w:t>,</w:t>
      </w:r>
      <w:r w:rsidRPr="00DE77EC">
        <w:t xml:space="preserve"> New York: NYU Press, 2012</w:t>
      </w:r>
      <w:r>
        <w:t>: p.82.</w:t>
      </w:r>
    </w:p>
  </w:footnote>
  <w:footnote w:id="10">
    <w:p w14:paraId="7BFACD6D" w14:textId="153D12B8" w:rsidR="007D6110" w:rsidRDefault="007D6110">
      <w:pPr>
        <w:pStyle w:val="FootnoteText"/>
      </w:pPr>
      <w:r>
        <w:rPr>
          <w:rStyle w:val="FootnoteReference"/>
        </w:rPr>
        <w:footnoteRef/>
      </w:r>
      <w:r>
        <w:t xml:space="preserve"> </w:t>
      </w:r>
      <w:r w:rsidRPr="00A343C2">
        <w:t xml:space="preserve">Erik Hornung, </w:t>
      </w:r>
      <w:r w:rsidRPr="00A343C2">
        <w:rPr>
          <w:i/>
          <w:iCs/>
        </w:rPr>
        <w:t>The Secret Lore of Egypt: Its Impact on the West</w:t>
      </w:r>
      <w:r w:rsidRPr="00A343C2">
        <w:t>, trans. David Lorton</w:t>
      </w:r>
      <w:r>
        <w:t xml:space="preserve">, </w:t>
      </w:r>
      <w:r w:rsidRPr="00A343C2">
        <w:t>Ithaca, NY: Cornell University Press, 2001</w:t>
      </w:r>
      <w:r>
        <w:t>: p.65ff</w:t>
      </w:r>
    </w:p>
  </w:footnote>
  <w:footnote w:id="11">
    <w:p w14:paraId="1A290281" w14:textId="1B5060CC" w:rsidR="007D6110" w:rsidRPr="005F5682" w:rsidRDefault="007D6110">
      <w:pPr>
        <w:pStyle w:val="FootnoteText"/>
      </w:pPr>
      <w:r>
        <w:rPr>
          <w:rStyle w:val="FootnoteReference"/>
        </w:rPr>
        <w:footnoteRef/>
      </w:r>
      <w:r>
        <w:t xml:space="preserve"> Campion, </w:t>
      </w:r>
      <w:r>
        <w:rPr>
          <w:i/>
          <w:iCs/>
        </w:rPr>
        <w:t>Astrology and Cosmology</w:t>
      </w:r>
      <w:r>
        <w:t>, p.82</w:t>
      </w:r>
    </w:p>
  </w:footnote>
  <w:footnote w:id="12">
    <w:p w14:paraId="03B6C4A2" w14:textId="52AD9982" w:rsidR="007D6110" w:rsidRPr="00DD53F8" w:rsidRDefault="007D6110">
      <w:pPr>
        <w:pStyle w:val="FootnoteText"/>
      </w:pPr>
      <w:r>
        <w:rPr>
          <w:rStyle w:val="FootnoteReference"/>
        </w:rPr>
        <w:footnoteRef/>
      </w:r>
      <w:r>
        <w:t xml:space="preserve"> Stephen Quirke, </w:t>
      </w:r>
      <w:r>
        <w:rPr>
          <w:i/>
          <w:iCs/>
        </w:rPr>
        <w:t>The Cult of Ra</w:t>
      </w:r>
      <w:r>
        <w:t>, London: Thames &amp; Hudson, 2001: chapter 1.</w:t>
      </w:r>
    </w:p>
  </w:footnote>
  <w:footnote w:id="13">
    <w:p w14:paraId="19A049C7" w14:textId="462940CC" w:rsidR="007D6110" w:rsidRPr="00D73504" w:rsidRDefault="007D6110">
      <w:pPr>
        <w:pStyle w:val="FootnoteText"/>
      </w:pPr>
      <w:r>
        <w:rPr>
          <w:rStyle w:val="FootnoteReference"/>
        </w:rPr>
        <w:footnoteRef/>
      </w:r>
      <w:r>
        <w:t xml:space="preserve"> Jan </w:t>
      </w:r>
      <w:proofErr w:type="spellStart"/>
      <w:r>
        <w:t>Assmann</w:t>
      </w:r>
      <w:proofErr w:type="spellEnd"/>
      <w:r>
        <w:t xml:space="preserve">, </w:t>
      </w:r>
      <w:r>
        <w:rPr>
          <w:i/>
          <w:iCs/>
        </w:rPr>
        <w:t>Egyptian Solar Religion in the New Kingdom: Re, Amun and the Crisis of Polytheism</w:t>
      </w:r>
      <w:r>
        <w:t xml:space="preserve"> London and New York: Kegan Paul International, 1995: chapter 1.</w:t>
      </w:r>
    </w:p>
  </w:footnote>
  <w:footnote w:id="14">
    <w:p w14:paraId="4900D04A" w14:textId="40A50071" w:rsidR="007D6110" w:rsidRPr="00D523DF" w:rsidRDefault="007D6110">
      <w:pPr>
        <w:pStyle w:val="FootnoteText"/>
      </w:pPr>
      <w:r>
        <w:rPr>
          <w:rStyle w:val="FootnoteReference"/>
        </w:rPr>
        <w:footnoteRef/>
      </w:r>
      <w:r>
        <w:t xml:space="preserve"> Campion, </w:t>
      </w:r>
      <w:r>
        <w:rPr>
          <w:i/>
          <w:iCs/>
        </w:rPr>
        <w:t>Astrology and Cosmology</w:t>
      </w:r>
      <w:r>
        <w:t xml:space="preserve">, p.83; Lesko, </w:t>
      </w:r>
      <w:r w:rsidRPr="00C95360">
        <w:rPr>
          <w:rFonts w:hint="eastAsia"/>
          <w:i/>
          <w:iCs/>
        </w:rPr>
        <w:t>Religion in ancient Egypt</w:t>
      </w:r>
      <w:r>
        <w:rPr>
          <w:i/>
          <w:iCs/>
        </w:rPr>
        <w:t>,</w:t>
      </w:r>
      <w:r>
        <w:t xml:space="preserve"> pp.117-118; Jan </w:t>
      </w:r>
      <w:proofErr w:type="spellStart"/>
      <w:r>
        <w:t>Assmann</w:t>
      </w:r>
      <w:proofErr w:type="spellEnd"/>
      <w:r>
        <w:t xml:space="preserve">, </w:t>
      </w:r>
      <w:r>
        <w:rPr>
          <w:i/>
          <w:iCs/>
        </w:rPr>
        <w:t>The Search for God in Ancient Egypt</w:t>
      </w:r>
      <w:r>
        <w:t>, trans. David Lorton, Ithaca, NY: Cornell University Press, 2001: p.55.</w:t>
      </w:r>
    </w:p>
  </w:footnote>
  <w:footnote w:id="15">
    <w:p w14:paraId="2E7050CF" w14:textId="310F7665" w:rsidR="007D6110" w:rsidRPr="003555D6" w:rsidRDefault="007D6110">
      <w:pPr>
        <w:pStyle w:val="FootnoteText"/>
      </w:pPr>
      <w:r>
        <w:rPr>
          <w:rStyle w:val="FootnoteReference"/>
        </w:rPr>
        <w:footnoteRef/>
      </w:r>
      <w:r>
        <w:t xml:space="preserve"> Quirke, </w:t>
      </w:r>
      <w:r>
        <w:rPr>
          <w:i/>
          <w:iCs/>
        </w:rPr>
        <w:t>The Cult of Ra</w:t>
      </w:r>
      <w:r>
        <w:t>, p25; p73.</w:t>
      </w:r>
    </w:p>
  </w:footnote>
  <w:footnote w:id="16">
    <w:p w14:paraId="0AF07C88" w14:textId="4A0EF7CD" w:rsidR="007D6110" w:rsidRPr="003D12F1" w:rsidRDefault="007D6110">
      <w:pPr>
        <w:pStyle w:val="FootnoteText"/>
      </w:pPr>
      <w:r>
        <w:rPr>
          <w:rStyle w:val="FootnoteReference"/>
        </w:rPr>
        <w:footnoteRef/>
      </w:r>
      <w:r>
        <w:t xml:space="preserve"> Lesko, </w:t>
      </w:r>
      <w:r>
        <w:rPr>
          <w:i/>
          <w:iCs/>
        </w:rPr>
        <w:t>Religion in ancient Egypt</w:t>
      </w:r>
      <w:r>
        <w:t>, pp. 91-92.</w:t>
      </w:r>
    </w:p>
  </w:footnote>
  <w:footnote w:id="17">
    <w:p w14:paraId="22AB2E52" w14:textId="5A067B04" w:rsidR="007D6110" w:rsidRDefault="007D6110">
      <w:pPr>
        <w:pStyle w:val="FootnoteText"/>
      </w:pPr>
      <w:r>
        <w:rPr>
          <w:rStyle w:val="FootnoteReference"/>
        </w:rPr>
        <w:footnoteRef/>
      </w:r>
      <w:r>
        <w:t xml:space="preserve"> Quirke, </w:t>
      </w:r>
      <w:r>
        <w:rPr>
          <w:i/>
          <w:iCs/>
        </w:rPr>
        <w:t>The Cult of Ra</w:t>
      </w:r>
      <w:r>
        <w:t>, pp. 128-29.</w:t>
      </w:r>
    </w:p>
  </w:footnote>
  <w:footnote w:id="18">
    <w:p w14:paraId="58F948CF" w14:textId="1ADF25A7" w:rsidR="007D6110" w:rsidRPr="00644C72" w:rsidRDefault="007D6110">
      <w:pPr>
        <w:pStyle w:val="FootnoteText"/>
      </w:pPr>
      <w:r>
        <w:rPr>
          <w:rStyle w:val="FootnoteReference"/>
        </w:rPr>
        <w:footnoteRef/>
      </w:r>
      <w:r>
        <w:t xml:space="preserve"> Kurt </w:t>
      </w:r>
      <w:proofErr w:type="spellStart"/>
      <w:r>
        <w:t>Sethe</w:t>
      </w:r>
      <w:proofErr w:type="spellEnd"/>
      <w:r>
        <w:t xml:space="preserve">, </w:t>
      </w:r>
      <w:proofErr w:type="gramStart"/>
      <w:r>
        <w:rPr>
          <w:i/>
          <w:iCs/>
        </w:rPr>
        <w:t>Die</w:t>
      </w:r>
      <w:proofErr w:type="gramEnd"/>
      <w:r>
        <w:rPr>
          <w:i/>
          <w:iCs/>
        </w:rPr>
        <w:t xml:space="preserve"> </w:t>
      </w:r>
      <w:proofErr w:type="spellStart"/>
      <w:r>
        <w:rPr>
          <w:i/>
          <w:iCs/>
        </w:rPr>
        <w:t>altagyptischen</w:t>
      </w:r>
      <w:proofErr w:type="spellEnd"/>
      <w:r>
        <w:rPr>
          <w:i/>
          <w:iCs/>
        </w:rPr>
        <w:t xml:space="preserve"> </w:t>
      </w:r>
      <w:proofErr w:type="spellStart"/>
      <w:r>
        <w:rPr>
          <w:i/>
          <w:iCs/>
        </w:rPr>
        <w:t>Pyramidentexte</w:t>
      </w:r>
      <w:proofErr w:type="spellEnd"/>
      <w:r>
        <w:rPr>
          <w:i/>
          <w:iCs/>
        </w:rPr>
        <w:t xml:space="preserve">, </w:t>
      </w:r>
      <w:r>
        <w:t xml:space="preserve">2 vols (Leipzig: Hinrichs, 1908-10), secs 1652-59, 2:372-77, translated by and quoted in Lesko, </w:t>
      </w:r>
      <w:r>
        <w:rPr>
          <w:i/>
          <w:iCs/>
        </w:rPr>
        <w:t>Religion in ancient Egypt</w:t>
      </w:r>
      <w:r>
        <w:t>, p.92.</w:t>
      </w:r>
    </w:p>
  </w:footnote>
  <w:footnote w:id="19">
    <w:p w14:paraId="709CE71C" w14:textId="0EEB9492" w:rsidR="007D6110" w:rsidRDefault="007D6110">
      <w:pPr>
        <w:pStyle w:val="FootnoteText"/>
      </w:pPr>
      <w:r>
        <w:rPr>
          <w:rStyle w:val="FootnoteReference"/>
        </w:rPr>
        <w:footnoteRef/>
      </w:r>
      <w:r>
        <w:t xml:space="preserve"> Campion, </w:t>
      </w:r>
      <w:r>
        <w:rPr>
          <w:i/>
          <w:iCs/>
        </w:rPr>
        <w:t>Astrology and Cosmology</w:t>
      </w:r>
      <w:r>
        <w:t>, p.84.</w:t>
      </w:r>
    </w:p>
  </w:footnote>
  <w:footnote w:id="20">
    <w:p w14:paraId="395308B3" w14:textId="4AFF5D6F" w:rsidR="005B0AFD" w:rsidRDefault="005B0AFD">
      <w:pPr>
        <w:pStyle w:val="FootnoteText"/>
      </w:pPr>
      <w:r>
        <w:rPr>
          <w:rStyle w:val="FootnoteReference"/>
        </w:rPr>
        <w:footnoteRef/>
      </w:r>
      <w:r>
        <w:t xml:space="preserve"> </w:t>
      </w:r>
      <w:r w:rsidR="0066094F">
        <w:t>Stephen Quirke</w:t>
      </w:r>
      <w:r w:rsidR="0066094F" w:rsidRPr="006257F7">
        <w:t xml:space="preserve">. </w:t>
      </w:r>
      <w:r w:rsidR="0066094F" w:rsidRPr="006257F7">
        <w:rPr>
          <w:i/>
          <w:iCs/>
        </w:rPr>
        <w:t>Exploring Religion in Ancient Egypt</w:t>
      </w:r>
      <w:r w:rsidR="0066094F" w:rsidRPr="006257F7">
        <w:t>, Chichester, UK: Wiley, 2015:</w:t>
      </w:r>
      <w:r w:rsidR="0066094F">
        <w:t xml:space="preserve"> p.</w:t>
      </w:r>
      <w:r w:rsidR="0066094F">
        <w:t>140</w:t>
      </w:r>
      <w:r w:rsidR="0066094F" w:rsidRPr="006257F7">
        <w:t>.</w:t>
      </w:r>
      <w:r w:rsidR="0066094F">
        <w:t xml:space="preserve"> </w:t>
      </w:r>
    </w:p>
  </w:footnote>
  <w:footnote w:id="21">
    <w:p w14:paraId="25FB842B" w14:textId="76B65C98" w:rsidR="007D6110" w:rsidRDefault="007D6110">
      <w:pPr>
        <w:pStyle w:val="FootnoteText"/>
      </w:pPr>
      <w:r>
        <w:rPr>
          <w:rStyle w:val="FootnoteReference"/>
        </w:rPr>
        <w:footnoteRef/>
      </w:r>
      <w:r>
        <w:t xml:space="preserve"> Quirke, </w:t>
      </w:r>
      <w:r>
        <w:rPr>
          <w:i/>
          <w:iCs/>
        </w:rPr>
        <w:t>The Cult of Ra</w:t>
      </w:r>
      <w:r>
        <w:t>, pp. 128-29.</w:t>
      </w:r>
    </w:p>
  </w:footnote>
  <w:footnote w:id="22">
    <w:p w14:paraId="52EEB813" w14:textId="0E280E54" w:rsidR="007D6110" w:rsidRDefault="007D6110">
      <w:pPr>
        <w:pStyle w:val="FootnoteText"/>
      </w:pPr>
      <w:r>
        <w:rPr>
          <w:rStyle w:val="FootnoteReference"/>
        </w:rPr>
        <w:footnoteRef/>
      </w:r>
      <w:r>
        <w:t xml:space="preserve"> David P. Silverman, </w:t>
      </w:r>
      <w:r w:rsidRPr="00C40409">
        <w:t xml:space="preserve">‘Divinities and Deities in Ancient Egypt’ in </w:t>
      </w:r>
      <w:r w:rsidRPr="00C95360">
        <w:rPr>
          <w:rFonts w:hint="eastAsia"/>
        </w:rPr>
        <w:t>Shafer, B. E.</w:t>
      </w:r>
      <w:r w:rsidRPr="00C40409">
        <w:t xml:space="preserve"> (ed.) </w:t>
      </w:r>
      <w:r w:rsidRPr="00C95360">
        <w:rPr>
          <w:rFonts w:hint="eastAsia"/>
        </w:rPr>
        <w:t>(1991)</w:t>
      </w:r>
      <w:r w:rsidRPr="00C40409">
        <w:t xml:space="preserve">, </w:t>
      </w:r>
      <w:r w:rsidRPr="00C95360">
        <w:rPr>
          <w:rFonts w:hint="eastAsia"/>
          <w:i/>
          <w:iCs/>
        </w:rPr>
        <w:t>Religion in ancient Egypt: Gods, myths, and personal practice</w:t>
      </w:r>
      <w:r w:rsidRPr="00C40409">
        <w:t xml:space="preserve"> (Cornell University), London: Routledge:</w:t>
      </w:r>
      <w:r>
        <w:t xml:space="preserve"> p.48, fig.29.</w:t>
      </w:r>
    </w:p>
  </w:footnote>
  <w:footnote w:id="23">
    <w:p w14:paraId="59F21002" w14:textId="30543433" w:rsidR="007D6110" w:rsidRDefault="007D6110">
      <w:pPr>
        <w:pStyle w:val="FootnoteText"/>
      </w:pPr>
      <w:r>
        <w:rPr>
          <w:rStyle w:val="FootnoteReference"/>
        </w:rPr>
        <w:footnoteRef/>
      </w:r>
      <w:r>
        <w:t xml:space="preserve"> Lesko, </w:t>
      </w:r>
      <w:r>
        <w:rPr>
          <w:i/>
          <w:iCs/>
        </w:rPr>
        <w:t>Religion in ancient Egypt</w:t>
      </w:r>
      <w:r>
        <w:t>, pp. 105-106.</w:t>
      </w:r>
    </w:p>
  </w:footnote>
  <w:footnote w:id="24">
    <w:p w14:paraId="34B8A7AB" w14:textId="4CFD44EF" w:rsidR="007D6110" w:rsidRDefault="007D6110">
      <w:pPr>
        <w:pStyle w:val="FootnoteText"/>
      </w:pPr>
      <w:r>
        <w:rPr>
          <w:rStyle w:val="FootnoteReference"/>
        </w:rPr>
        <w:footnoteRef/>
      </w:r>
      <w:r>
        <w:t xml:space="preserve"> Lesko, </w:t>
      </w:r>
      <w:r>
        <w:rPr>
          <w:i/>
          <w:iCs/>
        </w:rPr>
        <w:t>Religion in ancient Egypt</w:t>
      </w:r>
      <w:r>
        <w:t>, p.94.</w:t>
      </w:r>
    </w:p>
  </w:footnote>
  <w:footnote w:id="25">
    <w:p w14:paraId="0F1EE7F3" w14:textId="46808F10" w:rsidR="007D6110" w:rsidRDefault="007D6110">
      <w:pPr>
        <w:pStyle w:val="FootnoteText"/>
      </w:pPr>
      <w:r>
        <w:rPr>
          <w:rStyle w:val="FootnoteReference"/>
        </w:rPr>
        <w:footnoteRef/>
      </w:r>
      <w:r>
        <w:t xml:space="preserve"> Lesko, </w:t>
      </w:r>
      <w:r>
        <w:rPr>
          <w:i/>
          <w:iCs/>
        </w:rPr>
        <w:t>Religion in ancient Egypt</w:t>
      </w:r>
      <w:r>
        <w:t>, p.95.</w:t>
      </w:r>
    </w:p>
  </w:footnote>
  <w:footnote w:id="26">
    <w:p w14:paraId="12D0248C" w14:textId="5C04AB7B" w:rsidR="007D6110" w:rsidRDefault="007D6110">
      <w:pPr>
        <w:pStyle w:val="FootnoteText"/>
      </w:pPr>
      <w:r>
        <w:rPr>
          <w:rStyle w:val="FootnoteReference"/>
        </w:rPr>
        <w:footnoteRef/>
      </w:r>
      <w:r>
        <w:t xml:space="preserve"> Silverman, </w:t>
      </w:r>
      <w:r w:rsidRPr="00AC6267">
        <w:rPr>
          <w:i/>
          <w:iCs/>
        </w:rPr>
        <w:t>Divinities and Deities in Ancient Egypt,</w:t>
      </w:r>
      <w:r>
        <w:t xml:space="preserve"> p. 35, fig. 19.</w:t>
      </w:r>
    </w:p>
  </w:footnote>
  <w:footnote w:id="27">
    <w:p w14:paraId="67FD9F77" w14:textId="71C8FC36" w:rsidR="007D6110" w:rsidRDefault="007D6110">
      <w:pPr>
        <w:pStyle w:val="FootnoteText"/>
      </w:pPr>
      <w:r>
        <w:rPr>
          <w:rStyle w:val="FootnoteReference"/>
        </w:rPr>
        <w:footnoteRef/>
      </w:r>
      <w:r>
        <w:t xml:space="preserve"> Lesko, </w:t>
      </w:r>
      <w:r>
        <w:rPr>
          <w:i/>
          <w:iCs/>
        </w:rPr>
        <w:t>Religion in ancient Egypt</w:t>
      </w:r>
      <w:r>
        <w:t>, pp.88-99, fig. 52.</w:t>
      </w:r>
    </w:p>
  </w:footnote>
  <w:footnote w:id="28">
    <w:p w14:paraId="7FC7C2E9" w14:textId="77777777" w:rsidR="007D6110" w:rsidRPr="00644C72" w:rsidRDefault="007D6110" w:rsidP="006172EB">
      <w:pPr>
        <w:pStyle w:val="FootnoteText"/>
      </w:pPr>
      <w:r>
        <w:rPr>
          <w:rStyle w:val="FootnoteReference"/>
        </w:rPr>
        <w:footnoteRef/>
      </w:r>
      <w:r>
        <w:t xml:space="preserve"> </w:t>
      </w:r>
      <w:proofErr w:type="spellStart"/>
      <w:r>
        <w:t>Adriaan</w:t>
      </w:r>
      <w:proofErr w:type="spellEnd"/>
      <w:r>
        <w:t xml:space="preserve"> de Buck, </w:t>
      </w:r>
      <w:r>
        <w:rPr>
          <w:i/>
          <w:iCs/>
        </w:rPr>
        <w:t xml:space="preserve">The Egyptian Coffin Texts, </w:t>
      </w:r>
      <w:r>
        <w:t>7 vols. (Chicago: University of Chicago Press, 1935-1961), 2:1-8</w:t>
      </w:r>
      <w:r>
        <w:rPr>
          <w:i/>
          <w:iCs/>
        </w:rPr>
        <w:t xml:space="preserve"> </w:t>
      </w:r>
      <w:r>
        <w:t xml:space="preserve">quoted in Lesko, </w:t>
      </w:r>
      <w:r>
        <w:rPr>
          <w:i/>
          <w:iCs/>
        </w:rPr>
        <w:t>Religion in ancient Egypt</w:t>
      </w:r>
      <w:r>
        <w:t>, p.94-95.</w:t>
      </w:r>
    </w:p>
    <w:p w14:paraId="2D8D5257" w14:textId="77777777" w:rsidR="007D6110" w:rsidRPr="006172EB" w:rsidRDefault="007D6110" w:rsidP="006172EB">
      <w:pPr>
        <w:pStyle w:val="FootnoteText"/>
      </w:pPr>
    </w:p>
  </w:footnote>
  <w:footnote w:id="29">
    <w:p w14:paraId="06E8C1D0" w14:textId="7C41A06D" w:rsidR="007D6110" w:rsidRDefault="007D6110" w:rsidP="00AD4DAC">
      <w:pPr>
        <w:pStyle w:val="FootnoteText"/>
      </w:pPr>
      <w:r>
        <w:rPr>
          <w:rStyle w:val="FootnoteReference"/>
        </w:rPr>
        <w:footnoteRef/>
      </w:r>
      <w:r>
        <w:t xml:space="preserve"> Lesko, </w:t>
      </w:r>
      <w:r>
        <w:rPr>
          <w:i/>
          <w:iCs/>
        </w:rPr>
        <w:t>Religion in ancient Egypt</w:t>
      </w:r>
      <w:r>
        <w:t>, p.96.</w:t>
      </w:r>
    </w:p>
  </w:footnote>
  <w:footnote w:id="30">
    <w:p w14:paraId="2334D05C" w14:textId="7CB4652A" w:rsidR="007D6110" w:rsidRDefault="007D6110">
      <w:pPr>
        <w:pStyle w:val="FootnoteText"/>
      </w:pPr>
      <w:r>
        <w:rPr>
          <w:rStyle w:val="FootnoteReference"/>
        </w:rPr>
        <w:footnoteRef/>
      </w:r>
      <w:r>
        <w:t xml:space="preserve"> Katharina Zinn, </w:t>
      </w:r>
      <w:r w:rsidRPr="00145BEF">
        <w:t xml:space="preserve">‘Cults: divine, Pharaonic Egypt’ in Bagnall, R.S., </w:t>
      </w:r>
      <w:proofErr w:type="spellStart"/>
      <w:r w:rsidRPr="00145BEF">
        <w:t>Brodersen</w:t>
      </w:r>
      <w:proofErr w:type="spellEnd"/>
      <w:r w:rsidRPr="00145BEF">
        <w:t xml:space="preserve">, K., Champion, C.B., Erskine, A. and Huebner, S.R. (eds) (2013), </w:t>
      </w:r>
      <w:r w:rsidRPr="00145BEF">
        <w:rPr>
          <w:i/>
          <w:iCs/>
        </w:rPr>
        <w:t xml:space="preserve">The </w:t>
      </w:r>
      <w:proofErr w:type="spellStart"/>
      <w:r w:rsidRPr="00145BEF">
        <w:rPr>
          <w:i/>
          <w:iCs/>
        </w:rPr>
        <w:t>Encyclopedia</w:t>
      </w:r>
      <w:proofErr w:type="spellEnd"/>
      <w:r w:rsidRPr="00145BEF">
        <w:rPr>
          <w:i/>
          <w:iCs/>
        </w:rPr>
        <w:t xml:space="preserve"> of Ancient History, </w:t>
      </w:r>
      <w:r w:rsidRPr="00145BEF">
        <w:t>1</w:t>
      </w:r>
      <w:r w:rsidRPr="00145BEF">
        <w:rPr>
          <w:vertAlign w:val="superscript"/>
        </w:rPr>
        <w:t>st</w:t>
      </w:r>
      <w:r w:rsidRPr="00145BEF">
        <w:t xml:space="preserve"> ed.: </w:t>
      </w:r>
      <w:r>
        <w:t xml:space="preserve">p. </w:t>
      </w:r>
      <w:r w:rsidRPr="00145BEF">
        <w:t>1861.</w:t>
      </w:r>
    </w:p>
  </w:footnote>
  <w:footnote w:id="31">
    <w:p w14:paraId="58FE4153" w14:textId="10AE7771" w:rsidR="007D6110" w:rsidRPr="00145BEF" w:rsidRDefault="007D6110">
      <w:pPr>
        <w:pStyle w:val="FootnoteText"/>
      </w:pPr>
      <w:r>
        <w:rPr>
          <w:rStyle w:val="FootnoteReference"/>
        </w:rPr>
        <w:footnoteRef/>
      </w:r>
      <w:r>
        <w:t xml:space="preserve"> Zinn, </w:t>
      </w:r>
      <w:r>
        <w:rPr>
          <w:i/>
          <w:iCs/>
        </w:rPr>
        <w:t>Cults: divine, Pharaonic Egypt</w:t>
      </w:r>
      <w:r>
        <w:t>, p.1861</w:t>
      </w:r>
    </w:p>
  </w:footnote>
  <w:footnote w:id="32">
    <w:p w14:paraId="7B32B442" w14:textId="2F99E7EE" w:rsidR="007D6110" w:rsidRDefault="007D6110">
      <w:pPr>
        <w:pStyle w:val="FootnoteText"/>
      </w:pPr>
      <w:r>
        <w:rPr>
          <w:rStyle w:val="FootnoteReference"/>
        </w:rPr>
        <w:footnoteRef/>
      </w:r>
      <w:r>
        <w:t xml:space="preserve"> </w:t>
      </w:r>
      <w:r w:rsidRPr="00AC6267">
        <w:t xml:space="preserve">Plutarch, “Isis and Osiris,” </w:t>
      </w:r>
      <w:proofErr w:type="spellStart"/>
      <w:r w:rsidRPr="00AC6267">
        <w:rPr>
          <w:i/>
          <w:iCs/>
        </w:rPr>
        <w:t>Moralia</w:t>
      </w:r>
      <w:proofErr w:type="spellEnd"/>
      <w:r w:rsidRPr="00AC6267">
        <w:t xml:space="preserve">, Vol. 5, trans. F. C. </w:t>
      </w:r>
      <w:proofErr w:type="spellStart"/>
      <w:r w:rsidRPr="00AC6267">
        <w:t>Babbit</w:t>
      </w:r>
      <w:proofErr w:type="spellEnd"/>
      <w:r w:rsidRPr="00AC6267">
        <w:t xml:space="preserve"> (Cambridge, MA: Harvard University Press, 1936)</w:t>
      </w:r>
      <w:r>
        <w:t xml:space="preserve">; Silverman, </w:t>
      </w:r>
      <w:r w:rsidRPr="00AC6267">
        <w:rPr>
          <w:i/>
          <w:iCs/>
        </w:rPr>
        <w:t>Divinities and Deities in Ancient Egypt,</w:t>
      </w:r>
      <w:r>
        <w:t xml:space="preserve"> p. 44.</w:t>
      </w:r>
    </w:p>
  </w:footnote>
  <w:footnote w:id="33">
    <w:p w14:paraId="2BBAAFB3" w14:textId="47F90864" w:rsidR="007D6110" w:rsidRDefault="007D6110">
      <w:pPr>
        <w:pStyle w:val="FootnoteText"/>
      </w:pPr>
      <w:r>
        <w:rPr>
          <w:rStyle w:val="FootnoteReference"/>
        </w:rPr>
        <w:footnoteRef/>
      </w:r>
      <w:r>
        <w:t xml:space="preserve"> R.T. </w:t>
      </w:r>
      <w:r w:rsidRPr="00A34DF8">
        <w:t>Rundle Clark</w:t>
      </w:r>
      <w:r>
        <w:t xml:space="preserve">, </w:t>
      </w:r>
      <w:r w:rsidRPr="00A34DF8">
        <w:rPr>
          <w:i/>
          <w:iCs/>
        </w:rPr>
        <w:t>Myth and symbol in ancient Egypt</w:t>
      </w:r>
      <w:r w:rsidRPr="003969E5">
        <w:rPr>
          <w:i/>
          <w:iCs/>
        </w:rPr>
        <w:t xml:space="preserve">, </w:t>
      </w:r>
      <w:r w:rsidRPr="00A34DF8">
        <w:t xml:space="preserve">London: Thames and Hudson, </w:t>
      </w:r>
      <w:r>
        <w:t>1959: p.99.</w:t>
      </w:r>
    </w:p>
  </w:footnote>
  <w:footnote w:id="34">
    <w:p w14:paraId="5623ABDB" w14:textId="0B652B77" w:rsidR="007D6110" w:rsidRDefault="007D6110">
      <w:pPr>
        <w:pStyle w:val="FootnoteText"/>
      </w:pPr>
      <w:r>
        <w:rPr>
          <w:rStyle w:val="FootnoteReference"/>
        </w:rPr>
        <w:footnoteRef/>
      </w:r>
      <w:r>
        <w:t xml:space="preserve"> Silverman, </w:t>
      </w:r>
      <w:r w:rsidRPr="00AC6267">
        <w:rPr>
          <w:i/>
          <w:iCs/>
        </w:rPr>
        <w:t>Divinities and Deities in Ancient Egypt,</w:t>
      </w:r>
      <w:r>
        <w:t xml:space="preserve"> p. 44.</w:t>
      </w:r>
    </w:p>
  </w:footnote>
  <w:footnote w:id="35">
    <w:p w14:paraId="54E6BB8F" w14:textId="38B05D97" w:rsidR="007D6110" w:rsidRDefault="007D6110">
      <w:pPr>
        <w:pStyle w:val="FootnoteText"/>
      </w:pPr>
      <w:r>
        <w:rPr>
          <w:rStyle w:val="FootnoteReference"/>
        </w:rPr>
        <w:footnoteRef/>
      </w:r>
      <w:r>
        <w:t xml:space="preserve"> Silverman, </w:t>
      </w:r>
      <w:r w:rsidRPr="00AC6267">
        <w:rPr>
          <w:i/>
          <w:iCs/>
        </w:rPr>
        <w:t>Divinities and Deities in Ancient Egypt,</w:t>
      </w:r>
      <w:r>
        <w:t xml:space="preserve"> p. 44.</w:t>
      </w:r>
    </w:p>
  </w:footnote>
  <w:footnote w:id="36">
    <w:p w14:paraId="097D4573" w14:textId="3DEADA94" w:rsidR="007D6110" w:rsidRDefault="007D6110">
      <w:pPr>
        <w:pStyle w:val="FootnoteText"/>
      </w:pPr>
      <w:r>
        <w:rPr>
          <w:rStyle w:val="FootnoteReference"/>
        </w:rPr>
        <w:footnoteRef/>
      </w:r>
      <w:r>
        <w:t xml:space="preserve"> Zinn, </w:t>
      </w:r>
      <w:r>
        <w:rPr>
          <w:i/>
          <w:iCs/>
        </w:rPr>
        <w:t>Cults: divine, Pharaonic Egypt</w:t>
      </w:r>
      <w:r>
        <w:t>, p.1861.</w:t>
      </w:r>
    </w:p>
  </w:footnote>
  <w:footnote w:id="37">
    <w:p w14:paraId="3B8E3E60" w14:textId="75D03721" w:rsidR="007D6110" w:rsidRDefault="007D6110">
      <w:pPr>
        <w:pStyle w:val="FootnoteText"/>
      </w:pPr>
      <w:r>
        <w:rPr>
          <w:rStyle w:val="FootnoteReference"/>
        </w:rPr>
        <w:footnoteRef/>
      </w:r>
      <w:r>
        <w:t xml:space="preserve"> Zinn, </w:t>
      </w:r>
      <w:r>
        <w:rPr>
          <w:i/>
          <w:iCs/>
        </w:rPr>
        <w:t>Cults: divine, Pharaonic Egypt</w:t>
      </w:r>
      <w:r>
        <w:t>, p.1861.</w:t>
      </w:r>
    </w:p>
  </w:footnote>
  <w:footnote w:id="38">
    <w:p w14:paraId="297BDAD5" w14:textId="4FDFE53F" w:rsidR="007D6110" w:rsidRDefault="007D6110">
      <w:pPr>
        <w:pStyle w:val="FootnoteText"/>
      </w:pPr>
      <w:r>
        <w:rPr>
          <w:rStyle w:val="FootnoteReference"/>
        </w:rPr>
        <w:footnoteRef/>
      </w:r>
      <w:r>
        <w:t xml:space="preserve"> Zinn, </w:t>
      </w:r>
      <w:r>
        <w:rPr>
          <w:i/>
          <w:iCs/>
        </w:rPr>
        <w:t>Cults: divine, Pharaonic Egypt</w:t>
      </w:r>
      <w:r>
        <w:t>, p.1861.</w:t>
      </w:r>
    </w:p>
  </w:footnote>
  <w:footnote w:id="39">
    <w:p w14:paraId="368ACACB" w14:textId="77777777" w:rsidR="007D6110" w:rsidRDefault="007D6110" w:rsidP="00921027">
      <w:pPr>
        <w:pStyle w:val="FootnoteText"/>
      </w:pPr>
      <w:r>
        <w:rPr>
          <w:rStyle w:val="FootnoteReference"/>
        </w:rPr>
        <w:footnoteRef/>
      </w:r>
      <w:r>
        <w:t xml:space="preserve"> Zinn, </w:t>
      </w:r>
      <w:r>
        <w:rPr>
          <w:i/>
          <w:iCs/>
        </w:rPr>
        <w:t>Cults: divine, Pharaonic Egypt</w:t>
      </w:r>
      <w:r>
        <w:t>, p.1861.</w:t>
      </w:r>
    </w:p>
  </w:footnote>
  <w:footnote w:id="40">
    <w:p w14:paraId="05929B3A" w14:textId="77777777" w:rsidR="007D6110" w:rsidRDefault="007D6110" w:rsidP="00921027">
      <w:pPr>
        <w:pStyle w:val="FootnoteText"/>
      </w:pPr>
      <w:r>
        <w:rPr>
          <w:rStyle w:val="FootnoteReference"/>
        </w:rPr>
        <w:footnoteRef/>
      </w:r>
      <w:r>
        <w:t xml:space="preserve"> Silverman, </w:t>
      </w:r>
      <w:r w:rsidRPr="00AC6267">
        <w:rPr>
          <w:i/>
          <w:iCs/>
        </w:rPr>
        <w:t>Divinities and Deities in Ancient Egypt,</w:t>
      </w:r>
      <w:r>
        <w:t xml:space="preserve"> p. 57.</w:t>
      </w:r>
    </w:p>
  </w:footnote>
  <w:footnote w:id="41">
    <w:p w14:paraId="2DA580DA" w14:textId="5B6A9041" w:rsidR="007D6110" w:rsidRDefault="007D6110">
      <w:pPr>
        <w:pStyle w:val="FootnoteText"/>
      </w:pPr>
      <w:r>
        <w:rPr>
          <w:rStyle w:val="FootnoteReference"/>
        </w:rPr>
        <w:footnoteRef/>
      </w:r>
      <w:r>
        <w:t xml:space="preserve"> Zinn, </w:t>
      </w:r>
      <w:r>
        <w:rPr>
          <w:i/>
          <w:iCs/>
        </w:rPr>
        <w:t>Cults: divine, Pharaonic Egypt</w:t>
      </w:r>
      <w:r>
        <w:t>, p.1861.</w:t>
      </w:r>
    </w:p>
  </w:footnote>
  <w:footnote w:id="42">
    <w:p w14:paraId="557C531D" w14:textId="7363BA8B" w:rsidR="007D6110" w:rsidRDefault="007D6110">
      <w:pPr>
        <w:pStyle w:val="FootnoteText"/>
      </w:pPr>
      <w:r>
        <w:rPr>
          <w:rStyle w:val="FootnoteReference"/>
        </w:rPr>
        <w:footnoteRef/>
      </w:r>
      <w:r>
        <w:t xml:space="preserve"> Silverman, </w:t>
      </w:r>
      <w:r w:rsidRPr="00AC6267">
        <w:rPr>
          <w:i/>
          <w:iCs/>
        </w:rPr>
        <w:t>Divinities and Deities in Ancient Egypt,</w:t>
      </w:r>
      <w:r>
        <w:t xml:space="preserve"> p. 32, fig. 18.</w:t>
      </w:r>
    </w:p>
  </w:footnote>
  <w:footnote w:id="43">
    <w:p w14:paraId="466D8E62" w14:textId="6A4C69D3" w:rsidR="007D6110" w:rsidRDefault="007D6110">
      <w:pPr>
        <w:pStyle w:val="FootnoteText"/>
      </w:pPr>
      <w:r>
        <w:rPr>
          <w:rStyle w:val="FootnoteReference"/>
        </w:rPr>
        <w:footnoteRef/>
      </w:r>
      <w:r>
        <w:t xml:space="preserve"> Jan </w:t>
      </w:r>
      <w:proofErr w:type="spellStart"/>
      <w:r w:rsidRPr="007F7652">
        <w:t>Assmann</w:t>
      </w:r>
      <w:proofErr w:type="spellEnd"/>
      <w:r w:rsidRPr="007F7652">
        <w:t xml:space="preserve">, ‘Monotheism and Polytheism’ in S. I. Johnson (ed.) (2004), </w:t>
      </w:r>
      <w:r w:rsidRPr="007F7652">
        <w:rPr>
          <w:i/>
          <w:iCs/>
        </w:rPr>
        <w:t>Ancient Religions</w:t>
      </w:r>
      <w:r w:rsidRPr="007F7652">
        <w:t xml:space="preserve"> Cambridge, MA: The </w:t>
      </w:r>
      <w:proofErr w:type="spellStart"/>
      <w:r w:rsidRPr="007F7652">
        <w:t>Belknap</w:t>
      </w:r>
      <w:proofErr w:type="spellEnd"/>
      <w:r w:rsidRPr="007F7652">
        <w:t xml:space="preserve"> Press of Harvard University Press: </w:t>
      </w:r>
      <w:r>
        <w:t>p.18.</w:t>
      </w:r>
    </w:p>
  </w:footnote>
  <w:footnote w:id="44">
    <w:p w14:paraId="750AA90D" w14:textId="34CA7743" w:rsidR="007D6110" w:rsidRPr="007F7652" w:rsidRDefault="007D6110">
      <w:pPr>
        <w:pStyle w:val="FootnoteText"/>
      </w:pPr>
      <w:r>
        <w:rPr>
          <w:rStyle w:val="FootnoteReference"/>
        </w:rPr>
        <w:footnoteRef/>
      </w:r>
      <w:r>
        <w:t xml:space="preserve"> </w:t>
      </w:r>
      <w:proofErr w:type="spellStart"/>
      <w:r>
        <w:t>Assmann</w:t>
      </w:r>
      <w:proofErr w:type="spellEnd"/>
      <w:r>
        <w:t xml:space="preserve">, </w:t>
      </w:r>
      <w:r>
        <w:rPr>
          <w:i/>
          <w:iCs/>
        </w:rPr>
        <w:t>Monotheism and Polytheism</w:t>
      </w:r>
      <w:r>
        <w:t>, p.18.</w:t>
      </w:r>
    </w:p>
  </w:footnote>
  <w:footnote w:id="45">
    <w:p w14:paraId="305A2674" w14:textId="667C6A62" w:rsidR="007D6110" w:rsidRDefault="007D6110">
      <w:pPr>
        <w:pStyle w:val="FootnoteText"/>
      </w:pPr>
      <w:r>
        <w:rPr>
          <w:rStyle w:val="FootnoteReference"/>
        </w:rPr>
        <w:footnoteRef/>
      </w:r>
      <w:r>
        <w:t xml:space="preserve"> </w:t>
      </w:r>
      <w:proofErr w:type="spellStart"/>
      <w:r>
        <w:t>Assmann</w:t>
      </w:r>
      <w:proofErr w:type="spellEnd"/>
      <w:r>
        <w:t xml:space="preserve">, </w:t>
      </w:r>
      <w:r>
        <w:rPr>
          <w:i/>
          <w:iCs/>
        </w:rPr>
        <w:t>Monotheism and Polytheism</w:t>
      </w:r>
      <w:r>
        <w:t>, p.18.</w:t>
      </w:r>
    </w:p>
  </w:footnote>
  <w:footnote w:id="46">
    <w:p w14:paraId="0816B4A9" w14:textId="5540A7FF" w:rsidR="007D6110" w:rsidRDefault="007D6110">
      <w:pPr>
        <w:pStyle w:val="FootnoteText"/>
      </w:pPr>
      <w:r>
        <w:rPr>
          <w:rStyle w:val="FootnoteReference"/>
        </w:rPr>
        <w:footnoteRef/>
      </w:r>
      <w:r>
        <w:t xml:space="preserve"> Silverman, </w:t>
      </w:r>
      <w:r w:rsidRPr="00AC6267">
        <w:rPr>
          <w:i/>
          <w:iCs/>
        </w:rPr>
        <w:t>Divinities and Deities in Ancient Egypt,</w:t>
      </w:r>
      <w:r>
        <w:t xml:space="preserve"> pp. 48-49; </w:t>
      </w:r>
      <w:r w:rsidR="0066094F">
        <w:t>Quirke</w:t>
      </w:r>
      <w:r w:rsidR="0066094F" w:rsidRPr="006257F7">
        <w:t xml:space="preserve">. </w:t>
      </w:r>
      <w:r w:rsidR="0066094F" w:rsidRPr="006257F7">
        <w:rPr>
          <w:i/>
          <w:iCs/>
        </w:rPr>
        <w:t>Exploring Religion in Ancient Egypt</w:t>
      </w:r>
      <w:r w:rsidR="0066094F">
        <w:t>, p. 235</w:t>
      </w:r>
      <w:r w:rsidR="0066094F">
        <w:t>.</w:t>
      </w:r>
      <w:r>
        <w:t xml:space="preserve"> </w:t>
      </w:r>
    </w:p>
  </w:footnote>
  <w:footnote w:id="47">
    <w:p w14:paraId="5C925E2E" w14:textId="776ABB7F" w:rsidR="007D6110" w:rsidRDefault="007D6110">
      <w:pPr>
        <w:pStyle w:val="FootnoteText"/>
      </w:pPr>
      <w:r>
        <w:rPr>
          <w:rStyle w:val="FootnoteReference"/>
        </w:rPr>
        <w:footnoteRef/>
      </w:r>
      <w:r>
        <w:t xml:space="preserve"> Campion, </w:t>
      </w:r>
      <w:r>
        <w:rPr>
          <w:i/>
          <w:iCs/>
        </w:rPr>
        <w:t>Astrology and Cosmology</w:t>
      </w:r>
      <w:r>
        <w:t>, p.83.</w:t>
      </w:r>
    </w:p>
  </w:footnote>
  <w:footnote w:id="48">
    <w:p w14:paraId="7EEED5B8" w14:textId="5B25B0E5" w:rsidR="007D6110" w:rsidRDefault="007D6110">
      <w:pPr>
        <w:pStyle w:val="FootnoteText"/>
      </w:pPr>
      <w:r>
        <w:rPr>
          <w:rStyle w:val="FootnoteReference"/>
        </w:rPr>
        <w:footnoteRef/>
      </w:r>
      <w:r>
        <w:t xml:space="preserve"> Campion,</w:t>
      </w:r>
      <w:r w:rsidRPr="006E596F">
        <w:rPr>
          <w:i/>
          <w:iCs/>
        </w:rPr>
        <w:t xml:space="preserve"> </w:t>
      </w:r>
      <w:r>
        <w:rPr>
          <w:i/>
          <w:iCs/>
        </w:rPr>
        <w:t>Astrology and Cosmology</w:t>
      </w:r>
      <w:r>
        <w:t>, p.83.</w:t>
      </w:r>
    </w:p>
  </w:footnote>
  <w:footnote w:id="49">
    <w:p w14:paraId="78FA43AE" w14:textId="76EEE0D8" w:rsidR="007D6110" w:rsidRDefault="007D6110">
      <w:pPr>
        <w:pStyle w:val="FootnoteText"/>
      </w:pPr>
      <w:r>
        <w:rPr>
          <w:rStyle w:val="FootnoteReference"/>
        </w:rPr>
        <w:footnoteRef/>
      </w:r>
      <w:r>
        <w:t xml:space="preserve"> Campion,</w:t>
      </w:r>
      <w:r w:rsidRPr="006E596F">
        <w:rPr>
          <w:i/>
          <w:iCs/>
        </w:rPr>
        <w:t xml:space="preserve"> </w:t>
      </w:r>
      <w:r>
        <w:rPr>
          <w:i/>
          <w:iCs/>
        </w:rPr>
        <w:t>Astrology and Cosmology</w:t>
      </w:r>
      <w:r>
        <w:t>, p.83.</w:t>
      </w:r>
    </w:p>
  </w:footnote>
  <w:footnote w:id="50">
    <w:p w14:paraId="0D374F61" w14:textId="387C8DEC" w:rsidR="007D6110" w:rsidRDefault="007D6110">
      <w:pPr>
        <w:pStyle w:val="FootnoteText"/>
      </w:pPr>
      <w:r>
        <w:rPr>
          <w:rStyle w:val="FootnoteReference"/>
        </w:rPr>
        <w:footnoteRef/>
      </w:r>
      <w:r>
        <w:t xml:space="preserve"> Campion,</w:t>
      </w:r>
      <w:r w:rsidRPr="006E596F">
        <w:rPr>
          <w:i/>
          <w:iCs/>
        </w:rPr>
        <w:t xml:space="preserve"> </w:t>
      </w:r>
      <w:r>
        <w:rPr>
          <w:i/>
          <w:iCs/>
        </w:rPr>
        <w:t>Astrology and Cosmology</w:t>
      </w:r>
      <w:r>
        <w:t>, p.83.</w:t>
      </w:r>
    </w:p>
  </w:footnote>
  <w:footnote w:id="51">
    <w:p w14:paraId="48DED7C3" w14:textId="21F29A12" w:rsidR="007D6110" w:rsidRDefault="007D6110">
      <w:pPr>
        <w:pStyle w:val="FootnoteText"/>
      </w:pPr>
      <w:r>
        <w:rPr>
          <w:rStyle w:val="FootnoteReference"/>
        </w:rPr>
        <w:footnoteRef/>
      </w:r>
      <w:r>
        <w:t xml:space="preserve"> Lesko, </w:t>
      </w:r>
      <w:r>
        <w:rPr>
          <w:i/>
          <w:iCs/>
        </w:rPr>
        <w:t>Religion in ancient Egypt</w:t>
      </w:r>
      <w:r>
        <w:t>, p.96.</w:t>
      </w:r>
    </w:p>
  </w:footnote>
  <w:footnote w:id="52">
    <w:p w14:paraId="55E95E3D" w14:textId="1D48F05D" w:rsidR="007D6110" w:rsidRDefault="007D6110">
      <w:pPr>
        <w:pStyle w:val="FootnoteText"/>
      </w:pPr>
      <w:r>
        <w:rPr>
          <w:rStyle w:val="FootnoteReference"/>
        </w:rPr>
        <w:footnoteRef/>
      </w:r>
      <w:r>
        <w:t xml:space="preserve"> Campion,</w:t>
      </w:r>
      <w:r w:rsidRPr="006E596F">
        <w:rPr>
          <w:i/>
          <w:iCs/>
        </w:rPr>
        <w:t xml:space="preserve"> </w:t>
      </w:r>
      <w:r>
        <w:rPr>
          <w:i/>
          <w:iCs/>
        </w:rPr>
        <w:t>Astrology and Cosmology</w:t>
      </w:r>
      <w:r>
        <w:t>, p.83.</w:t>
      </w:r>
    </w:p>
  </w:footnote>
  <w:footnote w:id="53">
    <w:p w14:paraId="06A7B520" w14:textId="08B32D1B" w:rsidR="007D6110" w:rsidRDefault="007D6110">
      <w:pPr>
        <w:pStyle w:val="FootnoteText"/>
      </w:pPr>
      <w:r>
        <w:rPr>
          <w:rStyle w:val="FootnoteReference"/>
        </w:rPr>
        <w:footnoteRef/>
      </w:r>
      <w:r>
        <w:t xml:space="preserve"> Campion,</w:t>
      </w:r>
      <w:r w:rsidRPr="006E596F">
        <w:rPr>
          <w:i/>
          <w:iCs/>
        </w:rPr>
        <w:t xml:space="preserve"> </w:t>
      </w:r>
      <w:r>
        <w:rPr>
          <w:i/>
          <w:iCs/>
        </w:rPr>
        <w:t>Astrology and Cosmology</w:t>
      </w:r>
      <w:r>
        <w:t>, p.83.</w:t>
      </w:r>
    </w:p>
  </w:footnote>
  <w:footnote w:id="54">
    <w:p w14:paraId="52842987" w14:textId="0F4DBD7B" w:rsidR="007D6110" w:rsidRDefault="007D6110">
      <w:pPr>
        <w:pStyle w:val="FootnoteText"/>
      </w:pPr>
      <w:r>
        <w:rPr>
          <w:rStyle w:val="FootnoteReference"/>
        </w:rPr>
        <w:footnoteRef/>
      </w:r>
      <w:r>
        <w:t xml:space="preserve"> Silverman, </w:t>
      </w:r>
      <w:r w:rsidRPr="00AC6267">
        <w:rPr>
          <w:i/>
          <w:iCs/>
        </w:rPr>
        <w:t>Divinities and Deities in Ancient Egypt,</w:t>
      </w:r>
      <w:r>
        <w:t xml:space="preserve"> p. 38.</w:t>
      </w:r>
    </w:p>
  </w:footnote>
  <w:footnote w:id="55">
    <w:p w14:paraId="09D080D5" w14:textId="32D0BF9F" w:rsidR="007D6110" w:rsidRDefault="007D6110">
      <w:pPr>
        <w:pStyle w:val="FootnoteText"/>
      </w:pPr>
      <w:r>
        <w:rPr>
          <w:rStyle w:val="FootnoteReference"/>
        </w:rPr>
        <w:footnoteRef/>
      </w:r>
      <w:r>
        <w:t xml:space="preserve"> Silverman, </w:t>
      </w:r>
      <w:r w:rsidRPr="00AC6267">
        <w:rPr>
          <w:i/>
          <w:iCs/>
        </w:rPr>
        <w:t>Divinities and Deities in Ancient Egypt,</w:t>
      </w:r>
      <w:r>
        <w:t xml:space="preserve"> p. 38.</w:t>
      </w:r>
    </w:p>
  </w:footnote>
  <w:footnote w:id="56">
    <w:p w14:paraId="6E1116C8" w14:textId="18084C76" w:rsidR="007D6110" w:rsidRPr="002719F6" w:rsidRDefault="007D6110" w:rsidP="002719F6">
      <w:pPr>
        <w:pStyle w:val="FootnoteText"/>
      </w:pPr>
      <w:r>
        <w:rPr>
          <w:rStyle w:val="FootnoteReference"/>
        </w:rPr>
        <w:footnoteRef/>
      </w:r>
      <w:r>
        <w:t xml:space="preserve"> John </w:t>
      </w:r>
      <w:r w:rsidRPr="002719F6">
        <w:t>Baines</w:t>
      </w:r>
      <w:r>
        <w:t>,</w:t>
      </w:r>
      <w:r w:rsidRPr="00C95360">
        <w:rPr>
          <w:rFonts w:hint="eastAsia"/>
        </w:rPr>
        <w:t> </w:t>
      </w:r>
      <w:r w:rsidRPr="002719F6">
        <w:t xml:space="preserve">‘Society, Morality and Religious Practice’ in </w:t>
      </w:r>
      <w:r w:rsidRPr="00C95360">
        <w:rPr>
          <w:rFonts w:hint="eastAsia"/>
        </w:rPr>
        <w:t>Shafer, B. E.</w:t>
      </w:r>
      <w:r w:rsidRPr="002719F6">
        <w:t xml:space="preserve"> (ed.) </w:t>
      </w:r>
      <w:r w:rsidRPr="00C95360">
        <w:rPr>
          <w:rFonts w:hint="eastAsia"/>
        </w:rPr>
        <w:t>(1991)</w:t>
      </w:r>
      <w:r w:rsidRPr="002719F6">
        <w:t xml:space="preserve">, </w:t>
      </w:r>
      <w:r w:rsidRPr="00C95360">
        <w:rPr>
          <w:rFonts w:hint="eastAsia"/>
          <w:i/>
          <w:iCs/>
        </w:rPr>
        <w:t>Religion in ancient Egypt: Gods, myths, and personal practice</w:t>
      </w:r>
      <w:r w:rsidRPr="002719F6">
        <w:t xml:space="preserve"> (Cornell University), London: Routledge: </w:t>
      </w:r>
      <w:r>
        <w:t>p.170</w:t>
      </w:r>
      <w:r w:rsidRPr="002719F6">
        <w:t>.</w:t>
      </w:r>
    </w:p>
    <w:p w14:paraId="1D7CB6BA" w14:textId="20A3D7C4" w:rsidR="007D6110" w:rsidRDefault="007D6110">
      <w:pPr>
        <w:pStyle w:val="FootnoteText"/>
      </w:pPr>
    </w:p>
  </w:footnote>
  <w:footnote w:id="57">
    <w:p w14:paraId="58D13F64" w14:textId="60408A75" w:rsidR="007D6110" w:rsidRPr="00BF6A9D" w:rsidRDefault="007D6110">
      <w:pPr>
        <w:pStyle w:val="FootnoteText"/>
      </w:pPr>
      <w:r>
        <w:rPr>
          <w:rStyle w:val="FootnoteReference"/>
        </w:rPr>
        <w:footnoteRef/>
      </w:r>
      <w:r>
        <w:t xml:space="preserve"> </w:t>
      </w:r>
      <w:r w:rsidRPr="002719F6">
        <w:t>Baines</w:t>
      </w:r>
      <w:r>
        <w:t>,</w:t>
      </w:r>
      <w:r w:rsidRPr="00C95360">
        <w:rPr>
          <w:rFonts w:hint="eastAsia"/>
        </w:rPr>
        <w:t> </w:t>
      </w:r>
      <w:r w:rsidRPr="00BF6A9D">
        <w:rPr>
          <w:i/>
          <w:iCs/>
        </w:rPr>
        <w:t>Society, Morality and Religious Practice</w:t>
      </w:r>
      <w:r>
        <w:t>, p.170.</w:t>
      </w:r>
    </w:p>
  </w:footnote>
  <w:footnote w:id="58">
    <w:p w14:paraId="53F67CE1" w14:textId="3EEE532F" w:rsidR="007D6110" w:rsidRDefault="007D6110">
      <w:pPr>
        <w:pStyle w:val="FootnoteText"/>
      </w:pPr>
      <w:r>
        <w:rPr>
          <w:rStyle w:val="FootnoteReference"/>
        </w:rPr>
        <w:footnoteRef/>
      </w:r>
      <w:r>
        <w:t xml:space="preserve"> </w:t>
      </w:r>
      <w:r w:rsidRPr="002719F6">
        <w:t>Baines</w:t>
      </w:r>
      <w:r>
        <w:t>,</w:t>
      </w:r>
      <w:r w:rsidRPr="00C95360">
        <w:rPr>
          <w:rFonts w:hint="eastAsia"/>
        </w:rPr>
        <w:t> </w:t>
      </w:r>
      <w:r w:rsidRPr="00BF6A9D">
        <w:rPr>
          <w:i/>
          <w:iCs/>
        </w:rPr>
        <w:t>Society, Morality and Religious Practice</w:t>
      </w:r>
      <w:r>
        <w:t>, p.165.</w:t>
      </w:r>
    </w:p>
  </w:footnote>
  <w:footnote w:id="59">
    <w:p w14:paraId="250575F8" w14:textId="13394D74" w:rsidR="007D6110" w:rsidRPr="00A92C8A" w:rsidRDefault="007D6110">
      <w:pPr>
        <w:pStyle w:val="FootnoteText"/>
      </w:pPr>
      <w:r>
        <w:rPr>
          <w:rStyle w:val="FootnoteReference"/>
        </w:rPr>
        <w:footnoteRef/>
      </w:r>
      <w:r>
        <w:t xml:space="preserve"> Rosalie David, </w:t>
      </w:r>
      <w:r>
        <w:rPr>
          <w:i/>
          <w:iCs/>
        </w:rPr>
        <w:t>Religion and Magic in Ancient Egypt</w:t>
      </w:r>
      <w:r>
        <w:t>, London: Penguin, 2002: p.30.</w:t>
      </w:r>
    </w:p>
  </w:footnote>
  <w:footnote w:id="60">
    <w:p w14:paraId="6806A9A7" w14:textId="20778326" w:rsidR="007D6110" w:rsidRPr="008E72B2" w:rsidRDefault="007D6110">
      <w:pPr>
        <w:pStyle w:val="FootnoteText"/>
      </w:pPr>
      <w:r>
        <w:rPr>
          <w:rStyle w:val="FootnoteReference"/>
        </w:rPr>
        <w:footnoteRef/>
      </w:r>
      <w:r>
        <w:t xml:space="preserve"> David, </w:t>
      </w:r>
      <w:r>
        <w:rPr>
          <w:i/>
          <w:iCs/>
        </w:rPr>
        <w:t>Religion and Magic in Ancient Egypt</w:t>
      </w:r>
      <w:r>
        <w:t>, p.175.</w:t>
      </w:r>
    </w:p>
  </w:footnote>
  <w:footnote w:id="61">
    <w:p w14:paraId="363A7DCF" w14:textId="5F6CF8D6" w:rsidR="007D6110" w:rsidRDefault="007D6110">
      <w:pPr>
        <w:pStyle w:val="FootnoteText"/>
      </w:pPr>
      <w:r>
        <w:rPr>
          <w:rStyle w:val="FootnoteReference"/>
        </w:rPr>
        <w:footnoteRef/>
      </w:r>
      <w:r>
        <w:t xml:space="preserve"> </w:t>
      </w:r>
      <w:r w:rsidRPr="002719F6">
        <w:t>Baines</w:t>
      </w:r>
      <w:r>
        <w:t>,</w:t>
      </w:r>
      <w:r w:rsidRPr="00C95360">
        <w:rPr>
          <w:rFonts w:hint="eastAsia"/>
        </w:rPr>
        <w:t> </w:t>
      </w:r>
      <w:r w:rsidRPr="00BF6A9D">
        <w:rPr>
          <w:i/>
          <w:iCs/>
        </w:rPr>
        <w:t>Society, Morality and Religious Practice</w:t>
      </w:r>
      <w:r>
        <w:t>, p.165.</w:t>
      </w:r>
    </w:p>
  </w:footnote>
  <w:footnote w:id="62">
    <w:p w14:paraId="3CC4BA3B" w14:textId="21E2C75D" w:rsidR="007D6110" w:rsidRDefault="007D6110">
      <w:pPr>
        <w:pStyle w:val="FootnoteText"/>
      </w:pPr>
      <w:r>
        <w:rPr>
          <w:rStyle w:val="FootnoteReference"/>
        </w:rPr>
        <w:footnoteRef/>
      </w:r>
      <w:r>
        <w:t xml:space="preserve"> </w:t>
      </w:r>
      <w:r w:rsidRPr="002719F6">
        <w:t>Baines</w:t>
      </w:r>
      <w:r>
        <w:t>,</w:t>
      </w:r>
      <w:r w:rsidRPr="00C95360">
        <w:rPr>
          <w:rFonts w:hint="eastAsia"/>
        </w:rPr>
        <w:t> </w:t>
      </w:r>
      <w:r w:rsidRPr="00BF6A9D">
        <w:rPr>
          <w:i/>
          <w:iCs/>
        </w:rPr>
        <w:t>Society, Morality and Religious Practice</w:t>
      </w:r>
      <w:r>
        <w:t>, p.168.</w:t>
      </w:r>
    </w:p>
  </w:footnote>
  <w:footnote w:id="63">
    <w:p w14:paraId="25E69D08" w14:textId="32D9AEDC" w:rsidR="007D6110" w:rsidRDefault="007D6110">
      <w:pPr>
        <w:pStyle w:val="FootnoteText"/>
      </w:pPr>
      <w:r>
        <w:rPr>
          <w:rStyle w:val="FootnoteReference"/>
        </w:rPr>
        <w:footnoteRef/>
      </w:r>
      <w:r>
        <w:t xml:space="preserve"> </w:t>
      </w:r>
      <w:r w:rsidRPr="002719F6">
        <w:t>Baines</w:t>
      </w:r>
      <w:r>
        <w:t>,</w:t>
      </w:r>
      <w:r w:rsidRPr="00C95360">
        <w:rPr>
          <w:rFonts w:hint="eastAsia"/>
        </w:rPr>
        <w:t> </w:t>
      </w:r>
      <w:r w:rsidRPr="00BF6A9D">
        <w:rPr>
          <w:i/>
          <w:iCs/>
        </w:rPr>
        <w:t>Society, Morality and Religious Practice</w:t>
      </w:r>
      <w:r>
        <w:t>, p.170.</w:t>
      </w:r>
    </w:p>
  </w:footnote>
  <w:footnote w:id="64">
    <w:p w14:paraId="08D2CEE9" w14:textId="7E3240D7" w:rsidR="007D6110" w:rsidRPr="00F0673C" w:rsidRDefault="007D6110">
      <w:pPr>
        <w:pStyle w:val="FootnoteText"/>
      </w:pPr>
      <w:r>
        <w:rPr>
          <w:rStyle w:val="FootnoteReference"/>
        </w:rPr>
        <w:footnoteRef/>
      </w:r>
      <w:r>
        <w:t xml:space="preserve"> Quirke</w:t>
      </w:r>
      <w:r w:rsidRPr="006257F7">
        <w:t xml:space="preserve">. </w:t>
      </w:r>
      <w:r w:rsidRPr="006257F7">
        <w:rPr>
          <w:i/>
          <w:iCs/>
        </w:rPr>
        <w:t>Exploring Religion in Ancient Egypt</w:t>
      </w:r>
      <w:r>
        <w:t>, p. 196.</w:t>
      </w:r>
    </w:p>
  </w:footnote>
  <w:footnote w:id="65">
    <w:p w14:paraId="25D158D4" w14:textId="77777777" w:rsidR="007D6110" w:rsidRDefault="007D6110" w:rsidP="00A9671B">
      <w:pPr>
        <w:pStyle w:val="FootnoteText"/>
      </w:pPr>
      <w:r>
        <w:rPr>
          <w:rStyle w:val="FootnoteReference"/>
        </w:rPr>
        <w:footnoteRef/>
      </w:r>
      <w:r>
        <w:t xml:space="preserve"> </w:t>
      </w:r>
      <w:r w:rsidRPr="004D2F97">
        <w:t xml:space="preserve">Robert Andrew Gilbert and George </w:t>
      </w:r>
      <w:proofErr w:type="spellStart"/>
      <w:r w:rsidRPr="004D2F97">
        <w:t>Kerlin</w:t>
      </w:r>
      <w:proofErr w:type="spellEnd"/>
      <w:r w:rsidRPr="004D2F97">
        <w:t xml:space="preserve"> Park, "Divination". </w:t>
      </w:r>
      <w:proofErr w:type="spellStart"/>
      <w:r w:rsidRPr="004D2F97">
        <w:rPr>
          <w:i/>
          <w:iCs/>
        </w:rPr>
        <w:t>Encyclopedia</w:t>
      </w:r>
      <w:proofErr w:type="spellEnd"/>
      <w:r w:rsidRPr="004D2F97">
        <w:rPr>
          <w:i/>
          <w:iCs/>
        </w:rPr>
        <w:t xml:space="preserve"> Britannica</w:t>
      </w:r>
      <w:r w:rsidRPr="004D2F97">
        <w:t>, 16 Feb. 2001, https://www.britannica.com/topic/divination. Accessed 10 May 2021.</w:t>
      </w:r>
    </w:p>
  </w:footnote>
  <w:footnote w:id="66">
    <w:p w14:paraId="490BA447" w14:textId="7359F77B" w:rsidR="007D6110" w:rsidRPr="003D3A13" w:rsidRDefault="007D6110" w:rsidP="003D3A13">
      <w:pPr>
        <w:pStyle w:val="FootnoteText"/>
      </w:pPr>
      <w:r>
        <w:rPr>
          <w:rStyle w:val="FootnoteReference"/>
        </w:rPr>
        <w:footnoteRef/>
      </w:r>
      <w:r>
        <w:t xml:space="preserve"> Stefan M. </w:t>
      </w:r>
      <w:r w:rsidRPr="003D3A13">
        <w:t xml:space="preserve">Maul, 'Divination Culture and the Handling of the Future' in G. </w:t>
      </w:r>
      <w:proofErr w:type="spellStart"/>
      <w:r w:rsidRPr="003D3A13">
        <w:t>Leick</w:t>
      </w:r>
      <w:proofErr w:type="spellEnd"/>
      <w:r w:rsidRPr="003D3A13">
        <w:t xml:space="preserve"> (ed.) (2007)</w:t>
      </w:r>
      <w:r w:rsidRPr="003D3A13">
        <w:rPr>
          <w:i/>
          <w:iCs/>
        </w:rPr>
        <w:t xml:space="preserve"> The Babylonian World</w:t>
      </w:r>
      <w:r w:rsidRPr="003D3A13">
        <w:t xml:space="preserve"> New York/London: Routledge: </w:t>
      </w:r>
      <w:r>
        <w:t>pp.366-367</w:t>
      </w:r>
      <w:r w:rsidRPr="003D3A13">
        <w:t>.</w:t>
      </w:r>
    </w:p>
    <w:p w14:paraId="00817D6E" w14:textId="5EAA13A7" w:rsidR="007D6110" w:rsidRDefault="007D6110">
      <w:pPr>
        <w:pStyle w:val="FootnoteText"/>
      </w:pPr>
    </w:p>
  </w:footnote>
  <w:footnote w:id="67">
    <w:p w14:paraId="44AB07DD" w14:textId="5BFBBBD9" w:rsidR="007D6110" w:rsidRPr="009A5B88" w:rsidRDefault="007D6110">
      <w:pPr>
        <w:pStyle w:val="FootnoteText"/>
        <w:rPr>
          <w:highlight w:val="yellow"/>
        </w:rPr>
      </w:pPr>
      <w:r>
        <w:rPr>
          <w:rStyle w:val="FootnoteReference"/>
        </w:rPr>
        <w:footnoteRef/>
      </w:r>
      <w:r>
        <w:t xml:space="preserve"> Luigi </w:t>
      </w:r>
      <w:r w:rsidRPr="004D2F97">
        <w:t>Prada</w:t>
      </w:r>
      <w:r>
        <w:t>,</w:t>
      </w:r>
      <w:r w:rsidRPr="004D2F97">
        <w:t xml:space="preserve"> “Dreams, Rising Stars and Falling Geckos: Divination in Ancient Egypt” </w:t>
      </w:r>
      <w:r w:rsidRPr="004D2F97">
        <w:rPr>
          <w:i/>
          <w:iCs/>
        </w:rPr>
        <w:t xml:space="preserve">Egyptian Archaeology </w:t>
      </w:r>
      <w:r w:rsidRPr="004D2F97">
        <w:t xml:space="preserve">51 (Autumn 2017): </w:t>
      </w:r>
      <w:r>
        <w:t>p.7</w:t>
      </w:r>
    </w:p>
  </w:footnote>
  <w:footnote w:id="68">
    <w:p w14:paraId="6056CA0F" w14:textId="62B5A609" w:rsidR="0066094F" w:rsidRDefault="0066094F">
      <w:pPr>
        <w:pStyle w:val="FootnoteText"/>
      </w:pPr>
      <w:r>
        <w:rPr>
          <w:rStyle w:val="FootnoteReference"/>
        </w:rPr>
        <w:footnoteRef/>
      </w:r>
      <w:r>
        <w:t xml:space="preserve"> </w:t>
      </w:r>
      <w:r w:rsidRPr="0066094F">
        <w:t xml:space="preserve">Conman, J. “It's about Time: Ancient Egyptian Cosmology” </w:t>
      </w:r>
      <w:proofErr w:type="spellStart"/>
      <w:r w:rsidRPr="0066094F">
        <w:rPr>
          <w:i/>
          <w:iCs/>
        </w:rPr>
        <w:t>Studien</w:t>
      </w:r>
      <w:proofErr w:type="spellEnd"/>
      <w:r w:rsidRPr="0066094F">
        <w:rPr>
          <w:i/>
          <w:iCs/>
        </w:rPr>
        <w:t xml:space="preserve"> </w:t>
      </w:r>
      <w:proofErr w:type="spellStart"/>
      <w:r w:rsidRPr="0066094F">
        <w:rPr>
          <w:i/>
          <w:iCs/>
        </w:rPr>
        <w:t>zur</w:t>
      </w:r>
      <w:proofErr w:type="spellEnd"/>
      <w:r w:rsidRPr="0066094F">
        <w:rPr>
          <w:i/>
          <w:iCs/>
        </w:rPr>
        <w:t xml:space="preserve"> </w:t>
      </w:r>
      <w:proofErr w:type="spellStart"/>
      <w:r w:rsidRPr="0066094F">
        <w:rPr>
          <w:i/>
          <w:iCs/>
        </w:rPr>
        <w:t>Altägyptischen</w:t>
      </w:r>
      <w:proofErr w:type="spellEnd"/>
      <w:r w:rsidRPr="0066094F">
        <w:rPr>
          <w:i/>
          <w:iCs/>
        </w:rPr>
        <w:t xml:space="preserve"> Kultur</w:t>
      </w:r>
      <w:r w:rsidRPr="0066094F">
        <w:t xml:space="preserve"> Bd. 31 (2003): </w:t>
      </w:r>
      <w:r w:rsidR="008A1DC6">
        <w:t>p37.</w:t>
      </w:r>
    </w:p>
  </w:footnote>
  <w:footnote w:id="69">
    <w:p w14:paraId="44181736" w14:textId="75AD14C1" w:rsidR="007D6110" w:rsidRDefault="007D6110">
      <w:pPr>
        <w:pStyle w:val="FootnoteText"/>
      </w:pPr>
      <w:r>
        <w:rPr>
          <w:rStyle w:val="FootnoteReference"/>
        </w:rPr>
        <w:footnoteRef/>
      </w:r>
      <w:r>
        <w:t xml:space="preserve"> Jean-Marie </w:t>
      </w:r>
      <w:proofErr w:type="spellStart"/>
      <w:r w:rsidRPr="00E96FBA">
        <w:t>Kruchten</w:t>
      </w:r>
      <w:proofErr w:type="spellEnd"/>
      <w:r w:rsidRPr="009A5B88">
        <w:t xml:space="preserve">, ’Oracles’ in D.B </w:t>
      </w:r>
      <w:r w:rsidRPr="00E96FBA">
        <w:t>Redford</w:t>
      </w:r>
      <w:r w:rsidRPr="009A5B88">
        <w:t xml:space="preserve"> (</w:t>
      </w:r>
      <w:r w:rsidRPr="00E96FBA">
        <w:t>ed.</w:t>
      </w:r>
      <w:r w:rsidRPr="009A5B88">
        <w:t>)</w:t>
      </w:r>
      <w:r w:rsidRPr="00E96FBA">
        <w:t xml:space="preserve"> </w:t>
      </w:r>
      <w:r w:rsidRPr="00E96FBA">
        <w:rPr>
          <w:i/>
          <w:iCs/>
        </w:rPr>
        <w:t>The Ancient Gods Speak: A Guide to Egyptian Religion</w:t>
      </w:r>
      <w:r w:rsidRPr="009A5B88">
        <w:t xml:space="preserve"> (2002),</w:t>
      </w:r>
      <w:r w:rsidRPr="00E96FBA">
        <w:t xml:space="preserve"> Oxford/New York: Oxford University Pres</w:t>
      </w:r>
      <w:r w:rsidRPr="009A5B88">
        <w:t>s:</w:t>
      </w:r>
      <w:r w:rsidRPr="00E96FBA">
        <w:t xml:space="preserve"> </w:t>
      </w:r>
      <w:r>
        <w:t>p.609</w:t>
      </w:r>
      <w:r w:rsidRPr="00E96FBA">
        <w:t>.</w:t>
      </w:r>
    </w:p>
  </w:footnote>
  <w:footnote w:id="70">
    <w:p w14:paraId="3603A343" w14:textId="1A8BFF5D" w:rsidR="007D6110" w:rsidRPr="00DB009B" w:rsidRDefault="007D6110">
      <w:pPr>
        <w:pStyle w:val="FootnoteText"/>
      </w:pPr>
      <w:r>
        <w:rPr>
          <w:rStyle w:val="FootnoteReference"/>
        </w:rPr>
        <w:footnoteRef/>
      </w:r>
      <w:r>
        <w:t xml:space="preserve"> </w:t>
      </w:r>
      <w:proofErr w:type="spellStart"/>
      <w:r>
        <w:t>Assmann</w:t>
      </w:r>
      <w:proofErr w:type="spellEnd"/>
      <w:r>
        <w:t xml:space="preserve">, </w:t>
      </w:r>
      <w:r>
        <w:rPr>
          <w:i/>
          <w:iCs/>
        </w:rPr>
        <w:t>The Search for God in Ancient Egypt</w:t>
      </w:r>
      <w:r>
        <w:t>, pp.40-42.</w:t>
      </w:r>
    </w:p>
  </w:footnote>
  <w:footnote w:id="71">
    <w:p w14:paraId="1EFBF403" w14:textId="16F73F44" w:rsidR="007D6110" w:rsidRDefault="007D6110">
      <w:pPr>
        <w:pStyle w:val="FootnoteText"/>
      </w:pPr>
      <w:r>
        <w:rPr>
          <w:rStyle w:val="FootnoteReference"/>
        </w:rPr>
        <w:footnoteRef/>
      </w:r>
      <w:r>
        <w:t xml:space="preserve"> </w:t>
      </w:r>
      <w:proofErr w:type="spellStart"/>
      <w:r>
        <w:t>Assmann</w:t>
      </w:r>
      <w:proofErr w:type="spellEnd"/>
      <w:r>
        <w:t xml:space="preserve">, </w:t>
      </w:r>
      <w:r>
        <w:rPr>
          <w:i/>
          <w:iCs/>
        </w:rPr>
        <w:t>The Search for God in Ancient Egypt</w:t>
      </w:r>
      <w:r>
        <w:t>, p.42.</w:t>
      </w:r>
    </w:p>
  </w:footnote>
  <w:footnote w:id="72">
    <w:p w14:paraId="309F87A3" w14:textId="7BDA0B90" w:rsidR="007D6110" w:rsidRPr="009E4B41" w:rsidRDefault="007D6110" w:rsidP="009E4B41">
      <w:pPr>
        <w:pStyle w:val="FootnoteText"/>
      </w:pPr>
      <w:r>
        <w:rPr>
          <w:rStyle w:val="FootnoteReference"/>
        </w:rPr>
        <w:footnoteRef/>
      </w:r>
      <w:r>
        <w:t xml:space="preserve"> Alexandre </w:t>
      </w:r>
      <w:r w:rsidRPr="009E4B41">
        <w:t xml:space="preserve">von Lieven, A. “Divination in </w:t>
      </w:r>
      <w:proofErr w:type="spellStart"/>
      <w:r w:rsidRPr="009E4B41">
        <w:t>Ägypten</w:t>
      </w:r>
      <w:proofErr w:type="spellEnd"/>
      <w:r w:rsidRPr="009E4B41">
        <w:t xml:space="preserve">” </w:t>
      </w:r>
      <w:proofErr w:type="spellStart"/>
      <w:r w:rsidRPr="009E4B41">
        <w:rPr>
          <w:i/>
          <w:iCs/>
        </w:rPr>
        <w:t>Altorientalische</w:t>
      </w:r>
      <w:proofErr w:type="spellEnd"/>
      <w:r w:rsidRPr="009E4B41">
        <w:rPr>
          <w:i/>
          <w:iCs/>
        </w:rPr>
        <w:t xml:space="preserve"> </w:t>
      </w:r>
      <w:proofErr w:type="spellStart"/>
      <w:r w:rsidRPr="009E4B41">
        <w:rPr>
          <w:i/>
          <w:iCs/>
        </w:rPr>
        <w:t>Forschungen</w:t>
      </w:r>
      <w:proofErr w:type="spellEnd"/>
      <w:r w:rsidRPr="009E4B41">
        <w:t xml:space="preserve"> 26, no.1 (1999):</w:t>
      </w:r>
      <w:r>
        <w:t xml:space="preserve"> p.77</w:t>
      </w:r>
      <w:r w:rsidRPr="009E4B41">
        <w:t>.</w:t>
      </w:r>
    </w:p>
    <w:p w14:paraId="3AB8B8AB" w14:textId="73234490" w:rsidR="007D6110" w:rsidRDefault="007D6110">
      <w:pPr>
        <w:pStyle w:val="FootnoteText"/>
      </w:pPr>
    </w:p>
  </w:footnote>
  <w:footnote w:id="73">
    <w:p w14:paraId="0C86CEDD" w14:textId="5BC13FD1" w:rsidR="007D6110" w:rsidRDefault="007D6110">
      <w:pPr>
        <w:pStyle w:val="FootnoteText"/>
      </w:pPr>
      <w:r>
        <w:rPr>
          <w:rStyle w:val="FootnoteReference"/>
        </w:rPr>
        <w:footnoteRef/>
      </w:r>
      <w:r>
        <w:t xml:space="preserve"> Janet Hoskins,</w:t>
      </w:r>
      <w:r w:rsidRPr="0075542F">
        <w:t xml:space="preserve"> </w:t>
      </w:r>
      <w:r w:rsidRPr="00CB1D3A">
        <w:t>‘</w:t>
      </w:r>
      <w:r w:rsidRPr="0075542F">
        <w:t>Agency, Biography and Objects</w:t>
      </w:r>
      <w:r w:rsidRPr="00CB1D3A">
        <w:t>’</w:t>
      </w:r>
      <w:r w:rsidRPr="0075542F">
        <w:t xml:space="preserve"> </w:t>
      </w:r>
      <w:r w:rsidRPr="00CB1D3A">
        <w:t>i</w:t>
      </w:r>
      <w:r w:rsidRPr="0075542F">
        <w:t>n</w:t>
      </w:r>
      <w:r w:rsidRPr="00CB1D3A">
        <w:t xml:space="preserve"> </w:t>
      </w:r>
      <w:r w:rsidRPr="0075542F">
        <w:t>C</w:t>
      </w:r>
      <w:r w:rsidRPr="00CB1D3A">
        <w:t>.</w:t>
      </w:r>
      <w:r w:rsidRPr="0075542F">
        <w:t xml:space="preserve"> Tilley, W</w:t>
      </w:r>
      <w:r w:rsidRPr="00CB1D3A">
        <w:t>.</w:t>
      </w:r>
      <w:r w:rsidRPr="0075542F">
        <w:t xml:space="preserve"> Keane, S</w:t>
      </w:r>
      <w:r w:rsidRPr="00CB1D3A">
        <w:t>.</w:t>
      </w:r>
      <w:r w:rsidRPr="0075542F">
        <w:t xml:space="preserve"> </w:t>
      </w:r>
      <w:proofErr w:type="spellStart"/>
      <w:r w:rsidRPr="0075542F">
        <w:t>Küchler</w:t>
      </w:r>
      <w:proofErr w:type="spellEnd"/>
      <w:r w:rsidRPr="0075542F">
        <w:t>, M</w:t>
      </w:r>
      <w:r w:rsidRPr="00CB1D3A">
        <w:t>.</w:t>
      </w:r>
      <w:r w:rsidRPr="0075542F">
        <w:t xml:space="preserve"> Rowlands, and P</w:t>
      </w:r>
      <w:r w:rsidRPr="00CB1D3A">
        <w:t xml:space="preserve">. </w:t>
      </w:r>
      <w:proofErr w:type="spellStart"/>
      <w:r w:rsidRPr="0075542F">
        <w:t>Syper</w:t>
      </w:r>
      <w:proofErr w:type="spellEnd"/>
      <w:r w:rsidRPr="00CB1D3A">
        <w:t xml:space="preserve"> (eds) (2006), </w:t>
      </w:r>
      <w:r w:rsidRPr="0075542F">
        <w:rPr>
          <w:i/>
          <w:iCs/>
        </w:rPr>
        <w:t>Handbook of Material Culture</w:t>
      </w:r>
      <w:r w:rsidRPr="0075542F">
        <w:t xml:space="preserve"> London: Sage</w:t>
      </w:r>
      <w:r w:rsidRPr="00CB1D3A">
        <w:t>:</w:t>
      </w:r>
      <w:r>
        <w:t xml:space="preserve"> p.74</w:t>
      </w:r>
      <w:r w:rsidRPr="0075542F">
        <w:t>.</w:t>
      </w:r>
    </w:p>
  </w:footnote>
  <w:footnote w:id="74">
    <w:p w14:paraId="531A7928" w14:textId="2BB9B95A" w:rsidR="007D6110" w:rsidRDefault="007D6110" w:rsidP="00776F01">
      <w:pPr>
        <w:pStyle w:val="FootnoteText"/>
      </w:pPr>
      <w:r>
        <w:rPr>
          <w:rStyle w:val="FootnoteReference"/>
        </w:rPr>
        <w:footnoteRef/>
      </w:r>
      <w:r>
        <w:t xml:space="preserve"> </w:t>
      </w:r>
      <w:r w:rsidRPr="002719F6">
        <w:t>Baines</w:t>
      </w:r>
      <w:r>
        <w:t>,</w:t>
      </w:r>
      <w:r w:rsidRPr="00C95360">
        <w:rPr>
          <w:rFonts w:hint="eastAsia"/>
        </w:rPr>
        <w:t> </w:t>
      </w:r>
      <w:r w:rsidRPr="00BF6A9D">
        <w:rPr>
          <w:i/>
          <w:iCs/>
        </w:rPr>
        <w:t>Society, Morality and Religious Practice</w:t>
      </w:r>
      <w:r>
        <w:t>, p.170, n.131.</w:t>
      </w:r>
    </w:p>
    <w:p w14:paraId="3007367C" w14:textId="39A6E07A" w:rsidR="007D6110" w:rsidRDefault="007D6110">
      <w:pPr>
        <w:pStyle w:val="FootnoteText"/>
      </w:pPr>
    </w:p>
  </w:footnote>
  <w:footnote w:id="75">
    <w:p w14:paraId="67F44E2E" w14:textId="7EB7E1F3" w:rsidR="007D6110" w:rsidRPr="00896F4B" w:rsidRDefault="007D6110">
      <w:pPr>
        <w:pStyle w:val="FootnoteText"/>
      </w:pPr>
      <w:r>
        <w:rPr>
          <w:rStyle w:val="FootnoteReference"/>
        </w:rPr>
        <w:footnoteRef/>
      </w:r>
      <w:r>
        <w:t xml:space="preserve"> </w:t>
      </w:r>
      <w:proofErr w:type="spellStart"/>
      <w:r w:rsidRPr="00E96FBA">
        <w:t>Kruchten</w:t>
      </w:r>
      <w:proofErr w:type="spellEnd"/>
      <w:r w:rsidRPr="009A5B88">
        <w:t xml:space="preserve">, </w:t>
      </w:r>
      <w:r w:rsidRPr="00896F4B">
        <w:rPr>
          <w:i/>
          <w:iCs/>
        </w:rPr>
        <w:t>Oracles</w:t>
      </w:r>
      <w:r>
        <w:t>, p.609.</w:t>
      </w:r>
    </w:p>
  </w:footnote>
  <w:footnote w:id="76">
    <w:p w14:paraId="5A0D24C3" w14:textId="5EEA9A19" w:rsidR="007D6110" w:rsidRDefault="007D6110">
      <w:pPr>
        <w:pStyle w:val="FootnoteText"/>
      </w:pPr>
      <w:r>
        <w:rPr>
          <w:rStyle w:val="FootnoteReference"/>
        </w:rPr>
        <w:footnoteRef/>
      </w:r>
      <w:r>
        <w:t xml:space="preserve"> </w:t>
      </w:r>
      <w:proofErr w:type="spellStart"/>
      <w:r w:rsidRPr="00E96FBA">
        <w:t>Kruchten</w:t>
      </w:r>
      <w:proofErr w:type="spellEnd"/>
      <w:r w:rsidRPr="009A5B88">
        <w:t xml:space="preserve">, </w:t>
      </w:r>
      <w:r w:rsidRPr="00896F4B">
        <w:rPr>
          <w:i/>
          <w:iCs/>
        </w:rPr>
        <w:t>Oracles</w:t>
      </w:r>
      <w:r>
        <w:t>, p.609.</w:t>
      </w:r>
    </w:p>
  </w:footnote>
  <w:footnote w:id="77">
    <w:p w14:paraId="2FBBEB7B" w14:textId="77476D50" w:rsidR="007D6110" w:rsidRDefault="007D6110">
      <w:pPr>
        <w:pStyle w:val="FootnoteText"/>
      </w:pPr>
      <w:r>
        <w:rPr>
          <w:rStyle w:val="FootnoteReference"/>
        </w:rPr>
        <w:footnoteRef/>
      </w:r>
      <w:r>
        <w:t xml:space="preserve"> Quirke</w:t>
      </w:r>
      <w:r w:rsidRPr="006257F7">
        <w:t xml:space="preserve">. </w:t>
      </w:r>
      <w:r w:rsidRPr="006257F7">
        <w:rPr>
          <w:i/>
          <w:iCs/>
        </w:rPr>
        <w:t>Exploring Religion in Ancient Egypt</w:t>
      </w:r>
      <w:r>
        <w:t>, p. 196.</w:t>
      </w:r>
    </w:p>
  </w:footnote>
  <w:footnote w:id="78">
    <w:p w14:paraId="3CA70579" w14:textId="273D15D1" w:rsidR="007D6110" w:rsidRDefault="007D6110">
      <w:pPr>
        <w:pStyle w:val="FootnoteText"/>
      </w:pPr>
      <w:r>
        <w:rPr>
          <w:rStyle w:val="FootnoteReference"/>
        </w:rPr>
        <w:footnoteRef/>
      </w:r>
      <w:r>
        <w:t xml:space="preserve"> </w:t>
      </w:r>
      <w:proofErr w:type="spellStart"/>
      <w:r w:rsidRPr="00E96FBA">
        <w:t>Kruchten</w:t>
      </w:r>
      <w:proofErr w:type="spellEnd"/>
      <w:r w:rsidRPr="009A5B88">
        <w:t xml:space="preserve">, </w:t>
      </w:r>
      <w:r w:rsidRPr="00896F4B">
        <w:rPr>
          <w:i/>
          <w:iCs/>
        </w:rPr>
        <w:t>Oracles</w:t>
      </w:r>
      <w:r>
        <w:t>, p.609.</w:t>
      </w:r>
    </w:p>
  </w:footnote>
  <w:footnote w:id="79">
    <w:p w14:paraId="60D2A44F" w14:textId="09C59AF0" w:rsidR="007D6110" w:rsidRDefault="007D6110">
      <w:pPr>
        <w:pStyle w:val="FootnoteText"/>
      </w:pPr>
      <w:r>
        <w:rPr>
          <w:rStyle w:val="FootnoteReference"/>
        </w:rPr>
        <w:footnoteRef/>
      </w:r>
      <w:r>
        <w:t xml:space="preserve"> </w:t>
      </w:r>
      <w:proofErr w:type="spellStart"/>
      <w:r w:rsidRPr="00E96FBA">
        <w:t>Kruchten</w:t>
      </w:r>
      <w:proofErr w:type="spellEnd"/>
      <w:r w:rsidRPr="009A5B88">
        <w:t xml:space="preserve">, </w:t>
      </w:r>
      <w:r w:rsidRPr="00896F4B">
        <w:rPr>
          <w:i/>
          <w:iCs/>
        </w:rPr>
        <w:t>Oracles</w:t>
      </w:r>
      <w:r>
        <w:t>, p.609.</w:t>
      </w:r>
    </w:p>
  </w:footnote>
  <w:footnote w:id="80">
    <w:p w14:paraId="58A67183" w14:textId="1519C9D2" w:rsidR="007D6110" w:rsidRDefault="007D6110">
      <w:pPr>
        <w:pStyle w:val="FootnoteText"/>
      </w:pPr>
      <w:r>
        <w:rPr>
          <w:rStyle w:val="FootnoteReference"/>
        </w:rPr>
        <w:footnoteRef/>
      </w:r>
      <w:r>
        <w:t xml:space="preserve"> </w:t>
      </w:r>
      <w:proofErr w:type="spellStart"/>
      <w:r w:rsidRPr="00E96FBA">
        <w:t>Kruchten</w:t>
      </w:r>
      <w:proofErr w:type="spellEnd"/>
      <w:r w:rsidRPr="009A5B88">
        <w:t xml:space="preserve">, </w:t>
      </w:r>
      <w:r w:rsidRPr="00896F4B">
        <w:rPr>
          <w:i/>
          <w:iCs/>
        </w:rPr>
        <w:t>Oracles</w:t>
      </w:r>
      <w:r>
        <w:t>, p.609.</w:t>
      </w:r>
    </w:p>
  </w:footnote>
  <w:footnote w:id="81">
    <w:p w14:paraId="0181CFAB" w14:textId="717E3453" w:rsidR="007D6110" w:rsidRPr="00163188" w:rsidRDefault="007D6110">
      <w:pPr>
        <w:pStyle w:val="FootnoteText"/>
      </w:pPr>
      <w:r>
        <w:rPr>
          <w:rStyle w:val="FootnoteReference"/>
        </w:rPr>
        <w:footnoteRef/>
      </w:r>
      <w:r>
        <w:t xml:space="preserve"> Douglas Brewer and Emily Teeter, </w:t>
      </w:r>
      <w:r>
        <w:rPr>
          <w:i/>
          <w:iCs/>
        </w:rPr>
        <w:t>Egypt and the Egyptians</w:t>
      </w:r>
      <w:r>
        <w:t>, Cambridge: CUP, 2007: pp. 104-105.</w:t>
      </w:r>
    </w:p>
  </w:footnote>
  <w:footnote w:id="82">
    <w:p w14:paraId="2C838DE8" w14:textId="12C109FB" w:rsidR="007D6110" w:rsidRDefault="007D6110">
      <w:pPr>
        <w:pStyle w:val="FootnoteText"/>
      </w:pPr>
      <w:r>
        <w:rPr>
          <w:rStyle w:val="FootnoteReference"/>
        </w:rPr>
        <w:footnoteRef/>
      </w:r>
      <w:r>
        <w:t xml:space="preserve"> </w:t>
      </w:r>
      <w:proofErr w:type="spellStart"/>
      <w:r w:rsidRPr="00E96FBA">
        <w:t>Kruchten</w:t>
      </w:r>
      <w:proofErr w:type="spellEnd"/>
      <w:r w:rsidRPr="009A5B88">
        <w:t xml:space="preserve">, </w:t>
      </w:r>
      <w:r w:rsidRPr="00896F4B">
        <w:rPr>
          <w:i/>
          <w:iCs/>
        </w:rPr>
        <w:t>Oracles</w:t>
      </w:r>
      <w:r>
        <w:t>, p.609.</w:t>
      </w:r>
    </w:p>
  </w:footnote>
  <w:footnote w:id="83">
    <w:p w14:paraId="58D800BF" w14:textId="52919136" w:rsidR="007D6110" w:rsidRDefault="007D6110">
      <w:pPr>
        <w:pStyle w:val="FootnoteText"/>
      </w:pPr>
      <w:r>
        <w:rPr>
          <w:rStyle w:val="FootnoteReference"/>
        </w:rPr>
        <w:footnoteRef/>
      </w:r>
      <w:r>
        <w:t xml:space="preserve"> </w:t>
      </w:r>
      <w:proofErr w:type="spellStart"/>
      <w:r w:rsidRPr="00E96FBA">
        <w:t>Kruchten</w:t>
      </w:r>
      <w:proofErr w:type="spellEnd"/>
      <w:r w:rsidRPr="009A5B88">
        <w:t xml:space="preserve">, </w:t>
      </w:r>
      <w:r w:rsidRPr="00896F4B">
        <w:rPr>
          <w:i/>
          <w:iCs/>
        </w:rPr>
        <w:t>Oracles</w:t>
      </w:r>
      <w:r>
        <w:t>, p.609.</w:t>
      </w:r>
    </w:p>
  </w:footnote>
  <w:footnote w:id="84">
    <w:p w14:paraId="41B636D5" w14:textId="5852B27A" w:rsidR="007D6110" w:rsidRDefault="007D6110">
      <w:pPr>
        <w:pStyle w:val="FootnoteText"/>
      </w:pPr>
      <w:r>
        <w:rPr>
          <w:rStyle w:val="FootnoteReference"/>
        </w:rPr>
        <w:footnoteRef/>
      </w:r>
      <w:r>
        <w:t xml:space="preserve"> </w:t>
      </w:r>
      <w:proofErr w:type="spellStart"/>
      <w:r w:rsidRPr="00E96FBA">
        <w:t>Kruchten</w:t>
      </w:r>
      <w:proofErr w:type="spellEnd"/>
      <w:r w:rsidRPr="009A5B88">
        <w:t xml:space="preserve">, </w:t>
      </w:r>
      <w:r w:rsidRPr="00896F4B">
        <w:rPr>
          <w:i/>
          <w:iCs/>
        </w:rPr>
        <w:t>Oracles</w:t>
      </w:r>
      <w:r>
        <w:t>, p.609.</w:t>
      </w:r>
    </w:p>
  </w:footnote>
  <w:footnote w:id="85">
    <w:p w14:paraId="11859215" w14:textId="55C36AFE" w:rsidR="007D6110" w:rsidRPr="003F60E3" w:rsidRDefault="007D6110">
      <w:pPr>
        <w:pStyle w:val="FootnoteText"/>
      </w:pPr>
      <w:r>
        <w:rPr>
          <w:rStyle w:val="FootnoteReference"/>
        </w:rPr>
        <w:footnoteRef/>
      </w:r>
      <w:r>
        <w:t xml:space="preserve"> </w:t>
      </w:r>
      <w:proofErr w:type="spellStart"/>
      <w:r>
        <w:rPr>
          <w:rFonts w:cstheme="minorHAnsi"/>
        </w:rPr>
        <w:t>Dunand</w:t>
      </w:r>
      <w:proofErr w:type="spellEnd"/>
      <w:r>
        <w:rPr>
          <w:rFonts w:cstheme="minorHAnsi"/>
        </w:rPr>
        <w:t xml:space="preserve"> and </w:t>
      </w:r>
      <w:proofErr w:type="spellStart"/>
      <w:r>
        <w:rPr>
          <w:rFonts w:cstheme="minorHAnsi"/>
        </w:rPr>
        <w:t>Zivie</w:t>
      </w:r>
      <w:proofErr w:type="spellEnd"/>
      <w:r>
        <w:rPr>
          <w:rFonts w:cstheme="minorHAnsi"/>
        </w:rPr>
        <w:t xml:space="preserve">-Coche, </w:t>
      </w:r>
      <w:r w:rsidRPr="00982445">
        <w:rPr>
          <w:rFonts w:cstheme="minorHAnsi"/>
          <w:i/>
          <w:iCs/>
        </w:rPr>
        <w:t>Gods and Men in Egypt,</w:t>
      </w:r>
      <w:r>
        <w:rPr>
          <w:rFonts w:cstheme="minorHAnsi"/>
        </w:rPr>
        <w:t xml:space="preserve"> pp.111-112.</w:t>
      </w:r>
    </w:p>
  </w:footnote>
  <w:footnote w:id="86">
    <w:p w14:paraId="5ED75CAC" w14:textId="6C7CC566" w:rsidR="007D6110" w:rsidRDefault="007D6110">
      <w:pPr>
        <w:pStyle w:val="FootnoteText"/>
      </w:pPr>
      <w:r>
        <w:rPr>
          <w:rStyle w:val="FootnoteReference"/>
        </w:rPr>
        <w:footnoteRef/>
      </w:r>
      <w:r>
        <w:t xml:space="preserve"> </w:t>
      </w:r>
      <w:proofErr w:type="spellStart"/>
      <w:r>
        <w:rPr>
          <w:rFonts w:cstheme="minorHAnsi"/>
        </w:rPr>
        <w:t>Dunand</w:t>
      </w:r>
      <w:proofErr w:type="spellEnd"/>
      <w:r>
        <w:rPr>
          <w:rFonts w:cstheme="minorHAnsi"/>
        </w:rPr>
        <w:t xml:space="preserve"> and </w:t>
      </w:r>
      <w:proofErr w:type="spellStart"/>
      <w:r>
        <w:rPr>
          <w:rFonts w:cstheme="minorHAnsi"/>
        </w:rPr>
        <w:t>Zivie</w:t>
      </w:r>
      <w:proofErr w:type="spellEnd"/>
      <w:r>
        <w:rPr>
          <w:rFonts w:cstheme="minorHAnsi"/>
        </w:rPr>
        <w:t xml:space="preserve">-Coche, </w:t>
      </w:r>
      <w:r w:rsidRPr="00982445">
        <w:rPr>
          <w:rFonts w:cstheme="minorHAnsi"/>
          <w:i/>
          <w:iCs/>
        </w:rPr>
        <w:t>Gods and Men in Egypt,</w:t>
      </w:r>
      <w:r>
        <w:rPr>
          <w:rFonts w:cstheme="minorHAnsi"/>
        </w:rPr>
        <w:t xml:space="preserve"> pp.111-112.</w:t>
      </w:r>
    </w:p>
  </w:footnote>
  <w:footnote w:id="87">
    <w:p w14:paraId="47759DBA" w14:textId="509728AC" w:rsidR="007D6110" w:rsidRDefault="007D6110">
      <w:pPr>
        <w:pStyle w:val="FootnoteText"/>
      </w:pPr>
      <w:r>
        <w:rPr>
          <w:rStyle w:val="FootnoteReference"/>
        </w:rPr>
        <w:footnoteRef/>
      </w:r>
      <w:r>
        <w:t xml:space="preserve"> </w:t>
      </w:r>
      <w:proofErr w:type="spellStart"/>
      <w:r>
        <w:rPr>
          <w:rFonts w:cstheme="minorHAnsi"/>
        </w:rPr>
        <w:t>Dunand</w:t>
      </w:r>
      <w:proofErr w:type="spellEnd"/>
      <w:r>
        <w:rPr>
          <w:rFonts w:cstheme="minorHAnsi"/>
        </w:rPr>
        <w:t xml:space="preserve"> and </w:t>
      </w:r>
      <w:proofErr w:type="spellStart"/>
      <w:r>
        <w:rPr>
          <w:rFonts w:cstheme="minorHAnsi"/>
        </w:rPr>
        <w:t>Zivie</w:t>
      </w:r>
      <w:proofErr w:type="spellEnd"/>
      <w:r>
        <w:rPr>
          <w:rFonts w:cstheme="minorHAnsi"/>
        </w:rPr>
        <w:t xml:space="preserve">-Coche, </w:t>
      </w:r>
      <w:r w:rsidRPr="00982445">
        <w:rPr>
          <w:rFonts w:cstheme="minorHAnsi"/>
          <w:i/>
          <w:iCs/>
        </w:rPr>
        <w:t>Gods and Men in Egypt,</w:t>
      </w:r>
      <w:r>
        <w:rPr>
          <w:rFonts w:cstheme="minorHAnsi"/>
        </w:rPr>
        <w:t xml:space="preserve"> pp.112.</w:t>
      </w:r>
    </w:p>
  </w:footnote>
  <w:footnote w:id="88">
    <w:p w14:paraId="24FD3792" w14:textId="58D31049" w:rsidR="007D6110" w:rsidRDefault="007D6110">
      <w:pPr>
        <w:pStyle w:val="FootnoteText"/>
      </w:pPr>
      <w:r>
        <w:rPr>
          <w:rStyle w:val="FootnoteReference"/>
        </w:rPr>
        <w:footnoteRef/>
      </w:r>
      <w:r>
        <w:t xml:space="preserve"> </w:t>
      </w:r>
      <w:proofErr w:type="spellStart"/>
      <w:r>
        <w:rPr>
          <w:rFonts w:cstheme="minorHAnsi"/>
        </w:rPr>
        <w:t>Dunand</w:t>
      </w:r>
      <w:proofErr w:type="spellEnd"/>
      <w:r>
        <w:rPr>
          <w:rFonts w:cstheme="minorHAnsi"/>
        </w:rPr>
        <w:t xml:space="preserve"> and </w:t>
      </w:r>
      <w:proofErr w:type="spellStart"/>
      <w:r>
        <w:rPr>
          <w:rFonts w:cstheme="minorHAnsi"/>
        </w:rPr>
        <w:t>Zivie</w:t>
      </w:r>
      <w:proofErr w:type="spellEnd"/>
      <w:r>
        <w:rPr>
          <w:rFonts w:cstheme="minorHAnsi"/>
        </w:rPr>
        <w:t xml:space="preserve">-Coche, </w:t>
      </w:r>
      <w:r w:rsidRPr="00982445">
        <w:rPr>
          <w:rFonts w:cstheme="minorHAnsi"/>
          <w:i/>
          <w:iCs/>
        </w:rPr>
        <w:t>Gods and Men in Egypt,</w:t>
      </w:r>
      <w:r>
        <w:rPr>
          <w:rFonts w:cstheme="minorHAnsi"/>
        </w:rPr>
        <w:t xml:space="preserve"> pp.112.</w:t>
      </w:r>
    </w:p>
  </w:footnote>
  <w:footnote w:id="89">
    <w:p w14:paraId="3CC115C2" w14:textId="34249DE2" w:rsidR="007D6110" w:rsidRDefault="007D6110">
      <w:pPr>
        <w:pStyle w:val="FootnoteText"/>
      </w:pPr>
      <w:r>
        <w:rPr>
          <w:rStyle w:val="FootnoteReference"/>
        </w:rPr>
        <w:footnoteRef/>
      </w:r>
      <w:r>
        <w:t xml:space="preserve"> </w:t>
      </w:r>
      <w:proofErr w:type="spellStart"/>
      <w:r>
        <w:rPr>
          <w:rFonts w:cstheme="minorHAnsi"/>
        </w:rPr>
        <w:t>Dunand</w:t>
      </w:r>
      <w:proofErr w:type="spellEnd"/>
      <w:r>
        <w:rPr>
          <w:rFonts w:cstheme="minorHAnsi"/>
        </w:rPr>
        <w:t xml:space="preserve"> and </w:t>
      </w:r>
      <w:proofErr w:type="spellStart"/>
      <w:r>
        <w:rPr>
          <w:rFonts w:cstheme="minorHAnsi"/>
        </w:rPr>
        <w:t>Zivie</w:t>
      </w:r>
      <w:proofErr w:type="spellEnd"/>
      <w:r>
        <w:rPr>
          <w:rFonts w:cstheme="minorHAnsi"/>
        </w:rPr>
        <w:t xml:space="preserve">-Coche, </w:t>
      </w:r>
      <w:r w:rsidRPr="00982445">
        <w:rPr>
          <w:rFonts w:cstheme="minorHAnsi"/>
          <w:i/>
          <w:iCs/>
        </w:rPr>
        <w:t>Gods and Men in Egypt,</w:t>
      </w:r>
      <w:r>
        <w:rPr>
          <w:rFonts w:cstheme="minorHAnsi"/>
        </w:rPr>
        <w:t xml:space="preserve"> pp.112.</w:t>
      </w:r>
    </w:p>
  </w:footnote>
  <w:footnote w:id="90">
    <w:p w14:paraId="643BF9DA" w14:textId="77777777" w:rsidR="007D6110" w:rsidRDefault="007D6110" w:rsidP="0067638F">
      <w:pPr>
        <w:pStyle w:val="FootnoteText"/>
      </w:pPr>
      <w:r>
        <w:rPr>
          <w:rStyle w:val="FootnoteReference"/>
        </w:rPr>
        <w:footnoteRef/>
      </w:r>
      <w:r>
        <w:t xml:space="preserve"> </w:t>
      </w:r>
      <w:proofErr w:type="spellStart"/>
      <w:r>
        <w:rPr>
          <w:rFonts w:cstheme="minorHAnsi"/>
        </w:rPr>
        <w:t>Dunand</w:t>
      </w:r>
      <w:proofErr w:type="spellEnd"/>
      <w:r>
        <w:rPr>
          <w:rFonts w:cstheme="minorHAnsi"/>
        </w:rPr>
        <w:t xml:space="preserve"> and </w:t>
      </w:r>
      <w:proofErr w:type="spellStart"/>
      <w:r>
        <w:rPr>
          <w:rFonts w:cstheme="minorHAnsi"/>
        </w:rPr>
        <w:t>Zivie</w:t>
      </w:r>
      <w:proofErr w:type="spellEnd"/>
      <w:r>
        <w:rPr>
          <w:rFonts w:cstheme="minorHAnsi"/>
        </w:rPr>
        <w:t xml:space="preserve">-Coche, </w:t>
      </w:r>
      <w:r w:rsidRPr="00982445">
        <w:rPr>
          <w:rFonts w:cstheme="minorHAnsi"/>
          <w:i/>
          <w:iCs/>
        </w:rPr>
        <w:t>Gods and Men in Egypt,</w:t>
      </w:r>
      <w:r>
        <w:rPr>
          <w:rFonts w:cstheme="minorHAnsi"/>
        </w:rPr>
        <w:t xml:space="preserve"> pp.112.</w:t>
      </w:r>
    </w:p>
    <w:p w14:paraId="6BED1B86" w14:textId="77777777" w:rsidR="007D6110" w:rsidRDefault="007D6110" w:rsidP="0067638F">
      <w:pPr>
        <w:pStyle w:val="FootnoteText"/>
      </w:pPr>
    </w:p>
    <w:p w14:paraId="2FD778E2" w14:textId="0245E323" w:rsidR="007D6110" w:rsidRDefault="007D6110">
      <w:pPr>
        <w:pStyle w:val="FootnoteText"/>
      </w:pPr>
    </w:p>
  </w:footnote>
  <w:footnote w:id="91">
    <w:p w14:paraId="12972398" w14:textId="22010CD3" w:rsidR="007D6110" w:rsidRDefault="007D6110">
      <w:pPr>
        <w:pStyle w:val="FootnoteText"/>
      </w:pPr>
      <w:r>
        <w:rPr>
          <w:rStyle w:val="FootnoteReference"/>
        </w:rPr>
        <w:footnoteRef/>
      </w:r>
      <w:r>
        <w:t xml:space="preserve"> </w:t>
      </w:r>
      <w:proofErr w:type="spellStart"/>
      <w:r w:rsidRPr="00E96FBA">
        <w:t>Kruchten</w:t>
      </w:r>
      <w:proofErr w:type="spellEnd"/>
      <w:r w:rsidRPr="009A5B88">
        <w:t xml:space="preserve">, </w:t>
      </w:r>
      <w:r w:rsidRPr="00896F4B">
        <w:rPr>
          <w:i/>
          <w:iCs/>
        </w:rPr>
        <w:t>Oracles</w:t>
      </w:r>
      <w:r>
        <w:t>, p.609.</w:t>
      </w:r>
    </w:p>
  </w:footnote>
  <w:footnote w:id="92">
    <w:p w14:paraId="533DE5A0" w14:textId="3CE72765" w:rsidR="007D6110" w:rsidRDefault="007D6110">
      <w:pPr>
        <w:pStyle w:val="FootnoteText"/>
      </w:pPr>
      <w:r>
        <w:rPr>
          <w:rStyle w:val="FootnoteReference"/>
        </w:rPr>
        <w:footnoteRef/>
      </w:r>
      <w:r>
        <w:t xml:space="preserve"> </w:t>
      </w:r>
      <w:proofErr w:type="spellStart"/>
      <w:r w:rsidRPr="00E96FBA">
        <w:t>Kruchten</w:t>
      </w:r>
      <w:proofErr w:type="spellEnd"/>
      <w:r w:rsidRPr="009A5B88">
        <w:t xml:space="preserve">, </w:t>
      </w:r>
      <w:r w:rsidRPr="00896F4B">
        <w:rPr>
          <w:i/>
          <w:iCs/>
        </w:rPr>
        <w:t>Oracles</w:t>
      </w:r>
      <w:r>
        <w:t>, p.609.</w:t>
      </w:r>
    </w:p>
  </w:footnote>
  <w:footnote w:id="93">
    <w:p w14:paraId="2ACA29BC" w14:textId="073CB7C5" w:rsidR="007D6110" w:rsidRDefault="007D6110">
      <w:pPr>
        <w:pStyle w:val="FootnoteText"/>
      </w:pPr>
      <w:r>
        <w:rPr>
          <w:rStyle w:val="FootnoteReference"/>
        </w:rPr>
        <w:footnoteRef/>
      </w:r>
      <w:r>
        <w:t xml:space="preserve"> </w:t>
      </w:r>
      <w:proofErr w:type="spellStart"/>
      <w:r w:rsidRPr="00E96FBA">
        <w:t>Kruchten</w:t>
      </w:r>
      <w:proofErr w:type="spellEnd"/>
      <w:r w:rsidRPr="009A5B88">
        <w:t xml:space="preserve">, </w:t>
      </w:r>
      <w:r w:rsidRPr="00896F4B">
        <w:rPr>
          <w:i/>
          <w:iCs/>
        </w:rPr>
        <w:t>Oracles</w:t>
      </w:r>
      <w:r>
        <w:t>, p.610.</w:t>
      </w:r>
    </w:p>
  </w:footnote>
  <w:footnote w:id="94">
    <w:p w14:paraId="4EAD1133" w14:textId="571FB91B" w:rsidR="007D6110" w:rsidRPr="00FF3295" w:rsidRDefault="007D6110">
      <w:pPr>
        <w:pStyle w:val="FootnoteText"/>
      </w:pPr>
      <w:r>
        <w:rPr>
          <w:rStyle w:val="FootnoteReference"/>
        </w:rPr>
        <w:footnoteRef/>
      </w:r>
      <w:r>
        <w:t xml:space="preserve"> </w:t>
      </w:r>
      <w:proofErr w:type="spellStart"/>
      <w:r>
        <w:t>Kruchten</w:t>
      </w:r>
      <w:proofErr w:type="spellEnd"/>
      <w:r>
        <w:t xml:space="preserve">, </w:t>
      </w:r>
      <w:r>
        <w:rPr>
          <w:i/>
          <w:iCs/>
        </w:rPr>
        <w:t>Oracles</w:t>
      </w:r>
      <w:r>
        <w:t>, p.610.</w:t>
      </w:r>
    </w:p>
  </w:footnote>
  <w:footnote w:id="95">
    <w:p w14:paraId="0DF5E7AB" w14:textId="453365BD" w:rsidR="007D6110" w:rsidRDefault="007D6110">
      <w:pPr>
        <w:pStyle w:val="FootnoteText"/>
      </w:pPr>
      <w:r>
        <w:rPr>
          <w:rStyle w:val="FootnoteReference"/>
        </w:rPr>
        <w:footnoteRef/>
      </w:r>
      <w:r>
        <w:t xml:space="preserve"> Quirke</w:t>
      </w:r>
      <w:r w:rsidRPr="006257F7">
        <w:t xml:space="preserve">. </w:t>
      </w:r>
      <w:r w:rsidRPr="006257F7">
        <w:rPr>
          <w:i/>
          <w:iCs/>
        </w:rPr>
        <w:t>Exploring Religion in Ancient Egypt</w:t>
      </w:r>
      <w:r>
        <w:t>, p. 196.</w:t>
      </w:r>
    </w:p>
  </w:footnote>
  <w:footnote w:id="96">
    <w:p w14:paraId="0AAC394A" w14:textId="68ABD578" w:rsidR="007D6110" w:rsidRDefault="007D6110">
      <w:pPr>
        <w:pStyle w:val="FootnoteText"/>
      </w:pPr>
      <w:r>
        <w:rPr>
          <w:rStyle w:val="FootnoteReference"/>
        </w:rPr>
        <w:footnoteRef/>
      </w:r>
      <w:r>
        <w:t xml:space="preserve"> </w:t>
      </w:r>
      <w:proofErr w:type="spellStart"/>
      <w:r>
        <w:t>Kruchten</w:t>
      </w:r>
      <w:proofErr w:type="spellEnd"/>
      <w:r>
        <w:t xml:space="preserve">, </w:t>
      </w:r>
      <w:r>
        <w:rPr>
          <w:i/>
          <w:iCs/>
        </w:rPr>
        <w:t>Oracles</w:t>
      </w:r>
      <w:r>
        <w:t>, p.610.</w:t>
      </w:r>
    </w:p>
  </w:footnote>
  <w:footnote w:id="97">
    <w:p w14:paraId="2CE0CFE3" w14:textId="5DB097F8" w:rsidR="007D6110" w:rsidRDefault="007D6110">
      <w:pPr>
        <w:pStyle w:val="FootnoteText"/>
      </w:pPr>
      <w:r>
        <w:rPr>
          <w:rStyle w:val="FootnoteReference"/>
        </w:rPr>
        <w:footnoteRef/>
      </w:r>
      <w:r>
        <w:t xml:space="preserve"> </w:t>
      </w:r>
      <w:proofErr w:type="spellStart"/>
      <w:r>
        <w:t>Kruchten</w:t>
      </w:r>
      <w:proofErr w:type="spellEnd"/>
      <w:r>
        <w:t xml:space="preserve">, </w:t>
      </w:r>
      <w:r>
        <w:rPr>
          <w:i/>
          <w:iCs/>
        </w:rPr>
        <w:t>Oracles</w:t>
      </w:r>
      <w:r>
        <w:t>, p.610.</w:t>
      </w:r>
    </w:p>
  </w:footnote>
  <w:footnote w:id="98">
    <w:p w14:paraId="2A749C93" w14:textId="38553581" w:rsidR="007D6110" w:rsidRDefault="007D6110">
      <w:pPr>
        <w:pStyle w:val="FootnoteText"/>
      </w:pPr>
      <w:r>
        <w:rPr>
          <w:rStyle w:val="FootnoteReference"/>
        </w:rPr>
        <w:footnoteRef/>
      </w:r>
      <w:r>
        <w:t xml:space="preserve"> </w:t>
      </w:r>
      <w:proofErr w:type="spellStart"/>
      <w:r>
        <w:t>Kruchten</w:t>
      </w:r>
      <w:proofErr w:type="spellEnd"/>
      <w:r>
        <w:t xml:space="preserve">, </w:t>
      </w:r>
      <w:r>
        <w:rPr>
          <w:i/>
          <w:iCs/>
        </w:rPr>
        <w:t>Oracles</w:t>
      </w:r>
      <w:r>
        <w:t>, p.610.</w:t>
      </w:r>
    </w:p>
  </w:footnote>
  <w:footnote w:id="99">
    <w:p w14:paraId="05B2B381" w14:textId="45598AB8" w:rsidR="007D6110" w:rsidRDefault="007D6110">
      <w:pPr>
        <w:pStyle w:val="FootnoteText"/>
      </w:pPr>
      <w:r>
        <w:rPr>
          <w:rStyle w:val="FootnoteReference"/>
        </w:rPr>
        <w:footnoteRef/>
      </w:r>
      <w:r>
        <w:t xml:space="preserve"> Quirke</w:t>
      </w:r>
      <w:r w:rsidRPr="006257F7">
        <w:t xml:space="preserve">. </w:t>
      </w:r>
      <w:r w:rsidRPr="006257F7">
        <w:rPr>
          <w:i/>
          <w:iCs/>
        </w:rPr>
        <w:t>Exploring Religion in Ancient Egypt</w:t>
      </w:r>
      <w:r>
        <w:t>, p. 196.</w:t>
      </w:r>
    </w:p>
  </w:footnote>
  <w:footnote w:id="100">
    <w:p w14:paraId="375C4C41" w14:textId="146CFEBA" w:rsidR="007D6110" w:rsidRDefault="007D6110">
      <w:pPr>
        <w:pStyle w:val="FootnoteText"/>
      </w:pPr>
      <w:r>
        <w:rPr>
          <w:rStyle w:val="FootnoteReference"/>
        </w:rPr>
        <w:footnoteRef/>
      </w:r>
      <w:r>
        <w:t xml:space="preserve"> Quirke</w:t>
      </w:r>
      <w:r w:rsidRPr="006257F7">
        <w:t xml:space="preserve">. </w:t>
      </w:r>
      <w:r w:rsidRPr="006257F7">
        <w:rPr>
          <w:i/>
          <w:iCs/>
        </w:rPr>
        <w:t>Exploring Religion in Ancient Egypt</w:t>
      </w:r>
      <w:r>
        <w:t>, p. 196.</w:t>
      </w:r>
    </w:p>
  </w:footnote>
  <w:footnote w:id="101">
    <w:p w14:paraId="3474D573" w14:textId="19CFB4BA" w:rsidR="007D6110" w:rsidRDefault="007D6110" w:rsidP="008C7903">
      <w:pPr>
        <w:pStyle w:val="FootnoteText"/>
      </w:pPr>
      <w:r>
        <w:rPr>
          <w:rStyle w:val="FootnoteReference"/>
        </w:rPr>
        <w:footnoteRef/>
      </w:r>
      <w:r>
        <w:t xml:space="preserve"> </w:t>
      </w:r>
      <w:proofErr w:type="spellStart"/>
      <w:r>
        <w:t>Kruchten</w:t>
      </w:r>
      <w:proofErr w:type="spellEnd"/>
      <w:r>
        <w:t xml:space="preserve">, </w:t>
      </w:r>
      <w:r>
        <w:rPr>
          <w:i/>
          <w:iCs/>
        </w:rPr>
        <w:t>Oracles</w:t>
      </w:r>
      <w:r>
        <w:t>, p.611.</w:t>
      </w:r>
    </w:p>
    <w:p w14:paraId="3BAFB5DE" w14:textId="012D793E" w:rsidR="007D6110" w:rsidRDefault="007D6110">
      <w:pPr>
        <w:pStyle w:val="FootnoteText"/>
      </w:pPr>
    </w:p>
  </w:footnote>
  <w:footnote w:id="102">
    <w:p w14:paraId="3F650ABD" w14:textId="7E7201E5" w:rsidR="007D6110" w:rsidRDefault="007D6110">
      <w:pPr>
        <w:pStyle w:val="FootnoteText"/>
      </w:pPr>
      <w:r>
        <w:rPr>
          <w:rStyle w:val="FootnoteReference"/>
        </w:rPr>
        <w:footnoteRef/>
      </w:r>
      <w:r>
        <w:t xml:space="preserve"> </w:t>
      </w:r>
      <w:proofErr w:type="spellStart"/>
      <w:r>
        <w:rPr>
          <w:rFonts w:cstheme="minorHAnsi"/>
        </w:rPr>
        <w:t>Dunand</w:t>
      </w:r>
      <w:proofErr w:type="spellEnd"/>
      <w:r>
        <w:rPr>
          <w:rFonts w:cstheme="minorHAnsi"/>
        </w:rPr>
        <w:t xml:space="preserve"> and </w:t>
      </w:r>
      <w:proofErr w:type="spellStart"/>
      <w:r>
        <w:rPr>
          <w:rFonts w:cstheme="minorHAnsi"/>
        </w:rPr>
        <w:t>Zivie</w:t>
      </w:r>
      <w:proofErr w:type="spellEnd"/>
      <w:r>
        <w:rPr>
          <w:rFonts w:cstheme="minorHAnsi"/>
        </w:rPr>
        <w:t xml:space="preserve">-Coche, </w:t>
      </w:r>
      <w:r w:rsidRPr="00982445">
        <w:rPr>
          <w:rFonts w:cstheme="minorHAnsi"/>
          <w:i/>
          <w:iCs/>
        </w:rPr>
        <w:t>Gods and Men in Egypt,</w:t>
      </w:r>
      <w:r>
        <w:rPr>
          <w:rFonts w:cstheme="minorHAnsi"/>
        </w:rPr>
        <w:t xml:space="preserve"> p. 133.</w:t>
      </w:r>
    </w:p>
  </w:footnote>
  <w:footnote w:id="103">
    <w:p w14:paraId="3FA41DEE" w14:textId="72785209" w:rsidR="007D6110" w:rsidRDefault="007D6110">
      <w:pPr>
        <w:pStyle w:val="FootnoteText"/>
      </w:pPr>
      <w:r>
        <w:rPr>
          <w:rStyle w:val="FootnoteReference"/>
        </w:rPr>
        <w:footnoteRef/>
      </w:r>
      <w:r>
        <w:t xml:space="preserve"> </w:t>
      </w:r>
      <w:proofErr w:type="spellStart"/>
      <w:r>
        <w:rPr>
          <w:rFonts w:cstheme="minorHAnsi"/>
        </w:rPr>
        <w:t>Dunand</w:t>
      </w:r>
      <w:proofErr w:type="spellEnd"/>
      <w:r>
        <w:rPr>
          <w:rFonts w:cstheme="minorHAnsi"/>
        </w:rPr>
        <w:t xml:space="preserve"> and </w:t>
      </w:r>
      <w:proofErr w:type="spellStart"/>
      <w:r>
        <w:rPr>
          <w:rFonts w:cstheme="minorHAnsi"/>
        </w:rPr>
        <w:t>Zivie</w:t>
      </w:r>
      <w:proofErr w:type="spellEnd"/>
      <w:r>
        <w:rPr>
          <w:rFonts w:cstheme="minorHAnsi"/>
        </w:rPr>
        <w:t xml:space="preserve">-Coche, </w:t>
      </w:r>
      <w:r w:rsidRPr="00982445">
        <w:rPr>
          <w:rFonts w:cstheme="minorHAnsi"/>
          <w:i/>
          <w:iCs/>
        </w:rPr>
        <w:t>Gods and Men in Egypt,</w:t>
      </w:r>
      <w:r>
        <w:rPr>
          <w:rFonts w:cstheme="minorHAnsi"/>
        </w:rPr>
        <w:t xml:space="preserve"> p. 133.</w:t>
      </w:r>
    </w:p>
  </w:footnote>
  <w:footnote w:id="104">
    <w:p w14:paraId="2E552D96" w14:textId="14C07B2D" w:rsidR="007D6110" w:rsidRDefault="007D6110">
      <w:pPr>
        <w:pStyle w:val="FootnoteText"/>
      </w:pPr>
      <w:r>
        <w:rPr>
          <w:rStyle w:val="FootnoteReference"/>
        </w:rPr>
        <w:footnoteRef/>
      </w:r>
      <w:r>
        <w:t xml:space="preserve"> </w:t>
      </w:r>
      <w:proofErr w:type="spellStart"/>
      <w:r>
        <w:rPr>
          <w:rFonts w:cstheme="minorHAnsi"/>
        </w:rPr>
        <w:t>Dunand</w:t>
      </w:r>
      <w:proofErr w:type="spellEnd"/>
      <w:r>
        <w:rPr>
          <w:rFonts w:cstheme="minorHAnsi"/>
        </w:rPr>
        <w:t xml:space="preserve"> and </w:t>
      </w:r>
      <w:proofErr w:type="spellStart"/>
      <w:r>
        <w:rPr>
          <w:rFonts w:cstheme="minorHAnsi"/>
        </w:rPr>
        <w:t>Zivie</w:t>
      </w:r>
      <w:proofErr w:type="spellEnd"/>
      <w:r>
        <w:rPr>
          <w:rFonts w:cstheme="minorHAnsi"/>
        </w:rPr>
        <w:t xml:space="preserve">-Coche, </w:t>
      </w:r>
      <w:r w:rsidRPr="00982445">
        <w:rPr>
          <w:rFonts w:cstheme="minorHAnsi"/>
          <w:i/>
          <w:iCs/>
        </w:rPr>
        <w:t>Gods and Men in Egypt,</w:t>
      </w:r>
      <w:r>
        <w:rPr>
          <w:rFonts w:cstheme="minorHAnsi"/>
        </w:rPr>
        <w:t xml:space="preserve"> p. 133.</w:t>
      </w:r>
    </w:p>
  </w:footnote>
  <w:footnote w:id="105">
    <w:p w14:paraId="45787269" w14:textId="5616D598" w:rsidR="007D6110" w:rsidRDefault="007D6110">
      <w:pPr>
        <w:pStyle w:val="FootnoteText"/>
      </w:pPr>
      <w:r>
        <w:rPr>
          <w:rStyle w:val="FootnoteReference"/>
        </w:rPr>
        <w:footnoteRef/>
      </w:r>
      <w:r>
        <w:t xml:space="preserve"> </w:t>
      </w:r>
      <w:proofErr w:type="spellStart"/>
      <w:r>
        <w:rPr>
          <w:rFonts w:cstheme="minorHAnsi"/>
        </w:rPr>
        <w:t>Dunand</w:t>
      </w:r>
      <w:proofErr w:type="spellEnd"/>
      <w:r>
        <w:rPr>
          <w:rFonts w:cstheme="minorHAnsi"/>
        </w:rPr>
        <w:t xml:space="preserve"> and </w:t>
      </w:r>
      <w:proofErr w:type="spellStart"/>
      <w:r>
        <w:rPr>
          <w:rFonts w:cstheme="minorHAnsi"/>
        </w:rPr>
        <w:t>Zivie</w:t>
      </w:r>
      <w:proofErr w:type="spellEnd"/>
      <w:r>
        <w:rPr>
          <w:rFonts w:cstheme="minorHAnsi"/>
        </w:rPr>
        <w:t xml:space="preserve">-Coche, </w:t>
      </w:r>
      <w:r w:rsidRPr="00982445">
        <w:rPr>
          <w:rFonts w:cstheme="minorHAnsi"/>
          <w:i/>
          <w:iCs/>
        </w:rPr>
        <w:t>Gods and Men in Egypt,</w:t>
      </w:r>
      <w:r>
        <w:rPr>
          <w:rFonts w:cstheme="minorHAnsi"/>
        </w:rPr>
        <w:t xml:space="preserve"> p. 134.</w:t>
      </w:r>
    </w:p>
  </w:footnote>
  <w:footnote w:id="106">
    <w:p w14:paraId="7B76E3B9" w14:textId="77777777" w:rsidR="007D6110" w:rsidRDefault="007D6110" w:rsidP="002E144D">
      <w:pPr>
        <w:pStyle w:val="FootnoteText"/>
      </w:pPr>
      <w:r>
        <w:rPr>
          <w:rStyle w:val="FootnoteReference"/>
        </w:rPr>
        <w:footnoteRef/>
      </w:r>
      <w:r>
        <w:t xml:space="preserve"> </w:t>
      </w:r>
      <w:proofErr w:type="spellStart"/>
      <w:r>
        <w:rPr>
          <w:rFonts w:cstheme="minorHAnsi"/>
        </w:rPr>
        <w:t>Dunand</w:t>
      </w:r>
      <w:proofErr w:type="spellEnd"/>
      <w:r>
        <w:rPr>
          <w:rFonts w:cstheme="minorHAnsi"/>
        </w:rPr>
        <w:t xml:space="preserve"> and </w:t>
      </w:r>
      <w:proofErr w:type="spellStart"/>
      <w:r>
        <w:rPr>
          <w:rFonts w:cstheme="minorHAnsi"/>
        </w:rPr>
        <w:t>Zivie</w:t>
      </w:r>
      <w:proofErr w:type="spellEnd"/>
      <w:r>
        <w:rPr>
          <w:rFonts w:cstheme="minorHAnsi"/>
        </w:rPr>
        <w:t xml:space="preserve">-Coche, </w:t>
      </w:r>
      <w:r w:rsidRPr="00982445">
        <w:rPr>
          <w:rFonts w:cstheme="minorHAnsi"/>
          <w:i/>
          <w:iCs/>
        </w:rPr>
        <w:t>Gods and Men in Egypt,</w:t>
      </w:r>
      <w:r>
        <w:rPr>
          <w:rFonts w:cstheme="minorHAnsi"/>
        </w:rPr>
        <w:t xml:space="preserve"> p. 133.</w:t>
      </w:r>
    </w:p>
    <w:p w14:paraId="2BE81997" w14:textId="1B0B1F67" w:rsidR="007D6110" w:rsidRDefault="007D6110">
      <w:pPr>
        <w:pStyle w:val="FootnoteText"/>
      </w:pPr>
    </w:p>
  </w:footnote>
  <w:footnote w:id="107">
    <w:p w14:paraId="634AC58B" w14:textId="77777777" w:rsidR="007D6110" w:rsidRDefault="007D6110" w:rsidP="002E144D">
      <w:pPr>
        <w:pStyle w:val="FootnoteText"/>
      </w:pPr>
      <w:r>
        <w:rPr>
          <w:rStyle w:val="FootnoteReference"/>
        </w:rPr>
        <w:footnoteRef/>
      </w:r>
      <w:r>
        <w:t xml:space="preserve"> </w:t>
      </w:r>
      <w:proofErr w:type="spellStart"/>
      <w:r>
        <w:rPr>
          <w:rFonts w:cstheme="minorHAnsi"/>
        </w:rPr>
        <w:t>Dunand</w:t>
      </w:r>
      <w:proofErr w:type="spellEnd"/>
      <w:r>
        <w:rPr>
          <w:rFonts w:cstheme="minorHAnsi"/>
        </w:rPr>
        <w:t xml:space="preserve"> and </w:t>
      </w:r>
      <w:proofErr w:type="spellStart"/>
      <w:r>
        <w:rPr>
          <w:rFonts w:cstheme="minorHAnsi"/>
        </w:rPr>
        <w:t>Zivie</w:t>
      </w:r>
      <w:proofErr w:type="spellEnd"/>
      <w:r>
        <w:rPr>
          <w:rFonts w:cstheme="minorHAnsi"/>
        </w:rPr>
        <w:t xml:space="preserve">-Coche, </w:t>
      </w:r>
      <w:r w:rsidRPr="00982445">
        <w:rPr>
          <w:rFonts w:cstheme="minorHAnsi"/>
          <w:i/>
          <w:iCs/>
        </w:rPr>
        <w:t>Gods and Men in Egypt,</w:t>
      </w:r>
      <w:r>
        <w:rPr>
          <w:rFonts w:cstheme="minorHAnsi"/>
        </w:rPr>
        <w:t xml:space="preserve"> p. 134.</w:t>
      </w:r>
    </w:p>
    <w:p w14:paraId="4689415C" w14:textId="77777777" w:rsidR="007D6110" w:rsidRDefault="007D6110" w:rsidP="002E144D">
      <w:pPr>
        <w:pStyle w:val="FootnoteText"/>
      </w:pPr>
    </w:p>
  </w:footnote>
  <w:footnote w:id="108">
    <w:p w14:paraId="180CDD70" w14:textId="1BFC08FC" w:rsidR="007D6110" w:rsidRDefault="007D6110">
      <w:pPr>
        <w:pStyle w:val="FootnoteText"/>
      </w:pPr>
      <w:r>
        <w:rPr>
          <w:rStyle w:val="FootnoteReference"/>
        </w:rPr>
        <w:footnoteRef/>
      </w:r>
      <w:r>
        <w:t xml:space="preserve"> </w:t>
      </w:r>
      <w:r w:rsidRPr="002719F6">
        <w:t>Baines</w:t>
      </w:r>
      <w:r>
        <w:t>,</w:t>
      </w:r>
      <w:r w:rsidRPr="00C95360">
        <w:rPr>
          <w:rFonts w:hint="eastAsia"/>
        </w:rPr>
        <w:t> </w:t>
      </w:r>
      <w:r w:rsidRPr="00BF6A9D">
        <w:rPr>
          <w:i/>
          <w:iCs/>
        </w:rPr>
        <w:t>Society, Morality and Religious Practice</w:t>
      </w:r>
      <w:r>
        <w:t>, p.171.</w:t>
      </w:r>
    </w:p>
  </w:footnote>
  <w:footnote w:id="109">
    <w:p w14:paraId="4F58D57F" w14:textId="2EF15A14" w:rsidR="007D6110" w:rsidRDefault="007D6110">
      <w:pPr>
        <w:pStyle w:val="FootnoteText"/>
      </w:pPr>
      <w:r>
        <w:rPr>
          <w:rStyle w:val="FootnoteReference"/>
        </w:rPr>
        <w:footnoteRef/>
      </w:r>
      <w:r>
        <w:t xml:space="preserve"> </w:t>
      </w:r>
      <w:r w:rsidRPr="002719F6">
        <w:t>Baines</w:t>
      </w:r>
      <w:r>
        <w:t>,</w:t>
      </w:r>
      <w:r w:rsidRPr="00C95360">
        <w:rPr>
          <w:rFonts w:hint="eastAsia"/>
        </w:rPr>
        <w:t> </w:t>
      </w:r>
      <w:r w:rsidRPr="00BF6A9D">
        <w:rPr>
          <w:i/>
          <w:iCs/>
        </w:rPr>
        <w:t>Society, Morality and Religious Practice</w:t>
      </w:r>
      <w:r>
        <w:t>, p.171.</w:t>
      </w:r>
    </w:p>
  </w:footnote>
  <w:footnote w:id="110">
    <w:p w14:paraId="2E9C4420" w14:textId="7C198362" w:rsidR="007D6110" w:rsidRDefault="007D6110">
      <w:pPr>
        <w:pStyle w:val="FootnoteText"/>
      </w:pPr>
      <w:r>
        <w:rPr>
          <w:rStyle w:val="FootnoteReference"/>
        </w:rPr>
        <w:footnoteRef/>
      </w:r>
      <w:r>
        <w:t xml:space="preserve"> </w:t>
      </w:r>
      <w:r w:rsidRPr="002719F6">
        <w:t>Baines</w:t>
      </w:r>
      <w:r>
        <w:t>,</w:t>
      </w:r>
      <w:r w:rsidRPr="00C95360">
        <w:rPr>
          <w:rFonts w:hint="eastAsia"/>
        </w:rPr>
        <w:t> </w:t>
      </w:r>
      <w:r w:rsidRPr="00BF6A9D">
        <w:rPr>
          <w:i/>
          <w:iCs/>
        </w:rPr>
        <w:t>Society, Morality and Religious Practice</w:t>
      </w:r>
      <w:r>
        <w:t xml:space="preserve">, p.171.; </w:t>
      </w:r>
      <w:proofErr w:type="spellStart"/>
      <w:r>
        <w:rPr>
          <w:rFonts w:cstheme="minorHAnsi"/>
        </w:rPr>
        <w:t>Dunand</w:t>
      </w:r>
      <w:proofErr w:type="spellEnd"/>
      <w:r>
        <w:rPr>
          <w:rFonts w:cstheme="minorHAnsi"/>
        </w:rPr>
        <w:t xml:space="preserve"> and </w:t>
      </w:r>
      <w:proofErr w:type="spellStart"/>
      <w:r>
        <w:rPr>
          <w:rFonts w:cstheme="minorHAnsi"/>
        </w:rPr>
        <w:t>Zivie</w:t>
      </w:r>
      <w:proofErr w:type="spellEnd"/>
      <w:r>
        <w:rPr>
          <w:rFonts w:cstheme="minorHAnsi"/>
        </w:rPr>
        <w:t xml:space="preserve">-Coche, </w:t>
      </w:r>
      <w:r w:rsidRPr="00982445">
        <w:rPr>
          <w:rFonts w:cstheme="minorHAnsi"/>
          <w:i/>
          <w:iCs/>
        </w:rPr>
        <w:t>Gods and Men in Egypt,</w:t>
      </w:r>
      <w:r>
        <w:rPr>
          <w:rFonts w:cstheme="minorHAnsi"/>
        </w:rPr>
        <w:t xml:space="preserve"> p.134. </w:t>
      </w:r>
    </w:p>
  </w:footnote>
  <w:footnote w:id="111">
    <w:p w14:paraId="61EF40E6" w14:textId="314BAB9B" w:rsidR="007D6110" w:rsidRDefault="007D6110">
      <w:pPr>
        <w:pStyle w:val="FootnoteText"/>
      </w:pPr>
      <w:r>
        <w:rPr>
          <w:rStyle w:val="FootnoteReference"/>
        </w:rPr>
        <w:footnoteRef/>
      </w:r>
      <w:r>
        <w:t xml:space="preserve"> Prada, </w:t>
      </w:r>
      <w:r w:rsidRPr="00C93B0B">
        <w:rPr>
          <w:i/>
          <w:iCs/>
        </w:rPr>
        <w:t>Dreams, Rising Stars and Falling Geckos</w:t>
      </w:r>
      <w:r>
        <w:t>, p.5</w:t>
      </w:r>
    </w:p>
  </w:footnote>
  <w:footnote w:id="112">
    <w:p w14:paraId="47E6BFC2" w14:textId="79D249CC" w:rsidR="007D6110" w:rsidRDefault="007D6110" w:rsidP="004429E6">
      <w:pPr>
        <w:pStyle w:val="FootnoteText"/>
      </w:pPr>
      <w:r>
        <w:rPr>
          <w:rStyle w:val="FootnoteReference"/>
        </w:rPr>
        <w:footnoteRef/>
      </w:r>
      <w:r>
        <w:t xml:space="preserve"> Prada, </w:t>
      </w:r>
      <w:r w:rsidRPr="00C93B0B">
        <w:rPr>
          <w:i/>
          <w:iCs/>
        </w:rPr>
        <w:t>Dreams, Rising Stars and Falling Geckos</w:t>
      </w:r>
      <w:r>
        <w:t>, p.5</w:t>
      </w:r>
    </w:p>
  </w:footnote>
  <w:footnote w:id="113">
    <w:p w14:paraId="3BD5AE92" w14:textId="1366196A" w:rsidR="007D6110" w:rsidRDefault="007D6110">
      <w:pPr>
        <w:pStyle w:val="FootnoteText"/>
      </w:pPr>
      <w:r>
        <w:rPr>
          <w:rStyle w:val="FootnoteReference"/>
        </w:rPr>
        <w:footnoteRef/>
      </w:r>
      <w:r>
        <w:t xml:space="preserve"> </w:t>
      </w:r>
      <w:proofErr w:type="spellStart"/>
      <w:r>
        <w:rPr>
          <w:rFonts w:cstheme="minorHAnsi"/>
        </w:rPr>
        <w:t>Dunand</w:t>
      </w:r>
      <w:proofErr w:type="spellEnd"/>
      <w:r>
        <w:rPr>
          <w:rFonts w:cstheme="minorHAnsi"/>
        </w:rPr>
        <w:t xml:space="preserve"> and </w:t>
      </w:r>
      <w:proofErr w:type="spellStart"/>
      <w:r>
        <w:rPr>
          <w:rFonts w:cstheme="minorHAnsi"/>
        </w:rPr>
        <w:t>Zivie</w:t>
      </w:r>
      <w:proofErr w:type="spellEnd"/>
      <w:r>
        <w:rPr>
          <w:rFonts w:cstheme="minorHAnsi"/>
        </w:rPr>
        <w:t xml:space="preserve">-Coche, </w:t>
      </w:r>
      <w:r w:rsidRPr="00982445">
        <w:rPr>
          <w:rFonts w:cstheme="minorHAnsi"/>
          <w:i/>
          <w:iCs/>
        </w:rPr>
        <w:t>Gods and Men in Egypt,</w:t>
      </w:r>
      <w:r>
        <w:rPr>
          <w:rFonts w:cstheme="minorHAnsi"/>
        </w:rPr>
        <w:t xml:space="preserve"> p. 134.</w:t>
      </w:r>
    </w:p>
  </w:footnote>
  <w:footnote w:id="114">
    <w:p w14:paraId="276DA5D5" w14:textId="0EA2D5F0" w:rsidR="007D6110" w:rsidRDefault="007D6110" w:rsidP="007D6110">
      <w:pPr>
        <w:pStyle w:val="FootnoteText"/>
      </w:pPr>
      <w:r>
        <w:rPr>
          <w:rStyle w:val="FootnoteReference"/>
        </w:rPr>
        <w:footnoteRef/>
      </w:r>
      <w:r>
        <w:t xml:space="preserve"> Prada, </w:t>
      </w:r>
      <w:r w:rsidRPr="00C93B0B">
        <w:rPr>
          <w:i/>
          <w:iCs/>
        </w:rPr>
        <w:t>Dreams, Rising Stars and Falling Geckos</w:t>
      </w:r>
      <w:r>
        <w:t>, p.6.</w:t>
      </w:r>
    </w:p>
  </w:footnote>
  <w:footnote w:id="115">
    <w:p w14:paraId="7D247851" w14:textId="07B106D1" w:rsidR="007D6110" w:rsidRDefault="007D6110">
      <w:pPr>
        <w:pStyle w:val="FootnoteText"/>
      </w:pPr>
      <w:r>
        <w:rPr>
          <w:rStyle w:val="FootnoteReference"/>
        </w:rPr>
        <w:footnoteRef/>
      </w:r>
      <w:r>
        <w:t xml:space="preserve"> Prada, </w:t>
      </w:r>
      <w:r w:rsidRPr="00C93B0B">
        <w:rPr>
          <w:i/>
          <w:iCs/>
        </w:rPr>
        <w:t>Dreams, Rising Stars and Falling Geckos</w:t>
      </w:r>
      <w:r>
        <w:t>, p.6.</w:t>
      </w:r>
    </w:p>
  </w:footnote>
  <w:footnote w:id="116">
    <w:p w14:paraId="4ACA5479" w14:textId="01E0AEF5" w:rsidR="00A24AF2" w:rsidRDefault="00A24AF2">
      <w:pPr>
        <w:pStyle w:val="FootnoteText"/>
      </w:pPr>
      <w:r>
        <w:rPr>
          <w:rStyle w:val="FootnoteReference"/>
        </w:rPr>
        <w:footnoteRef/>
      </w:r>
      <w:r>
        <w:t xml:space="preserve"> </w:t>
      </w:r>
      <w:proofErr w:type="spellStart"/>
      <w:r>
        <w:rPr>
          <w:rFonts w:cstheme="minorHAnsi"/>
        </w:rPr>
        <w:t>Dunand</w:t>
      </w:r>
      <w:proofErr w:type="spellEnd"/>
      <w:r>
        <w:rPr>
          <w:rFonts w:cstheme="minorHAnsi"/>
        </w:rPr>
        <w:t xml:space="preserve"> and </w:t>
      </w:r>
      <w:proofErr w:type="spellStart"/>
      <w:r>
        <w:rPr>
          <w:rFonts w:cstheme="minorHAnsi"/>
        </w:rPr>
        <w:t>Zivie</w:t>
      </w:r>
      <w:proofErr w:type="spellEnd"/>
      <w:r>
        <w:rPr>
          <w:rFonts w:cstheme="minorHAnsi"/>
        </w:rPr>
        <w:t xml:space="preserve">-Coche, </w:t>
      </w:r>
      <w:r w:rsidRPr="00982445">
        <w:rPr>
          <w:rFonts w:cstheme="minorHAnsi"/>
          <w:i/>
          <w:iCs/>
        </w:rPr>
        <w:t>Gods and Men in Egypt,</w:t>
      </w:r>
      <w:r>
        <w:rPr>
          <w:rFonts w:cstheme="minorHAnsi"/>
        </w:rPr>
        <w:t xml:space="preserve"> p. 134.</w:t>
      </w:r>
    </w:p>
  </w:footnote>
  <w:footnote w:id="117">
    <w:p w14:paraId="452F488A" w14:textId="2F8FA2E1" w:rsidR="00686196" w:rsidRDefault="00686196">
      <w:pPr>
        <w:pStyle w:val="FootnoteText"/>
      </w:pPr>
      <w:r>
        <w:rPr>
          <w:rStyle w:val="FootnoteReference"/>
        </w:rPr>
        <w:footnoteRef/>
      </w:r>
      <w:r>
        <w:t xml:space="preserve"> </w:t>
      </w:r>
      <w:r>
        <w:t xml:space="preserve">Prada, </w:t>
      </w:r>
      <w:r w:rsidRPr="00C93B0B">
        <w:rPr>
          <w:i/>
          <w:iCs/>
        </w:rPr>
        <w:t>Dreams, Rising Stars and Falling Geckos</w:t>
      </w:r>
      <w:r>
        <w:t>, p.</w:t>
      </w:r>
      <w:r>
        <w:t>5.</w:t>
      </w:r>
    </w:p>
  </w:footnote>
  <w:footnote w:id="118">
    <w:p w14:paraId="77DDF77B" w14:textId="45363505" w:rsidR="00C81556" w:rsidRDefault="00C81556">
      <w:pPr>
        <w:pStyle w:val="FootnoteText"/>
      </w:pPr>
      <w:r>
        <w:rPr>
          <w:rStyle w:val="FootnoteReference"/>
        </w:rPr>
        <w:footnoteRef/>
      </w:r>
      <w:r>
        <w:t xml:space="preserve"> </w:t>
      </w:r>
      <w:r>
        <w:t xml:space="preserve">Prada, </w:t>
      </w:r>
      <w:r w:rsidRPr="00C93B0B">
        <w:rPr>
          <w:i/>
          <w:iCs/>
        </w:rPr>
        <w:t>Dreams, Rising Stars and Falling Geckos</w:t>
      </w:r>
      <w:r>
        <w:t>, p.5.</w:t>
      </w:r>
    </w:p>
  </w:footnote>
  <w:footnote w:id="119">
    <w:p w14:paraId="5A4ED2F6" w14:textId="2C304247" w:rsidR="0000677E" w:rsidRDefault="0000677E">
      <w:pPr>
        <w:pStyle w:val="FootnoteText"/>
      </w:pPr>
      <w:r>
        <w:rPr>
          <w:rStyle w:val="FootnoteReference"/>
        </w:rPr>
        <w:footnoteRef/>
      </w:r>
      <w:r>
        <w:t xml:space="preserve"> Gill H </w:t>
      </w:r>
      <w:proofErr w:type="spellStart"/>
      <w:r w:rsidRPr="0000677E">
        <w:t>Renberg</w:t>
      </w:r>
      <w:proofErr w:type="spellEnd"/>
      <w:r w:rsidRPr="0000677E">
        <w:t>. ‘</w:t>
      </w:r>
      <w:r w:rsidRPr="004F2965">
        <w:t xml:space="preserve">Incubation at </w:t>
      </w:r>
      <w:proofErr w:type="spellStart"/>
      <w:r w:rsidRPr="004F2965">
        <w:t>Saqqâra</w:t>
      </w:r>
      <w:proofErr w:type="spellEnd"/>
      <w:r w:rsidRPr="0000677E">
        <w:t xml:space="preserve">’ in </w:t>
      </w:r>
      <w:r w:rsidRPr="004F2965">
        <w:rPr>
          <w:i/>
          <w:iCs/>
        </w:rPr>
        <w:t>Proceedings of the Twenty-Fifth International Congress of Papyrology</w:t>
      </w:r>
      <w:r w:rsidRPr="004F2965">
        <w:t>, Ann Arbor 2007</w:t>
      </w:r>
      <w:r w:rsidRPr="0000677E">
        <w:t xml:space="preserve"> </w:t>
      </w:r>
      <w:r w:rsidRPr="004F2965">
        <w:rPr>
          <w:i/>
          <w:iCs/>
        </w:rPr>
        <w:t>American Studies in Papyrology</w:t>
      </w:r>
      <w:r w:rsidRPr="004F2965">
        <w:t xml:space="preserve"> (Ann Arbor 2010)</w:t>
      </w:r>
      <w:r w:rsidRPr="0000677E">
        <w:t>:</w:t>
      </w:r>
      <w:r w:rsidRPr="004F2965">
        <w:t xml:space="preserve"> </w:t>
      </w:r>
      <w:r>
        <w:t>p.649</w:t>
      </w:r>
      <w:r w:rsidRPr="0000677E">
        <w:t>.</w:t>
      </w:r>
    </w:p>
  </w:footnote>
  <w:footnote w:id="120">
    <w:p w14:paraId="609B1C7B" w14:textId="0FFE6558" w:rsidR="0000677E" w:rsidRDefault="0000677E">
      <w:pPr>
        <w:pStyle w:val="FootnoteText"/>
      </w:pPr>
      <w:r>
        <w:rPr>
          <w:rStyle w:val="FootnoteReference"/>
        </w:rPr>
        <w:footnoteRef/>
      </w:r>
      <w:r>
        <w:t xml:space="preserve"> </w:t>
      </w:r>
      <w:proofErr w:type="spellStart"/>
      <w:r w:rsidRPr="0000677E">
        <w:t>Renberg</w:t>
      </w:r>
      <w:proofErr w:type="spellEnd"/>
      <w:r>
        <w:t>, I</w:t>
      </w:r>
      <w:r w:rsidRPr="004F2965">
        <w:t xml:space="preserve">ncubation at </w:t>
      </w:r>
      <w:proofErr w:type="spellStart"/>
      <w:r w:rsidRPr="004F2965">
        <w:t>Saqqâra</w:t>
      </w:r>
      <w:proofErr w:type="spellEnd"/>
      <w:r>
        <w:t>, p.649.</w:t>
      </w:r>
    </w:p>
  </w:footnote>
  <w:footnote w:id="121">
    <w:p w14:paraId="165A1D4E" w14:textId="3D8DE174" w:rsidR="00B82BC9" w:rsidRDefault="00B82BC9">
      <w:pPr>
        <w:pStyle w:val="FootnoteText"/>
      </w:pPr>
      <w:r>
        <w:rPr>
          <w:rStyle w:val="FootnoteReference"/>
        </w:rPr>
        <w:footnoteRef/>
      </w:r>
      <w:r>
        <w:t xml:space="preserve"> </w:t>
      </w:r>
      <w:proofErr w:type="spellStart"/>
      <w:r w:rsidR="00330A1A">
        <w:rPr>
          <w:rFonts w:cstheme="minorHAnsi"/>
        </w:rPr>
        <w:t>Dunand</w:t>
      </w:r>
      <w:proofErr w:type="spellEnd"/>
      <w:r w:rsidR="00330A1A">
        <w:rPr>
          <w:rFonts w:cstheme="minorHAnsi"/>
        </w:rPr>
        <w:t xml:space="preserve"> and </w:t>
      </w:r>
      <w:proofErr w:type="spellStart"/>
      <w:r w:rsidR="00330A1A">
        <w:rPr>
          <w:rFonts w:cstheme="minorHAnsi"/>
        </w:rPr>
        <w:t>Zivie</w:t>
      </w:r>
      <w:proofErr w:type="spellEnd"/>
      <w:r w:rsidR="00330A1A">
        <w:rPr>
          <w:rFonts w:cstheme="minorHAnsi"/>
        </w:rPr>
        <w:t xml:space="preserve">-Coche, </w:t>
      </w:r>
      <w:r w:rsidR="00330A1A" w:rsidRPr="00982445">
        <w:rPr>
          <w:rFonts w:cstheme="minorHAnsi"/>
          <w:i/>
          <w:iCs/>
        </w:rPr>
        <w:t>Gods and Men in Egypt,</w:t>
      </w:r>
      <w:r w:rsidR="00330A1A">
        <w:rPr>
          <w:rFonts w:cstheme="minorHAnsi"/>
        </w:rPr>
        <w:t xml:space="preserve"> p. </w:t>
      </w:r>
      <w:r w:rsidR="00330A1A">
        <w:rPr>
          <w:rFonts w:cstheme="minorHAnsi"/>
        </w:rPr>
        <w:t xml:space="preserve">215; </w:t>
      </w:r>
      <w:proofErr w:type="spellStart"/>
      <w:r w:rsidRPr="0000677E">
        <w:t>Renberg</w:t>
      </w:r>
      <w:proofErr w:type="spellEnd"/>
      <w:r>
        <w:t>, I</w:t>
      </w:r>
      <w:r w:rsidRPr="004F2965">
        <w:t xml:space="preserve">ncubation at </w:t>
      </w:r>
      <w:proofErr w:type="spellStart"/>
      <w:r w:rsidRPr="004F2965">
        <w:t>Saqqâra</w:t>
      </w:r>
      <w:proofErr w:type="spellEnd"/>
      <w:r>
        <w:t>, p.6</w:t>
      </w:r>
      <w:r>
        <w:t>50.</w:t>
      </w:r>
    </w:p>
  </w:footnote>
  <w:footnote w:id="122">
    <w:p w14:paraId="6F00D585" w14:textId="2E8129E0" w:rsidR="00A53423" w:rsidRDefault="00A53423">
      <w:pPr>
        <w:pStyle w:val="FootnoteText"/>
      </w:pPr>
      <w:r>
        <w:rPr>
          <w:rStyle w:val="FootnoteReference"/>
        </w:rPr>
        <w:footnoteRef/>
      </w:r>
      <w:r>
        <w:t xml:space="preserve"> Kimberley C </w:t>
      </w:r>
      <w:proofErr w:type="gramStart"/>
      <w:r w:rsidRPr="00A53423">
        <w:t>Patton</w:t>
      </w:r>
      <w:r>
        <w:t>,</w:t>
      </w:r>
      <w:r w:rsidRPr="00A53423">
        <w:t>.</w:t>
      </w:r>
      <w:proofErr w:type="gramEnd"/>
      <w:r w:rsidRPr="00A53423">
        <w:t xml:space="preserve"> </w:t>
      </w:r>
      <w:r w:rsidRPr="00136D39">
        <w:t xml:space="preserve">“A Great and Strange Correction”: Intentionality, Locality, and Epiphany in the Category of Dream Incubation </w:t>
      </w:r>
      <w:r w:rsidRPr="00136D39">
        <w:rPr>
          <w:i/>
          <w:iCs/>
        </w:rPr>
        <w:t>History of Religions</w:t>
      </w:r>
      <w:r w:rsidRPr="00136D39">
        <w:t>, Vol. 43, No. 3 (February 2004)</w:t>
      </w:r>
      <w:r>
        <w:t>, pp.194-195</w:t>
      </w:r>
      <w:r w:rsidRPr="00A53423">
        <w:t>.</w:t>
      </w:r>
    </w:p>
  </w:footnote>
  <w:footnote w:id="123">
    <w:p w14:paraId="7E68308E" w14:textId="29671335" w:rsidR="00A53423" w:rsidRDefault="00A53423">
      <w:pPr>
        <w:pStyle w:val="FootnoteText"/>
      </w:pPr>
      <w:r>
        <w:rPr>
          <w:rStyle w:val="FootnoteReference"/>
        </w:rPr>
        <w:footnoteRef/>
      </w:r>
      <w:r>
        <w:t xml:space="preserve"> Patton, </w:t>
      </w:r>
      <w:r w:rsidRPr="00136D39">
        <w:rPr>
          <w:i/>
          <w:iCs/>
        </w:rPr>
        <w:t>A Great and Strange Correction</w:t>
      </w:r>
      <w:r>
        <w:t>, p. 208.</w:t>
      </w:r>
    </w:p>
  </w:footnote>
  <w:footnote w:id="124">
    <w:p w14:paraId="733149E9" w14:textId="01F8A1D9" w:rsidR="008A1DC6" w:rsidRDefault="008A1DC6">
      <w:pPr>
        <w:pStyle w:val="FootnoteText"/>
      </w:pPr>
      <w:r>
        <w:rPr>
          <w:rStyle w:val="FootnoteReference"/>
        </w:rPr>
        <w:footnoteRef/>
      </w:r>
      <w:r>
        <w:t xml:space="preserve"> Cf. </w:t>
      </w:r>
      <w:r w:rsidR="00C86FEC">
        <w:t xml:space="preserve">Campion, </w:t>
      </w:r>
      <w:r w:rsidR="00C86FEC">
        <w:rPr>
          <w:i/>
          <w:iCs/>
        </w:rPr>
        <w:t>Astrology and Cosmology</w:t>
      </w:r>
      <w:r w:rsidR="00C86FEC">
        <w:t>, p.83</w:t>
      </w:r>
      <w:r w:rsidR="00C86FE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C37557" w14:textId="100C1F9C" w:rsidR="005A5275" w:rsidRDefault="005A5275">
    <w:pPr>
      <w:pStyle w:val="Header"/>
    </w:pPr>
    <w:r w:rsidRPr="005A5275">
      <w:rPr>
        <w:rFonts w:ascii="Times New Roman" w:hAnsi="Times New Roman" w:cs="Times New Roman"/>
      </w:rPr>
      <w:t>G Mooney 1905543</w:t>
    </w:r>
    <w:r>
      <w:tab/>
    </w:r>
    <w:r>
      <w:tab/>
    </w:r>
    <w:r>
      <w:rPr>
        <w:rFonts w:ascii="Times New Roman" w:hAnsi="Times New Roman"/>
      </w:rPr>
      <w:t xml:space="preserve">Page </w:t>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r>
      <w:rPr>
        <w:rFonts w:ascii="Times New Roman" w:hAnsi="Times New Roman"/>
      </w:rPr>
      <w:t xml:space="preserve"> of </w:t>
    </w:r>
    <w:r>
      <w:rPr>
        <w:rFonts w:ascii="Times New Roman" w:hAnsi="Times New Roman"/>
      </w:rPr>
      <w:fldChar w:fldCharType="begin"/>
    </w:r>
    <w:r>
      <w:rPr>
        <w:rFonts w:ascii="Times New Roman" w:hAnsi="Times New Roman"/>
      </w:rPr>
      <w:instrText xml:space="preserve"> NUMPAGES </w:instrText>
    </w:r>
    <w:r>
      <w:rPr>
        <w:rFonts w:ascii="Times New Roman" w:hAnsi="Times New Roman"/>
      </w:rPr>
      <w:fldChar w:fldCharType="separate"/>
    </w:r>
    <w:r>
      <w:rPr>
        <w:rFonts w:ascii="Times New Roman" w:hAnsi="Times New Roman"/>
        <w:noProof/>
      </w:rPr>
      <w:t>28</w:t>
    </w:r>
    <w:r>
      <w:rPr>
        <w:rFonts w:ascii="Times New Roman" w:hAnsi="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0862DF"/>
    <w:multiLevelType w:val="hybridMultilevel"/>
    <w:tmpl w:val="536A8C74"/>
    <w:lvl w:ilvl="0" w:tplc="D6B8D95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4FE"/>
    <w:rsid w:val="0000677E"/>
    <w:rsid w:val="00081479"/>
    <w:rsid w:val="000C11C4"/>
    <w:rsid w:val="000C79F9"/>
    <w:rsid w:val="000F6CD1"/>
    <w:rsid w:val="0011338B"/>
    <w:rsid w:val="00114D65"/>
    <w:rsid w:val="001442C7"/>
    <w:rsid w:val="00145BEF"/>
    <w:rsid w:val="001570F7"/>
    <w:rsid w:val="00163188"/>
    <w:rsid w:val="001713D6"/>
    <w:rsid w:val="001754FE"/>
    <w:rsid w:val="001B392C"/>
    <w:rsid w:val="001C1F2C"/>
    <w:rsid w:val="001D5DB7"/>
    <w:rsid w:val="001F58B9"/>
    <w:rsid w:val="00232904"/>
    <w:rsid w:val="00252F44"/>
    <w:rsid w:val="002578B1"/>
    <w:rsid w:val="002719F6"/>
    <w:rsid w:val="00297D1F"/>
    <w:rsid w:val="002C6D40"/>
    <w:rsid w:val="002D4945"/>
    <w:rsid w:val="002E144D"/>
    <w:rsid w:val="00330A1A"/>
    <w:rsid w:val="0034203E"/>
    <w:rsid w:val="003555D6"/>
    <w:rsid w:val="00377971"/>
    <w:rsid w:val="003969E5"/>
    <w:rsid w:val="0039735D"/>
    <w:rsid w:val="003A478A"/>
    <w:rsid w:val="003D12F1"/>
    <w:rsid w:val="003D3A13"/>
    <w:rsid w:val="003D610C"/>
    <w:rsid w:val="003F60E3"/>
    <w:rsid w:val="0044028B"/>
    <w:rsid w:val="004429E6"/>
    <w:rsid w:val="00451CDA"/>
    <w:rsid w:val="004708C6"/>
    <w:rsid w:val="004B0965"/>
    <w:rsid w:val="004C121A"/>
    <w:rsid w:val="004D2F97"/>
    <w:rsid w:val="00523070"/>
    <w:rsid w:val="00542206"/>
    <w:rsid w:val="00561529"/>
    <w:rsid w:val="0056515B"/>
    <w:rsid w:val="005A2121"/>
    <w:rsid w:val="005A5275"/>
    <w:rsid w:val="005B0AFD"/>
    <w:rsid w:val="005B4C13"/>
    <w:rsid w:val="005C0AB5"/>
    <w:rsid w:val="005E468C"/>
    <w:rsid w:val="005F0B41"/>
    <w:rsid w:val="005F5682"/>
    <w:rsid w:val="005F5A18"/>
    <w:rsid w:val="00606013"/>
    <w:rsid w:val="006172EB"/>
    <w:rsid w:val="006257F7"/>
    <w:rsid w:val="00627F3B"/>
    <w:rsid w:val="006404A2"/>
    <w:rsid w:val="00644C72"/>
    <w:rsid w:val="0066094F"/>
    <w:rsid w:val="0066673F"/>
    <w:rsid w:val="0067638F"/>
    <w:rsid w:val="00686196"/>
    <w:rsid w:val="006A0A92"/>
    <w:rsid w:val="006B6C14"/>
    <w:rsid w:val="006E596F"/>
    <w:rsid w:val="00706C3E"/>
    <w:rsid w:val="007308F4"/>
    <w:rsid w:val="00743DCD"/>
    <w:rsid w:val="00776F01"/>
    <w:rsid w:val="00796EF2"/>
    <w:rsid w:val="007A4CF6"/>
    <w:rsid w:val="007A6243"/>
    <w:rsid w:val="007C673C"/>
    <w:rsid w:val="007D6110"/>
    <w:rsid w:val="007D719E"/>
    <w:rsid w:val="007F7652"/>
    <w:rsid w:val="00825665"/>
    <w:rsid w:val="008260BE"/>
    <w:rsid w:val="0084438F"/>
    <w:rsid w:val="008737B9"/>
    <w:rsid w:val="00877536"/>
    <w:rsid w:val="00896F4B"/>
    <w:rsid w:val="008A1DC6"/>
    <w:rsid w:val="008C7903"/>
    <w:rsid w:val="008E72B2"/>
    <w:rsid w:val="00921027"/>
    <w:rsid w:val="00927A58"/>
    <w:rsid w:val="009609AF"/>
    <w:rsid w:val="009A45BF"/>
    <w:rsid w:val="009A5B88"/>
    <w:rsid w:val="009C0694"/>
    <w:rsid w:val="009D59D5"/>
    <w:rsid w:val="009E4572"/>
    <w:rsid w:val="009E4B41"/>
    <w:rsid w:val="00A07A4A"/>
    <w:rsid w:val="00A10EF1"/>
    <w:rsid w:val="00A2419F"/>
    <w:rsid w:val="00A24AF2"/>
    <w:rsid w:val="00A343C2"/>
    <w:rsid w:val="00A371ED"/>
    <w:rsid w:val="00A42118"/>
    <w:rsid w:val="00A43BDE"/>
    <w:rsid w:val="00A53423"/>
    <w:rsid w:val="00A55562"/>
    <w:rsid w:val="00A55D70"/>
    <w:rsid w:val="00A66853"/>
    <w:rsid w:val="00A92C8A"/>
    <w:rsid w:val="00A9671B"/>
    <w:rsid w:val="00AC6267"/>
    <w:rsid w:val="00AD4DAC"/>
    <w:rsid w:val="00AF2D5F"/>
    <w:rsid w:val="00AF5FF2"/>
    <w:rsid w:val="00B07E8B"/>
    <w:rsid w:val="00B14B11"/>
    <w:rsid w:val="00B65DA9"/>
    <w:rsid w:val="00B71BA6"/>
    <w:rsid w:val="00B75559"/>
    <w:rsid w:val="00B82BC9"/>
    <w:rsid w:val="00BD6B8E"/>
    <w:rsid w:val="00BE51B5"/>
    <w:rsid w:val="00BF2990"/>
    <w:rsid w:val="00BF6A9D"/>
    <w:rsid w:val="00C04C7A"/>
    <w:rsid w:val="00C056E8"/>
    <w:rsid w:val="00C32F99"/>
    <w:rsid w:val="00C40409"/>
    <w:rsid w:val="00C81556"/>
    <w:rsid w:val="00C82D2D"/>
    <w:rsid w:val="00C86FEC"/>
    <w:rsid w:val="00C93B0B"/>
    <w:rsid w:val="00CB1D3A"/>
    <w:rsid w:val="00CC2FB0"/>
    <w:rsid w:val="00CD668D"/>
    <w:rsid w:val="00CF1622"/>
    <w:rsid w:val="00D00766"/>
    <w:rsid w:val="00D47A17"/>
    <w:rsid w:val="00D523DF"/>
    <w:rsid w:val="00D73504"/>
    <w:rsid w:val="00D93068"/>
    <w:rsid w:val="00DB009B"/>
    <w:rsid w:val="00DB4063"/>
    <w:rsid w:val="00DB4148"/>
    <w:rsid w:val="00DB627A"/>
    <w:rsid w:val="00DD53F8"/>
    <w:rsid w:val="00DE168D"/>
    <w:rsid w:val="00DE77EC"/>
    <w:rsid w:val="00DF2EC4"/>
    <w:rsid w:val="00E12BB4"/>
    <w:rsid w:val="00E169FE"/>
    <w:rsid w:val="00E22ADC"/>
    <w:rsid w:val="00E331F4"/>
    <w:rsid w:val="00E34C0E"/>
    <w:rsid w:val="00E52697"/>
    <w:rsid w:val="00E665C4"/>
    <w:rsid w:val="00E66B2E"/>
    <w:rsid w:val="00E823EA"/>
    <w:rsid w:val="00EE62BD"/>
    <w:rsid w:val="00F0673C"/>
    <w:rsid w:val="00F31D65"/>
    <w:rsid w:val="00F434BA"/>
    <w:rsid w:val="00F81D48"/>
    <w:rsid w:val="00F8505A"/>
    <w:rsid w:val="00FA4A76"/>
    <w:rsid w:val="00FB5A81"/>
    <w:rsid w:val="00FD2116"/>
    <w:rsid w:val="00FD3C95"/>
    <w:rsid w:val="00FE05FA"/>
    <w:rsid w:val="00FF3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24DFE8"/>
  <w15:chartTrackingRefBased/>
  <w15:docId w15:val="{378F78D1-E8D9-7F49-A1FE-C97F16806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FD2116"/>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B65DA9"/>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eastAsia="en-GB"/>
      <w14:textOutline w14:w="0" w14:cap="flat" w14:cmpd="sng" w14:algn="ctr">
        <w14:noFill/>
        <w14:prstDash w14:val="solid"/>
        <w14:bevel/>
      </w14:textOutline>
    </w:rPr>
  </w:style>
  <w:style w:type="paragraph" w:styleId="FootnoteText">
    <w:name w:val="footnote text"/>
    <w:basedOn w:val="Normal"/>
    <w:link w:val="FootnoteTextChar"/>
    <w:uiPriority w:val="99"/>
    <w:semiHidden/>
    <w:unhideWhenUsed/>
    <w:rsid w:val="00DB4148"/>
    <w:rPr>
      <w:sz w:val="20"/>
      <w:szCs w:val="20"/>
    </w:rPr>
  </w:style>
  <w:style w:type="character" w:customStyle="1" w:styleId="FootnoteTextChar">
    <w:name w:val="Footnote Text Char"/>
    <w:basedOn w:val="DefaultParagraphFont"/>
    <w:link w:val="FootnoteText"/>
    <w:uiPriority w:val="99"/>
    <w:semiHidden/>
    <w:rsid w:val="00DB4148"/>
    <w:rPr>
      <w:sz w:val="20"/>
      <w:szCs w:val="20"/>
    </w:rPr>
  </w:style>
  <w:style w:type="character" w:styleId="FootnoteReference">
    <w:name w:val="footnote reference"/>
    <w:basedOn w:val="DefaultParagraphFont"/>
    <w:uiPriority w:val="99"/>
    <w:semiHidden/>
    <w:unhideWhenUsed/>
    <w:rsid w:val="00DB4148"/>
    <w:rPr>
      <w:vertAlign w:val="superscript"/>
    </w:rPr>
  </w:style>
  <w:style w:type="paragraph" w:styleId="ListParagraph">
    <w:name w:val="List Paragraph"/>
    <w:basedOn w:val="Normal"/>
    <w:uiPriority w:val="34"/>
    <w:qFormat/>
    <w:rsid w:val="001F58B9"/>
    <w:pPr>
      <w:ind w:left="720"/>
      <w:contextualSpacing/>
    </w:pPr>
  </w:style>
  <w:style w:type="character" w:styleId="CommentReference">
    <w:name w:val="annotation reference"/>
    <w:basedOn w:val="DefaultParagraphFont"/>
    <w:uiPriority w:val="99"/>
    <w:semiHidden/>
    <w:unhideWhenUsed/>
    <w:rsid w:val="00DD53F8"/>
    <w:rPr>
      <w:sz w:val="16"/>
      <w:szCs w:val="16"/>
    </w:rPr>
  </w:style>
  <w:style w:type="paragraph" w:styleId="CommentText">
    <w:name w:val="annotation text"/>
    <w:basedOn w:val="Normal"/>
    <w:link w:val="CommentTextChar"/>
    <w:uiPriority w:val="99"/>
    <w:semiHidden/>
    <w:unhideWhenUsed/>
    <w:rsid w:val="00DD53F8"/>
    <w:rPr>
      <w:sz w:val="20"/>
      <w:szCs w:val="20"/>
    </w:rPr>
  </w:style>
  <w:style w:type="character" w:customStyle="1" w:styleId="CommentTextChar">
    <w:name w:val="Comment Text Char"/>
    <w:basedOn w:val="DefaultParagraphFont"/>
    <w:link w:val="CommentText"/>
    <w:uiPriority w:val="99"/>
    <w:semiHidden/>
    <w:rsid w:val="00DD53F8"/>
    <w:rPr>
      <w:sz w:val="20"/>
      <w:szCs w:val="20"/>
    </w:rPr>
  </w:style>
  <w:style w:type="paragraph" w:styleId="CommentSubject">
    <w:name w:val="annotation subject"/>
    <w:basedOn w:val="CommentText"/>
    <w:next w:val="CommentText"/>
    <w:link w:val="CommentSubjectChar"/>
    <w:uiPriority w:val="99"/>
    <w:semiHidden/>
    <w:unhideWhenUsed/>
    <w:rsid w:val="00DD53F8"/>
    <w:rPr>
      <w:b/>
      <w:bCs/>
    </w:rPr>
  </w:style>
  <w:style w:type="character" w:customStyle="1" w:styleId="CommentSubjectChar">
    <w:name w:val="Comment Subject Char"/>
    <w:basedOn w:val="CommentTextChar"/>
    <w:link w:val="CommentSubject"/>
    <w:uiPriority w:val="99"/>
    <w:semiHidden/>
    <w:rsid w:val="00DD53F8"/>
    <w:rPr>
      <w:b/>
      <w:bCs/>
      <w:sz w:val="20"/>
      <w:szCs w:val="20"/>
    </w:rPr>
  </w:style>
  <w:style w:type="character" w:styleId="Hyperlink">
    <w:name w:val="Hyperlink"/>
    <w:basedOn w:val="DefaultParagraphFont"/>
    <w:uiPriority w:val="99"/>
    <w:unhideWhenUsed/>
    <w:rsid w:val="00A9671B"/>
    <w:rPr>
      <w:color w:val="0563C1" w:themeColor="hyperlink"/>
      <w:u w:val="single"/>
    </w:rPr>
  </w:style>
  <w:style w:type="character" w:styleId="UnresolvedMention">
    <w:name w:val="Unresolved Mention"/>
    <w:basedOn w:val="DefaultParagraphFont"/>
    <w:uiPriority w:val="99"/>
    <w:semiHidden/>
    <w:unhideWhenUsed/>
    <w:rsid w:val="00A9671B"/>
    <w:rPr>
      <w:color w:val="605E5C"/>
      <w:shd w:val="clear" w:color="auto" w:fill="E1DFDD"/>
    </w:rPr>
  </w:style>
  <w:style w:type="character" w:customStyle="1" w:styleId="Heading3Char">
    <w:name w:val="Heading 3 Char"/>
    <w:basedOn w:val="DefaultParagraphFont"/>
    <w:link w:val="Heading3"/>
    <w:rsid w:val="00FD2116"/>
    <w:rPr>
      <w:rFonts w:ascii="Tahoma" w:eastAsia="SimSun" w:hAnsi="Tahoma" w:cs="Tahoma"/>
      <w:b/>
      <w:bCs/>
      <w:sz w:val="20"/>
      <w:szCs w:val="20"/>
      <w:lang w:eastAsia="zh-CN"/>
    </w:rPr>
  </w:style>
  <w:style w:type="paragraph" w:styleId="NormalWeb">
    <w:name w:val="Normal (Web)"/>
    <w:basedOn w:val="Normal"/>
    <w:rsid w:val="00FD2116"/>
    <w:pPr>
      <w:spacing w:before="100" w:beforeAutospacing="1" w:after="100" w:afterAutospacing="1"/>
    </w:pPr>
    <w:rPr>
      <w:rFonts w:ascii="Georgia" w:eastAsia="SimSun" w:hAnsi="Georgia" w:cs="Times New Roman"/>
      <w:color w:val="000000"/>
      <w:sz w:val="21"/>
      <w:szCs w:val="21"/>
      <w:lang w:eastAsia="zh-CN"/>
    </w:rPr>
  </w:style>
  <w:style w:type="paragraph" w:styleId="Header">
    <w:name w:val="header"/>
    <w:basedOn w:val="Normal"/>
    <w:link w:val="HeaderChar"/>
    <w:uiPriority w:val="99"/>
    <w:unhideWhenUsed/>
    <w:rsid w:val="005A5275"/>
    <w:pPr>
      <w:tabs>
        <w:tab w:val="center" w:pos="4513"/>
        <w:tab w:val="right" w:pos="9026"/>
      </w:tabs>
    </w:pPr>
  </w:style>
  <w:style w:type="character" w:customStyle="1" w:styleId="HeaderChar">
    <w:name w:val="Header Char"/>
    <w:basedOn w:val="DefaultParagraphFont"/>
    <w:link w:val="Header"/>
    <w:uiPriority w:val="99"/>
    <w:rsid w:val="005A5275"/>
  </w:style>
  <w:style w:type="paragraph" w:styleId="Footer">
    <w:name w:val="footer"/>
    <w:basedOn w:val="Normal"/>
    <w:link w:val="FooterChar"/>
    <w:uiPriority w:val="99"/>
    <w:unhideWhenUsed/>
    <w:rsid w:val="005A5275"/>
    <w:pPr>
      <w:tabs>
        <w:tab w:val="center" w:pos="4513"/>
        <w:tab w:val="right" w:pos="9026"/>
      </w:tabs>
    </w:pPr>
  </w:style>
  <w:style w:type="character" w:customStyle="1" w:styleId="FooterChar">
    <w:name w:val="Footer Char"/>
    <w:basedOn w:val="DefaultParagraphFont"/>
    <w:link w:val="Footer"/>
    <w:uiPriority w:val="99"/>
    <w:rsid w:val="005A52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287749">
      <w:bodyDiv w:val="1"/>
      <w:marLeft w:val="0"/>
      <w:marRight w:val="0"/>
      <w:marTop w:val="0"/>
      <w:marBottom w:val="0"/>
      <w:divBdr>
        <w:top w:val="none" w:sz="0" w:space="0" w:color="auto"/>
        <w:left w:val="none" w:sz="0" w:space="0" w:color="auto"/>
        <w:bottom w:val="none" w:sz="0" w:space="0" w:color="auto"/>
        <w:right w:val="none" w:sz="0" w:space="0" w:color="auto"/>
      </w:divBdr>
    </w:div>
    <w:div w:id="648636711">
      <w:bodyDiv w:val="1"/>
      <w:marLeft w:val="0"/>
      <w:marRight w:val="0"/>
      <w:marTop w:val="0"/>
      <w:marBottom w:val="0"/>
      <w:divBdr>
        <w:top w:val="none" w:sz="0" w:space="0" w:color="auto"/>
        <w:left w:val="none" w:sz="0" w:space="0" w:color="auto"/>
        <w:bottom w:val="none" w:sz="0" w:space="0" w:color="auto"/>
        <w:right w:val="none" w:sz="0" w:space="0" w:color="auto"/>
      </w:divBdr>
    </w:div>
    <w:div w:id="1983265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divination.%20Accessed%2010%20May%202021"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1702</TotalTime>
  <Pages>29</Pages>
  <Words>6905</Words>
  <Characters>33560</Characters>
  <Application>Microsoft Office Word</Application>
  <DocSecurity>0</DocSecurity>
  <Lines>568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Dorelei Dorelei</dc:creator>
  <cp:keywords/>
  <dc:description/>
  <cp:lastModifiedBy>Dorelei Dorelei</cp:lastModifiedBy>
  <cp:revision>49</cp:revision>
  <dcterms:created xsi:type="dcterms:W3CDTF">2021-04-27T20:13:00Z</dcterms:created>
  <dcterms:modified xsi:type="dcterms:W3CDTF">2021-05-10T22:18:00Z</dcterms:modified>
</cp:coreProperties>
</file>