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18574" w14:textId="120AAE04" w:rsidR="00230F35" w:rsidRDefault="00705F0B" w:rsidP="00230F35">
      <w:pPr>
        <w:pStyle w:val="NormalWeb"/>
        <w:spacing w:before="0" w:beforeAutospacing="0" w:after="0" w:afterAutospacing="0"/>
        <w:ind w:left="-180" w:right="-334"/>
      </w:pPr>
      <w:r>
        <w:rPr>
          <w:noProof/>
        </w:rPr>
        <w:drawing>
          <wp:inline distT="0" distB="0" distL="0" distR="0" wp14:anchorId="0F4E9104" wp14:editId="3F649DE8">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789718E" w14:textId="77777777" w:rsidR="00230F35" w:rsidRDefault="00230F35" w:rsidP="00230F35">
      <w:pPr>
        <w:pStyle w:val="NormalWeb"/>
        <w:spacing w:before="0" w:beforeAutospacing="0" w:after="0" w:afterAutospacing="0"/>
        <w:ind w:left="-180" w:right="-334"/>
      </w:pPr>
    </w:p>
    <w:p w14:paraId="4ED63A30" w14:textId="77777777" w:rsidR="00A745B6" w:rsidRDefault="00A745B6" w:rsidP="00230F35">
      <w:pPr>
        <w:pStyle w:val="NormalWeb"/>
        <w:spacing w:before="0" w:beforeAutospacing="0" w:after="0" w:afterAutospacing="0"/>
        <w:ind w:left="-180" w:right="-334"/>
      </w:pPr>
    </w:p>
    <w:p w14:paraId="0B8328F8"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41C76A4A"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A457B91" w14:textId="77777777" w:rsidR="002E67CE" w:rsidRPr="00230F35" w:rsidRDefault="002E67CE" w:rsidP="002E67CE">
      <w:pPr>
        <w:rPr>
          <w:rFonts w:ascii="Arial" w:hAnsi="Arial" w:cs="Arial"/>
          <w:sz w:val="28"/>
          <w:szCs w:val="28"/>
          <w:lang w:val="cy-GB"/>
        </w:rPr>
      </w:pPr>
    </w:p>
    <w:p w14:paraId="76A2259E"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458A043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1"/>
        <w:gridCol w:w="423"/>
        <w:gridCol w:w="1514"/>
        <w:gridCol w:w="286"/>
        <w:gridCol w:w="1792"/>
      </w:tblGrid>
      <w:tr w:rsidR="00E57529" w:rsidRPr="00230F35" w14:paraId="1DF58C26" w14:textId="77777777" w:rsidTr="00A745B6">
        <w:trPr>
          <w:trHeight w:val="614"/>
        </w:trPr>
        <w:tc>
          <w:tcPr>
            <w:tcW w:w="8856" w:type="dxa"/>
            <w:gridSpan w:val="5"/>
          </w:tcPr>
          <w:p w14:paraId="5AD0F937"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D6439E1" w14:textId="77777777" w:rsidTr="00A745B6">
        <w:trPr>
          <w:trHeight w:val="718"/>
        </w:trPr>
        <w:tc>
          <w:tcPr>
            <w:tcW w:w="8856" w:type="dxa"/>
            <w:gridSpan w:val="5"/>
          </w:tcPr>
          <w:p w14:paraId="700E471F"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6ECB6EBD" w14:textId="19F2140D" w:rsidR="00FA2A4C" w:rsidRPr="00230F35" w:rsidRDefault="00705F0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Joanna Dunlop</w:t>
            </w:r>
          </w:p>
        </w:tc>
      </w:tr>
      <w:tr w:rsidR="00CE3B79" w:rsidRPr="00230F35" w14:paraId="77D1C8C2" w14:textId="77777777" w:rsidTr="00A745B6">
        <w:trPr>
          <w:trHeight w:val="849"/>
        </w:trPr>
        <w:tc>
          <w:tcPr>
            <w:tcW w:w="4788" w:type="dxa"/>
          </w:tcPr>
          <w:p w14:paraId="590D31E5"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6A401121" w14:textId="2102CB24" w:rsidR="00D67BF8" w:rsidRPr="00230F35" w:rsidRDefault="00705F0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AHHI 7016</w:t>
            </w:r>
          </w:p>
          <w:p w14:paraId="36DE1141"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0048C488" w14:textId="6D5496CC" w:rsidR="00A745B6" w:rsidRDefault="00705F0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Studying the Medieval: Manuscripts and Records</w:t>
            </w:r>
          </w:p>
          <w:p w14:paraId="02A847B0"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23ACD6D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CD2D9D9" w14:textId="2E8D494C" w:rsidR="00705F0B" w:rsidRPr="00230F35" w:rsidRDefault="00705F0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1904354</w:t>
            </w:r>
            <w:r>
              <w:rPr>
                <w:rFonts w:ascii="Arial" w:hAnsi="Arial" w:cs="Arial"/>
                <w:sz w:val="22"/>
                <w:szCs w:val="22"/>
              </w:rPr>
              <w:t xml:space="preserve"> </w:t>
            </w:r>
          </w:p>
        </w:tc>
        <w:tc>
          <w:tcPr>
            <w:tcW w:w="1802" w:type="dxa"/>
          </w:tcPr>
          <w:p w14:paraId="0FFC1072"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40FA8F6"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705F0B">
              <w:rPr>
                <w:rFonts w:ascii="Arial" w:hAnsi="Arial" w:cs="Arial"/>
                <w:sz w:val="22"/>
                <w:szCs w:val="22"/>
                <w:u w:val="single"/>
              </w:rPr>
              <w:t>No</w:t>
            </w:r>
          </w:p>
        </w:tc>
      </w:tr>
      <w:tr w:rsidR="00CE3B79" w:rsidRPr="00230F35" w14:paraId="5039A353" w14:textId="77777777" w:rsidTr="00A745B6">
        <w:trPr>
          <w:trHeight w:val="1139"/>
        </w:trPr>
        <w:tc>
          <w:tcPr>
            <w:tcW w:w="8856" w:type="dxa"/>
            <w:gridSpan w:val="5"/>
          </w:tcPr>
          <w:p w14:paraId="460FA579"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614BFB7B" w14:textId="7063FCB7" w:rsidR="00D67BF8" w:rsidRPr="00230F35" w:rsidRDefault="00705F0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14:paraId="3AFB866F" w14:textId="77777777" w:rsidR="00230F35" w:rsidRDefault="00230F35" w:rsidP="002F467C">
            <w:pPr>
              <w:pStyle w:val="NormalWeb"/>
              <w:spacing w:before="0" w:beforeAutospacing="0" w:after="0" w:afterAutospacing="0"/>
              <w:ind w:right="34"/>
              <w:rPr>
                <w:rFonts w:ascii="Arial" w:hAnsi="Arial" w:cs="Arial"/>
                <w:sz w:val="22"/>
                <w:szCs w:val="22"/>
              </w:rPr>
            </w:pPr>
          </w:p>
          <w:p w14:paraId="5E61279D" w14:textId="1546D574"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05F0B">
              <w:rPr>
                <w:rFonts w:ascii="Arial" w:hAnsi="Arial" w:cs="Arial"/>
                <w:sz w:val="22"/>
                <w:szCs w:val="22"/>
              </w:rPr>
              <w:t xml:space="preserve"> 12</w:t>
            </w:r>
            <w:r w:rsidR="00705F0B" w:rsidRPr="00705F0B">
              <w:rPr>
                <w:rFonts w:ascii="Arial" w:hAnsi="Arial" w:cs="Arial"/>
                <w:sz w:val="22"/>
                <w:szCs w:val="22"/>
                <w:vertAlign w:val="superscript"/>
              </w:rPr>
              <w:t>th</w:t>
            </w:r>
            <w:r w:rsidR="00705F0B">
              <w:rPr>
                <w:rFonts w:ascii="Arial" w:hAnsi="Arial" w:cs="Arial"/>
                <w:sz w:val="22"/>
                <w:szCs w:val="22"/>
              </w:rPr>
              <w:t xml:space="preserve"> June 2020</w:t>
            </w:r>
          </w:p>
        </w:tc>
      </w:tr>
      <w:tr w:rsidR="00230F35" w:rsidRPr="00230F35" w14:paraId="4D3DF311" w14:textId="77777777" w:rsidTr="00A745B6">
        <w:trPr>
          <w:trHeight w:val="978"/>
        </w:trPr>
        <w:tc>
          <w:tcPr>
            <w:tcW w:w="8856" w:type="dxa"/>
            <w:gridSpan w:val="5"/>
            <w:tcBorders>
              <w:bottom w:val="single" w:sz="4" w:space="0" w:color="000000"/>
            </w:tcBorders>
          </w:tcPr>
          <w:p w14:paraId="4E3B9991"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5F7F3786" w14:textId="5980401D" w:rsidR="00F75EB5" w:rsidRDefault="00705F0B" w:rsidP="00F75EB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165329AF" wp14:editId="201ED28D">
                      <wp:simplePos x="0" y="0"/>
                      <wp:positionH relativeFrom="column">
                        <wp:posOffset>1354455</wp:posOffset>
                      </wp:positionH>
                      <wp:positionV relativeFrom="paragraph">
                        <wp:posOffset>153670</wp:posOffset>
                      </wp:positionV>
                      <wp:extent cx="123825" cy="184150"/>
                      <wp:effectExtent l="9525" t="6350" r="9525" b="19050"/>
                      <wp:wrapNone/>
                      <wp:docPr id="3"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3825" cy="184150"/>
                              </a:xfrm>
                              <a:custGeom>
                                <a:avLst/>
                                <a:gdLst>
                                  <a:gd name="T0" fmla="*/ 0 w 195"/>
                                  <a:gd name="T1" fmla="*/ 140 h 290"/>
                                  <a:gd name="T2" fmla="*/ 15 w 195"/>
                                  <a:gd name="T3" fmla="*/ 200 h 290"/>
                                  <a:gd name="T4" fmla="*/ 75 w 195"/>
                                  <a:gd name="T5" fmla="*/ 290 h 290"/>
                                  <a:gd name="T6" fmla="*/ 135 w 195"/>
                                  <a:gd name="T7" fmla="*/ 95 h 290"/>
                                  <a:gd name="T8" fmla="*/ 165 w 195"/>
                                  <a:gd name="T9" fmla="*/ 50 h 290"/>
                                  <a:gd name="T10" fmla="*/ 195 w 195"/>
                                  <a:gd name="T11" fmla="*/ 5 h 290"/>
                                </a:gdLst>
                                <a:ahLst/>
                                <a:cxnLst>
                                  <a:cxn ang="0">
                                    <a:pos x="T0" y="T1"/>
                                  </a:cxn>
                                  <a:cxn ang="0">
                                    <a:pos x="T2" y="T3"/>
                                  </a:cxn>
                                  <a:cxn ang="0">
                                    <a:pos x="T4" y="T5"/>
                                  </a:cxn>
                                  <a:cxn ang="0">
                                    <a:pos x="T6" y="T7"/>
                                  </a:cxn>
                                  <a:cxn ang="0">
                                    <a:pos x="T8" y="T9"/>
                                  </a:cxn>
                                  <a:cxn ang="0">
                                    <a:pos x="T10" y="T11"/>
                                  </a:cxn>
                                </a:cxnLst>
                                <a:rect l="0" t="0" r="r" b="b"/>
                                <a:pathLst>
                                  <a:path w="195" h="290">
                                    <a:moveTo>
                                      <a:pt x="0" y="140"/>
                                    </a:moveTo>
                                    <a:cubicBezTo>
                                      <a:pt x="5" y="160"/>
                                      <a:pt x="6" y="182"/>
                                      <a:pt x="15" y="200"/>
                                    </a:cubicBezTo>
                                    <a:cubicBezTo>
                                      <a:pt x="31" y="232"/>
                                      <a:pt x="75" y="290"/>
                                      <a:pt x="75" y="290"/>
                                    </a:cubicBezTo>
                                    <a:cubicBezTo>
                                      <a:pt x="94" y="232"/>
                                      <a:pt x="110" y="152"/>
                                      <a:pt x="135" y="95"/>
                                    </a:cubicBezTo>
                                    <a:cubicBezTo>
                                      <a:pt x="142" y="78"/>
                                      <a:pt x="157" y="66"/>
                                      <a:pt x="165" y="50"/>
                                    </a:cubicBezTo>
                                    <a:cubicBezTo>
                                      <a:pt x="190" y="0"/>
                                      <a:pt x="162" y="5"/>
                                      <a:pt x="195" y="5"/>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3A2533" id="Freeform 3" o:spid="_x0000_s1026" style="position:absolute;margin-left:106.65pt;margin-top:12.1pt;width:9.75pt;height:1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5,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kOGdgMAADMJAAAOAAAAZHJzL2Uyb0RvYy54bWysVl2PmzgUfa+0/8HyY6UdYhKSEA1T9WNn&#10;Vam7rdTpD3DABLSAWdsJmf76HtuEwDTRjKrygPxxOL733Ht9uX1zrCtyEEqXskkou5lRIppUZmWz&#10;S+i3h/s/15Row5uMV7IRCX0Umr65++PVbdduRCgLWWVCEZA0etO1CS2MaTdBoNNC1FzfyFY02Myl&#10;qrnBVO2CTPEO7HUVhLPZMuikylolU6E1Vj/4TXrn+PNcpOZznmthSJVQ2GbcW7n31r6Du1u+2Sne&#10;FmXam8F/wYqalw0OHag+cMPJXpU/UdVlqqSWublJZR3IPC9T4XyAN2z2xJuvBW+F8wXi6HaQSf8+&#10;2vTfwxdFyiyhc0oaXiNE90oIKziZW3W6Vm8A+tp+UdY/3X6S6X8aG8Fkx040MGTb/SMzsPC9kU6R&#10;Y65q+yV8JUcn/OMgvDgakmKRhfN1GFGSYoutFyxygQn45vRxutfmbyEdET980sbHLcPIqZ71tj8g&#10;xnldIYSvAzIjHWFx1Md4gLARhC1mpCBhfEqEARSOQdFlIig2nIVcvEy0GIFWV4jg+ZkovkK0HIHY&#10;/ArTagSKo8sWoSKH09jyClE8AkVXLGJjsSH0ZZXYWO+RSYju7hQ/XpxCmh6bPqYYEW5vkZlLo1Zq&#10;mz42wEiSB2ajCgqgbAJcASOKFuwS+VkwImXBLl+eBSMaFrx6kRlQ3ILjF4GtqhYN3UYueoN6aRSu&#10;tacXmqIEF9rWfsM3LTdW0dOQdCgrFAIpEmpz3a7X8iAepEOYc12iHvpTz/vpflum78T3MRpcsJEt&#10;+7ppHYXXhK3D3gi3yDwU9XFyZ0J3iXyOjAF7OJ8QrXqiU636M6erVqVn6WMf6Cf0rNedRZNTUWnO&#10;GH+NvIifLXzardZTHVCb8Gq5nKwuPf1w4T1vPoMAlmgiPVv6M/vLzmvjQg7kkNEjaeCJTRJXQ0O2&#10;OPfOF20j78uqcglVNTaH4giXtE0ZLasys5tuonbb95UiB257rHv6UE9gSu6bzJEVgmd/9WPDy8qP&#10;cXiFWnZtxXYS33q2MntEV1HSd278aWBQSPWdkg5dO6H6/z1XgpLqY4O2GLMFMpgYN1lEqxATNd7Z&#10;jnd4k4IqoYbiprHD98b/GuxbVe4KnMScu418i26Wl7brOPu8Vf0EndnJ2P9F2NY/njvU+V/n7gcA&#10;AAD//wMAUEsDBBQABgAIAAAAIQCGFVBj3gAAAAkBAAAPAAAAZHJzL2Rvd25yZXYueG1sTI/BTsMw&#10;DIbvSLxDZCRuLG3KoCpNJ0DitEkTA+5eE9qKxhlJuhWeHnOCmy1/+v399Wp2ozjaEAdPGvJFBsJS&#10;681AnYbXl6erEkRMSAZHT1bDl42was7PaqyMP9GzPe5SJziEYoUa+pQOlZSx7a3DuPAHS3x798Fh&#10;4jV00gQ8cbgbpcqyG+lwIP7Q48E+9rb92E1OA34GM5XrzeYtX6btdl2G74fuVuvLi/n+DkSyc/qD&#10;4Vef1aFhp72fyEQxalB5UTDKw7UCwYAqFHfZa1gWCmRTy/8Nmh8AAAD//wMAUEsBAi0AFAAGAAgA&#10;AAAhALaDOJL+AAAA4QEAABMAAAAAAAAAAAAAAAAAAAAAAFtDb250ZW50X1R5cGVzXS54bWxQSwEC&#10;LQAUAAYACAAAACEAOP0h/9YAAACUAQAACwAAAAAAAAAAAAAAAAAvAQAAX3JlbHMvLnJlbHNQSwEC&#10;LQAUAAYACAAAACEA2sJDhnYDAAAzCQAADgAAAAAAAAAAAAAAAAAuAgAAZHJzL2Uyb0RvYy54bWxQ&#10;SwECLQAUAAYACAAAACEAhhVQY94AAAAJAQAADwAAAAAAAAAAAAAAAADQBQAAZHJzL2Rvd25yZXYu&#10;eG1sUEsFBgAAAAAEAAQA8wAAANsGAAAAAA==&#10;" path="m,140v5,20,6,42,15,60c31,232,75,290,75,290,94,232,110,152,135,95v7,-17,22,-29,30,-45c190,,162,5,195,5e" filled="f">
                      <v:path arrowok="t" o:connecttype="custom" o:connectlocs="0,88900;9525,127000;47625,184150;85725,60325;104775,31750;123825,3175" o:connectangles="0,0,0,0,0,0"/>
                    </v:shape>
                  </w:pict>
                </mc:Fallback>
              </mc:AlternateContent>
            </w:r>
          </w:p>
          <w:p w14:paraId="2E820671" w14:textId="70B5CF19"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14:paraId="27A481BA" w14:textId="77777777" w:rsidTr="00A745B6">
        <w:trPr>
          <w:trHeight w:val="978"/>
        </w:trPr>
        <w:tc>
          <w:tcPr>
            <w:tcW w:w="8856" w:type="dxa"/>
            <w:gridSpan w:val="5"/>
            <w:shd w:val="clear" w:color="auto" w:fill="D9D9D9"/>
          </w:tcPr>
          <w:p w14:paraId="5CA2C118"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AD6A177"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46FD33B6" w14:textId="5EC57C18" w:rsidR="00B462B1" w:rsidRDefault="00705F0B" w:rsidP="00B462B1">
            <w:pPr>
              <w:pStyle w:val="NormalWeb"/>
              <w:spacing w:before="0" w:beforeAutospacing="0" w:after="0" w:afterAutospacing="0"/>
              <w:ind w:right="34"/>
              <w:rPr>
                <w:rFonts w:ascii="Calibri" w:hAnsi="Calibri" w:cs="Calibri"/>
                <w:b/>
                <w:sz w:val="44"/>
                <w:szCs w:val="44"/>
              </w:rPr>
            </w:pPr>
            <w:r>
              <w:rPr>
                <w:rFonts w:ascii="Calibri" w:hAnsi="Calibri" w:cs="Tahoma"/>
                <w:b/>
                <w:noProof/>
                <w:sz w:val="24"/>
                <w:szCs w:val="24"/>
              </w:rPr>
              <mc:AlternateContent>
                <mc:Choice Requires="wps">
                  <w:drawing>
                    <wp:anchor distT="0" distB="0" distL="114300" distR="114300" simplePos="0" relativeHeight="251659264" behindDoc="0" locked="0" layoutInCell="1" allowOverlap="1" wp14:anchorId="4310ACF9" wp14:editId="61719DF4">
                      <wp:simplePos x="0" y="0"/>
                      <wp:positionH relativeFrom="column">
                        <wp:posOffset>5050155</wp:posOffset>
                      </wp:positionH>
                      <wp:positionV relativeFrom="paragraph">
                        <wp:posOffset>132080</wp:posOffset>
                      </wp:positionV>
                      <wp:extent cx="76200" cy="135890"/>
                      <wp:effectExtent l="9525" t="9525" r="9525" b="6985"/>
                      <wp:wrapNone/>
                      <wp:docPr id="2"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6200" cy="135890"/>
                              </a:xfrm>
                              <a:custGeom>
                                <a:avLst/>
                                <a:gdLst>
                                  <a:gd name="T0" fmla="*/ 0 w 120"/>
                                  <a:gd name="T1" fmla="*/ 90 h 214"/>
                                  <a:gd name="T2" fmla="*/ 60 w 120"/>
                                  <a:gd name="T3" fmla="*/ 180 h 214"/>
                                  <a:gd name="T4" fmla="*/ 105 w 120"/>
                                  <a:gd name="T5" fmla="*/ 45 h 214"/>
                                  <a:gd name="T6" fmla="*/ 120 w 120"/>
                                  <a:gd name="T7" fmla="*/ 0 h 214"/>
                                </a:gdLst>
                                <a:ahLst/>
                                <a:cxnLst>
                                  <a:cxn ang="0">
                                    <a:pos x="T0" y="T1"/>
                                  </a:cxn>
                                  <a:cxn ang="0">
                                    <a:pos x="T2" y="T3"/>
                                  </a:cxn>
                                  <a:cxn ang="0">
                                    <a:pos x="T4" y="T5"/>
                                  </a:cxn>
                                  <a:cxn ang="0">
                                    <a:pos x="T6" y="T7"/>
                                  </a:cxn>
                                </a:cxnLst>
                                <a:rect l="0" t="0" r="r" b="b"/>
                                <a:pathLst>
                                  <a:path w="120" h="214">
                                    <a:moveTo>
                                      <a:pt x="0" y="90"/>
                                    </a:moveTo>
                                    <a:cubicBezTo>
                                      <a:pt x="20" y="120"/>
                                      <a:pt x="49" y="214"/>
                                      <a:pt x="60" y="180"/>
                                    </a:cubicBezTo>
                                    <a:cubicBezTo>
                                      <a:pt x="75" y="135"/>
                                      <a:pt x="90" y="90"/>
                                      <a:pt x="105" y="45"/>
                                    </a:cubicBezTo>
                                    <a:cubicBezTo>
                                      <a:pt x="110" y="30"/>
                                      <a:pt x="120" y="0"/>
                                      <a:pt x="12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1F56D3" id="Freeform 4" o:spid="_x0000_s1026" style="position:absolute;margin-left:397.65pt;margin-top:10.4pt;width:6pt;height:10.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20,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g0MFQMAAIMHAAAOAAAAZHJzL2Uyb0RvYy54bWysVW1vmzAQ/j5p/8Hyx0krkEDeVFJt3TpN&#10;6rZKzX6AY0xAA9uznZD21+/OEEK6RKqm8QHZdw8Pd8+dz9c3+7oiO2FsqWRKo6uQEiG5ykq5SenP&#10;1d37GSXWMZmxSkmR0idh6c3y7ZvrRi/ESBWqyoQhQCLtotEpLZzTiyCwvBA1s1dKCwnOXJmaOdia&#10;TZAZ1gB7XQWjMJwEjTKZNooLa8H6qXXSpefPc8Hdjzy3wpEqpRCb82/j32t8B8trttgYpouSd2Gw&#10;f4iiZqWEn/ZUn5hjZGvKv6jqkhtlVe6uuKoDleclFz4HyCYKX2TzWDAtfC4gjtW9TPb/0fLvuwdD&#10;yiylI0okq6FEd0YIFJzEqE6j7QJAj/rBYH5W3yv+y4IjOPHgxgKGrJtvKgMWtnXKK7LPTY1fQq5k&#10;74V/6oUXe0c4GKcTqCUlHDzROJnNfV0Ctjh8y7fWfRHK87DdvXVt2TJYedGzLvQVkOR1BRV8F5CQ&#10;NCQaHUrcQ6IBZB6SgowinyjUrseAFj3N5ALPeICJZheI4iEoTM5HlAxAcXI+oskAA0mdJ5oOQIOA&#10;QMjNQSpWHNTje9nJByvC8LyGvmBaWSwUagn1WEXYBUABKNT6AhgUQ/D4VWBQBcHJq8CQOYKnQ3Ab&#10;The+gUP+8ngbSuB4r/EbttDMYdaHJWmgy6AvSAFND7VHe612YqU8wh27tO/Do5tv1yX/KJ6HYOSC&#10;EPte054inntr312tddJhZ4cWPyU83bWfTKE/kH7s9YJ0PD3EhtY2xIMxClts3Et7Eu459ihqicbd&#10;QWnZvT5Af9mIJRiQwxZl9p3S6+0xx5Mr1V1ZVb4klcQqzJNR4uW3qiozdGIFrNmsbytDdgxntn+6&#10;2p/AjNrKzJMVgmWfu7VjZdWu4ecVdKwfUziZ2lG2VtkTTCmj2psAbi5YFMo8U9LALZBS+3vLjKCk&#10;+iphzM6jOAZ9nN/EyRRLbYae9dDDJAeqlDoK5wmXt669arbalJsC/hT5dKX6ANMxL3GM+fjaqLoN&#10;THovY3cr4VUy3HvU8e5c/gEAAP//AwBQSwMEFAAGAAgAAAAhANzrccTfAAAACQEAAA8AAABkcnMv&#10;ZG93bnJldi54bWxMj8FOwzAMhu9IvENkJG4sWWF0lLoTICGNHSZtjHvahrZa4nRNtnVvjznB0fan&#10;39+fL0ZnxckMofOEMJ0oEIYqX3fUIOw+3+/mIELUVGvrySBcTIBFcX2V66z2Z9qY0zY2gkMoZBqh&#10;jbHPpAxVa5wOE98b4tu3H5yOPA6NrAd95nBnZaLUo3S6I/7Q6t68tabab48OYfNhu+lq9XpYHsqv&#10;NMzW+7UMO8Tbm/HlGUQ0Y/yD4Vef1aFgp9IfqQ7CIqRPs3tGERLFFRiYq5QXJcJDkoAscvm/QfED&#10;AAD//wMAUEsBAi0AFAAGAAgAAAAhALaDOJL+AAAA4QEAABMAAAAAAAAAAAAAAAAAAAAAAFtDb250&#10;ZW50X1R5cGVzXS54bWxQSwECLQAUAAYACAAAACEAOP0h/9YAAACUAQAACwAAAAAAAAAAAAAAAAAv&#10;AQAAX3JlbHMvLnJlbHNQSwECLQAUAAYACAAAACEAEYoNDBUDAACDBwAADgAAAAAAAAAAAAAAAAAu&#10;AgAAZHJzL2Uyb0RvYy54bWxQSwECLQAUAAYACAAAACEA3OtxxN8AAAAJAQAADwAAAAAAAAAAAAAA&#10;AABvBQAAZHJzL2Rvd25yZXYueG1sUEsFBgAAAAAEAAQA8wAAAHsGAAAAAA==&#10;" path="m,90v20,30,49,124,60,90c75,135,90,90,105,45,110,30,120,,120,e" filled="f">
                      <v:path arrowok="t" o:connecttype="custom" o:connectlocs="0,57150;38100,114300;66675,28575;76200,0" o:connectangles="0,0,0,0"/>
                    </v:shape>
                  </w:pict>
                </mc:Fallback>
              </mc:AlternateContent>
            </w:r>
            <w:r w:rsidR="00B462B1" w:rsidRPr="005979EE">
              <w:rPr>
                <w:rFonts w:ascii="Calibri" w:hAnsi="Calibri" w:cs="Tahoma"/>
                <w:b/>
                <w:sz w:val="24"/>
                <w:szCs w:val="24"/>
              </w:rPr>
              <w:t>Email submission:</w:t>
            </w:r>
            <w:r w:rsidR="002C55E9">
              <w:rPr>
                <w:rFonts w:ascii="Calibri" w:hAnsi="Calibri" w:cs="Tahoma"/>
                <w:b/>
                <w:sz w:val="24"/>
                <w:szCs w:val="24"/>
              </w:rPr>
              <w:t xml:space="preserve"> </w:t>
            </w:r>
            <w:r w:rsidR="00B462B1">
              <w:rPr>
                <w:rFonts w:ascii="Calibri" w:hAnsi="Calibri" w:cs="Tahoma"/>
                <w:b/>
                <w:sz w:val="24"/>
                <w:szCs w:val="24"/>
              </w:rPr>
              <w:t xml:space="preserve">if you are submitting this form via email, please tick this box </w:t>
            </w:r>
            <w:r w:rsidR="00B462B1" w:rsidRPr="005979EE">
              <w:rPr>
                <w:rFonts w:ascii="Calibri" w:hAnsi="Calibri" w:cs="Calibri"/>
                <w:b/>
                <w:sz w:val="44"/>
                <w:szCs w:val="44"/>
              </w:rPr>
              <w:t>□</w:t>
            </w:r>
          </w:p>
          <w:p w14:paraId="7AB5B317"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243ED410" w14:textId="77777777" w:rsidTr="00A745B6">
        <w:trPr>
          <w:trHeight w:val="3972"/>
        </w:trPr>
        <w:tc>
          <w:tcPr>
            <w:tcW w:w="8856" w:type="dxa"/>
            <w:gridSpan w:val="5"/>
          </w:tcPr>
          <w:p w14:paraId="6D118686" w14:textId="77777777" w:rsidR="00A745B6" w:rsidRDefault="00A745B6" w:rsidP="00A745B6">
            <w:pPr>
              <w:rPr>
                <w:rFonts w:ascii="Arial" w:hAnsi="Arial"/>
                <w:b/>
              </w:rPr>
            </w:pPr>
          </w:p>
          <w:p w14:paraId="5462A73C"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37608874" w14:textId="77777777" w:rsidTr="00022345">
              <w:tc>
                <w:tcPr>
                  <w:tcW w:w="6970" w:type="dxa"/>
                </w:tcPr>
                <w:p w14:paraId="67B679A4" w14:textId="77777777" w:rsidR="00A745B6" w:rsidRPr="00116CE6" w:rsidRDefault="00A745B6" w:rsidP="009C1A08">
                  <w:pPr>
                    <w:rPr>
                      <w:rFonts w:ascii="Arial" w:hAnsi="Arial"/>
                      <w:sz w:val="20"/>
                      <w:szCs w:val="20"/>
                    </w:rPr>
                  </w:pPr>
                </w:p>
                <w:p w14:paraId="5E658867"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82ED2F9" w14:textId="77777777" w:rsidR="00A745B6" w:rsidRPr="00116CE6" w:rsidRDefault="00A745B6" w:rsidP="009C1A08">
                  <w:pPr>
                    <w:rPr>
                      <w:rFonts w:ascii="Arial" w:hAnsi="Arial"/>
                      <w:sz w:val="20"/>
                      <w:szCs w:val="20"/>
                    </w:rPr>
                  </w:pPr>
                </w:p>
              </w:tc>
            </w:tr>
            <w:tr w:rsidR="00A745B6" w:rsidRPr="00116CE6" w14:paraId="6B602301" w14:textId="77777777" w:rsidTr="00022345">
              <w:tc>
                <w:tcPr>
                  <w:tcW w:w="6970" w:type="dxa"/>
                </w:tcPr>
                <w:p w14:paraId="0D5F967F" w14:textId="77777777" w:rsidR="00A745B6" w:rsidRPr="00116CE6" w:rsidRDefault="00A745B6" w:rsidP="009C1A08">
                  <w:pPr>
                    <w:rPr>
                      <w:rFonts w:ascii="Arial" w:hAnsi="Arial"/>
                      <w:sz w:val="20"/>
                      <w:szCs w:val="20"/>
                    </w:rPr>
                  </w:pPr>
                </w:p>
                <w:p w14:paraId="271D3D23"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27BF27A1" w14:textId="77777777" w:rsidR="00A745B6" w:rsidRPr="00116CE6" w:rsidRDefault="00A745B6" w:rsidP="009C1A08">
                  <w:pPr>
                    <w:rPr>
                      <w:rFonts w:ascii="Arial" w:hAnsi="Arial"/>
                      <w:sz w:val="20"/>
                      <w:szCs w:val="20"/>
                    </w:rPr>
                  </w:pPr>
                </w:p>
              </w:tc>
            </w:tr>
            <w:tr w:rsidR="00A745B6" w:rsidRPr="00116CE6" w14:paraId="4E23E9BA" w14:textId="77777777" w:rsidTr="00022345">
              <w:tc>
                <w:tcPr>
                  <w:tcW w:w="6970" w:type="dxa"/>
                </w:tcPr>
                <w:p w14:paraId="622BBD32" w14:textId="77777777" w:rsidR="00A745B6" w:rsidRPr="00116CE6" w:rsidRDefault="00A745B6" w:rsidP="009C1A08">
                  <w:pPr>
                    <w:rPr>
                      <w:rFonts w:ascii="Arial" w:hAnsi="Arial"/>
                      <w:sz w:val="20"/>
                      <w:szCs w:val="20"/>
                    </w:rPr>
                  </w:pPr>
                </w:p>
                <w:p w14:paraId="43060D4B"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A38BFD3" w14:textId="77777777" w:rsidR="00A745B6" w:rsidRPr="00116CE6" w:rsidRDefault="00A745B6" w:rsidP="009C1A08">
                  <w:pPr>
                    <w:rPr>
                      <w:rFonts w:ascii="Arial" w:hAnsi="Arial"/>
                      <w:sz w:val="20"/>
                      <w:szCs w:val="20"/>
                    </w:rPr>
                  </w:pPr>
                </w:p>
              </w:tc>
            </w:tr>
            <w:tr w:rsidR="00A745B6" w:rsidRPr="00116CE6" w14:paraId="734858E0" w14:textId="77777777" w:rsidTr="00022345">
              <w:tc>
                <w:tcPr>
                  <w:tcW w:w="6970" w:type="dxa"/>
                </w:tcPr>
                <w:p w14:paraId="52CA69DF" w14:textId="77777777" w:rsidR="00A745B6" w:rsidRDefault="00A745B6" w:rsidP="009C1A08">
                  <w:pPr>
                    <w:rPr>
                      <w:rFonts w:ascii="Arial" w:hAnsi="Arial"/>
                      <w:sz w:val="20"/>
                      <w:szCs w:val="20"/>
                    </w:rPr>
                  </w:pPr>
                </w:p>
                <w:p w14:paraId="3A4C8008"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23D87B97" w14:textId="77777777" w:rsidR="00A745B6" w:rsidRPr="00116CE6" w:rsidRDefault="00A745B6" w:rsidP="009C1A08">
                  <w:pPr>
                    <w:rPr>
                      <w:rFonts w:ascii="Arial" w:hAnsi="Arial"/>
                      <w:sz w:val="20"/>
                      <w:szCs w:val="20"/>
                    </w:rPr>
                  </w:pPr>
                </w:p>
              </w:tc>
              <w:tc>
                <w:tcPr>
                  <w:tcW w:w="1660" w:type="dxa"/>
                </w:tcPr>
                <w:p w14:paraId="430A0AAD" w14:textId="77777777" w:rsidR="00A745B6" w:rsidRPr="00116CE6" w:rsidRDefault="00A745B6" w:rsidP="009C1A08">
                  <w:pPr>
                    <w:rPr>
                      <w:rFonts w:ascii="Arial" w:hAnsi="Arial"/>
                      <w:sz w:val="20"/>
                      <w:szCs w:val="20"/>
                    </w:rPr>
                  </w:pPr>
                </w:p>
              </w:tc>
            </w:tr>
          </w:tbl>
          <w:p w14:paraId="398674E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63F6834"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98D8C1F" w14:textId="77777777" w:rsidR="00A745B6" w:rsidRDefault="00A745B6" w:rsidP="002F467C">
            <w:pPr>
              <w:pStyle w:val="NormalWeb"/>
              <w:spacing w:before="0" w:beforeAutospacing="0" w:after="0" w:afterAutospacing="0"/>
              <w:rPr>
                <w:rFonts w:ascii="Arial" w:hAnsi="Arial" w:cs="Arial"/>
                <w:b/>
                <w:sz w:val="22"/>
                <w:szCs w:val="22"/>
              </w:rPr>
            </w:pPr>
          </w:p>
          <w:p w14:paraId="46457D91" w14:textId="77777777" w:rsidR="00B462B1" w:rsidRDefault="00B462B1" w:rsidP="002F467C">
            <w:pPr>
              <w:pStyle w:val="NormalWeb"/>
              <w:spacing w:before="0" w:beforeAutospacing="0" w:after="0" w:afterAutospacing="0"/>
              <w:rPr>
                <w:rFonts w:ascii="Arial" w:hAnsi="Arial" w:cs="Arial"/>
                <w:b/>
                <w:sz w:val="22"/>
                <w:szCs w:val="22"/>
              </w:rPr>
            </w:pPr>
          </w:p>
          <w:p w14:paraId="72EF0AB3" w14:textId="77777777" w:rsidR="00F75EB5" w:rsidRDefault="00F75EB5" w:rsidP="002F467C">
            <w:pPr>
              <w:pStyle w:val="NormalWeb"/>
              <w:spacing w:before="0" w:beforeAutospacing="0" w:after="0" w:afterAutospacing="0"/>
              <w:rPr>
                <w:rFonts w:ascii="Arial" w:hAnsi="Arial" w:cs="Arial"/>
                <w:b/>
                <w:sz w:val="22"/>
                <w:szCs w:val="22"/>
              </w:rPr>
            </w:pPr>
          </w:p>
          <w:p w14:paraId="577A6BDD" w14:textId="77777777" w:rsidR="00F75EB5" w:rsidRDefault="00F75EB5" w:rsidP="002F467C">
            <w:pPr>
              <w:pStyle w:val="NormalWeb"/>
              <w:spacing w:before="0" w:beforeAutospacing="0" w:after="0" w:afterAutospacing="0"/>
              <w:rPr>
                <w:rFonts w:ascii="Arial" w:hAnsi="Arial" w:cs="Arial"/>
                <w:b/>
                <w:sz w:val="22"/>
                <w:szCs w:val="22"/>
              </w:rPr>
            </w:pPr>
          </w:p>
          <w:p w14:paraId="0E88DA6D" w14:textId="77777777" w:rsidR="00B462B1" w:rsidRDefault="00B462B1" w:rsidP="002F467C">
            <w:pPr>
              <w:pStyle w:val="NormalWeb"/>
              <w:spacing w:before="0" w:beforeAutospacing="0" w:after="0" w:afterAutospacing="0"/>
              <w:rPr>
                <w:rFonts w:ascii="Arial" w:hAnsi="Arial" w:cs="Arial"/>
                <w:b/>
                <w:sz w:val="22"/>
                <w:szCs w:val="22"/>
              </w:rPr>
            </w:pPr>
          </w:p>
          <w:p w14:paraId="3330329C"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5B124830"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7683825" w14:textId="77777777" w:rsidR="00B56E7B" w:rsidRPr="00001C3B" w:rsidRDefault="00B56E7B" w:rsidP="00043549">
            <w:pPr>
              <w:pStyle w:val="NormalWeb"/>
              <w:rPr>
                <w:rFonts w:ascii="Arial" w:hAnsi="Arial" w:cs="Arial"/>
                <w:sz w:val="22"/>
                <w:szCs w:val="22"/>
              </w:rPr>
            </w:pPr>
          </w:p>
        </w:tc>
      </w:tr>
      <w:tr w:rsidR="00EC7546" w:rsidRPr="00230F35" w14:paraId="5C3E6BA5" w14:textId="77777777" w:rsidTr="00A745B6">
        <w:trPr>
          <w:trHeight w:val="492"/>
        </w:trPr>
        <w:tc>
          <w:tcPr>
            <w:tcW w:w="6768" w:type="dxa"/>
            <w:gridSpan w:val="3"/>
          </w:tcPr>
          <w:p w14:paraId="195A1D84"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12B112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A370118" w14:textId="77777777" w:rsidTr="002F467C">
        <w:tc>
          <w:tcPr>
            <w:tcW w:w="8856" w:type="dxa"/>
            <w:gridSpan w:val="5"/>
          </w:tcPr>
          <w:p w14:paraId="61B48EA7"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6D18438"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ECA333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7E1C44E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D8D713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63E516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FC6D71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65DD010" w14:textId="77777777" w:rsidTr="008D674F">
        <w:trPr>
          <w:trHeight w:val="720"/>
        </w:trPr>
        <w:tc>
          <w:tcPr>
            <w:tcW w:w="5211" w:type="dxa"/>
            <w:gridSpan w:val="2"/>
          </w:tcPr>
          <w:p w14:paraId="2B31F13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5FF188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19119F9D" w14:textId="77777777" w:rsidTr="009C1A08">
        <w:trPr>
          <w:trHeight w:val="720"/>
        </w:trPr>
        <w:tc>
          <w:tcPr>
            <w:tcW w:w="8856" w:type="dxa"/>
            <w:gridSpan w:val="5"/>
          </w:tcPr>
          <w:p w14:paraId="2803AC7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FFB082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C737962"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504829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30D4540" w14:textId="77777777" w:rsidTr="00230F35">
        <w:trPr>
          <w:trHeight w:val="720"/>
        </w:trPr>
        <w:tc>
          <w:tcPr>
            <w:tcW w:w="5211" w:type="dxa"/>
            <w:gridSpan w:val="2"/>
          </w:tcPr>
          <w:p w14:paraId="54250095"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A9436F6"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7F265F78" w14:textId="08657FC2" w:rsidR="00EC7546" w:rsidRDefault="00EC7546" w:rsidP="00FA07E9">
      <w:pPr>
        <w:pStyle w:val="NormalWeb"/>
        <w:spacing w:before="0" w:beforeAutospacing="0" w:after="0" w:afterAutospacing="0"/>
        <w:ind w:right="-334"/>
        <w:rPr>
          <w:rFonts w:ascii="Trebuchet MS" w:hAnsi="Trebuchet MS" w:cs="Tahoma"/>
          <w:bCs/>
          <w:sz w:val="24"/>
          <w:szCs w:val="24"/>
        </w:rPr>
      </w:pPr>
    </w:p>
    <w:p w14:paraId="38E2FAA3" w14:textId="3AA4C4E6" w:rsidR="00705F0B" w:rsidRDefault="00705F0B" w:rsidP="00FA07E9">
      <w:pPr>
        <w:pStyle w:val="NormalWeb"/>
        <w:spacing w:before="0" w:beforeAutospacing="0" w:after="0" w:afterAutospacing="0"/>
        <w:ind w:right="-334"/>
        <w:rPr>
          <w:rFonts w:ascii="Trebuchet MS" w:hAnsi="Trebuchet MS" w:cs="Tahoma"/>
          <w:bCs/>
          <w:sz w:val="24"/>
          <w:szCs w:val="24"/>
        </w:rPr>
      </w:pPr>
    </w:p>
    <w:p w14:paraId="5E229188" w14:textId="6F35F069" w:rsidR="00705F0B" w:rsidRDefault="00705F0B" w:rsidP="00FA07E9">
      <w:pPr>
        <w:pStyle w:val="NormalWeb"/>
        <w:spacing w:before="0" w:beforeAutospacing="0" w:after="0" w:afterAutospacing="0"/>
        <w:ind w:right="-334"/>
        <w:rPr>
          <w:rFonts w:ascii="Trebuchet MS" w:hAnsi="Trebuchet MS" w:cs="Tahoma"/>
          <w:bCs/>
          <w:sz w:val="24"/>
          <w:szCs w:val="24"/>
        </w:rPr>
      </w:pPr>
    </w:p>
    <w:p w14:paraId="0354DC77" w14:textId="699A7F7E" w:rsidR="00705F0B" w:rsidRDefault="00705F0B" w:rsidP="00FA07E9">
      <w:pPr>
        <w:pStyle w:val="NormalWeb"/>
        <w:spacing w:before="0" w:beforeAutospacing="0" w:after="0" w:afterAutospacing="0"/>
        <w:ind w:right="-334"/>
        <w:rPr>
          <w:rFonts w:ascii="Trebuchet MS" w:hAnsi="Trebuchet MS" w:cs="Tahoma"/>
          <w:bCs/>
          <w:sz w:val="24"/>
          <w:szCs w:val="24"/>
        </w:rPr>
      </w:pPr>
    </w:p>
    <w:p w14:paraId="671A02CE" w14:textId="6BEA773E" w:rsidR="00705F0B" w:rsidRDefault="00705F0B" w:rsidP="00FA07E9">
      <w:pPr>
        <w:pStyle w:val="NormalWeb"/>
        <w:spacing w:before="0" w:beforeAutospacing="0" w:after="0" w:afterAutospacing="0"/>
        <w:ind w:right="-334"/>
        <w:rPr>
          <w:rFonts w:ascii="Trebuchet MS" w:hAnsi="Trebuchet MS" w:cs="Tahoma"/>
          <w:bCs/>
          <w:sz w:val="24"/>
          <w:szCs w:val="24"/>
        </w:rPr>
      </w:pPr>
    </w:p>
    <w:p w14:paraId="1CED80A2" w14:textId="5E6C8B1C" w:rsidR="00705F0B" w:rsidRDefault="00705F0B" w:rsidP="00FA07E9">
      <w:pPr>
        <w:pStyle w:val="NormalWeb"/>
        <w:spacing w:before="0" w:beforeAutospacing="0" w:after="0" w:afterAutospacing="0"/>
        <w:ind w:right="-334"/>
        <w:rPr>
          <w:rFonts w:ascii="Trebuchet MS" w:hAnsi="Trebuchet MS" w:cs="Tahoma"/>
          <w:bCs/>
          <w:sz w:val="24"/>
          <w:szCs w:val="24"/>
        </w:rPr>
      </w:pPr>
    </w:p>
    <w:p w14:paraId="05219D39" w14:textId="75994455" w:rsidR="00705F0B" w:rsidRDefault="00705F0B" w:rsidP="00FA07E9">
      <w:pPr>
        <w:pStyle w:val="NormalWeb"/>
        <w:spacing w:before="0" w:beforeAutospacing="0" w:after="0" w:afterAutospacing="0"/>
        <w:ind w:right="-334"/>
        <w:rPr>
          <w:rFonts w:ascii="Trebuchet MS" w:hAnsi="Trebuchet MS" w:cs="Tahoma"/>
          <w:bCs/>
          <w:sz w:val="24"/>
          <w:szCs w:val="24"/>
        </w:rPr>
      </w:pPr>
    </w:p>
    <w:p w14:paraId="13DF6CAA" w14:textId="7D586BED" w:rsidR="00705F0B" w:rsidRDefault="00705F0B" w:rsidP="00FA07E9">
      <w:pPr>
        <w:pStyle w:val="NormalWeb"/>
        <w:spacing w:before="0" w:beforeAutospacing="0" w:after="0" w:afterAutospacing="0"/>
        <w:ind w:right="-334"/>
        <w:rPr>
          <w:rFonts w:ascii="Trebuchet MS" w:hAnsi="Trebuchet MS" w:cs="Tahoma"/>
          <w:bCs/>
          <w:sz w:val="24"/>
          <w:szCs w:val="24"/>
        </w:rPr>
      </w:pPr>
    </w:p>
    <w:p w14:paraId="44316FD0" w14:textId="379B5D33" w:rsidR="00705F0B" w:rsidRDefault="00705F0B" w:rsidP="00FA07E9">
      <w:pPr>
        <w:pStyle w:val="NormalWeb"/>
        <w:spacing w:before="0" w:beforeAutospacing="0" w:after="0" w:afterAutospacing="0"/>
        <w:ind w:right="-334"/>
        <w:rPr>
          <w:rFonts w:ascii="Trebuchet MS" w:hAnsi="Trebuchet MS" w:cs="Tahoma"/>
          <w:bCs/>
          <w:sz w:val="24"/>
          <w:szCs w:val="24"/>
        </w:rPr>
      </w:pPr>
    </w:p>
    <w:p w14:paraId="5E5330D0" w14:textId="388479C0" w:rsidR="00705F0B" w:rsidRDefault="00705F0B" w:rsidP="00FA07E9">
      <w:pPr>
        <w:pStyle w:val="NormalWeb"/>
        <w:spacing w:before="0" w:beforeAutospacing="0" w:after="0" w:afterAutospacing="0"/>
        <w:ind w:right="-334"/>
        <w:rPr>
          <w:rFonts w:ascii="Trebuchet MS" w:hAnsi="Trebuchet MS" w:cs="Tahoma"/>
          <w:bCs/>
          <w:sz w:val="24"/>
          <w:szCs w:val="24"/>
        </w:rPr>
      </w:pPr>
    </w:p>
    <w:p w14:paraId="4D3F7A97" w14:textId="174EC368" w:rsidR="00705F0B" w:rsidRDefault="00705F0B" w:rsidP="00FA07E9">
      <w:pPr>
        <w:pStyle w:val="NormalWeb"/>
        <w:spacing w:before="0" w:beforeAutospacing="0" w:after="0" w:afterAutospacing="0"/>
        <w:ind w:right="-334"/>
        <w:rPr>
          <w:rFonts w:ascii="Trebuchet MS" w:hAnsi="Trebuchet MS" w:cs="Tahoma"/>
          <w:bCs/>
          <w:sz w:val="24"/>
          <w:szCs w:val="24"/>
        </w:rPr>
      </w:pPr>
    </w:p>
    <w:p w14:paraId="43AB2A5F" w14:textId="18856431" w:rsidR="00705F0B" w:rsidRDefault="00705F0B" w:rsidP="00FA07E9">
      <w:pPr>
        <w:pStyle w:val="NormalWeb"/>
        <w:spacing w:before="0" w:beforeAutospacing="0" w:after="0" w:afterAutospacing="0"/>
        <w:ind w:right="-334"/>
        <w:rPr>
          <w:rFonts w:ascii="Trebuchet MS" w:hAnsi="Trebuchet MS" w:cs="Tahoma"/>
          <w:bCs/>
          <w:sz w:val="24"/>
          <w:szCs w:val="24"/>
        </w:rPr>
      </w:pPr>
    </w:p>
    <w:p w14:paraId="506171EF" w14:textId="455CB843" w:rsidR="00705F0B" w:rsidRDefault="00705F0B" w:rsidP="00FA07E9">
      <w:pPr>
        <w:pStyle w:val="NormalWeb"/>
        <w:spacing w:before="0" w:beforeAutospacing="0" w:after="0" w:afterAutospacing="0"/>
        <w:ind w:right="-334"/>
        <w:rPr>
          <w:rFonts w:ascii="Trebuchet MS" w:hAnsi="Trebuchet MS" w:cs="Tahoma"/>
          <w:bCs/>
          <w:sz w:val="24"/>
          <w:szCs w:val="24"/>
        </w:rPr>
      </w:pPr>
    </w:p>
    <w:p w14:paraId="1115C566" w14:textId="0B42927B" w:rsidR="00705F0B" w:rsidRDefault="00705F0B" w:rsidP="00FA07E9">
      <w:pPr>
        <w:pStyle w:val="NormalWeb"/>
        <w:spacing w:before="0" w:beforeAutospacing="0" w:after="0" w:afterAutospacing="0"/>
        <w:ind w:right="-334"/>
        <w:rPr>
          <w:rFonts w:ascii="Trebuchet MS" w:hAnsi="Trebuchet MS" w:cs="Tahoma"/>
          <w:bCs/>
          <w:sz w:val="24"/>
          <w:szCs w:val="24"/>
        </w:rPr>
      </w:pPr>
    </w:p>
    <w:p w14:paraId="13FA238C" w14:textId="7E32616F" w:rsidR="00705F0B" w:rsidRDefault="00705F0B" w:rsidP="00FA07E9">
      <w:pPr>
        <w:pStyle w:val="NormalWeb"/>
        <w:spacing w:before="0" w:beforeAutospacing="0" w:after="0" w:afterAutospacing="0"/>
        <w:ind w:right="-334"/>
        <w:rPr>
          <w:rFonts w:ascii="Trebuchet MS" w:hAnsi="Trebuchet MS" w:cs="Tahoma"/>
          <w:bCs/>
          <w:sz w:val="24"/>
          <w:szCs w:val="24"/>
        </w:rPr>
      </w:pPr>
    </w:p>
    <w:p w14:paraId="6DD0ECA3" w14:textId="0313193D" w:rsidR="00705F0B" w:rsidRDefault="00705F0B" w:rsidP="00FA07E9">
      <w:pPr>
        <w:pStyle w:val="NormalWeb"/>
        <w:spacing w:before="0" w:beforeAutospacing="0" w:after="0" w:afterAutospacing="0"/>
        <w:ind w:right="-334"/>
        <w:rPr>
          <w:rFonts w:ascii="Trebuchet MS" w:hAnsi="Trebuchet MS" w:cs="Tahoma"/>
          <w:bCs/>
          <w:sz w:val="24"/>
          <w:szCs w:val="24"/>
        </w:rPr>
      </w:pPr>
    </w:p>
    <w:p w14:paraId="0EBBDB8E" w14:textId="57E29860" w:rsidR="00705F0B" w:rsidRDefault="00705F0B" w:rsidP="00FA07E9">
      <w:pPr>
        <w:pStyle w:val="NormalWeb"/>
        <w:spacing w:before="0" w:beforeAutospacing="0" w:after="0" w:afterAutospacing="0"/>
        <w:ind w:right="-334"/>
        <w:rPr>
          <w:rFonts w:ascii="Trebuchet MS" w:hAnsi="Trebuchet MS" w:cs="Tahoma"/>
          <w:bCs/>
          <w:sz w:val="24"/>
          <w:szCs w:val="24"/>
        </w:rPr>
      </w:pPr>
    </w:p>
    <w:p w14:paraId="2AFC77CA" w14:textId="328C3CDA" w:rsidR="00705F0B" w:rsidRDefault="00705F0B" w:rsidP="00FA07E9">
      <w:pPr>
        <w:pStyle w:val="NormalWeb"/>
        <w:spacing w:before="0" w:beforeAutospacing="0" w:after="0" w:afterAutospacing="0"/>
        <w:ind w:right="-334"/>
        <w:rPr>
          <w:rFonts w:ascii="Trebuchet MS" w:hAnsi="Trebuchet MS" w:cs="Tahoma"/>
          <w:bCs/>
          <w:sz w:val="24"/>
          <w:szCs w:val="24"/>
        </w:rPr>
      </w:pPr>
    </w:p>
    <w:p w14:paraId="49074113" w14:textId="3658537D" w:rsidR="00705F0B" w:rsidRDefault="00705F0B" w:rsidP="00FA07E9">
      <w:pPr>
        <w:pStyle w:val="NormalWeb"/>
        <w:spacing w:before="0" w:beforeAutospacing="0" w:after="0" w:afterAutospacing="0"/>
        <w:ind w:right="-334"/>
        <w:rPr>
          <w:rFonts w:ascii="Trebuchet MS" w:hAnsi="Trebuchet MS" w:cs="Tahoma"/>
          <w:bCs/>
          <w:sz w:val="24"/>
          <w:szCs w:val="24"/>
        </w:rPr>
      </w:pPr>
    </w:p>
    <w:p w14:paraId="7587B73A" w14:textId="728D1D95" w:rsidR="00705F0B" w:rsidRDefault="00705F0B" w:rsidP="00FA07E9">
      <w:pPr>
        <w:pStyle w:val="NormalWeb"/>
        <w:spacing w:before="0" w:beforeAutospacing="0" w:after="0" w:afterAutospacing="0"/>
        <w:ind w:right="-334"/>
        <w:rPr>
          <w:rFonts w:ascii="Trebuchet MS" w:hAnsi="Trebuchet MS" w:cs="Tahoma"/>
          <w:bCs/>
          <w:sz w:val="24"/>
          <w:szCs w:val="24"/>
        </w:rPr>
      </w:pPr>
    </w:p>
    <w:p w14:paraId="2AB4E487" w14:textId="78AFCB35" w:rsidR="00705F0B" w:rsidRDefault="00705F0B" w:rsidP="00FA07E9">
      <w:pPr>
        <w:pStyle w:val="NormalWeb"/>
        <w:spacing w:before="0" w:beforeAutospacing="0" w:after="0" w:afterAutospacing="0"/>
        <w:ind w:right="-334"/>
        <w:rPr>
          <w:rFonts w:ascii="Trebuchet MS" w:hAnsi="Trebuchet MS" w:cs="Tahoma"/>
          <w:bCs/>
          <w:sz w:val="24"/>
          <w:szCs w:val="24"/>
        </w:rPr>
      </w:pPr>
    </w:p>
    <w:p w14:paraId="7B41A7AF" w14:textId="77777777" w:rsidR="00705F0B" w:rsidRDefault="00705F0B" w:rsidP="00705F0B">
      <w:pPr>
        <w:jc w:val="center"/>
        <w:rPr>
          <w:b/>
          <w:bCs/>
          <w:sz w:val="28"/>
          <w:szCs w:val="28"/>
        </w:rPr>
      </w:pPr>
      <w:r>
        <w:rPr>
          <w:b/>
          <w:bCs/>
          <w:sz w:val="28"/>
          <w:szCs w:val="28"/>
        </w:rPr>
        <w:t xml:space="preserve">Comment on the significant features of an extract from a documentary source – The Will of The </w:t>
      </w:r>
      <w:r w:rsidRPr="00705F0B">
        <w:rPr>
          <w:rFonts w:cs="Calibri"/>
          <w:b/>
          <w:bCs/>
          <w:sz w:val="28"/>
          <w:szCs w:val="28"/>
        </w:rPr>
        <w:t>Æ</w:t>
      </w:r>
      <w:r>
        <w:rPr>
          <w:b/>
          <w:bCs/>
          <w:sz w:val="28"/>
          <w:szCs w:val="28"/>
        </w:rPr>
        <w:t xml:space="preserve">theling </w:t>
      </w:r>
      <w:r w:rsidRPr="00705F0B">
        <w:rPr>
          <w:rFonts w:cs="Calibri"/>
          <w:b/>
          <w:bCs/>
          <w:sz w:val="28"/>
          <w:szCs w:val="28"/>
        </w:rPr>
        <w:t>Æ</w:t>
      </w:r>
      <w:r>
        <w:rPr>
          <w:b/>
          <w:bCs/>
          <w:sz w:val="28"/>
          <w:szCs w:val="28"/>
        </w:rPr>
        <w:t>thelstan</w:t>
      </w:r>
    </w:p>
    <w:p w14:paraId="20CAD7E4" w14:textId="77777777" w:rsidR="00705F0B" w:rsidRDefault="00705F0B" w:rsidP="00705F0B">
      <w:pPr>
        <w:jc w:val="center"/>
        <w:rPr>
          <w:b/>
          <w:bCs/>
          <w:sz w:val="28"/>
          <w:szCs w:val="28"/>
        </w:rPr>
      </w:pPr>
    </w:p>
    <w:p w14:paraId="20C90E49" w14:textId="77777777" w:rsidR="00705F0B" w:rsidRDefault="00705F0B" w:rsidP="00705F0B">
      <w:pPr>
        <w:rPr>
          <w:b/>
          <w:bCs/>
        </w:rPr>
      </w:pPr>
      <w:r>
        <w:rPr>
          <w:b/>
          <w:bCs/>
        </w:rPr>
        <w:t>Introduction</w:t>
      </w:r>
    </w:p>
    <w:p w14:paraId="5C35D2CC" w14:textId="77777777" w:rsidR="00705F0B" w:rsidRPr="00705F0B" w:rsidRDefault="00705F0B" w:rsidP="00705F0B">
      <w:pPr>
        <w:rPr>
          <w:rFonts w:cs="Calibri"/>
        </w:rPr>
      </w:pPr>
      <w:r w:rsidRPr="00705F0B">
        <w:rPr>
          <w:rFonts w:cs="Calibri"/>
        </w:rPr>
        <w:t>Æthelstan the Ætheling was the eldest son of King Æthelred (Unræd). He was probably born in the early-mid 990s and witnessed his last charter in 1013. His Will survived as a pre-Conquest single sheet in the archives of Christ Church Canterbury. It is was prepared in two or three chirographs – copies of the document which were deposited in different places for additional security, usually with the main beneficiary institutions as well as a copy remaining with the donor. Æthelstan’s death was commemorated on 25</w:t>
      </w:r>
      <w:r w:rsidRPr="00705F0B">
        <w:rPr>
          <w:rFonts w:cs="Calibri"/>
          <w:vertAlign w:val="superscript"/>
        </w:rPr>
        <w:t>th</w:t>
      </w:r>
      <w:r w:rsidRPr="00705F0B">
        <w:rPr>
          <w:rFonts w:cs="Calibri"/>
        </w:rPr>
        <w:t xml:space="preserve"> June. In 1014 this was a Friday, being the Friday after the midsummer feast which, in his Will he declares is the day on which he received his father’s permission to make his Will. It is widely proposed that this is the date of his death.</w:t>
      </w:r>
      <w:r w:rsidRPr="00705F0B">
        <w:rPr>
          <w:rStyle w:val="FootnoteReference"/>
          <w:rFonts w:cs="Calibri"/>
        </w:rPr>
        <w:footnoteReference w:id="1"/>
      </w:r>
    </w:p>
    <w:p w14:paraId="17E4B281" w14:textId="77777777" w:rsidR="00705F0B" w:rsidRPr="00705F0B" w:rsidRDefault="00705F0B" w:rsidP="00705F0B">
      <w:pPr>
        <w:rPr>
          <w:rFonts w:cs="Calibri"/>
        </w:rPr>
      </w:pPr>
      <w:r w:rsidRPr="00705F0B">
        <w:rPr>
          <w:rFonts w:cs="Calibri"/>
        </w:rPr>
        <w:t>Anglo-Saxon Wills were communicated orally, in the presence of witnesses, for their legal effect. They were not signed or dated and the witnesses were not always recited, all of which evidences their function as a record rather than a legal instrument.</w:t>
      </w:r>
      <w:r w:rsidRPr="00705F0B">
        <w:rPr>
          <w:rStyle w:val="FootnoteReference"/>
          <w:rFonts w:cs="Calibri"/>
        </w:rPr>
        <w:footnoteReference w:id="2"/>
      </w:r>
      <w:r w:rsidRPr="00705F0B">
        <w:rPr>
          <w:rFonts w:cs="Calibri"/>
        </w:rPr>
        <w:t xml:space="preserve"> The witnesses saw and heard the testator, and that was the binding moment. In a society which was nowhere near as reliant on literacy and writing as ours today it is no surprise that writing did not form a part of the legal process (this did not happen until the thirteenth century).</w:t>
      </w:r>
      <w:r w:rsidRPr="00705F0B">
        <w:rPr>
          <w:rStyle w:val="FootnoteReference"/>
          <w:rFonts w:cs="Calibri"/>
        </w:rPr>
        <w:footnoteReference w:id="3"/>
      </w:r>
    </w:p>
    <w:p w14:paraId="3BA0C2E6" w14:textId="77777777" w:rsidR="00705F0B" w:rsidRPr="00705F0B" w:rsidRDefault="00705F0B" w:rsidP="00705F0B">
      <w:pPr>
        <w:rPr>
          <w:rFonts w:cs="Calibri"/>
        </w:rPr>
      </w:pPr>
      <w:r w:rsidRPr="00705F0B">
        <w:rPr>
          <w:rFonts w:cs="Calibri"/>
        </w:rPr>
        <w:t>Sheehan</w:t>
      </w:r>
      <w:r w:rsidRPr="00705F0B">
        <w:rPr>
          <w:rStyle w:val="FootnoteReference"/>
          <w:rFonts w:cs="Calibri"/>
        </w:rPr>
        <w:footnoteReference w:id="4"/>
      </w:r>
      <w:r w:rsidRPr="00705F0B">
        <w:rPr>
          <w:rFonts w:cs="Calibri"/>
        </w:rPr>
        <w:t xml:space="preserve"> and other scholars distinguish between three types of Will, the post-obit gift, the ‘cwide’ or multi-gift Will and the death bed-gift. The post-obit gift was an irrevocable, usually bilateral, contract which carried force immediately it was made. The lifetime gift was to be completed on death.</w:t>
      </w:r>
      <w:r w:rsidRPr="00705F0B">
        <w:rPr>
          <w:rStyle w:val="FootnoteReference"/>
          <w:rFonts w:cs="Calibri"/>
        </w:rPr>
        <w:footnoteReference w:id="5"/>
      </w:r>
      <w:r w:rsidRPr="00705F0B">
        <w:rPr>
          <w:rFonts w:cs="Calibri"/>
        </w:rPr>
        <w:t>. The cwide, or multi-gift, Will was a tenth and eleventh century development to enable the recording of multiple such gifts in one document, particularly useful if one had a large estate. Æthelstan’s Will was a multi-gift Will, but also a death-bed one. It includes extremely detailed lists of personal belongings resembling an inventory. The death-bed Will may be under-represented as an oral act which would have needed no record due to its immediate implementation, although for Æthelstan the complex nature of his estate required a written record anyway.</w:t>
      </w:r>
    </w:p>
    <w:p w14:paraId="2161C8B3" w14:textId="77777777" w:rsidR="00705F0B" w:rsidRPr="00705F0B" w:rsidRDefault="00705F0B" w:rsidP="00705F0B">
      <w:pPr>
        <w:rPr>
          <w:rFonts w:cs="Calibri"/>
        </w:rPr>
      </w:pPr>
    </w:p>
    <w:p w14:paraId="3F5D3805" w14:textId="77777777" w:rsidR="00705F0B" w:rsidRPr="00705F0B" w:rsidRDefault="00705F0B" w:rsidP="00705F0B">
      <w:pPr>
        <w:rPr>
          <w:rFonts w:cs="Calibri"/>
          <w:b/>
          <w:bCs/>
        </w:rPr>
      </w:pPr>
      <w:r w:rsidRPr="00705F0B">
        <w:rPr>
          <w:rFonts w:cs="Calibri"/>
          <w:b/>
          <w:bCs/>
        </w:rPr>
        <w:t>The Content of Æthelstan’s Will</w:t>
      </w:r>
    </w:p>
    <w:p w14:paraId="763AEC1C" w14:textId="77777777" w:rsidR="00705F0B" w:rsidRPr="00705F0B" w:rsidRDefault="00705F0B" w:rsidP="00705F0B">
      <w:pPr>
        <w:rPr>
          <w:rFonts w:cs="Calibri"/>
        </w:rPr>
      </w:pPr>
      <w:r w:rsidRPr="00705F0B">
        <w:rPr>
          <w:rFonts w:cs="Calibri"/>
        </w:rPr>
        <w:t>In common with the period, Æthelstan’s Will can be broken down into three sections, the announcement, the dispositions and the sanction.</w:t>
      </w:r>
      <w:r w:rsidRPr="00705F0B">
        <w:rPr>
          <w:rStyle w:val="FootnoteReference"/>
          <w:rFonts w:cs="Calibri"/>
        </w:rPr>
        <w:footnoteReference w:id="6"/>
      </w:r>
    </w:p>
    <w:p w14:paraId="4D80D546" w14:textId="77777777" w:rsidR="00705F0B" w:rsidRPr="00705F0B" w:rsidRDefault="00705F0B" w:rsidP="00705F0B">
      <w:pPr>
        <w:rPr>
          <w:rFonts w:cs="Calibri"/>
          <w:b/>
          <w:bCs/>
        </w:rPr>
      </w:pPr>
      <w:r w:rsidRPr="00705F0B">
        <w:rPr>
          <w:rFonts w:cs="Calibri"/>
          <w:b/>
          <w:bCs/>
        </w:rPr>
        <w:t>Announcement</w:t>
      </w:r>
    </w:p>
    <w:p w14:paraId="6282B5DF" w14:textId="325ECE13" w:rsidR="00705F0B" w:rsidRDefault="00705F0B" w:rsidP="00705F0B">
      <w:pPr>
        <w:rPr>
          <w:rFonts w:cs="Calibri"/>
        </w:rPr>
      </w:pPr>
      <w:r w:rsidRPr="00705F0B">
        <w:rPr>
          <w:rFonts w:cs="Calibri"/>
        </w:rPr>
        <w:t>Æthelstan’s Will</w:t>
      </w:r>
      <w:r w:rsidRPr="00705F0B">
        <w:rPr>
          <w:rStyle w:val="FootnoteReference"/>
          <w:rFonts w:cs="Calibri"/>
        </w:rPr>
        <w:footnoteReference w:id="7"/>
      </w:r>
      <w:r w:rsidRPr="00705F0B">
        <w:rPr>
          <w:rFonts w:cs="Calibri"/>
        </w:rPr>
        <w:t xml:space="preserve"> begins by declaring ‘in this document how I have granted my estates and my possessions’. The language suggests a written record for evidence. He declares </w:t>
      </w:r>
      <w:r w:rsidRPr="00705F0B">
        <w:rPr>
          <w:rFonts w:cs="Calibri"/>
        </w:rPr>
        <w:lastRenderedPageBreak/>
        <w:t>that his Will is to the ‘glory of God and for the redemption of my soul and of my father’. The term ‘redemption of my soul’ (minre saule to alysednysse) is a common one – the need to make amends to God, to give alms and thereby to gain protection for your soul was of overriding importance and underlies the whole practice of Will making. As Hazeltine summarises – ‘The men of this world want things in the next, and the men of the next world want things in this’.</w:t>
      </w:r>
      <w:r w:rsidRPr="00705F0B">
        <w:rPr>
          <w:rStyle w:val="FootnoteReference"/>
          <w:rFonts w:cs="Calibri"/>
        </w:rPr>
        <w:footnoteReference w:id="8"/>
      </w:r>
      <w:r w:rsidRPr="00705F0B">
        <w:rPr>
          <w:rFonts w:cs="Calibri"/>
        </w:rPr>
        <w:t xml:space="preserve"> Making a Will involving gifts to religious institutions created a contract with the particular institution to provide powerful intercessory rituals. The donor thereby furthered his relationship with a religious institution and received intercession after death, in return the institution would receive land and/or wealth. As described in the twelfth century by William of Malmesbury, ‘On anniversaries….. the brethren were obliged to celebrate mass for their souls at each altar and….. to do so using the ornaments they had given to the church’.</w:t>
      </w:r>
      <w:r w:rsidRPr="00705F0B">
        <w:rPr>
          <w:rStyle w:val="FootnoteReference"/>
          <w:rFonts w:cs="Calibri"/>
        </w:rPr>
        <w:footnoteReference w:id="9"/>
      </w:r>
    </w:p>
    <w:p w14:paraId="7A14775B" w14:textId="77777777" w:rsidR="00705F0B" w:rsidRPr="00705F0B" w:rsidRDefault="00705F0B" w:rsidP="00705F0B">
      <w:pPr>
        <w:rPr>
          <w:rFonts w:cs="Calibri"/>
        </w:rPr>
      </w:pPr>
    </w:p>
    <w:p w14:paraId="4B8804E0" w14:textId="77777777" w:rsidR="00705F0B" w:rsidRPr="00705F0B" w:rsidRDefault="00705F0B" w:rsidP="00705F0B">
      <w:pPr>
        <w:rPr>
          <w:rFonts w:cs="Calibri"/>
          <w:b/>
          <w:bCs/>
        </w:rPr>
      </w:pPr>
      <w:r w:rsidRPr="00705F0B">
        <w:rPr>
          <w:rFonts w:cs="Calibri"/>
          <w:b/>
          <w:bCs/>
        </w:rPr>
        <w:t>Dispositions</w:t>
      </w:r>
    </w:p>
    <w:p w14:paraId="3C2FEF8D" w14:textId="77777777" w:rsidR="00705F0B" w:rsidRPr="00705F0B" w:rsidRDefault="00705F0B" w:rsidP="00705F0B">
      <w:pPr>
        <w:pStyle w:val="ListParagraph"/>
        <w:numPr>
          <w:ilvl w:val="0"/>
          <w:numId w:val="26"/>
        </w:numPr>
        <w:rPr>
          <w:rFonts w:cs="Calibri"/>
          <w:b/>
          <w:bCs/>
        </w:rPr>
      </w:pPr>
      <w:r w:rsidRPr="00705F0B">
        <w:rPr>
          <w:rFonts w:cs="Calibri"/>
          <w:b/>
          <w:bCs/>
        </w:rPr>
        <w:t>Land</w:t>
      </w:r>
    </w:p>
    <w:p w14:paraId="1605B676" w14:textId="77777777" w:rsidR="00705F0B" w:rsidRPr="00705F0B" w:rsidRDefault="00705F0B" w:rsidP="00705F0B">
      <w:pPr>
        <w:pStyle w:val="ListParagraph"/>
        <w:rPr>
          <w:rFonts w:cs="Calibri"/>
        </w:rPr>
      </w:pPr>
      <w:r w:rsidRPr="00705F0B">
        <w:rPr>
          <w:rFonts w:cs="Calibri"/>
        </w:rPr>
        <w:t>Æthelstan gives bookland (which was, as opposed to folkland, given by the King by royal charter and freely alienable by Will) to religious institutions and to a wide range of individuals. The land that he gives to his brother Edmund is of note as it is subject to a food-rent, to be paid to the community of St Etheldreda’s at Ely yearly, with a forfeiture clause in favour of St Etheldreda’s if the yearly obligations are not maintained. The lay occupancy and ability to freely alienate continues ‘for as long as Christianity shall last in England’, as long as the obligation is met. Land was an important, valuable asset that could provide an income for the church and a permanent link to the deceased for future commemoration and a significant amount of trust was therefore needed to ensure the future enforcement of such gifts. Such a forfeiture clause was a way of attempting to ensure that the gift is carried out.</w:t>
      </w:r>
    </w:p>
    <w:p w14:paraId="74359638" w14:textId="77777777" w:rsidR="00705F0B" w:rsidRPr="00705F0B" w:rsidRDefault="00705F0B" w:rsidP="00705F0B">
      <w:pPr>
        <w:pStyle w:val="ListParagraph"/>
        <w:rPr>
          <w:rFonts w:cs="Calibri"/>
        </w:rPr>
      </w:pPr>
    </w:p>
    <w:p w14:paraId="46D0DBE1" w14:textId="77777777" w:rsidR="00705F0B" w:rsidRPr="00705F0B" w:rsidRDefault="00705F0B" w:rsidP="00705F0B">
      <w:pPr>
        <w:pStyle w:val="ListParagraph"/>
        <w:rPr>
          <w:rFonts w:cs="Calibri"/>
        </w:rPr>
      </w:pPr>
      <w:r w:rsidRPr="00705F0B">
        <w:rPr>
          <w:rFonts w:cs="Calibri"/>
        </w:rPr>
        <w:t>It was also common to appeal to a ‘protector’ to request their influence in ensuring that the gifts are made, as Æthelstan  appeals to his father in his gift of the estates at Marlow and Morden to Christ &amp; St Peter, Winchester, saying ‘and I beseech him, that…..my bequest may stand’. Choosing important, high status witnesses was also a way of securing protection for the enforcement of the gifts.</w:t>
      </w:r>
    </w:p>
    <w:p w14:paraId="55901231" w14:textId="77777777" w:rsidR="00705F0B" w:rsidRPr="00705F0B" w:rsidRDefault="00705F0B" w:rsidP="00705F0B">
      <w:pPr>
        <w:pStyle w:val="ListParagraph"/>
        <w:rPr>
          <w:rFonts w:cs="Calibri"/>
        </w:rPr>
      </w:pPr>
    </w:p>
    <w:p w14:paraId="1316B845" w14:textId="77777777" w:rsidR="00705F0B" w:rsidRPr="00705F0B" w:rsidRDefault="00705F0B" w:rsidP="00705F0B">
      <w:pPr>
        <w:pStyle w:val="ListParagraph"/>
        <w:numPr>
          <w:ilvl w:val="0"/>
          <w:numId w:val="26"/>
        </w:numPr>
        <w:rPr>
          <w:rFonts w:cs="Calibri"/>
          <w:b/>
          <w:bCs/>
        </w:rPr>
      </w:pPr>
      <w:r w:rsidRPr="00705F0B">
        <w:rPr>
          <w:rFonts w:cs="Calibri"/>
          <w:b/>
          <w:bCs/>
        </w:rPr>
        <w:t>Burial</w:t>
      </w:r>
    </w:p>
    <w:p w14:paraId="69A7FA11" w14:textId="77777777" w:rsidR="00705F0B" w:rsidRPr="00705F0B" w:rsidRDefault="00705F0B" w:rsidP="00705F0B">
      <w:pPr>
        <w:pStyle w:val="ListParagraph"/>
        <w:rPr>
          <w:rFonts w:cs="Calibri"/>
        </w:rPr>
      </w:pPr>
      <w:r w:rsidRPr="00705F0B">
        <w:rPr>
          <w:rFonts w:cs="Calibri"/>
        </w:rPr>
        <w:t>Æthelstan was buried at Christ &amp; St Peter in Winchester and gives land and chattels to the institution in recognition. By the time of King Athelstan (925-936AD) it was the law to make a gift to your place of burial. This also developed into the payment of heriot – a gift to the King in recognition of his support during your life. In Æthelstan’s case this distinction is blurred, however, as gifts to his father may also have been simply due to the family relationship.</w:t>
      </w:r>
    </w:p>
    <w:p w14:paraId="6C31578F" w14:textId="77777777" w:rsidR="00705F0B" w:rsidRPr="00705F0B" w:rsidRDefault="00705F0B" w:rsidP="00705F0B">
      <w:pPr>
        <w:pStyle w:val="ListParagraph"/>
        <w:rPr>
          <w:rFonts w:cs="Calibri"/>
        </w:rPr>
      </w:pPr>
      <w:r w:rsidRPr="00705F0B">
        <w:rPr>
          <w:rFonts w:cs="Calibri"/>
        </w:rPr>
        <w:t xml:space="preserve">In pre-Christian times is was common practice to be buried with items of status (warriors with their war-gear, for example) that could be used in the next life but also act as evidence of status in this one. The change with Christianity was that such items were now given to religious institutions, for the purpose, again, of showing wealth and status and also securing future allegiance and intercession. </w:t>
      </w:r>
    </w:p>
    <w:p w14:paraId="3BF8ECAE" w14:textId="77777777" w:rsidR="00705F0B" w:rsidRPr="00705F0B" w:rsidRDefault="00705F0B" w:rsidP="00705F0B">
      <w:pPr>
        <w:pStyle w:val="ListParagraph"/>
        <w:rPr>
          <w:rFonts w:cs="Calibri"/>
        </w:rPr>
      </w:pPr>
      <w:r w:rsidRPr="00705F0B">
        <w:rPr>
          <w:rFonts w:cs="Calibri"/>
        </w:rPr>
        <w:lastRenderedPageBreak/>
        <w:t>The cult of saints was also extremely popular in the period, it would have been worth a great deal to secure a burial place associated with a saint who could intercede directly for you. Receiving suitable ‘payment’ for this service was therefore big business for the church.</w:t>
      </w:r>
    </w:p>
    <w:p w14:paraId="579CA00F" w14:textId="77777777" w:rsidR="00705F0B" w:rsidRPr="00705F0B" w:rsidRDefault="00705F0B" w:rsidP="00705F0B">
      <w:pPr>
        <w:pStyle w:val="ListParagraph"/>
        <w:rPr>
          <w:rFonts w:cs="Calibri"/>
        </w:rPr>
      </w:pPr>
    </w:p>
    <w:p w14:paraId="2EB538EA" w14:textId="77777777" w:rsidR="00705F0B" w:rsidRPr="00705F0B" w:rsidRDefault="00705F0B" w:rsidP="00705F0B">
      <w:pPr>
        <w:pStyle w:val="ListParagraph"/>
        <w:numPr>
          <w:ilvl w:val="0"/>
          <w:numId w:val="26"/>
        </w:numPr>
        <w:rPr>
          <w:rFonts w:cs="Calibri"/>
          <w:b/>
          <w:bCs/>
        </w:rPr>
      </w:pPr>
      <w:r w:rsidRPr="00705F0B">
        <w:rPr>
          <w:rFonts w:cs="Calibri"/>
          <w:b/>
          <w:bCs/>
        </w:rPr>
        <w:t>Chattels</w:t>
      </w:r>
    </w:p>
    <w:p w14:paraId="79553E33" w14:textId="77777777" w:rsidR="00705F0B" w:rsidRPr="00705F0B" w:rsidRDefault="00705F0B" w:rsidP="00705F0B">
      <w:pPr>
        <w:pStyle w:val="ListParagraph"/>
        <w:rPr>
          <w:rFonts w:cs="Calibri"/>
        </w:rPr>
      </w:pPr>
      <w:r w:rsidRPr="00705F0B">
        <w:rPr>
          <w:rFonts w:cs="Calibri"/>
        </w:rPr>
        <w:t>Æthelstan makes an extremely detailed list of bequests of chattels. Dying at a young age, these were no doubt current items that he wished to pass on. Giving chattels was another useful way of maintaining and furthering social relationships for those you left behind, as well as displaying your wealth and status.</w:t>
      </w:r>
      <w:r w:rsidRPr="00705F0B">
        <w:rPr>
          <w:rStyle w:val="FootnoteReference"/>
          <w:rFonts w:cs="Calibri"/>
        </w:rPr>
        <w:footnoteReference w:id="10"/>
      </w:r>
      <w:r w:rsidRPr="00705F0B">
        <w:rPr>
          <w:rFonts w:cs="Calibri"/>
        </w:rPr>
        <w:t xml:space="preserve"> Æthelstan gives to a very wide range of individuals which must have cemented ties and recompensed for service.</w:t>
      </w:r>
    </w:p>
    <w:p w14:paraId="56401885" w14:textId="77777777" w:rsidR="00705F0B" w:rsidRPr="00705F0B" w:rsidRDefault="00705F0B" w:rsidP="00705F0B">
      <w:pPr>
        <w:pStyle w:val="ListParagraph"/>
        <w:rPr>
          <w:rFonts w:cs="Calibri"/>
        </w:rPr>
      </w:pPr>
      <w:r w:rsidRPr="00705F0B">
        <w:rPr>
          <w:rFonts w:cs="Calibri"/>
        </w:rPr>
        <w:t>Swords remained a great status symbol and Æthelstan bequeathes 11 of them, some with their own illustrious histories, such as the sword once owned by King Offa.</w:t>
      </w:r>
    </w:p>
    <w:p w14:paraId="73F99907" w14:textId="77777777" w:rsidR="00705F0B" w:rsidRPr="00705F0B" w:rsidRDefault="00705F0B" w:rsidP="00705F0B">
      <w:pPr>
        <w:pStyle w:val="ListParagraph"/>
        <w:rPr>
          <w:rFonts w:cs="Calibri"/>
        </w:rPr>
      </w:pPr>
      <w:r w:rsidRPr="00705F0B">
        <w:rPr>
          <w:rFonts w:cs="Calibri"/>
        </w:rPr>
        <w:t>He bequeathes horses, two to his father which may or may not be heriot, as horses were frequently allocated as such.</w:t>
      </w:r>
    </w:p>
    <w:p w14:paraId="4970A544" w14:textId="77777777" w:rsidR="00705F0B" w:rsidRPr="00705F0B" w:rsidRDefault="00705F0B" w:rsidP="00705F0B">
      <w:pPr>
        <w:pStyle w:val="ListParagraph"/>
        <w:rPr>
          <w:rFonts w:cs="Calibri"/>
        </w:rPr>
      </w:pPr>
      <w:r w:rsidRPr="00705F0B">
        <w:rPr>
          <w:rFonts w:cs="Calibri"/>
        </w:rPr>
        <w:t>His gift of a drinking horn to the Old Minster and the silver cauldron to the New Minster may have been on the understanding that they were used in his memory.</w:t>
      </w:r>
    </w:p>
    <w:p w14:paraId="01810822" w14:textId="77777777" w:rsidR="00705F0B" w:rsidRPr="00705F0B" w:rsidRDefault="00705F0B" w:rsidP="00705F0B">
      <w:pPr>
        <w:pStyle w:val="ListParagraph"/>
        <w:rPr>
          <w:rFonts w:cs="Calibri"/>
        </w:rPr>
      </w:pPr>
      <w:r w:rsidRPr="00705F0B">
        <w:rPr>
          <w:rFonts w:cs="Calibri"/>
        </w:rPr>
        <w:t>He gives coin also, a further display of status and wealth.</w:t>
      </w:r>
    </w:p>
    <w:p w14:paraId="4E21BF71" w14:textId="77777777" w:rsidR="00705F0B" w:rsidRPr="00705F0B" w:rsidRDefault="00705F0B" w:rsidP="00705F0B">
      <w:pPr>
        <w:pStyle w:val="ListParagraph"/>
        <w:rPr>
          <w:rFonts w:cs="Calibri"/>
        </w:rPr>
      </w:pPr>
    </w:p>
    <w:p w14:paraId="7FBA29A4" w14:textId="77777777" w:rsidR="00705F0B" w:rsidRPr="00705F0B" w:rsidRDefault="00705F0B" w:rsidP="00705F0B">
      <w:pPr>
        <w:pStyle w:val="ListParagraph"/>
        <w:numPr>
          <w:ilvl w:val="0"/>
          <w:numId w:val="26"/>
        </w:numPr>
        <w:rPr>
          <w:rFonts w:cs="Calibri"/>
          <w:b/>
          <w:bCs/>
        </w:rPr>
      </w:pPr>
      <w:r w:rsidRPr="00705F0B">
        <w:rPr>
          <w:rFonts w:cs="Calibri"/>
          <w:b/>
          <w:bCs/>
        </w:rPr>
        <w:t>Slaves</w:t>
      </w:r>
    </w:p>
    <w:p w14:paraId="23DC6AD9" w14:textId="7E33D0B2" w:rsidR="00705F0B" w:rsidRDefault="00705F0B" w:rsidP="00705F0B">
      <w:pPr>
        <w:pStyle w:val="ListParagraph"/>
        <w:rPr>
          <w:rFonts w:cs="Calibri"/>
        </w:rPr>
      </w:pPr>
      <w:r w:rsidRPr="00705F0B">
        <w:rPr>
          <w:rFonts w:cs="Calibri"/>
        </w:rPr>
        <w:t>It was usual in Anglo-Saxon times to give freedom to slaves. Æthelstan frees ‘every penally enslaved man whom I acquired in the course of jurisdiction’. The Synod of Chelsea in 816AD declared that on a bishop’s death every man enslaved in his lifetime should be freed and this caught on amongst the laity as an act of piety, as well as an opportunity to restructure estate resources.</w:t>
      </w:r>
      <w:r w:rsidRPr="00705F0B">
        <w:rPr>
          <w:rStyle w:val="FootnoteReference"/>
          <w:rFonts w:cs="Calibri"/>
        </w:rPr>
        <w:footnoteReference w:id="11"/>
      </w:r>
    </w:p>
    <w:p w14:paraId="24DA3992" w14:textId="77777777" w:rsidR="00705F0B" w:rsidRPr="00705F0B" w:rsidRDefault="00705F0B" w:rsidP="00705F0B">
      <w:pPr>
        <w:pStyle w:val="ListParagraph"/>
        <w:rPr>
          <w:rFonts w:cs="Calibri"/>
        </w:rPr>
      </w:pPr>
    </w:p>
    <w:p w14:paraId="59FBBA75" w14:textId="77777777" w:rsidR="00705F0B" w:rsidRPr="00705F0B" w:rsidRDefault="00705F0B" w:rsidP="00705F0B">
      <w:pPr>
        <w:rPr>
          <w:rFonts w:cs="Calibri"/>
          <w:b/>
          <w:bCs/>
        </w:rPr>
      </w:pPr>
      <w:r w:rsidRPr="00705F0B">
        <w:rPr>
          <w:rFonts w:cs="Calibri"/>
          <w:b/>
          <w:bCs/>
        </w:rPr>
        <w:t>Sanction</w:t>
      </w:r>
    </w:p>
    <w:p w14:paraId="292CFA1D" w14:textId="77777777" w:rsidR="00705F0B" w:rsidRPr="00705F0B" w:rsidRDefault="00705F0B" w:rsidP="00705F0B">
      <w:pPr>
        <w:rPr>
          <w:rFonts w:cs="Calibri"/>
        </w:rPr>
      </w:pPr>
      <w:r w:rsidRPr="00705F0B">
        <w:rPr>
          <w:rFonts w:cs="Calibri"/>
        </w:rPr>
        <w:t>The final element of the written Will was the attempt to enforce it in the closing statement. Æthelstan says ‘And may he who by any means perverts this Will have to account with Almighty God, and with St Peter and with all those who praise God’s name’. Reading the Will also ensured that many influential people would know of its terms. Æthelstan refers to the councillors ‘who may hear my Will read’, showing that he expected it to be recited before the witan. The risk of non-completion of the Will after death was a very real one which would have dire consequences for the soul, so the forfeiture clauses occurring in relation to specific gifts and the final Sanction were vital.</w:t>
      </w:r>
    </w:p>
    <w:p w14:paraId="3D83FBAF" w14:textId="77777777" w:rsidR="00705F0B" w:rsidRPr="00705F0B" w:rsidRDefault="00705F0B" w:rsidP="00705F0B">
      <w:pPr>
        <w:rPr>
          <w:rFonts w:cs="Calibri"/>
        </w:rPr>
      </w:pPr>
    </w:p>
    <w:p w14:paraId="0B5B378D" w14:textId="77777777" w:rsidR="00705F0B" w:rsidRPr="00705F0B" w:rsidRDefault="00705F0B" w:rsidP="00705F0B">
      <w:pPr>
        <w:rPr>
          <w:rFonts w:cs="Calibri"/>
          <w:b/>
          <w:bCs/>
        </w:rPr>
      </w:pPr>
      <w:r w:rsidRPr="00705F0B">
        <w:rPr>
          <w:rFonts w:cs="Calibri"/>
          <w:b/>
          <w:bCs/>
        </w:rPr>
        <w:t>Conclusion</w:t>
      </w:r>
    </w:p>
    <w:p w14:paraId="456EE0EF" w14:textId="77777777" w:rsidR="00705F0B" w:rsidRPr="00705F0B" w:rsidRDefault="00705F0B" w:rsidP="00705F0B">
      <w:pPr>
        <w:rPr>
          <w:rFonts w:cs="Calibri"/>
        </w:rPr>
      </w:pPr>
      <w:r w:rsidRPr="00705F0B">
        <w:rPr>
          <w:rFonts w:cs="Calibri"/>
        </w:rPr>
        <w:t>The caveats to the above analysis are that a) this was a royal Will which may have been laden with different obligations, in particular to the King, and b) there are very few Anglo-Saxon Wills that have survived, all preserved in church records, the emphasis of the church may therefore be unrepresentative of less religion-focussed Wills which may have existed but not survived.</w:t>
      </w:r>
    </w:p>
    <w:p w14:paraId="49B7F9F4" w14:textId="77777777" w:rsidR="00705F0B" w:rsidRPr="00705F0B" w:rsidRDefault="00705F0B" w:rsidP="00705F0B">
      <w:pPr>
        <w:rPr>
          <w:rFonts w:cs="Calibri"/>
        </w:rPr>
      </w:pPr>
      <w:r w:rsidRPr="00705F0B">
        <w:rPr>
          <w:rFonts w:cs="Calibri"/>
        </w:rPr>
        <w:t xml:space="preserve">Wills were used to prepare for the future, consolidate relationships and care for the soul. They were a display of status and wealth, could strengthen association with religious </w:t>
      </w:r>
      <w:r w:rsidRPr="00705F0B">
        <w:rPr>
          <w:rFonts w:cs="Calibri"/>
        </w:rPr>
        <w:lastRenderedPageBreak/>
        <w:t xml:space="preserve">institutions and prevail upon saints and churchmen to provide protection in this life and intercession the next. Monks and nuns in this period of reformed monasticism held great spiritual authority, there was increased interest in the welfare of the dead and there was therefore a ready market for such spiritual services in return for worldly goods. </w:t>
      </w:r>
    </w:p>
    <w:p w14:paraId="31FCEA45" w14:textId="77777777" w:rsidR="00705F0B" w:rsidRPr="00705F0B" w:rsidRDefault="00705F0B" w:rsidP="00705F0B">
      <w:pPr>
        <w:rPr>
          <w:rFonts w:cs="Calibri"/>
        </w:rPr>
      </w:pPr>
      <w:r w:rsidRPr="00705F0B">
        <w:rPr>
          <w:rFonts w:cs="Calibri"/>
        </w:rPr>
        <w:t>Æthelstan’s Will exhibits all of these traits, contributing to the body of research into what the Will can tell us about transmission of property, living a good life and dying a good death and caring for one’s soul as these notions emerged in the Christian era.</w:t>
      </w:r>
    </w:p>
    <w:p w14:paraId="4EB430BB" w14:textId="77777777" w:rsidR="00705F0B" w:rsidRPr="00705F0B" w:rsidRDefault="00705F0B" w:rsidP="00705F0B">
      <w:pPr>
        <w:rPr>
          <w:rFonts w:cs="Calibri"/>
        </w:rPr>
      </w:pPr>
    </w:p>
    <w:p w14:paraId="71BE63B3" w14:textId="77777777" w:rsidR="00705F0B" w:rsidRPr="00705F0B" w:rsidRDefault="00705F0B" w:rsidP="00705F0B">
      <w:pPr>
        <w:rPr>
          <w:rFonts w:cs="Calibri"/>
          <w:b/>
          <w:bCs/>
        </w:rPr>
      </w:pPr>
      <w:r w:rsidRPr="00705F0B">
        <w:rPr>
          <w:rFonts w:cs="Calibri"/>
          <w:b/>
          <w:bCs/>
        </w:rPr>
        <w:t>Bibliography of Works Consulted</w:t>
      </w:r>
    </w:p>
    <w:p w14:paraId="3003CE34" w14:textId="77777777" w:rsidR="00705F0B" w:rsidRPr="00705F0B" w:rsidRDefault="00705F0B" w:rsidP="00705F0B">
      <w:pPr>
        <w:rPr>
          <w:rFonts w:cs="Calibri"/>
          <w:b/>
          <w:bCs/>
        </w:rPr>
      </w:pPr>
    </w:p>
    <w:p w14:paraId="1D0A6441" w14:textId="77777777" w:rsidR="00705F0B" w:rsidRPr="00705F0B" w:rsidRDefault="00705F0B" w:rsidP="00705F0B">
      <w:pPr>
        <w:rPr>
          <w:rFonts w:cs="Calibri"/>
          <w:b/>
          <w:bCs/>
        </w:rPr>
      </w:pPr>
      <w:r w:rsidRPr="00705F0B">
        <w:rPr>
          <w:rFonts w:cs="Calibri"/>
          <w:b/>
          <w:bCs/>
        </w:rPr>
        <w:t>Primary Sources</w:t>
      </w:r>
    </w:p>
    <w:p w14:paraId="32B4D068" w14:textId="77777777" w:rsidR="00705F0B" w:rsidRPr="00705F0B" w:rsidRDefault="00705F0B" w:rsidP="00705F0B">
      <w:pPr>
        <w:rPr>
          <w:rFonts w:cs="Calibri"/>
        </w:rPr>
      </w:pPr>
      <w:r w:rsidRPr="00705F0B">
        <w:rPr>
          <w:rFonts w:cs="Calibri"/>
        </w:rPr>
        <w:t xml:space="preserve">Whitelock, Dorothy, ed. &amp; trans </w:t>
      </w:r>
      <w:r w:rsidRPr="00705F0B">
        <w:rPr>
          <w:rFonts w:cs="Calibri"/>
          <w:i/>
          <w:iCs/>
        </w:rPr>
        <w:t xml:space="preserve">Anglo-Saxon Wills </w:t>
      </w:r>
      <w:r w:rsidRPr="00705F0B">
        <w:rPr>
          <w:rFonts w:cs="Calibri"/>
        </w:rPr>
        <w:t>(Cambridge, Cambridge University Press, 1930)</w:t>
      </w:r>
    </w:p>
    <w:p w14:paraId="5DABE17F" w14:textId="77777777" w:rsidR="00705F0B" w:rsidRPr="00705F0B" w:rsidRDefault="00705F0B" w:rsidP="00705F0B">
      <w:pPr>
        <w:rPr>
          <w:rFonts w:cs="Calibri"/>
        </w:rPr>
      </w:pPr>
    </w:p>
    <w:p w14:paraId="25F6BC6D" w14:textId="77777777" w:rsidR="00705F0B" w:rsidRPr="00705F0B" w:rsidRDefault="00705F0B" w:rsidP="00705F0B">
      <w:pPr>
        <w:rPr>
          <w:rFonts w:cs="Calibri"/>
          <w:b/>
          <w:bCs/>
        </w:rPr>
      </w:pPr>
      <w:r w:rsidRPr="00705F0B">
        <w:rPr>
          <w:rFonts w:cs="Calibri"/>
          <w:b/>
          <w:bCs/>
        </w:rPr>
        <w:t>Secondary Sources</w:t>
      </w:r>
    </w:p>
    <w:p w14:paraId="05A75BAC" w14:textId="77777777" w:rsidR="00705F0B" w:rsidRPr="00705F0B" w:rsidRDefault="00705F0B" w:rsidP="00705F0B">
      <w:pPr>
        <w:rPr>
          <w:rFonts w:cs="Calibri"/>
        </w:rPr>
      </w:pPr>
      <w:r w:rsidRPr="00705F0B">
        <w:rPr>
          <w:rFonts w:cs="Calibri"/>
        </w:rPr>
        <w:t xml:space="preserve">Clanchy, Michael T., </w:t>
      </w:r>
      <w:r w:rsidRPr="00705F0B">
        <w:rPr>
          <w:rFonts w:cs="Calibri"/>
          <w:i/>
          <w:iCs/>
        </w:rPr>
        <w:t xml:space="preserve">From Memory to Written Record </w:t>
      </w:r>
      <w:r w:rsidRPr="00705F0B">
        <w:rPr>
          <w:rFonts w:cs="Calibri"/>
        </w:rPr>
        <w:t>(Chichester, Wiley-Blackwell, 2013)</w:t>
      </w:r>
    </w:p>
    <w:p w14:paraId="00748033" w14:textId="77777777" w:rsidR="00705F0B" w:rsidRPr="00705F0B" w:rsidRDefault="00705F0B" w:rsidP="00705F0B">
      <w:pPr>
        <w:rPr>
          <w:rFonts w:cs="Calibri"/>
        </w:rPr>
      </w:pPr>
      <w:r w:rsidRPr="00705F0B">
        <w:rPr>
          <w:rFonts w:cs="Calibri"/>
        </w:rPr>
        <w:t xml:space="preserve">Hazeltine, Harold D., </w:t>
      </w:r>
      <w:r w:rsidRPr="00705F0B">
        <w:rPr>
          <w:rFonts w:cs="Calibri"/>
          <w:i/>
          <w:iCs/>
        </w:rPr>
        <w:t xml:space="preserve">Comments on the Writings Known as Anglo-Saxon Wills in General Preface to Anglo-Saxon Wills ed &amp; trans. by D. Whitelock </w:t>
      </w:r>
      <w:r w:rsidRPr="00705F0B">
        <w:rPr>
          <w:rFonts w:cs="Calibri"/>
        </w:rPr>
        <w:t>(Cambridge, Cambridge University Press, 1930) as above</w:t>
      </w:r>
    </w:p>
    <w:p w14:paraId="1066C62C" w14:textId="77777777" w:rsidR="00705F0B" w:rsidRPr="00705F0B" w:rsidRDefault="00705F0B" w:rsidP="00705F0B">
      <w:pPr>
        <w:rPr>
          <w:rFonts w:cs="Calibri"/>
        </w:rPr>
      </w:pPr>
      <w:r w:rsidRPr="00705F0B">
        <w:rPr>
          <w:rFonts w:cs="Calibri"/>
        </w:rPr>
        <w:t xml:space="preserve">Keynes, Simon, </w:t>
      </w:r>
      <w:r w:rsidRPr="00705F0B">
        <w:rPr>
          <w:rFonts w:cs="Calibri"/>
          <w:i/>
          <w:iCs/>
        </w:rPr>
        <w:t xml:space="preserve">Oxford Dictionary of National Biography </w:t>
      </w:r>
      <w:r w:rsidRPr="00705F0B">
        <w:rPr>
          <w:rFonts w:cs="Calibri"/>
        </w:rPr>
        <w:t>(</w:t>
      </w:r>
      <w:hyperlink r:id="rId9" w:history="1">
        <w:r w:rsidRPr="00705F0B">
          <w:rPr>
            <w:rStyle w:val="Hyperlink"/>
            <w:rFonts w:cs="Calibri"/>
          </w:rPr>
          <w:t>www.oxforddnb.com</w:t>
        </w:r>
      </w:hyperlink>
      <w:r w:rsidRPr="00705F0B">
        <w:rPr>
          <w:rFonts w:cs="Calibri"/>
        </w:rPr>
        <w:t>)</w:t>
      </w:r>
    </w:p>
    <w:p w14:paraId="51CD4ED1" w14:textId="77777777" w:rsidR="00705F0B" w:rsidRPr="00705F0B" w:rsidRDefault="00705F0B" w:rsidP="00705F0B">
      <w:pPr>
        <w:rPr>
          <w:rFonts w:cs="Calibri"/>
        </w:rPr>
      </w:pPr>
      <w:r w:rsidRPr="00705F0B">
        <w:rPr>
          <w:rFonts w:cs="Calibri"/>
        </w:rPr>
        <w:t xml:space="preserve">Pelteret, David A. E., </w:t>
      </w:r>
      <w:r w:rsidRPr="00705F0B">
        <w:rPr>
          <w:rFonts w:cs="Calibri"/>
          <w:i/>
          <w:iCs/>
        </w:rPr>
        <w:t>Slavery in Early Mediaeval England from the Reign of Alfred Until the 12</w:t>
      </w:r>
      <w:r w:rsidRPr="00705F0B">
        <w:rPr>
          <w:rFonts w:cs="Calibri"/>
          <w:i/>
          <w:iCs/>
          <w:vertAlign w:val="superscript"/>
        </w:rPr>
        <w:t>th</w:t>
      </w:r>
      <w:r w:rsidRPr="00705F0B">
        <w:rPr>
          <w:rFonts w:cs="Calibri"/>
          <w:i/>
          <w:iCs/>
        </w:rPr>
        <w:t xml:space="preserve"> Century </w:t>
      </w:r>
      <w:r w:rsidRPr="00705F0B">
        <w:rPr>
          <w:rFonts w:cs="Calibri"/>
        </w:rPr>
        <w:t>(Woodbridge, Boydell Press, 2001)</w:t>
      </w:r>
    </w:p>
    <w:p w14:paraId="4C557C2F" w14:textId="77777777" w:rsidR="00705F0B" w:rsidRPr="00705F0B" w:rsidRDefault="00705F0B" w:rsidP="00705F0B">
      <w:pPr>
        <w:rPr>
          <w:rFonts w:cs="Calibri"/>
        </w:rPr>
      </w:pPr>
      <w:r w:rsidRPr="00705F0B">
        <w:rPr>
          <w:rFonts w:cs="Calibri"/>
        </w:rPr>
        <w:t xml:space="preserve">Sheehan, Michael M., </w:t>
      </w:r>
      <w:r w:rsidRPr="00705F0B">
        <w:rPr>
          <w:rFonts w:cs="Calibri"/>
          <w:i/>
          <w:iCs/>
        </w:rPr>
        <w:t xml:space="preserve">The Will in Medieval England </w:t>
      </w:r>
      <w:r w:rsidRPr="00705F0B">
        <w:rPr>
          <w:rFonts w:cs="Calibri"/>
        </w:rPr>
        <w:t>(Toronto, Pontifical Institute of Mediaeval Studies, 1963)</w:t>
      </w:r>
    </w:p>
    <w:p w14:paraId="0689E78D" w14:textId="77777777" w:rsidR="00705F0B" w:rsidRPr="00705F0B" w:rsidRDefault="00705F0B" w:rsidP="00705F0B">
      <w:pPr>
        <w:rPr>
          <w:rFonts w:cs="Calibri"/>
        </w:rPr>
      </w:pPr>
      <w:r w:rsidRPr="00705F0B">
        <w:rPr>
          <w:rFonts w:cs="Calibri"/>
        </w:rPr>
        <w:t xml:space="preserve">Whitelock, Dorothy, </w:t>
      </w:r>
      <w:r w:rsidRPr="00705F0B">
        <w:rPr>
          <w:rFonts w:cs="Calibri"/>
          <w:i/>
          <w:iCs/>
        </w:rPr>
        <w:t xml:space="preserve">The Pelican History of England Vol.2: The Beginnings of English Society </w:t>
      </w:r>
      <w:r w:rsidRPr="00705F0B">
        <w:rPr>
          <w:rFonts w:cs="Calibri"/>
        </w:rPr>
        <w:t>(Harmondsworth, Penguin, 1981)</w:t>
      </w:r>
    </w:p>
    <w:p w14:paraId="7384C2D8" w14:textId="77777777" w:rsidR="00705F0B" w:rsidRPr="00705F0B" w:rsidRDefault="00705F0B" w:rsidP="00705F0B">
      <w:pPr>
        <w:rPr>
          <w:rFonts w:cs="Calibri"/>
        </w:rPr>
      </w:pPr>
    </w:p>
    <w:p w14:paraId="4733C244" w14:textId="77777777" w:rsidR="00705F0B" w:rsidRPr="00705F0B" w:rsidRDefault="00705F0B" w:rsidP="00705F0B">
      <w:pPr>
        <w:rPr>
          <w:rFonts w:cs="Calibri"/>
          <w:b/>
          <w:bCs/>
        </w:rPr>
      </w:pPr>
      <w:r w:rsidRPr="00705F0B">
        <w:rPr>
          <w:rFonts w:cs="Calibri"/>
          <w:b/>
          <w:bCs/>
        </w:rPr>
        <w:t>Unpublished Thesis</w:t>
      </w:r>
    </w:p>
    <w:p w14:paraId="27B096D4" w14:textId="77777777" w:rsidR="00705F0B" w:rsidRPr="00705F0B" w:rsidRDefault="00705F0B" w:rsidP="00705F0B">
      <w:pPr>
        <w:rPr>
          <w:rFonts w:cs="Calibri"/>
        </w:rPr>
      </w:pPr>
      <w:r w:rsidRPr="00705F0B">
        <w:rPr>
          <w:rFonts w:cs="Calibri"/>
        </w:rPr>
        <w:t xml:space="preserve">Tollerton Hall, Linda, </w:t>
      </w:r>
      <w:r w:rsidRPr="00705F0B">
        <w:rPr>
          <w:rFonts w:cs="Calibri"/>
          <w:i/>
          <w:iCs/>
        </w:rPr>
        <w:t>The Will and Will-Making in Late Anglo-Saxon England</w:t>
      </w:r>
      <w:r w:rsidRPr="00705F0B">
        <w:rPr>
          <w:rFonts w:cs="Calibri"/>
        </w:rPr>
        <w:t xml:space="preserve"> (DPhil Thesis, University of York, January 2005)</w:t>
      </w:r>
    </w:p>
    <w:p w14:paraId="3C96FA9D" w14:textId="77777777" w:rsidR="00705F0B" w:rsidRPr="00705F0B" w:rsidRDefault="00705F0B" w:rsidP="00705F0B">
      <w:pPr>
        <w:rPr>
          <w:rFonts w:cs="Calibri"/>
        </w:rPr>
      </w:pPr>
    </w:p>
    <w:p w14:paraId="07192A56" w14:textId="77777777" w:rsidR="00705F0B" w:rsidRPr="00705F0B" w:rsidRDefault="00705F0B" w:rsidP="00705F0B">
      <w:pPr>
        <w:rPr>
          <w:rFonts w:cs="Calibri"/>
        </w:rPr>
      </w:pPr>
    </w:p>
    <w:p w14:paraId="6B79DBCA" w14:textId="77777777" w:rsidR="00705F0B" w:rsidRPr="002A6599" w:rsidRDefault="00705F0B" w:rsidP="00705F0B"/>
    <w:p w14:paraId="0FCD0777" w14:textId="77777777" w:rsidR="00705F0B" w:rsidRPr="00D67BF8" w:rsidRDefault="00705F0B" w:rsidP="00FA07E9">
      <w:pPr>
        <w:pStyle w:val="NormalWeb"/>
        <w:spacing w:before="0" w:beforeAutospacing="0" w:after="0" w:afterAutospacing="0"/>
        <w:ind w:right="-334"/>
        <w:rPr>
          <w:rFonts w:ascii="Trebuchet MS" w:hAnsi="Trebuchet MS" w:cs="Tahoma"/>
          <w:bCs/>
          <w:sz w:val="24"/>
          <w:szCs w:val="24"/>
        </w:rPr>
      </w:pPr>
    </w:p>
    <w:sectPr w:rsidR="00705F0B" w:rsidRPr="00D67BF8" w:rsidSect="00B462B1">
      <w:footerReference w:type="default" r:id="rId1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487B9" w14:textId="77777777" w:rsidR="0055076D" w:rsidRDefault="0055076D" w:rsidP="00AD5D5A">
      <w:r>
        <w:separator/>
      </w:r>
    </w:p>
  </w:endnote>
  <w:endnote w:type="continuationSeparator" w:id="0">
    <w:p w14:paraId="0257B654" w14:textId="77777777" w:rsidR="0055076D" w:rsidRDefault="0055076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B3E9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BB32CC" w14:textId="77777777" w:rsidR="0055076D" w:rsidRDefault="0055076D" w:rsidP="00AD5D5A">
      <w:r>
        <w:separator/>
      </w:r>
    </w:p>
  </w:footnote>
  <w:footnote w:type="continuationSeparator" w:id="0">
    <w:p w14:paraId="1FC6D61D" w14:textId="77777777" w:rsidR="0055076D" w:rsidRDefault="0055076D" w:rsidP="00AD5D5A">
      <w:r>
        <w:continuationSeparator/>
      </w:r>
    </w:p>
  </w:footnote>
  <w:footnote w:id="1">
    <w:p w14:paraId="3CF1B737" w14:textId="77777777" w:rsidR="00705F0B" w:rsidRDefault="00705F0B" w:rsidP="00705F0B">
      <w:pPr>
        <w:pStyle w:val="FootnoteText"/>
      </w:pPr>
      <w:r>
        <w:rPr>
          <w:rStyle w:val="FootnoteReference"/>
        </w:rPr>
        <w:footnoteRef/>
      </w:r>
      <w:r>
        <w:t xml:space="preserve"> S. Keynes, Oxford Dictionary of National Biography (www.oxforddnb.com)</w:t>
      </w:r>
    </w:p>
  </w:footnote>
  <w:footnote w:id="2">
    <w:p w14:paraId="200E82F0" w14:textId="77777777" w:rsidR="00705F0B" w:rsidRDefault="00705F0B" w:rsidP="00705F0B">
      <w:pPr>
        <w:pStyle w:val="FootnoteText"/>
      </w:pPr>
      <w:r>
        <w:rPr>
          <w:rStyle w:val="FootnoteReference"/>
        </w:rPr>
        <w:footnoteRef/>
      </w:r>
      <w:r>
        <w:t xml:space="preserve"> See H. D. Hazeltine, </w:t>
      </w:r>
      <w:r w:rsidRPr="005A044A">
        <w:rPr>
          <w:i/>
          <w:iCs/>
        </w:rPr>
        <w:t xml:space="preserve">General Preface </w:t>
      </w:r>
      <w:r>
        <w:rPr>
          <w:i/>
          <w:iCs/>
        </w:rPr>
        <w:t>To</w:t>
      </w:r>
      <w:r w:rsidRPr="005A044A">
        <w:rPr>
          <w:i/>
          <w:iCs/>
        </w:rPr>
        <w:t xml:space="preserve"> Anglo-Saxon Wills</w:t>
      </w:r>
      <w:r>
        <w:t xml:space="preserve">, ed. &amp; trans by Dorothy Whitelock, (Cambridge, Cambridge University Press, 1930) p viii, also M. M. Sheehan, </w:t>
      </w:r>
      <w:r w:rsidRPr="00284A96">
        <w:rPr>
          <w:i/>
          <w:iCs/>
        </w:rPr>
        <w:t xml:space="preserve">The Will </w:t>
      </w:r>
      <w:r>
        <w:rPr>
          <w:i/>
          <w:iCs/>
        </w:rPr>
        <w:t>In</w:t>
      </w:r>
      <w:r w:rsidRPr="00284A96">
        <w:rPr>
          <w:i/>
          <w:iCs/>
        </w:rPr>
        <w:t xml:space="preserve"> Medieval England </w:t>
      </w:r>
      <w:r>
        <w:t xml:space="preserve">(Toronto, Pontifical Institute of Mediaeval Studies, 1963) p47 and Eric John, </w:t>
      </w:r>
      <w:r w:rsidRPr="000A1280">
        <w:rPr>
          <w:i/>
          <w:iCs/>
        </w:rPr>
        <w:t xml:space="preserve">Land Tenure </w:t>
      </w:r>
      <w:r>
        <w:rPr>
          <w:i/>
          <w:iCs/>
        </w:rPr>
        <w:t>I</w:t>
      </w:r>
      <w:r w:rsidRPr="000A1280">
        <w:rPr>
          <w:i/>
          <w:iCs/>
        </w:rPr>
        <w:t xml:space="preserve">n Early England, Studies </w:t>
      </w:r>
      <w:r>
        <w:rPr>
          <w:i/>
          <w:iCs/>
        </w:rPr>
        <w:t>I</w:t>
      </w:r>
      <w:r w:rsidRPr="000A1280">
        <w:rPr>
          <w:i/>
          <w:iCs/>
        </w:rPr>
        <w:t xml:space="preserve">n Early English History 1 </w:t>
      </w:r>
      <w:r>
        <w:t>(Leicester 1960) pp176-177</w:t>
      </w:r>
    </w:p>
  </w:footnote>
  <w:footnote w:id="3">
    <w:p w14:paraId="67C1EF60" w14:textId="77777777" w:rsidR="00705F0B" w:rsidRDefault="00705F0B" w:rsidP="00705F0B">
      <w:pPr>
        <w:pStyle w:val="FootnoteText"/>
      </w:pPr>
      <w:r>
        <w:rPr>
          <w:rStyle w:val="FootnoteReference"/>
        </w:rPr>
        <w:footnoteRef/>
      </w:r>
      <w:r>
        <w:t xml:space="preserve"> M.T. Clanchy, </w:t>
      </w:r>
      <w:r w:rsidRPr="00982DF3">
        <w:rPr>
          <w:i/>
          <w:iCs/>
        </w:rPr>
        <w:t xml:space="preserve">From Memory </w:t>
      </w:r>
      <w:r>
        <w:rPr>
          <w:i/>
          <w:iCs/>
        </w:rPr>
        <w:t>T</w:t>
      </w:r>
      <w:r w:rsidRPr="00982DF3">
        <w:rPr>
          <w:i/>
          <w:iCs/>
        </w:rPr>
        <w:t>o Written Record</w:t>
      </w:r>
      <w:r>
        <w:t xml:space="preserve"> (Chichester, Wiley-Blackwell, 2013) p256</w:t>
      </w:r>
    </w:p>
  </w:footnote>
  <w:footnote w:id="4">
    <w:p w14:paraId="16092CF0" w14:textId="77777777" w:rsidR="00705F0B" w:rsidRDefault="00705F0B" w:rsidP="00705F0B">
      <w:pPr>
        <w:pStyle w:val="FootnoteText"/>
      </w:pPr>
      <w:r>
        <w:rPr>
          <w:rStyle w:val="FootnoteReference"/>
        </w:rPr>
        <w:footnoteRef/>
      </w:r>
      <w:r>
        <w:t xml:space="preserve"> M. M.  Sheehan, </w:t>
      </w:r>
      <w:r w:rsidRPr="00FA2B18">
        <w:rPr>
          <w:i/>
          <w:iCs/>
        </w:rPr>
        <w:t xml:space="preserve">The Will </w:t>
      </w:r>
      <w:r>
        <w:t>p24-47</w:t>
      </w:r>
    </w:p>
  </w:footnote>
  <w:footnote w:id="5">
    <w:p w14:paraId="790DBEB6" w14:textId="77777777" w:rsidR="00705F0B" w:rsidRDefault="00705F0B" w:rsidP="00705F0B">
      <w:pPr>
        <w:pStyle w:val="FootnoteText"/>
      </w:pPr>
      <w:r>
        <w:rPr>
          <w:rStyle w:val="FootnoteReference"/>
        </w:rPr>
        <w:footnoteRef/>
      </w:r>
      <w:r>
        <w:t xml:space="preserve"> H. D. Hazeltine, </w:t>
      </w:r>
      <w:r w:rsidRPr="008E5C61">
        <w:rPr>
          <w:i/>
          <w:iCs/>
        </w:rPr>
        <w:t>General Preface</w:t>
      </w:r>
      <w:r>
        <w:rPr>
          <w:i/>
          <w:iCs/>
        </w:rPr>
        <w:t xml:space="preserve"> </w:t>
      </w:r>
      <w:r w:rsidRPr="008E5C61">
        <w:rPr>
          <w:i/>
          <w:iCs/>
        </w:rPr>
        <w:t xml:space="preserve"> </w:t>
      </w:r>
      <w:r>
        <w:t>p xi</w:t>
      </w:r>
    </w:p>
  </w:footnote>
  <w:footnote w:id="6">
    <w:p w14:paraId="1F5A4FEB" w14:textId="77777777" w:rsidR="00705F0B" w:rsidRDefault="00705F0B" w:rsidP="00705F0B">
      <w:pPr>
        <w:pStyle w:val="FootnoteText"/>
      </w:pPr>
      <w:r>
        <w:rPr>
          <w:rStyle w:val="FootnoteReference"/>
        </w:rPr>
        <w:footnoteRef/>
      </w:r>
      <w:r>
        <w:t xml:space="preserve"> These are termed ‘notificatio’, ‘dispositio’ and ‘sanctio’ by H. D. Hazeltine in </w:t>
      </w:r>
      <w:r w:rsidRPr="008E5C61">
        <w:rPr>
          <w:i/>
          <w:iCs/>
        </w:rPr>
        <w:t>General Preface</w:t>
      </w:r>
      <w:r>
        <w:t xml:space="preserve"> p xxx and as ‘notificatio’, ‘dispositio’ and ‘anathema’ by L.Tollerton Hall in </w:t>
      </w:r>
      <w:r w:rsidRPr="006619F0">
        <w:rPr>
          <w:i/>
          <w:iCs/>
        </w:rPr>
        <w:t xml:space="preserve">Wills </w:t>
      </w:r>
      <w:r>
        <w:rPr>
          <w:i/>
          <w:iCs/>
        </w:rPr>
        <w:t>A</w:t>
      </w:r>
      <w:r w:rsidRPr="006619F0">
        <w:rPr>
          <w:i/>
          <w:iCs/>
        </w:rPr>
        <w:t xml:space="preserve">nd Will-Making </w:t>
      </w:r>
      <w:r>
        <w:rPr>
          <w:i/>
          <w:iCs/>
        </w:rPr>
        <w:t>I</w:t>
      </w:r>
      <w:r w:rsidRPr="006619F0">
        <w:rPr>
          <w:i/>
          <w:iCs/>
        </w:rPr>
        <w:t xml:space="preserve">n Late Anglo-Saxon England </w:t>
      </w:r>
      <w:r>
        <w:t>(DPhil Thesis, University of York, January 2005) p41-48</w:t>
      </w:r>
    </w:p>
  </w:footnote>
  <w:footnote w:id="7">
    <w:p w14:paraId="66B8B153" w14:textId="77777777" w:rsidR="00705F0B" w:rsidRDefault="00705F0B" w:rsidP="00705F0B">
      <w:pPr>
        <w:pStyle w:val="FootnoteText"/>
      </w:pPr>
      <w:r>
        <w:rPr>
          <w:rStyle w:val="FootnoteReference"/>
        </w:rPr>
        <w:footnoteRef/>
      </w:r>
      <w:r>
        <w:t xml:space="preserve"> All quotes from the Will of </w:t>
      </w:r>
      <w:r w:rsidRPr="00705F0B">
        <w:rPr>
          <w:rFonts w:cs="Calibri"/>
        </w:rPr>
        <w:t>Æ</w:t>
      </w:r>
      <w:r>
        <w:t xml:space="preserve">thelstan the </w:t>
      </w:r>
      <w:r w:rsidRPr="00705F0B">
        <w:rPr>
          <w:rFonts w:cs="Calibri"/>
        </w:rPr>
        <w:t>Æ</w:t>
      </w:r>
      <w:r>
        <w:t xml:space="preserve">theling are taken from </w:t>
      </w:r>
      <w:r w:rsidRPr="00B41615">
        <w:rPr>
          <w:i/>
          <w:iCs/>
        </w:rPr>
        <w:t>Anglo-Saxon Wills</w:t>
      </w:r>
      <w:r>
        <w:t>, ed &amp; trans by Dorothy Whitelock p57-63</w:t>
      </w:r>
    </w:p>
  </w:footnote>
  <w:footnote w:id="8">
    <w:p w14:paraId="5677BDE1" w14:textId="77777777" w:rsidR="00705F0B" w:rsidRDefault="00705F0B" w:rsidP="00705F0B">
      <w:pPr>
        <w:pStyle w:val="FootnoteText"/>
      </w:pPr>
      <w:r>
        <w:rPr>
          <w:rStyle w:val="FootnoteReference"/>
        </w:rPr>
        <w:footnoteRef/>
      </w:r>
      <w:r>
        <w:t xml:space="preserve"> H D Hazeltine, </w:t>
      </w:r>
      <w:r w:rsidRPr="00D10345">
        <w:rPr>
          <w:i/>
          <w:iCs/>
        </w:rPr>
        <w:t xml:space="preserve">General Preface  </w:t>
      </w:r>
      <w:r>
        <w:t>p xx</w:t>
      </w:r>
    </w:p>
  </w:footnote>
  <w:footnote w:id="9">
    <w:p w14:paraId="4ABC3CD3" w14:textId="77777777" w:rsidR="00705F0B" w:rsidRPr="00352790" w:rsidRDefault="00705F0B" w:rsidP="00705F0B">
      <w:pPr>
        <w:pStyle w:val="FootnoteText"/>
      </w:pPr>
      <w:r>
        <w:rPr>
          <w:rStyle w:val="FootnoteReference"/>
        </w:rPr>
        <w:footnoteRef/>
      </w:r>
      <w:r>
        <w:t xml:space="preserve"> William of Malmesbury, </w:t>
      </w:r>
      <w:r w:rsidRPr="00C66A0B">
        <w:rPr>
          <w:i/>
          <w:iCs/>
        </w:rPr>
        <w:t>de Antiquitate Glastonie</w:t>
      </w:r>
      <w:r>
        <w:rPr>
          <w:i/>
          <w:iCs/>
        </w:rPr>
        <w:t xml:space="preserve">, </w:t>
      </w:r>
      <w:r>
        <w:t xml:space="preserve">quoted by L. Tollerton Hall in </w:t>
      </w:r>
      <w:r>
        <w:rPr>
          <w:i/>
          <w:iCs/>
        </w:rPr>
        <w:t xml:space="preserve">Wills And Will-Making </w:t>
      </w:r>
      <w:r>
        <w:t>p 274</w:t>
      </w:r>
    </w:p>
  </w:footnote>
  <w:footnote w:id="10">
    <w:p w14:paraId="32764D8F" w14:textId="77777777" w:rsidR="00705F0B" w:rsidRDefault="00705F0B" w:rsidP="00705F0B">
      <w:pPr>
        <w:pStyle w:val="FootnoteText"/>
      </w:pPr>
      <w:r>
        <w:rPr>
          <w:rStyle w:val="FootnoteReference"/>
        </w:rPr>
        <w:footnoteRef/>
      </w:r>
      <w:r>
        <w:t xml:space="preserve"> D. Whitelock, </w:t>
      </w:r>
      <w:r>
        <w:rPr>
          <w:i/>
          <w:iCs/>
        </w:rPr>
        <w:t xml:space="preserve">The Pelican History Of England, Vol 2: The Beginnings Of English Society </w:t>
      </w:r>
      <w:r>
        <w:t>(Harmondsworth, Penguin, 1981)</w:t>
      </w:r>
      <w:r>
        <w:rPr>
          <w:i/>
          <w:iCs/>
        </w:rPr>
        <w:t xml:space="preserve"> </w:t>
      </w:r>
      <w:r>
        <w:t xml:space="preserve"> p90, p95</w:t>
      </w:r>
    </w:p>
  </w:footnote>
  <w:footnote w:id="11">
    <w:p w14:paraId="7F8A37CB" w14:textId="77777777" w:rsidR="00705F0B" w:rsidRDefault="00705F0B" w:rsidP="00705F0B">
      <w:pPr>
        <w:pStyle w:val="FootnoteText"/>
      </w:pPr>
      <w:r>
        <w:rPr>
          <w:rStyle w:val="FootnoteReference"/>
        </w:rPr>
        <w:footnoteRef/>
      </w:r>
      <w:r>
        <w:t xml:space="preserve"> L. Tollerton Hall, </w:t>
      </w:r>
      <w:r>
        <w:rPr>
          <w:i/>
          <w:iCs/>
        </w:rPr>
        <w:t>Wills And Will-Making</w:t>
      </w:r>
      <w:r>
        <w:t xml:space="preserve"> p 218-220, also D.A.E Pelteret, </w:t>
      </w:r>
      <w:r>
        <w:rPr>
          <w:i/>
          <w:iCs/>
        </w:rPr>
        <w:t>Slavery In Early Mediaeval England  From The Reign Of Alfred Until The 12</w:t>
      </w:r>
      <w:r w:rsidRPr="00EA0B66">
        <w:rPr>
          <w:i/>
          <w:iCs/>
          <w:vertAlign w:val="superscript"/>
        </w:rPr>
        <w:t>th</w:t>
      </w:r>
      <w:r>
        <w:rPr>
          <w:i/>
          <w:iCs/>
        </w:rPr>
        <w:t xml:space="preserve"> Century </w:t>
      </w:r>
      <w:r>
        <w:t>(Woodbridge, Boydell Press, 2001)  p 125-130 in particular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7833BA5"/>
    <w:multiLevelType w:val="hybridMultilevel"/>
    <w:tmpl w:val="4B6E3F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9"/>
  </w:num>
  <w:num w:numId="4">
    <w:abstractNumId w:val="6"/>
  </w:num>
  <w:num w:numId="5">
    <w:abstractNumId w:val="2"/>
  </w:num>
  <w:num w:numId="6">
    <w:abstractNumId w:val="4"/>
  </w:num>
  <w:num w:numId="7">
    <w:abstractNumId w:val="14"/>
  </w:num>
  <w:num w:numId="8">
    <w:abstractNumId w:val="22"/>
  </w:num>
  <w:num w:numId="9">
    <w:abstractNumId w:val="24"/>
  </w:num>
  <w:num w:numId="10">
    <w:abstractNumId w:val="5"/>
  </w:num>
  <w:num w:numId="11">
    <w:abstractNumId w:val="20"/>
  </w:num>
  <w:num w:numId="12">
    <w:abstractNumId w:val="23"/>
  </w:num>
  <w:num w:numId="13">
    <w:abstractNumId w:val="11"/>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8"/>
  </w:num>
  <w:num w:numId="21">
    <w:abstractNumId w:val="3"/>
  </w:num>
  <w:num w:numId="22">
    <w:abstractNumId w:val="7"/>
  </w:num>
  <w:num w:numId="23">
    <w:abstractNumId w:val="16"/>
  </w:num>
  <w:num w:numId="24">
    <w:abstractNumId w:val="8"/>
  </w:num>
  <w:num w:numId="25">
    <w:abstractNumId w:val="1"/>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132DC"/>
    <w:rsid w:val="00216211"/>
    <w:rsid w:val="00222984"/>
    <w:rsid w:val="0022446F"/>
    <w:rsid w:val="00224B95"/>
    <w:rsid w:val="00230F35"/>
    <w:rsid w:val="0025530E"/>
    <w:rsid w:val="002715FA"/>
    <w:rsid w:val="00276002"/>
    <w:rsid w:val="00277421"/>
    <w:rsid w:val="00290783"/>
    <w:rsid w:val="002A4954"/>
    <w:rsid w:val="002C1630"/>
    <w:rsid w:val="002C55E9"/>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5076D"/>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C0A3A"/>
    <w:rsid w:val="006C5E96"/>
    <w:rsid w:val="006E4F24"/>
    <w:rsid w:val="00705F0B"/>
    <w:rsid w:val="00751BE2"/>
    <w:rsid w:val="00762134"/>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466C"/>
    <w:rsid w:val="00D56EFA"/>
    <w:rsid w:val="00D67BF8"/>
    <w:rsid w:val="00DA3217"/>
    <w:rsid w:val="00DA3E0F"/>
    <w:rsid w:val="00DB185F"/>
    <w:rsid w:val="00DB43BB"/>
    <w:rsid w:val="00DD363B"/>
    <w:rsid w:val="00DE54B1"/>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9ED43FC"/>
  <w15:chartTrackingRefBased/>
  <w15:docId w15:val="{E61016F1-B7F8-4B54-89C5-5862646EC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705F0B"/>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705F0B"/>
    <w:rPr>
      <w:rFonts w:ascii="Calibri" w:eastAsia="Calibri" w:hAnsi="Calibri"/>
      <w:lang w:eastAsia="en-US"/>
    </w:rPr>
  </w:style>
  <w:style w:type="character" w:styleId="FootnoteReference">
    <w:name w:val="footnote reference"/>
    <w:uiPriority w:val="99"/>
    <w:unhideWhenUsed/>
    <w:rsid w:val="00705F0B"/>
    <w:rPr>
      <w:vertAlign w:val="superscript"/>
    </w:rPr>
  </w:style>
  <w:style w:type="paragraph" w:styleId="ListParagraph">
    <w:name w:val="List Paragraph"/>
    <w:basedOn w:val="Normal"/>
    <w:uiPriority w:val="34"/>
    <w:qFormat/>
    <w:rsid w:val="00705F0B"/>
    <w:pPr>
      <w:spacing w:after="160" w:line="259" w:lineRule="auto"/>
      <w:ind w:left="720"/>
      <w:contextualSpacing/>
    </w:pPr>
    <w:rPr>
      <w:rFonts w:ascii="Calibri" w:eastAsia="Calibri" w:hAnsi="Calibri"/>
      <w:sz w:val="22"/>
      <w:szCs w:val="22"/>
      <w:lang w:eastAsia="en-US"/>
    </w:rPr>
  </w:style>
  <w:style w:type="character" w:styleId="Hyperlink">
    <w:name w:val="Hyperlink"/>
    <w:uiPriority w:val="99"/>
    <w:unhideWhenUsed/>
    <w:rsid w:val="00705F0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oxforddn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5750AD-A667-417F-983C-8E2EFBB93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Joanna Dunlop</cp:lastModifiedBy>
  <cp:revision>2</cp:revision>
  <cp:lastPrinted>2011-03-31T13:57:00Z</cp:lastPrinted>
  <dcterms:created xsi:type="dcterms:W3CDTF">2020-05-03T12:42:00Z</dcterms:created>
  <dcterms:modified xsi:type="dcterms:W3CDTF">2020-05-03T12:42:00Z</dcterms:modified>
</cp:coreProperties>
</file>