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31962" w14:textId="77777777" w:rsidR="00EF0748" w:rsidRDefault="000C18B8" w:rsidP="004E68A0">
      <w:pPr>
        <w:pStyle w:val="Title"/>
        <w:jc w:val="center"/>
      </w:pPr>
      <w:r>
        <w:t>Project Portfolio</w:t>
      </w:r>
    </w:p>
    <w:p w14:paraId="36D18C3C" w14:textId="77777777" w:rsidR="00EF0748" w:rsidRDefault="000C18B8" w:rsidP="004E68A0">
      <w:pPr>
        <w:jc w:val="center"/>
      </w:pPr>
      <w:r>
        <w:t>Module: Project Management (LCLM5003)</w:t>
      </w:r>
    </w:p>
    <w:p w14:paraId="1FFDA627" w14:textId="77777777" w:rsidR="00EF0748" w:rsidRDefault="000C18B8" w:rsidP="004E68A0">
      <w:pPr>
        <w:jc w:val="center"/>
      </w:pPr>
      <w:r>
        <w:t>Programme: BA (Hons) Leadership and Management Skills in the Workplace</w:t>
      </w:r>
    </w:p>
    <w:p w14:paraId="60DBDD2A" w14:textId="77777777" w:rsidR="00EF0748" w:rsidRDefault="000C18B8" w:rsidP="004E68A0">
      <w:pPr>
        <w:jc w:val="center"/>
      </w:pPr>
      <w:r>
        <w:t>Project Title: Reopening the Highway – West Midlands Flood Recovery Project</w:t>
      </w:r>
    </w:p>
    <w:p w14:paraId="6DC07A88" w14:textId="4EBFAE88" w:rsidR="00EF0748" w:rsidRDefault="000C18B8" w:rsidP="004E68A0">
      <w:pPr>
        <w:jc w:val="center"/>
      </w:pPr>
      <w:r>
        <w:t xml:space="preserve">Student Name: </w:t>
      </w:r>
      <w:r w:rsidR="00D94D2F">
        <w:t>Durga Bai</w:t>
      </w:r>
    </w:p>
    <w:p w14:paraId="0C29B14A" w14:textId="24B2AF9E" w:rsidR="00EF0748" w:rsidRDefault="000C18B8" w:rsidP="004E68A0">
      <w:pPr>
        <w:jc w:val="center"/>
      </w:pPr>
      <w:r>
        <w:t xml:space="preserve">Student ID: </w:t>
      </w:r>
      <w:r w:rsidR="00FD29C9">
        <w:t>2407124</w:t>
      </w:r>
    </w:p>
    <w:p w14:paraId="36831D5B" w14:textId="77777777" w:rsidR="00EF0748" w:rsidRDefault="000C18B8">
      <w:r>
        <w:br w:type="page"/>
      </w:r>
    </w:p>
    <w:p w14:paraId="5F09EBBF" w14:textId="77777777" w:rsidR="00EF0748" w:rsidRDefault="000C18B8">
      <w:pPr>
        <w:pStyle w:val="Heading1"/>
      </w:pPr>
      <w:r>
        <w:lastRenderedPageBreak/>
        <w:t>Part A – Project Proposal Poster</w:t>
      </w:r>
    </w:p>
    <w:p w14:paraId="69A9A09E" w14:textId="36951BB3" w:rsidR="00EF0748" w:rsidRDefault="008901A2">
      <w:r>
        <w:rPr>
          <w:noProof/>
        </w:rPr>
        <w:drawing>
          <wp:inline distT="0" distB="0" distL="0" distR="0" wp14:anchorId="11546E4F" wp14:editId="556C88F7">
            <wp:extent cx="5929313" cy="7905750"/>
            <wp:effectExtent l="0" t="0" r="0" b="0"/>
            <wp:docPr id="17220645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64550"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6091" cy="7928121"/>
                    </a:xfrm>
                    <a:prstGeom prst="rect">
                      <a:avLst/>
                    </a:prstGeom>
                  </pic:spPr>
                </pic:pic>
              </a:graphicData>
            </a:graphic>
          </wp:inline>
        </w:drawing>
      </w:r>
      <w:r w:rsidR="000C18B8">
        <w:br w:type="page"/>
      </w:r>
    </w:p>
    <w:p w14:paraId="2B83B254" w14:textId="77777777" w:rsidR="00EF0748" w:rsidRDefault="000C18B8">
      <w:pPr>
        <w:pStyle w:val="Heading1"/>
      </w:pPr>
      <w:r>
        <w:lastRenderedPageBreak/>
        <w:t>Part B – Reflection on Feedback (500 words)</w:t>
      </w:r>
    </w:p>
    <w:p w14:paraId="765D0DB0" w14:textId="77777777" w:rsidR="00EF0748" w:rsidRDefault="000C18B8">
      <w:r>
        <w:br/>
        <w:t>The poster presentation titled Reopening the Highway: West Midlands Flood Recovery Project provided an opportunity to communicate the proposed project concept and receive constructive feedback from tutors and peers. The feedback contributed significantly to refining the final Project Management Plan by highlighting both strengths and areas requiring improvement.</w:t>
      </w:r>
      <w:r>
        <w:br/>
      </w:r>
      <w:r>
        <w:br/>
        <w:t>One of the key strengths identified during the presentation was the clarity of the project objectives. The poster effectively communicated the urgency of restoring transport infrastructure following the July 2025 flooding event. Feedback indicated that the objectives were measurable and time-bound, particularly the goal of restoring two-lane access within six weeks. Clearly defined objectives support project success by aligning stakeholders and enabling performance monitoring.</w:t>
      </w:r>
      <w:r>
        <w:br/>
      </w:r>
      <w:r>
        <w:br/>
        <w:t>Another positive aspect not</w:t>
      </w:r>
      <w:r>
        <w:t>ed was the identification of key risks and mitigation strategies. Peers recognised that risks such as further rainfall and structural instability were realistic considerations in flood recovery projects. The inclusion of mitigation actions demonstrated awareness of uncertainty management, which is a central competency in project management practice.</w:t>
      </w:r>
      <w:r>
        <w:br/>
      </w:r>
      <w:r>
        <w:br/>
        <w:t>Despite these strengths, several improvement areas were highlighted. Tutors suggested that the poster required stronger linkage to recognised project managemen</w:t>
      </w:r>
      <w:r>
        <w:t>t methodologies. The final project plan therefore integrates structured frameworks such as PRINCE2 and PMBOK principles to demonstrate theoretical application rather than descriptive planning alone.</w:t>
      </w:r>
      <w:r>
        <w:br/>
      </w:r>
      <w:r>
        <w:br/>
        <w:t>Secondly, feedback indicated that stakeholder analysis required greater depth. While stakeholders were identified, their influence, expectations, and communication needs were not fully explored. Consequently, the final plan expands stakeholder mapping using power–interest analysis to ensure effective engagement</w:t>
      </w:r>
      <w:r>
        <w:t xml:space="preserve"> and decision-making processes.</w:t>
      </w:r>
      <w:r>
        <w:br/>
      </w:r>
      <w:r>
        <w:br/>
        <w:t>Another improvement area concerned resource allocation. The poster included a budget estimate but lacked justification for resource distribution and scheduling. The revised plan therefore incorporates a detailed Work Breakdown Structure, Gantt chart, and resource allocation strategy aligned with project lifecycle phases.</w:t>
      </w:r>
      <w:r>
        <w:br/>
      </w:r>
      <w:r>
        <w:br/>
        <w:t>Reflection on the feedback process demonstrates its importance for professional development. Constructive critique encouraged critical thinking, refinement</w:t>
      </w:r>
      <w:r>
        <w:t xml:space="preserve"> of communication skills, and stronger integration of theory with practice. The revisions made in the final project management plan therefore represent an informed response to stakeholder feedback and demonstrate progression from initial proposal to comprehensive professional documentation.</w:t>
      </w:r>
      <w:r>
        <w:br/>
      </w:r>
    </w:p>
    <w:p w14:paraId="25CC85E1" w14:textId="1130B7FE" w:rsidR="00EF0748" w:rsidRDefault="000C18B8" w:rsidP="002A4B88">
      <w:pPr>
        <w:pStyle w:val="Heading1"/>
      </w:pPr>
      <w:r>
        <w:br w:type="page"/>
      </w:r>
      <w:r>
        <w:lastRenderedPageBreak/>
        <w:t>Part C – Project Management Plan (2500 words)</w:t>
      </w:r>
    </w:p>
    <w:p w14:paraId="3238C50F" w14:textId="77777777" w:rsidR="00EF0748" w:rsidRDefault="000C18B8">
      <w:pPr>
        <w:pStyle w:val="Heading2"/>
      </w:pPr>
      <w:r>
        <w:t>E</w:t>
      </w:r>
      <w:r>
        <w:t>xecutive Summary</w:t>
      </w:r>
    </w:p>
    <w:p w14:paraId="2BC5BF8D" w14:textId="77777777" w:rsidR="002A4B88" w:rsidRPr="002A4B88" w:rsidRDefault="002A4B88" w:rsidP="002A4B88">
      <w:pPr>
        <w:rPr>
          <w:lang w:val="en-GB"/>
        </w:rPr>
      </w:pPr>
      <w:r w:rsidRPr="002A4B88">
        <w:rPr>
          <w:lang w:val="en-GB"/>
        </w:rPr>
        <w:t>Severe flooding across Worcester, Shrewsbury, and Kidderminster in July 2025 caused significant damage to transport infrastructure following the River Severn breaching flood defences. The disruption restricted emergency response, interrupted supply chains, and created substantial economic losses. This project management plan outlines a structured approach to reopening a critical regional highway corridor.</w:t>
      </w:r>
    </w:p>
    <w:p w14:paraId="5C524482" w14:textId="77777777" w:rsidR="002A4B88" w:rsidRPr="002A4B88" w:rsidRDefault="002A4B88" w:rsidP="002A4B88">
      <w:pPr>
        <w:rPr>
          <w:lang w:val="en-GB"/>
        </w:rPr>
      </w:pPr>
      <w:r w:rsidRPr="002A4B88">
        <w:rPr>
          <w:lang w:val="en-GB"/>
        </w:rPr>
        <w:t>The project aims to restore safe two-lane highway access within six weeks through debris removal, drainage reconstruction, structural reinforcement, resurfacing, and safety inspection. Established project management methodologies including PRINCE2 and PMBOK are applied to ensure effective governance, risk control, stakeholder coordination, and resource efficiency.</w:t>
      </w:r>
    </w:p>
    <w:p w14:paraId="46EC8C64" w14:textId="57F78129" w:rsidR="00EF0748" w:rsidRPr="002A4B88" w:rsidRDefault="002A4B88">
      <w:pPr>
        <w:rPr>
          <w:lang w:val="en-GB"/>
        </w:rPr>
      </w:pPr>
      <w:r w:rsidRPr="002A4B88">
        <w:rPr>
          <w:lang w:val="en-GB"/>
        </w:rPr>
        <w:t>The plan presents project scope, Work Breakdown Structure, Quad Chart, scheduling strategy, stakeholder engagement framework, resource allocation, and risk analysis. Successful delivery will support community recovery, economic resilience, and long-term infrastructure sustainability</w:t>
      </w:r>
      <w:r w:rsidR="000C18B8">
        <w:t>.</w:t>
      </w:r>
    </w:p>
    <w:p w14:paraId="7BD2BE27" w14:textId="77777777" w:rsidR="00EF0748" w:rsidRDefault="000C18B8">
      <w:pPr>
        <w:pStyle w:val="Heading2"/>
      </w:pPr>
      <w:r>
        <w:t>Introduction</w:t>
      </w:r>
    </w:p>
    <w:p w14:paraId="1C2098DA" w14:textId="77777777" w:rsidR="002A4B88" w:rsidRPr="002A4B88" w:rsidRDefault="002A4B88" w:rsidP="002A4B88">
      <w:pPr>
        <w:rPr>
          <w:lang w:val="en-GB"/>
        </w:rPr>
      </w:pPr>
      <w:r w:rsidRPr="002A4B88">
        <w:rPr>
          <w:lang w:val="en-GB"/>
        </w:rPr>
        <w:t>Extreme weather events linked to climate change have increased flooding frequency across the United Kingdom, placing significant pressure on infrastructure systems (Environment Agency, 2023). The July 2025 flooding in the West Midlands caused widespread transport disruption after the River Severn exceeded safe capacity levels.</w:t>
      </w:r>
    </w:p>
    <w:p w14:paraId="2994ADC0" w14:textId="77777777" w:rsidR="002A4B88" w:rsidRPr="002A4B88" w:rsidRDefault="002A4B88" w:rsidP="002A4B88">
      <w:pPr>
        <w:rPr>
          <w:lang w:val="en-GB"/>
        </w:rPr>
      </w:pPr>
      <w:r w:rsidRPr="002A4B88">
        <w:rPr>
          <w:lang w:val="en-GB"/>
        </w:rPr>
        <w:t>Infrastructure restoration projects require structured planning due to complexity, uncertainty, and multiple stakeholder involvement. Project management provides systematic processes for planning, executing, monitoring, and closing projects efficiently (Project Management Institute, 2021).</w:t>
      </w:r>
    </w:p>
    <w:p w14:paraId="4D09D055" w14:textId="683F9606" w:rsidR="002A4B88" w:rsidRPr="002A4B88" w:rsidRDefault="002A4B88" w:rsidP="002A4B88">
      <w:pPr>
        <w:rPr>
          <w:lang w:val="en-GB"/>
        </w:rPr>
      </w:pPr>
      <w:r w:rsidRPr="002A4B88">
        <w:rPr>
          <w:lang w:val="en-GB"/>
        </w:rPr>
        <w:t>This report presents a detailed Project Management Plan for reopening a damaged highway corridor. The plan applies recognised project management tools to ensure effective delivery, risk reduction, and stakeholder satisfaction.</w:t>
      </w:r>
    </w:p>
    <w:p w14:paraId="4CE35E4B" w14:textId="77777777" w:rsidR="00EF0748" w:rsidRDefault="000C18B8">
      <w:pPr>
        <w:pStyle w:val="Heading2"/>
      </w:pPr>
      <w:r>
        <w:t>Project Description</w:t>
      </w:r>
    </w:p>
    <w:p w14:paraId="11AEFF54" w14:textId="77777777" w:rsidR="002A4B88" w:rsidRPr="002A4B88" w:rsidRDefault="002A4B88" w:rsidP="002A4B88">
      <w:pPr>
        <w:rPr>
          <w:lang w:val="en-GB"/>
        </w:rPr>
      </w:pPr>
      <w:r w:rsidRPr="002A4B88">
        <w:rPr>
          <w:lang w:val="en-GB"/>
        </w:rPr>
        <w:t>The proposed project focuses on reopening a principal highway corridor that connects affected communities and enables transportation of goods, emergency services, and public mobility.</w:t>
      </w:r>
    </w:p>
    <w:p w14:paraId="0185EC2C" w14:textId="77777777" w:rsidR="002A4B88" w:rsidRPr="002A4B88" w:rsidRDefault="002A4B88" w:rsidP="002A4B88">
      <w:pPr>
        <w:rPr>
          <w:b/>
          <w:bCs/>
          <w:lang w:val="en-GB"/>
        </w:rPr>
      </w:pPr>
      <w:r w:rsidRPr="002A4B88">
        <w:rPr>
          <w:b/>
          <w:bCs/>
          <w:lang w:val="en-GB"/>
        </w:rPr>
        <w:t>Project Objectives</w:t>
      </w:r>
    </w:p>
    <w:p w14:paraId="09C1FF5F" w14:textId="77777777" w:rsidR="002A4B88" w:rsidRPr="002A4B88" w:rsidRDefault="002A4B88" w:rsidP="002A4B88">
      <w:pPr>
        <w:numPr>
          <w:ilvl w:val="0"/>
          <w:numId w:val="10"/>
        </w:numPr>
        <w:rPr>
          <w:lang w:val="en-GB"/>
        </w:rPr>
      </w:pPr>
      <w:r w:rsidRPr="002A4B88">
        <w:rPr>
          <w:lang w:val="en-GB"/>
        </w:rPr>
        <w:t xml:space="preserve">Remove floodwater and debris within 10 days </w:t>
      </w:r>
    </w:p>
    <w:p w14:paraId="726E9981" w14:textId="77777777" w:rsidR="002A4B88" w:rsidRPr="002A4B88" w:rsidRDefault="002A4B88" w:rsidP="002A4B88">
      <w:pPr>
        <w:numPr>
          <w:ilvl w:val="0"/>
          <w:numId w:val="10"/>
        </w:numPr>
        <w:rPr>
          <w:lang w:val="en-GB"/>
        </w:rPr>
      </w:pPr>
      <w:r w:rsidRPr="002A4B88">
        <w:rPr>
          <w:lang w:val="en-GB"/>
        </w:rPr>
        <w:t xml:space="preserve">Repair drainage and structural damage </w:t>
      </w:r>
    </w:p>
    <w:p w14:paraId="1803E5D6" w14:textId="77777777" w:rsidR="002A4B88" w:rsidRPr="002A4B88" w:rsidRDefault="002A4B88" w:rsidP="002A4B88">
      <w:pPr>
        <w:numPr>
          <w:ilvl w:val="0"/>
          <w:numId w:val="10"/>
        </w:numPr>
        <w:rPr>
          <w:lang w:val="en-GB"/>
        </w:rPr>
      </w:pPr>
      <w:r w:rsidRPr="002A4B88">
        <w:rPr>
          <w:lang w:val="en-GB"/>
        </w:rPr>
        <w:lastRenderedPageBreak/>
        <w:t xml:space="preserve">Reinforce road foundations </w:t>
      </w:r>
    </w:p>
    <w:p w14:paraId="6894F744" w14:textId="77777777" w:rsidR="002A4B88" w:rsidRPr="002A4B88" w:rsidRDefault="002A4B88" w:rsidP="002A4B88">
      <w:pPr>
        <w:numPr>
          <w:ilvl w:val="0"/>
          <w:numId w:val="10"/>
        </w:numPr>
        <w:rPr>
          <w:lang w:val="en-GB"/>
        </w:rPr>
      </w:pPr>
      <w:r w:rsidRPr="002A4B88">
        <w:rPr>
          <w:lang w:val="en-GB"/>
        </w:rPr>
        <w:t xml:space="preserve">Restore two-lane traffic within six weeks </w:t>
      </w:r>
    </w:p>
    <w:p w14:paraId="35DED235" w14:textId="77777777" w:rsidR="002A4B88" w:rsidRPr="002A4B88" w:rsidRDefault="002A4B88" w:rsidP="002A4B88">
      <w:pPr>
        <w:numPr>
          <w:ilvl w:val="0"/>
          <w:numId w:val="10"/>
        </w:numPr>
        <w:rPr>
          <w:lang w:val="en-GB"/>
        </w:rPr>
      </w:pPr>
      <w:r w:rsidRPr="002A4B88">
        <w:rPr>
          <w:lang w:val="en-GB"/>
        </w:rPr>
        <w:t xml:space="preserve">Achieve full health and safety compliance </w:t>
      </w:r>
    </w:p>
    <w:p w14:paraId="40330150" w14:textId="77777777" w:rsidR="002A4B88" w:rsidRPr="002A4B88" w:rsidRDefault="002A4B88" w:rsidP="002A4B88">
      <w:pPr>
        <w:rPr>
          <w:b/>
          <w:bCs/>
          <w:lang w:val="en-GB"/>
        </w:rPr>
      </w:pPr>
      <w:r w:rsidRPr="002A4B88">
        <w:rPr>
          <w:b/>
          <w:bCs/>
          <w:lang w:val="en-GB"/>
        </w:rPr>
        <w:t>Project Methodology</w:t>
      </w:r>
    </w:p>
    <w:p w14:paraId="7FC62D87" w14:textId="77777777" w:rsidR="002A4B88" w:rsidRPr="002A4B88" w:rsidRDefault="002A4B88" w:rsidP="002A4B88">
      <w:pPr>
        <w:rPr>
          <w:lang w:val="en-GB"/>
        </w:rPr>
      </w:pPr>
      <w:r w:rsidRPr="002A4B88">
        <w:rPr>
          <w:lang w:val="en-GB"/>
        </w:rPr>
        <w:t xml:space="preserve">A hybrid approach combining </w:t>
      </w:r>
      <w:r w:rsidRPr="002A4B88">
        <w:rPr>
          <w:b/>
          <w:bCs/>
          <w:lang w:val="en-GB"/>
        </w:rPr>
        <w:t>PRINCE2 governance</w:t>
      </w:r>
      <w:r w:rsidRPr="002A4B88">
        <w:rPr>
          <w:lang w:val="en-GB"/>
        </w:rPr>
        <w:t xml:space="preserve"> and </w:t>
      </w:r>
      <w:r w:rsidRPr="002A4B88">
        <w:rPr>
          <w:b/>
          <w:bCs/>
          <w:lang w:val="en-GB"/>
        </w:rPr>
        <w:t>PMBOK knowledge areas</w:t>
      </w:r>
      <w:r w:rsidRPr="002A4B88">
        <w:rPr>
          <w:lang w:val="en-GB"/>
        </w:rPr>
        <w:t xml:space="preserve"> will be adopted.</w:t>
      </w:r>
    </w:p>
    <w:p w14:paraId="31537F2D" w14:textId="2699494D" w:rsidR="002A4B88" w:rsidRPr="002A4B88" w:rsidRDefault="002A4B88" w:rsidP="002A4B88">
      <w:pPr>
        <w:rPr>
          <w:lang w:val="en-GB"/>
        </w:rPr>
      </w:pPr>
      <w:r w:rsidRPr="002A4B88">
        <w:rPr>
          <w:lang w:val="en-GB"/>
        </w:rPr>
        <w:t>PRINCE2 supports clear accountability and stage control, while PMBOK provides operational guidance across scope, time, cost, risk, and communication management (Axelos, 2020).</w:t>
      </w:r>
    </w:p>
    <w:p w14:paraId="60FA7F9F" w14:textId="77777777" w:rsidR="00EF0748" w:rsidRDefault="000C18B8">
      <w:pPr>
        <w:pStyle w:val="Heading2"/>
      </w:pPr>
      <w:r>
        <w:t>Project Scope</w:t>
      </w:r>
    </w:p>
    <w:p w14:paraId="04FEEC41" w14:textId="4A2AF481" w:rsidR="00EF0748" w:rsidRDefault="000C18B8" w:rsidP="002A4B88">
      <w:r>
        <w:t>Scope includes damage assessment, debris clearance, drainage reconstruction, road stabilisation, resurfacing, and safety inspections. Residential reconstruction and long-term flood defence redesign remain outside project scope.</w:t>
      </w:r>
      <w:r w:rsidR="002A4B88">
        <w:t xml:space="preserve"> Out of scope is </w:t>
      </w:r>
      <w:r w:rsidR="002A4B88">
        <w:t>Reconstruction of residential properties</w:t>
      </w:r>
      <w:r w:rsidR="002A4B88">
        <w:t xml:space="preserve">, </w:t>
      </w:r>
      <w:r w:rsidR="002A4B88">
        <w:t xml:space="preserve">Long-term flood </w:t>
      </w:r>
      <w:r w:rsidR="002A4B88">
        <w:t>defense</w:t>
      </w:r>
      <w:r w:rsidR="002A4B88">
        <w:t xml:space="preserve"> redesign</w:t>
      </w:r>
      <w:r w:rsidR="002A4B88">
        <w:t xml:space="preserve"> and </w:t>
      </w:r>
      <w:r w:rsidR="002A4B88">
        <w:t>Utility network reconstruction beyond highway boundary</w:t>
      </w:r>
      <w:r w:rsidR="002A4B88">
        <w:t xml:space="preserve">. </w:t>
      </w:r>
      <w:proofErr w:type="gramStart"/>
      <w:r w:rsidR="002A4B88">
        <w:t>Clear</w:t>
      </w:r>
      <w:proofErr w:type="gramEnd"/>
      <w:r w:rsidR="002A4B88">
        <w:t xml:space="preserve"> scope definition prevents scope creep, which is a major cause of project failure (Kerzner, 2022)</w:t>
      </w:r>
    </w:p>
    <w:p w14:paraId="42BA25E5" w14:textId="77777777" w:rsidR="00EF0748" w:rsidRDefault="000C18B8">
      <w:pPr>
        <w:pStyle w:val="Heading2"/>
      </w:pPr>
      <w:r>
        <w:t>Work Breakdown Structure</w:t>
      </w:r>
    </w:p>
    <w:p w14:paraId="7A4CA970" w14:textId="19410509" w:rsidR="00EF0748" w:rsidRDefault="002A4B88">
      <w:r w:rsidRPr="002A4B88">
        <w:t>The Work Breakdown Structure decomposes project activities into manageable deliverables</w:t>
      </w:r>
      <w:r>
        <w:t xml:space="preserve">. </w:t>
      </w:r>
      <w:r w:rsidR="000C18B8">
        <w:t>Major phases include initiation, assessment, clearance, structural repair, resurfacing, inspection, and project closure.</w:t>
      </w:r>
      <w:r w:rsidRPr="002A4B88">
        <w:t xml:space="preserve"> </w:t>
      </w:r>
      <w:r w:rsidRPr="002A4B88">
        <w:t>The WBS improves cost estimation accuracy and responsibility allocation (Lock, 2020).</w:t>
      </w:r>
    </w:p>
    <w:p w14:paraId="6A0D396D" w14:textId="77777777" w:rsidR="00EF0748" w:rsidRDefault="000C18B8">
      <w:pPr>
        <w:pStyle w:val="Heading2"/>
      </w:pPr>
      <w:r>
        <w:t>Quad Chart</w:t>
      </w:r>
    </w:p>
    <w:tbl>
      <w:tblPr>
        <w:tblStyle w:val="TableGrid"/>
        <w:tblW w:w="8716" w:type="dxa"/>
        <w:tblLook w:val="04A0" w:firstRow="1" w:lastRow="0" w:firstColumn="1" w:lastColumn="0" w:noHBand="0" w:noVBand="1"/>
      </w:tblPr>
      <w:tblGrid>
        <w:gridCol w:w="1853"/>
        <w:gridCol w:w="6863"/>
      </w:tblGrid>
      <w:tr w:rsidR="00294733" w:rsidRPr="00294733" w14:paraId="3E8DACD3" w14:textId="77777777" w:rsidTr="00294733">
        <w:trPr>
          <w:trHeight w:val="846"/>
        </w:trPr>
        <w:tc>
          <w:tcPr>
            <w:tcW w:w="0" w:type="auto"/>
            <w:hideMark/>
          </w:tcPr>
          <w:p w14:paraId="1168948B" w14:textId="77777777" w:rsidR="00294733" w:rsidRPr="00294733" w:rsidRDefault="00294733" w:rsidP="00294733">
            <w:pPr>
              <w:spacing w:after="200" w:line="276" w:lineRule="auto"/>
              <w:rPr>
                <w:b/>
                <w:bCs/>
                <w:lang w:val="en-GB"/>
              </w:rPr>
            </w:pPr>
            <w:r w:rsidRPr="00294733">
              <w:rPr>
                <w:b/>
                <w:bCs/>
                <w:lang w:val="en-GB"/>
              </w:rPr>
              <w:t>Dimension</w:t>
            </w:r>
          </w:p>
        </w:tc>
        <w:tc>
          <w:tcPr>
            <w:tcW w:w="0" w:type="auto"/>
            <w:hideMark/>
          </w:tcPr>
          <w:p w14:paraId="741757BC" w14:textId="77777777" w:rsidR="00294733" w:rsidRPr="00294733" w:rsidRDefault="00294733" w:rsidP="00294733">
            <w:pPr>
              <w:spacing w:after="200" w:line="276" w:lineRule="auto"/>
              <w:rPr>
                <w:b/>
                <w:bCs/>
                <w:lang w:val="en-GB"/>
              </w:rPr>
            </w:pPr>
            <w:r w:rsidRPr="00294733">
              <w:rPr>
                <w:b/>
                <w:bCs/>
                <w:lang w:val="en-GB"/>
              </w:rPr>
              <w:t>Description</w:t>
            </w:r>
          </w:p>
        </w:tc>
      </w:tr>
      <w:tr w:rsidR="00294733" w:rsidRPr="00294733" w14:paraId="197502CF" w14:textId="77777777" w:rsidTr="00294733">
        <w:trPr>
          <w:trHeight w:val="846"/>
        </w:trPr>
        <w:tc>
          <w:tcPr>
            <w:tcW w:w="0" w:type="auto"/>
            <w:hideMark/>
          </w:tcPr>
          <w:p w14:paraId="5C2BF949" w14:textId="77777777" w:rsidR="00294733" w:rsidRPr="00294733" w:rsidRDefault="00294733" w:rsidP="00294733">
            <w:pPr>
              <w:spacing w:after="200" w:line="276" w:lineRule="auto"/>
              <w:rPr>
                <w:lang w:val="en-GB"/>
              </w:rPr>
            </w:pPr>
            <w:r w:rsidRPr="00294733">
              <w:rPr>
                <w:b/>
                <w:bCs/>
                <w:lang w:val="en-GB"/>
              </w:rPr>
              <w:t>Objectives</w:t>
            </w:r>
          </w:p>
        </w:tc>
        <w:tc>
          <w:tcPr>
            <w:tcW w:w="0" w:type="auto"/>
            <w:hideMark/>
          </w:tcPr>
          <w:p w14:paraId="1E074F2C" w14:textId="77777777" w:rsidR="00294733" w:rsidRPr="00294733" w:rsidRDefault="00294733" w:rsidP="00294733">
            <w:pPr>
              <w:spacing w:after="200" w:line="276" w:lineRule="auto"/>
              <w:rPr>
                <w:lang w:val="en-GB"/>
              </w:rPr>
            </w:pPr>
            <w:r w:rsidRPr="00294733">
              <w:rPr>
                <w:lang w:val="en-GB"/>
              </w:rPr>
              <w:t>Restore transport access and ensure public safety</w:t>
            </w:r>
          </w:p>
        </w:tc>
      </w:tr>
      <w:tr w:rsidR="00294733" w:rsidRPr="00294733" w14:paraId="3ECE8FAA" w14:textId="77777777" w:rsidTr="00294733">
        <w:trPr>
          <w:trHeight w:val="820"/>
        </w:trPr>
        <w:tc>
          <w:tcPr>
            <w:tcW w:w="0" w:type="auto"/>
            <w:hideMark/>
          </w:tcPr>
          <w:p w14:paraId="38F97F0A" w14:textId="77777777" w:rsidR="00294733" w:rsidRPr="00294733" w:rsidRDefault="00294733" w:rsidP="00294733">
            <w:pPr>
              <w:spacing w:after="200" w:line="276" w:lineRule="auto"/>
              <w:rPr>
                <w:lang w:val="en-GB"/>
              </w:rPr>
            </w:pPr>
            <w:r w:rsidRPr="00294733">
              <w:rPr>
                <w:b/>
                <w:bCs/>
                <w:lang w:val="en-GB"/>
              </w:rPr>
              <w:t>Schedule</w:t>
            </w:r>
          </w:p>
        </w:tc>
        <w:tc>
          <w:tcPr>
            <w:tcW w:w="0" w:type="auto"/>
            <w:hideMark/>
          </w:tcPr>
          <w:p w14:paraId="568B732E" w14:textId="77777777" w:rsidR="00294733" w:rsidRPr="00294733" w:rsidRDefault="00294733" w:rsidP="00294733">
            <w:pPr>
              <w:spacing w:after="200" w:line="276" w:lineRule="auto"/>
              <w:rPr>
                <w:lang w:val="en-GB"/>
              </w:rPr>
            </w:pPr>
            <w:r w:rsidRPr="00294733">
              <w:rPr>
                <w:lang w:val="en-GB"/>
              </w:rPr>
              <w:t>6-week delivery programme</w:t>
            </w:r>
          </w:p>
        </w:tc>
      </w:tr>
      <w:tr w:rsidR="00294733" w:rsidRPr="00294733" w14:paraId="55014ABA" w14:textId="77777777" w:rsidTr="00294733">
        <w:trPr>
          <w:trHeight w:val="846"/>
        </w:trPr>
        <w:tc>
          <w:tcPr>
            <w:tcW w:w="0" w:type="auto"/>
            <w:hideMark/>
          </w:tcPr>
          <w:p w14:paraId="156A5270" w14:textId="77777777" w:rsidR="00294733" w:rsidRPr="00294733" w:rsidRDefault="00294733" w:rsidP="00294733">
            <w:pPr>
              <w:spacing w:after="200" w:line="276" w:lineRule="auto"/>
              <w:rPr>
                <w:lang w:val="en-GB"/>
              </w:rPr>
            </w:pPr>
            <w:r w:rsidRPr="00294733">
              <w:rPr>
                <w:b/>
                <w:bCs/>
                <w:lang w:val="en-GB"/>
              </w:rPr>
              <w:t>Cost</w:t>
            </w:r>
          </w:p>
        </w:tc>
        <w:tc>
          <w:tcPr>
            <w:tcW w:w="0" w:type="auto"/>
            <w:hideMark/>
          </w:tcPr>
          <w:p w14:paraId="2AE958D2" w14:textId="77777777" w:rsidR="00294733" w:rsidRPr="00294733" w:rsidRDefault="00294733" w:rsidP="00294733">
            <w:pPr>
              <w:spacing w:after="200" w:line="276" w:lineRule="auto"/>
              <w:rPr>
                <w:lang w:val="en-GB"/>
              </w:rPr>
            </w:pPr>
            <w:r w:rsidRPr="00294733">
              <w:rPr>
                <w:lang w:val="en-GB"/>
              </w:rPr>
              <w:t>£2.93 million estimated budget</w:t>
            </w:r>
          </w:p>
        </w:tc>
      </w:tr>
      <w:tr w:rsidR="00294733" w:rsidRPr="00294733" w14:paraId="40B2F7DE" w14:textId="77777777" w:rsidTr="00294733">
        <w:trPr>
          <w:trHeight w:val="846"/>
        </w:trPr>
        <w:tc>
          <w:tcPr>
            <w:tcW w:w="0" w:type="auto"/>
            <w:hideMark/>
          </w:tcPr>
          <w:p w14:paraId="2D9CA4A1" w14:textId="77777777" w:rsidR="00294733" w:rsidRPr="00294733" w:rsidRDefault="00294733" w:rsidP="00294733">
            <w:pPr>
              <w:spacing w:after="200" w:line="276" w:lineRule="auto"/>
              <w:rPr>
                <w:lang w:val="en-GB"/>
              </w:rPr>
            </w:pPr>
            <w:r w:rsidRPr="00294733">
              <w:rPr>
                <w:b/>
                <w:bCs/>
                <w:lang w:val="en-GB"/>
              </w:rPr>
              <w:t>Risks</w:t>
            </w:r>
          </w:p>
        </w:tc>
        <w:tc>
          <w:tcPr>
            <w:tcW w:w="0" w:type="auto"/>
            <w:hideMark/>
          </w:tcPr>
          <w:p w14:paraId="6D646CE8" w14:textId="77777777" w:rsidR="00294733" w:rsidRPr="00294733" w:rsidRDefault="00294733" w:rsidP="00294733">
            <w:pPr>
              <w:spacing w:after="200" w:line="276" w:lineRule="auto"/>
              <w:rPr>
                <w:lang w:val="en-GB"/>
              </w:rPr>
            </w:pPr>
            <w:r w:rsidRPr="00294733">
              <w:rPr>
                <w:lang w:val="en-GB"/>
              </w:rPr>
              <w:t>Weather, supply delays, structural instability</w:t>
            </w:r>
          </w:p>
        </w:tc>
      </w:tr>
    </w:tbl>
    <w:p w14:paraId="46BA42E9" w14:textId="77777777" w:rsidR="00294733" w:rsidRPr="00294733" w:rsidRDefault="00294733" w:rsidP="00294733"/>
    <w:p w14:paraId="5C897BEC" w14:textId="77777777" w:rsidR="00EF0748" w:rsidRDefault="000C18B8">
      <w:pPr>
        <w:pStyle w:val="Heading2"/>
      </w:pPr>
      <w:r>
        <w:lastRenderedPageBreak/>
        <w:t>Gantt Chart</w:t>
      </w:r>
    </w:p>
    <w:tbl>
      <w:tblPr>
        <w:tblStyle w:val="TableGrid"/>
        <w:tblW w:w="9088" w:type="dxa"/>
        <w:tblLook w:val="04A0" w:firstRow="1" w:lastRow="0" w:firstColumn="1" w:lastColumn="0" w:noHBand="0" w:noVBand="1"/>
      </w:tblPr>
      <w:tblGrid>
        <w:gridCol w:w="2440"/>
        <w:gridCol w:w="1108"/>
        <w:gridCol w:w="1108"/>
        <w:gridCol w:w="1108"/>
        <w:gridCol w:w="1108"/>
        <w:gridCol w:w="1108"/>
        <w:gridCol w:w="1108"/>
      </w:tblGrid>
      <w:tr w:rsidR="00262F20" w:rsidRPr="00262F20" w14:paraId="2B189148" w14:textId="77777777" w:rsidTr="00262F20">
        <w:trPr>
          <w:trHeight w:val="590"/>
        </w:trPr>
        <w:tc>
          <w:tcPr>
            <w:tcW w:w="0" w:type="auto"/>
            <w:hideMark/>
          </w:tcPr>
          <w:p w14:paraId="341E6330" w14:textId="77777777" w:rsidR="00262F20" w:rsidRPr="00262F20" w:rsidRDefault="00262F20" w:rsidP="00262F20">
            <w:pPr>
              <w:spacing w:after="200" w:line="276" w:lineRule="auto"/>
              <w:rPr>
                <w:b/>
                <w:bCs/>
                <w:lang w:val="en-GB"/>
              </w:rPr>
            </w:pPr>
            <w:r w:rsidRPr="00262F20">
              <w:rPr>
                <w:b/>
                <w:bCs/>
                <w:lang w:val="en-GB"/>
              </w:rPr>
              <w:t>Task</w:t>
            </w:r>
          </w:p>
        </w:tc>
        <w:tc>
          <w:tcPr>
            <w:tcW w:w="0" w:type="auto"/>
            <w:hideMark/>
          </w:tcPr>
          <w:p w14:paraId="0CCFF2C5" w14:textId="77777777" w:rsidR="00262F20" w:rsidRPr="00262F20" w:rsidRDefault="00262F20" w:rsidP="00262F20">
            <w:pPr>
              <w:spacing w:after="200" w:line="276" w:lineRule="auto"/>
              <w:rPr>
                <w:b/>
                <w:bCs/>
                <w:lang w:val="en-GB"/>
              </w:rPr>
            </w:pPr>
            <w:r w:rsidRPr="00262F20">
              <w:rPr>
                <w:b/>
                <w:bCs/>
                <w:lang w:val="en-GB"/>
              </w:rPr>
              <w:t>Week 1</w:t>
            </w:r>
          </w:p>
        </w:tc>
        <w:tc>
          <w:tcPr>
            <w:tcW w:w="0" w:type="auto"/>
            <w:hideMark/>
          </w:tcPr>
          <w:p w14:paraId="20A12A3D" w14:textId="77777777" w:rsidR="00262F20" w:rsidRPr="00262F20" w:rsidRDefault="00262F20" w:rsidP="00262F20">
            <w:pPr>
              <w:spacing w:after="200" w:line="276" w:lineRule="auto"/>
              <w:rPr>
                <w:b/>
                <w:bCs/>
                <w:lang w:val="en-GB"/>
              </w:rPr>
            </w:pPr>
            <w:r w:rsidRPr="00262F20">
              <w:rPr>
                <w:b/>
                <w:bCs/>
                <w:lang w:val="en-GB"/>
              </w:rPr>
              <w:t>Week 2</w:t>
            </w:r>
          </w:p>
        </w:tc>
        <w:tc>
          <w:tcPr>
            <w:tcW w:w="0" w:type="auto"/>
            <w:hideMark/>
          </w:tcPr>
          <w:p w14:paraId="61DE2240" w14:textId="77777777" w:rsidR="00262F20" w:rsidRPr="00262F20" w:rsidRDefault="00262F20" w:rsidP="00262F20">
            <w:pPr>
              <w:spacing w:after="200" w:line="276" w:lineRule="auto"/>
              <w:rPr>
                <w:b/>
                <w:bCs/>
                <w:lang w:val="en-GB"/>
              </w:rPr>
            </w:pPr>
            <w:r w:rsidRPr="00262F20">
              <w:rPr>
                <w:b/>
                <w:bCs/>
                <w:lang w:val="en-GB"/>
              </w:rPr>
              <w:t>Week 3</w:t>
            </w:r>
          </w:p>
        </w:tc>
        <w:tc>
          <w:tcPr>
            <w:tcW w:w="0" w:type="auto"/>
            <w:hideMark/>
          </w:tcPr>
          <w:p w14:paraId="21D4E504" w14:textId="77777777" w:rsidR="00262F20" w:rsidRPr="00262F20" w:rsidRDefault="00262F20" w:rsidP="00262F20">
            <w:pPr>
              <w:spacing w:after="200" w:line="276" w:lineRule="auto"/>
              <w:rPr>
                <w:b/>
                <w:bCs/>
                <w:lang w:val="en-GB"/>
              </w:rPr>
            </w:pPr>
            <w:r w:rsidRPr="00262F20">
              <w:rPr>
                <w:b/>
                <w:bCs/>
                <w:lang w:val="en-GB"/>
              </w:rPr>
              <w:t>Week 4</w:t>
            </w:r>
          </w:p>
        </w:tc>
        <w:tc>
          <w:tcPr>
            <w:tcW w:w="0" w:type="auto"/>
            <w:hideMark/>
          </w:tcPr>
          <w:p w14:paraId="7F629647" w14:textId="77777777" w:rsidR="00262F20" w:rsidRPr="00262F20" w:rsidRDefault="00262F20" w:rsidP="00262F20">
            <w:pPr>
              <w:spacing w:after="200" w:line="276" w:lineRule="auto"/>
              <w:rPr>
                <w:b/>
                <w:bCs/>
                <w:lang w:val="en-GB"/>
              </w:rPr>
            </w:pPr>
            <w:r w:rsidRPr="00262F20">
              <w:rPr>
                <w:b/>
                <w:bCs/>
                <w:lang w:val="en-GB"/>
              </w:rPr>
              <w:t>Week 5</w:t>
            </w:r>
          </w:p>
        </w:tc>
        <w:tc>
          <w:tcPr>
            <w:tcW w:w="0" w:type="auto"/>
            <w:hideMark/>
          </w:tcPr>
          <w:p w14:paraId="042C1B1B" w14:textId="77777777" w:rsidR="00262F20" w:rsidRPr="00262F20" w:rsidRDefault="00262F20" w:rsidP="00262F20">
            <w:pPr>
              <w:spacing w:after="200" w:line="276" w:lineRule="auto"/>
              <w:rPr>
                <w:b/>
                <w:bCs/>
                <w:lang w:val="en-GB"/>
              </w:rPr>
            </w:pPr>
            <w:r w:rsidRPr="00262F20">
              <w:rPr>
                <w:b/>
                <w:bCs/>
                <w:lang w:val="en-GB"/>
              </w:rPr>
              <w:t>Week 6</w:t>
            </w:r>
          </w:p>
        </w:tc>
      </w:tr>
      <w:tr w:rsidR="00262F20" w:rsidRPr="00262F20" w14:paraId="39FB9408" w14:textId="77777777" w:rsidTr="00262F20">
        <w:trPr>
          <w:trHeight w:val="590"/>
        </w:trPr>
        <w:tc>
          <w:tcPr>
            <w:tcW w:w="0" w:type="auto"/>
            <w:hideMark/>
          </w:tcPr>
          <w:p w14:paraId="688A5304" w14:textId="77777777" w:rsidR="00262F20" w:rsidRPr="00262F20" w:rsidRDefault="00262F20" w:rsidP="00262F20">
            <w:pPr>
              <w:spacing w:after="200" w:line="276" w:lineRule="auto"/>
              <w:rPr>
                <w:lang w:val="en-GB"/>
              </w:rPr>
            </w:pPr>
            <w:r w:rsidRPr="00262F20">
              <w:rPr>
                <w:lang w:val="en-GB"/>
              </w:rPr>
              <w:t>Initiation</w:t>
            </w:r>
          </w:p>
        </w:tc>
        <w:tc>
          <w:tcPr>
            <w:tcW w:w="0" w:type="auto"/>
            <w:hideMark/>
          </w:tcPr>
          <w:p w14:paraId="1D9FB4D2"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12E89324" w14:textId="77777777" w:rsidR="00262F20" w:rsidRPr="00262F20" w:rsidRDefault="00262F20" w:rsidP="00262F20">
            <w:pPr>
              <w:spacing w:after="200" w:line="276" w:lineRule="auto"/>
              <w:rPr>
                <w:lang w:val="en-GB"/>
              </w:rPr>
            </w:pPr>
          </w:p>
        </w:tc>
        <w:tc>
          <w:tcPr>
            <w:tcW w:w="0" w:type="auto"/>
            <w:hideMark/>
          </w:tcPr>
          <w:p w14:paraId="7F617E0D" w14:textId="77777777" w:rsidR="00262F20" w:rsidRPr="00262F20" w:rsidRDefault="00262F20" w:rsidP="00262F20">
            <w:pPr>
              <w:spacing w:after="200" w:line="276" w:lineRule="auto"/>
              <w:rPr>
                <w:lang w:val="en-GB"/>
              </w:rPr>
            </w:pPr>
          </w:p>
        </w:tc>
        <w:tc>
          <w:tcPr>
            <w:tcW w:w="0" w:type="auto"/>
            <w:hideMark/>
          </w:tcPr>
          <w:p w14:paraId="5A2DBED8" w14:textId="77777777" w:rsidR="00262F20" w:rsidRPr="00262F20" w:rsidRDefault="00262F20" w:rsidP="00262F20">
            <w:pPr>
              <w:spacing w:after="200" w:line="276" w:lineRule="auto"/>
              <w:rPr>
                <w:lang w:val="en-GB"/>
              </w:rPr>
            </w:pPr>
          </w:p>
        </w:tc>
        <w:tc>
          <w:tcPr>
            <w:tcW w:w="0" w:type="auto"/>
            <w:hideMark/>
          </w:tcPr>
          <w:p w14:paraId="27FF43B4" w14:textId="77777777" w:rsidR="00262F20" w:rsidRPr="00262F20" w:rsidRDefault="00262F20" w:rsidP="00262F20">
            <w:pPr>
              <w:spacing w:after="200" w:line="276" w:lineRule="auto"/>
              <w:rPr>
                <w:lang w:val="en-GB"/>
              </w:rPr>
            </w:pPr>
          </w:p>
        </w:tc>
        <w:tc>
          <w:tcPr>
            <w:tcW w:w="0" w:type="auto"/>
            <w:hideMark/>
          </w:tcPr>
          <w:p w14:paraId="06D52510" w14:textId="77777777" w:rsidR="00262F20" w:rsidRPr="00262F20" w:rsidRDefault="00262F20" w:rsidP="00262F20">
            <w:pPr>
              <w:spacing w:after="200" w:line="276" w:lineRule="auto"/>
              <w:rPr>
                <w:lang w:val="en-GB"/>
              </w:rPr>
            </w:pPr>
          </w:p>
        </w:tc>
      </w:tr>
      <w:tr w:rsidR="00262F20" w:rsidRPr="00262F20" w14:paraId="0AD1DEAF" w14:textId="77777777" w:rsidTr="00262F20">
        <w:trPr>
          <w:trHeight w:val="572"/>
        </w:trPr>
        <w:tc>
          <w:tcPr>
            <w:tcW w:w="0" w:type="auto"/>
            <w:hideMark/>
          </w:tcPr>
          <w:p w14:paraId="036AB9BF" w14:textId="77777777" w:rsidR="00262F20" w:rsidRPr="00262F20" w:rsidRDefault="00262F20" w:rsidP="00262F20">
            <w:pPr>
              <w:spacing w:after="200" w:line="276" w:lineRule="auto"/>
              <w:rPr>
                <w:lang w:val="en-GB"/>
              </w:rPr>
            </w:pPr>
            <w:r w:rsidRPr="00262F20">
              <w:rPr>
                <w:lang w:val="en-GB"/>
              </w:rPr>
              <w:t>Damage Assessment</w:t>
            </w:r>
          </w:p>
        </w:tc>
        <w:tc>
          <w:tcPr>
            <w:tcW w:w="0" w:type="auto"/>
            <w:hideMark/>
          </w:tcPr>
          <w:p w14:paraId="306488C3"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1BDF7968"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67415914" w14:textId="77777777" w:rsidR="00262F20" w:rsidRPr="00262F20" w:rsidRDefault="00262F20" w:rsidP="00262F20">
            <w:pPr>
              <w:spacing w:after="200" w:line="276" w:lineRule="auto"/>
              <w:rPr>
                <w:lang w:val="en-GB"/>
              </w:rPr>
            </w:pPr>
          </w:p>
        </w:tc>
        <w:tc>
          <w:tcPr>
            <w:tcW w:w="0" w:type="auto"/>
            <w:hideMark/>
          </w:tcPr>
          <w:p w14:paraId="51034D59" w14:textId="77777777" w:rsidR="00262F20" w:rsidRPr="00262F20" w:rsidRDefault="00262F20" w:rsidP="00262F20">
            <w:pPr>
              <w:spacing w:after="200" w:line="276" w:lineRule="auto"/>
              <w:rPr>
                <w:lang w:val="en-GB"/>
              </w:rPr>
            </w:pPr>
          </w:p>
        </w:tc>
        <w:tc>
          <w:tcPr>
            <w:tcW w:w="0" w:type="auto"/>
            <w:hideMark/>
          </w:tcPr>
          <w:p w14:paraId="06BB3D8E" w14:textId="77777777" w:rsidR="00262F20" w:rsidRPr="00262F20" w:rsidRDefault="00262F20" w:rsidP="00262F20">
            <w:pPr>
              <w:spacing w:after="200" w:line="276" w:lineRule="auto"/>
              <w:rPr>
                <w:lang w:val="en-GB"/>
              </w:rPr>
            </w:pPr>
          </w:p>
        </w:tc>
        <w:tc>
          <w:tcPr>
            <w:tcW w:w="0" w:type="auto"/>
            <w:hideMark/>
          </w:tcPr>
          <w:p w14:paraId="58352B7A" w14:textId="77777777" w:rsidR="00262F20" w:rsidRPr="00262F20" w:rsidRDefault="00262F20" w:rsidP="00262F20">
            <w:pPr>
              <w:spacing w:after="200" w:line="276" w:lineRule="auto"/>
              <w:rPr>
                <w:lang w:val="en-GB"/>
              </w:rPr>
            </w:pPr>
          </w:p>
        </w:tc>
      </w:tr>
      <w:tr w:rsidR="00262F20" w:rsidRPr="00262F20" w14:paraId="542A838E" w14:textId="77777777" w:rsidTr="00262F20">
        <w:trPr>
          <w:trHeight w:val="590"/>
        </w:trPr>
        <w:tc>
          <w:tcPr>
            <w:tcW w:w="0" w:type="auto"/>
            <w:hideMark/>
          </w:tcPr>
          <w:p w14:paraId="3058A09D" w14:textId="77777777" w:rsidR="00262F20" w:rsidRPr="00262F20" w:rsidRDefault="00262F20" w:rsidP="00262F20">
            <w:pPr>
              <w:spacing w:after="200" w:line="276" w:lineRule="auto"/>
              <w:rPr>
                <w:lang w:val="en-GB"/>
              </w:rPr>
            </w:pPr>
            <w:r w:rsidRPr="00262F20">
              <w:rPr>
                <w:lang w:val="en-GB"/>
              </w:rPr>
              <w:t>Clearance</w:t>
            </w:r>
          </w:p>
        </w:tc>
        <w:tc>
          <w:tcPr>
            <w:tcW w:w="0" w:type="auto"/>
            <w:hideMark/>
          </w:tcPr>
          <w:p w14:paraId="531673FC" w14:textId="77777777" w:rsidR="00262F20" w:rsidRPr="00262F20" w:rsidRDefault="00262F20" w:rsidP="00262F20">
            <w:pPr>
              <w:spacing w:after="200" w:line="276" w:lineRule="auto"/>
              <w:rPr>
                <w:lang w:val="en-GB"/>
              </w:rPr>
            </w:pPr>
          </w:p>
        </w:tc>
        <w:tc>
          <w:tcPr>
            <w:tcW w:w="0" w:type="auto"/>
            <w:hideMark/>
          </w:tcPr>
          <w:p w14:paraId="1F6C794B"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1F75F78F" w14:textId="77777777" w:rsidR="00262F20" w:rsidRPr="00262F20" w:rsidRDefault="00262F20" w:rsidP="00262F20">
            <w:pPr>
              <w:spacing w:after="200" w:line="276" w:lineRule="auto"/>
              <w:rPr>
                <w:lang w:val="en-GB"/>
              </w:rPr>
            </w:pPr>
          </w:p>
        </w:tc>
        <w:tc>
          <w:tcPr>
            <w:tcW w:w="0" w:type="auto"/>
            <w:hideMark/>
          </w:tcPr>
          <w:p w14:paraId="0BA6DD1A" w14:textId="77777777" w:rsidR="00262F20" w:rsidRPr="00262F20" w:rsidRDefault="00262F20" w:rsidP="00262F20">
            <w:pPr>
              <w:spacing w:after="200" w:line="276" w:lineRule="auto"/>
              <w:rPr>
                <w:lang w:val="en-GB"/>
              </w:rPr>
            </w:pPr>
          </w:p>
        </w:tc>
        <w:tc>
          <w:tcPr>
            <w:tcW w:w="0" w:type="auto"/>
            <w:hideMark/>
          </w:tcPr>
          <w:p w14:paraId="1B7CF21C" w14:textId="77777777" w:rsidR="00262F20" w:rsidRPr="00262F20" w:rsidRDefault="00262F20" w:rsidP="00262F20">
            <w:pPr>
              <w:spacing w:after="200" w:line="276" w:lineRule="auto"/>
              <w:rPr>
                <w:lang w:val="en-GB"/>
              </w:rPr>
            </w:pPr>
          </w:p>
        </w:tc>
        <w:tc>
          <w:tcPr>
            <w:tcW w:w="0" w:type="auto"/>
            <w:hideMark/>
          </w:tcPr>
          <w:p w14:paraId="2360D079" w14:textId="77777777" w:rsidR="00262F20" w:rsidRPr="00262F20" w:rsidRDefault="00262F20" w:rsidP="00262F20">
            <w:pPr>
              <w:spacing w:after="200" w:line="276" w:lineRule="auto"/>
              <w:rPr>
                <w:lang w:val="en-GB"/>
              </w:rPr>
            </w:pPr>
          </w:p>
        </w:tc>
      </w:tr>
      <w:tr w:rsidR="00262F20" w:rsidRPr="00262F20" w14:paraId="612854DD" w14:textId="77777777" w:rsidTr="00262F20">
        <w:trPr>
          <w:trHeight w:val="590"/>
        </w:trPr>
        <w:tc>
          <w:tcPr>
            <w:tcW w:w="0" w:type="auto"/>
            <w:hideMark/>
          </w:tcPr>
          <w:p w14:paraId="7E05B101" w14:textId="77777777" w:rsidR="00262F20" w:rsidRPr="00262F20" w:rsidRDefault="00262F20" w:rsidP="00262F20">
            <w:pPr>
              <w:spacing w:after="200" w:line="276" w:lineRule="auto"/>
              <w:rPr>
                <w:lang w:val="en-GB"/>
              </w:rPr>
            </w:pPr>
            <w:r w:rsidRPr="00262F20">
              <w:rPr>
                <w:lang w:val="en-GB"/>
              </w:rPr>
              <w:t>Structural Repairs</w:t>
            </w:r>
          </w:p>
        </w:tc>
        <w:tc>
          <w:tcPr>
            <w:tcW w:w="0" w:type="auto"/>
            <w:hideMark/>
          </w:tcPr>
          <w:p w14:paraId="3B646C13" w14:textId="77777777" w:rsidR="00262F20" w:rsidRPr="00262F20" w:rsidRDefault="00262F20" w:rsidP="00262F20">
            <w:pPr>
              <w:spacing w:after="200" w:line="276" w:lineRule="auto"/>
              <w:rPr>
                <w:lang w:val="en-GB"/>
              </w:rPr>
            </w:pPr>
          </w:p>
        </w:tc>
        <w:tc>
          <w:tcPr>
            <w:tcW w:w="0" w:type="auto"/>
            <w:hideMark/>
          </w:tcPr>
          <w:p w14:paraId="1692E05C" w14:textId="77777777" w:rsidR="00262F20" w:rsidRPr="00262F20" w:rsidRDefault="00262F20" w:rsidP="00262F20">
            <w:pPr>
              <w:spacing w:after="200" w:line="276" w:lineRule="auto"/>
              <w:rPr>
                <w:lang w:val="en-GB"/>
              </w:rPr>
            </w:pPr>
          </w:p>
        </w:tc>
        <w:tc>
          <w:tcPr>
            <w:tcW w:w="0" w:type="auto"/>
            <w:hideMark/>
          </w:tcPr>
          <w:p w14:paraId="1BB5D987"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2A66DB0C"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46EE2E61" w14:textId="77777777" w:rsidR="00262F20" w:rsidRPr="00262F20" w:rsidRDefault="00262F20" w:rsidP="00262F20">
            <w:pPr>
              <w:spacing w:after="200" w:line="276" w:lineRule="auto"/>
              <w:rPr>
                <w:lang w:val="en-GB"/>
              </w:rPr>
            </w:pPr>
          </w:p>
        </w:tc>
        <w:tc>
          <w:tcPr>
            <w:tcW w:w="0" w:type="auto"/>
            <w:hideMark/>
          </w:tcPr>
          <w:p w14:paraId="3A7622F8" w14:textId="77777777" w:rsidR="00262F20" w:rsidRPr="00262F20" w:rsidRDefault="00262F20" w:rsidP="00262F20">
            <w:pPr>
              <w:spacing w:after="200" w:line="276" w:lineRule="auto"/>
              <w:rPr>
                <w:lang w:val="en-GB"/>
              </w:rPr>
            </w:pPr>
          </w:p>
        </w:tc>
      </w:tr>
      <w:tr w:rsidR="00262F20" w:rsidRPr="00262F20" w14:paraId="2CDDE232" w14:textId="77777777" w:rsidTr="00262F20">
        <w:trPr>
          <w:trHeight w:val="590"/>
        </w:trPr>
        <w:tc>
          <w:tcPr>
            <w:tcW w:w="0" w:type="auto"/>
            <w:hideMark/>
          </w:tcPr>
          <w:p w14:paraId="634C9B25" w14:textId="77777777" w:rsidR="00262F20" w:rsidRPr="00262F20" w:rsidRDefault="00262F20" w:rsidP="00262F20">
            <w:pPr>
              <w:spacing w:after="200" w:line="276" w:lineRule="auto"/>
              <w:rPr>
                <w:lang w:val="en-GB"/>
              </w:rPr>
            </w:pPr>
            <w:r w:rsidRPr="00262F20">
              <w:rPr>
                <w:lang w:val="en-GB"/>
              </w:rPr>
              <w:t>Resurfacing</w:t>
            </w:r>
          </w:p>
        </w:tc>
        <w:tc>
          <w:tcPr>
            <w:tcW w:w="0" w:type="auto"/>
            <w:hideMark/>
          </w:tcPr>
          <w:p w14:paraId="0CE8B3C2" w14:textId="77777777" w:rsidR="00262F20" w:rsidRPr="00262F20" w:rsidRDefault="00262F20" w:rsidP="00262F20">
            <w:pPr>
              <w:spacing w:after="200" w:line="276" w:lineRule="auto"/>
              <w:rPr>
                <w:lang w:val="en-GB"/>
              </w:rPr>
            </w:pPr>
          </w:p>
        </w:tc>
        <w:tc>
          <w:tcPr>
            <w:tcW w:w="0" w:type="auto"/>
            <w:hideMark/>
          </w:tcPr>
          <w:p w14:paraId="5644E0BB" w14:textId="77777777" w:rsidR="00262F20" w:rsidRPr="00262F20" w:rsidRDefault="00262F20" w:rsidP="00262F20">
            <w:pPr>
              <w:spacing w:after="200" w:line="276" w:lineRule="auto"/>
              <w:rPr>
                <w:lang w:val="en-GB"/>
              </w:rPr>
            </w:pPr>
          </w:p>
        </w:tc>
        <w:tc>
          <w:tcPr>
            <w:tcW w:w="0" w:type="auto"/>
            <w:hideMark/>
          </w:tcPr>
          <w:p w14:paraId="2B6E5C2C" w14:textId="77777777" w:rsidR="00262F20" w:rsidRPr="00262F20" w:rsidRDefault="00262F20" w:rsidP="00262F20">
            <w:pPr>
              <w:spacing w:after="200" w:line="276" w:lineRule="auto"/>
              <w:rPr>
                <w:lang w:val="en-GB"/>
              </w:rPr>
            </w:pPr>
          </w:p>
        </w:tc>
        <w:tc>
          <w:tcPr>
            <w:tcW w:w="0" w:type="auto"/>
            <w:hideMark/>
          </w:tcPr>
          <w:p w14:paraId="43D2CF96"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097291E6"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0B53E752" w14:textId="77777777" w:rsidR="00262F20" w:rsidRPr="00262F20" w:rsidRDefault="00262F20" w:rsidP="00262F20">
            <w:pPr>
              <w:spacing w:after="200" w:line="276" w:lineRule="auto"/>
              <w:rPr>
                <w:lang w:val="en-GB"/>
              </w:rPr>
            </w:pPr>
          </w:p>
        </w:tc>
      </w:tr>
      <w:tr w:rsidR="00262F20" w:rsidRPr="00262F20" w14:paraId="1618EB76" w14:textId="77777777" w:rsidTr="00262F20">
        <w:trPr>
          <w:trHeight w:val="572"/>
        </w:trPr>
        <w:tc>
          <w:tcPr>
            <w:tcW w:w="0" w:type="auto"/>
            <w:hideMark/>
          </w:tcPr>
          <w:p w14:paraId="573B74D9" w14:textId="77777777" w:rsidR="00262F20" w:rsidRPr="00262F20" w:rsidRDefault="00262F20" w:rsidP="00262F20">
            <w:pPr>
              <w:spacing w:after="200" w:line="276" w:lineRule="auto"/>
              <w:rPr>
                <w:lang w:val="en-GB"/>
              </w:rPr>
            </w:pPr>
            <w:r w:rsidRPr="00262F20">
              <w:rPr>
                <w:lang w:val="en-GB"/>
              </w:rPr>
              <w:t>Inspection</w:t>
            </w:r>
          </w:p>
        </w:tc>
        <w:tc>
          <w:tcPr>
            <w:tcW w:w="0" w:type="auto"/>
            <w:hideMark/>
          </w:tcPr>
          <w:p w14:paraId="1EFE9D20" w14:textId="77777777" w:rsidR="00262F20" w:rsidRPr="00262F20" w:rsidRDefault="00262F20" w:rsidP="00262F20">
            <w:pPr>
              <w:spacing w:after="200" w:line="276" w:lineRule="auto"/>
              <w:rPr>
                <w:lang w:val="en-GB"/>
              </w:rPr>
            </w:pPr>
          </w:p>
        </w:tc>
        <w:tc>
          <w:tcPr>
            <w:tcW w:w="0" w:type="auto"/>
            <w:hideMark/>
          </w:tcPr>
          <w:p w14:paraId="28DE8482" w14:textId="77777777" w:rsidR="00262F20" w:rsidRPr="00262F20" w:rsidRDefault="00262F20" w:rsidP="00262F20">
            <w:pPr>
              <w:spacing w:after="200" w:line="276" w:lineRule="auto"/>
              <w:rPr>
                <w:lang w:val="en-GB"/>
              </w:rPr>
            </w:pPr>
          </w:p>
        </w:tc>
        <w:tc>
          <w:tcPr>
            <w:tcW w:w="0" w:type="auto"/>
            <w:hideMark/>
          </w:tcPr>
          <w:p w14:paraId="7B8E2552" w14:textId="77777777" w:rsidR="00262F20" w:rsidRPr="00262F20" w:rsidRDefault="00262F20" w:rsidP="00262F20">
            <w:pPr>
              <w:spacing w:after="200" w:line="276" w:lineRule="auto"/>
              <w:rPr>
                <w:lang w:val="en-GB"/>
              </w:rPr>
            </w:pPr>
          </w:p>
        </w:tc>
        <w:tc>
          <w:tcPr>
            <w:tcW w:w="0" w:type="auto"/>
            <w:hideMark/>
          </w:tcPr>
          <w:p w14:paraId="173AC08A" w14:textId="77777777" w:rsidR="00262F20" w:rsidRPr="00262F20" w:rsidRDefault="00262F20" w:rsidP="00262F20">
            <w:pPr>
              <w:spacing w:after="200" w:line="276" w:lineRule="auto"/>
              <w:rPr>
                <w:lang w:val="en-GB"/>
              </w:rPr>
            </w:pPr>
          </w:p>
        </w:tc>
        <w:tc>
          <w:tcPr>
            <w:tcW w:w="0" w:type="auto"/>
            <w:hideMark/>
          </w:tcPr>
          <w:p w14:paraId="43F92A73" w14:textId="77777777" w:rsidR="00262F20" w:rsidRPr="00262F20" w:rsidRDefault="00262F20" w:rsidP="00262F20">
            <w:pPr>
              <w:spacing w:after="200" w:line="276" w:lineRule="auto"/>
              <w:rPr>
                <w:lang w:val="en-GB"/>
              </w:rPr>
            </w:pPr>
            <w:r w:rsidRPr="00262F20">
              <w:rPr>
                <w:lang w:val="en-GB"/>
              </w:rPr>
              <w:t>█</w:t>
            </w:r>
          </w:p>
        </w:tc>
        <w:tc>
          <w:tcPr>
            <w:tcW w:w="0" w:type="auto"/>
            <w:hideMark/>
          </w:tcPr>
          <w:p w14:paraId="48DE6015" w14:textId="77777777" w:rsidR="00262F20" w:rsidRPr="00262F20" w:rsidRDefault="00262F20" w:rsidP="00262F20">
            <w:pPr>
              <w:spacing w:after="200" w:line="276" w:lineRule="auto"/>
              <w:rPr>
                <w:lang w:val="en-GB"/>
              </w:rPr>
            </w:pPr>
            <w:r w:rsidRPr="00262F20">
              <w:rPr>
                <w:lang w:val="en-GB"/>
              </w:rPr>
              <w:t>█</w:t>
            </w:r>
          </w:p>
        </w:tc>
      </w:tr>
      <w:tr w:rsidR="00262F20" w:rsidRPr="00262F20" w14:paraId="43042E8C" w14:textId="77777777" w:rsidTr="00262F20">
        <w:trPr>
          <w:trHeight w:val="590"/>
        </w:trPr>
        <w:tc>
          <w:tcPr>
            <w:tcW w:w="0" w:type="auto"/>
            <w:hideMark/>
          </w:tcPr>
          <w:p w14:paraId="550DBB93" w14:textId="77777777" w:rsidR="00262F20" w:rsidRPr="00262F20" w:rsidRDefault="00262F20" w:rsidP="00262F20">
            <w:pPr>
              <w:spacing w:after="200" w:line="276" w:lineRule="auto"/>
              <w:rPr>
                <w:lang w:val="en-GB"/>
              </w:rPr>
            </w:pPr>
            <w:r w:rsidRPr="00262F20">
              <w:rPr>
                <w:lang w:val="en-GB"/>
              </w:rPr>
              <w:t>Reopening</w:t>
            </w:r>
          </w:p>
        </w:tc>
        <w:tc>
          <w:tcPr>
            <w:tcW w:w="0" w:type="auto"/>
            <w:hideMark/>
          </w:tcPr>
          <w:p w14:paraId="0AE1C89A" w14:textId="77777777" w:rsidR="00262F20" w:rsidRPr="00262F20" w:rsidRDefault="00262F20" w:rsidP="00262F20">
            <w:pPr>
              <w:spacing w:after="200" w:line="276" w:lineRule="auto"/>
              <w:rPr>
                <w:lang w:val="en-GB"/>
              </w:rPr>
            </w:pPr>
          </w:p>
        </w:tc>
        <w:tc>
          <w:tcPr>
            <w:tcW w:w="0" w:type="auto"/>
            <w:hideMark/>
          </w:tcPr>
          <w:p w14:paraId="12D97964" w14:textId="77777777" w:rsidR="00262F20" w:rsidRPr="00262F20" w:rsidRDefault="00262F20" w:rsidP="00262F20">
            <w:pPr>
              <w:spacing w:after="200" w:line="276" w:lineRule="auto"/>
              <w:rPr>
                <w:lang w:val="en-GB"/>
              </w:rPr>
            </w:pPr>
          </w:p>
        </w:tc>
        <w:tc>
          <w:tcPr>
            <w:tcW w:w="0" w:type="auto"/>
            <w:hideMark/>
          </w:tcPr>
          <w:p w14:paraId="3C12A2B5" w14:textId="77777777" w:rsidR="00262F20" w:rsidRPr="00262F20" w:rsidRDefault="00262F20" w:rsidP="00262F20">
            <w:pPr>
              <w:spacing w:after="200" w:line="276" w:lineRule="auto"/>
              <w:rPr>
                <w:lang w:val="en-GB"/>
              </w:rPr>
            </w:pPr>
          </w:p>
        </w:tc>
        <w:tc>
          <w:tcPr>
            <w:tcW w:w="0" w:type="auto"/>
            <w:hideMark/>
          </w:tcPr>
          <w:p w14:paraId="31F8C821" w14:textId="77777777" w:rsidR="00262F20" w:rsidRPr="00262F20" w:rsidRDefault="00262F20" w:rsidP="00262F20">
            <w:pPr>
              <w:spacing w:after="200" w:line="276" w:lineRule="auto"/>
              <w:rPr>
                <w:lang w:val="en-GB"/>
              </w:rPr>
            </w:pPr>
          </w:p>
        </w:tc>
        <w:tc>
          <w:tcPr>
            <w:tcW w:w="0" w:type="auto"/>
            <w:hideMark/>
          </w:tcPr>
          <w:p w14:paraId="302273AE" w14:textId="77777777" w:rsidR="00262F20" w:rsidRPr="00262F20" w:rsidRDefault="00262F20" w:rsidP="00262F20">
            <w:pPr>
              <w:spacing w:after="200" w:line="276" w:lineRule="auto"/>
              <w:rPr>
                <w:lang w:val="en-GB"/>
              </w:rPr>
            </w:pPr>
          </w:p>
        </w:tc>
        <w:tc>
          <w:tcPr>
            <w:tcW w:w="0" w:type="auto"/>
            <w:hideMark/>
          </w:tcPr>
          <w:p w14:paraId="34BC9DF2" w14:textId="77777777" w:rsidR="00262F20" w:rsidRPr="00262F20" w:rsidRDefault="00262F20" w:rsidP="00262F20">
            <w:pPr>
              <w:spacing w:after="200" w:line="276" w:lineRule="auto"/>
              <w:rPr>
                <w:lang w:val="en-GB"/>
              </w:rPr>
            </w:pPr>
            <w:r w:rsidRPr="00262F20">
              <w:rPr>
                <w:lang w:val="en-GB"/>
              </w:rPr>
              <w:t>█</w:t>
            </w:r>
          </w:p>
        </w:tc>
      </w:tr>
    </w:tbl>
    <w:p w14:paraId="18C72032" w14:textId="23FB165C" w:rsidR="00262F20" w:rsidRPr="00262F20" w:rsidRDefault="000D45B0" w:rsidP="00262F20">
      <w:r w:rsidRPr="000D45B0">
        <w:t>Gantt charts improve coordination and monitoring of project progress.</w:t>
      </w:r>
    </w:p>
    <w:p w14:paraId="111B60DF" w14:textId="77777777" w:rsidR="00EF0748" w:rsidRDefault="000C18B8">
      <w:pPr>
        <w:pStyle w:val="Heading2"/>
      </w:pPr>
      <w:r>
        <w:t>Stakeholder Involvement</w:t>
      </w:r>
    </w:p>
    <w:p w14:paraId="362890A3" w14:textId="5F54A744" w:rsidR="00C12CFF" w:rsidRPr="00C12CFF" w:rsidRDefault="00C12CFF" w:rsidP="00C12CFF">
      <w:pPr>
        <w:rPr>
          <w:lang w:val="en-GB"/>
        </w:rPr>
      </w:pPr>
      <w:r w:rsidRPr="00C12CFF">
        <w:rPr>
          <w:lang w:val="en-GB"/>
        </w:rPr>
        <w:t xml:space="preserve">Effective stakeholder involvement is essential to the successful delivery of the Reopening the Highway project. Stakeholders influence project outcomes through decision-making authority, resource control, operational participation, and community engagement. Early identification and continuous communication with stakeholders </w:t>
      </w:r>
      <w:proofErr w:type="gramStart"/>
      <w:r w:rsidRPr="00C12CFF">
        <w:rPr>
          <w:lang w:val="en-GB"/>
        </w:rPr>
        <w:t>ensures</w:t>
      </w:r>
      <w:proofErr w:type="gramEnd"/>
      <w:r w:rsidRPr="00C12CFF">
        <w:rPr>
          <w:lang w:val="en-GB"/>
        </w:rPr>
        <w:t xml:space="preserve"> expectations are managed and potential conflicts are reduced.</w:t>
      </w:r>
    </w:p>
    <w:p w14:paraId="4D4199D3" w14:textId="77777777" w:rsidR="00C12CFF" w:rsidRPr="00C12CFF" w:rsidRDefault="00C12CFF" w:rsidP="00C12CFF">
      <w:pPr>
        <w:rPr>
          <w:lang w:val="en-GB"/>
        </w:rPr>
      </w:pPr>
      <w:r w:rsidRPr="00C12CFF">
        <w:rPr>
          <w:lang w:val="en-GB"/>
        </w:rPr>
        <w:t>The primary stakeholder is the local council, which acts as the project sponsor and provides financial approval, regulatory oversight, and governance control. The council ensures compliance with legal, environmental, and safety regulations while aligning the project with wider regional transport strategies. Their involvement continues throughout planning, implementation, and evaluation stages.</w:t>
      </w:r>
    </w:p>
    <w:p w14:paraId="68B720F8" w14:textId="77777777" w:rsidR="00C12CFF" w:rsidRPr="00C12CFF" w:rsidRDefault="00C12CFF" w:rsidP="00C12CFF">
      <w:pPr>
        <w:rPr>
          <w:lang w:val="en-GB"/>
        </w:rPr>
      </w:pPr>
      <w:r w:rsidRPr="00C12CFF">
        <w:rPr>
          <w:lang w:val="en-GB"/>
        </w:rPr>
        <w:t>Transport authorities represent another key stakeholder group. Their role involves providing technical guidance, approving traffic management plans, and coordinating road closures or diversions during construction activities. Close collaboration with transport authorities minimises disruption to road users and ensures public safety.</w:t>
      </w:r>
    </w:p>
    <w:p w14:paraId="5478CAD2" w14:textId="77777777" w:rsidR="00C12CFF" w:rsidRPr="00C12CFF" w:rsidRDefault="00C12CFF" w:rsidP="00C12CFF">
      <w:pPr>
        <w:rPr>
          <w:lang w:val="en-GB"/>
        </w:rPr>
      </w:pPr>
      <w:proofErr w:type="gramStart"/>
      <w:r w:rsidRPr="00C12CFF">
        <w:rPr>
          <w:lang w:val="en-GB"/>
        </w:rPr>
        <w:t>Local residents</w:t>
      </w:r>
      <w:proofErr w:type="gramEnd"/>
      <w:r w:rsidRPr="00C12CFF">
        <w:rPr>
          <w:lang w:val="en-GB"/>
        </w:rPr>
        <w:t xml:space="preserve"> and community groups are directly affected stakeholders. Road construction projects often generate temporary inconvenience, noise, and traffic congestion. Therefore, maintaining transparent communication through consultations, public notices, and feedback channels helps build public trust and social acceptance. Community engagement also allows project managers to identify concerns early and adapt implementation strategies accordingly.</w:t>
      </w:r>
    </w:p>
    <w:p w14:paraId="3909B660" w14:textId="77777777" w:rsidR="00C12CFF" w:rsidRPr="00C12CFF" w:rsidRDefault="00C12CFF" w:rsidP="00C12CFF">
      <w:pPr>
        <w:rPr>
          <w:lang w:val="en-GB"/>
        </w:rPr>
      </w:pPr>
      <w:r w:rsidRPr="00C12CFF">
        <w:rPr>
          <w:lang w:val="en-GB"/>
        </w:rPr>
        <w:lastRenderedPageBreak/>
        <w:t>Contractors and construction teams are operational stakeholders responsible for executing physical project activities. Their performance directly affects timelines, cost efficiency, and safety outcomes. Clear contractual agreements, defined responsibilities, and regular performance monitoring support effective collaboration between project management and delivery teams.</w:t>
      </w:r>
    </w:p>
    <w:p w14:paraId="44A663C8" w14:textId="77777777" w:rsidR="00C12CFF" w:rsidRPr="00C12CFF" w:rsidRDefault="00C12CFF" w:rsidP="00C12CFF">
      <w:pPr>
        <w:rPr>
          <w:lang w:val="en-GB"/>
        </w:rPr>
      </w:pPr>
      <w:r w:rsidRPr="00C12CFF">
        <w:rPr>
          <w:lang w:val="en-GB"/>
        </w:rPr>
        <w:t>Emergency services, including police, ambulance, and fire services, must remain actively involved to ensure accessibility is maintained during construction phases. Coordination with these stakeholders ensures emergency response routes remain operational, reducing potential public safety risks.</w:t>
      </w:r>
    </w:p>
    <w:p w14:paraId="3E4EC081" w14:textId="77777777" w:rsidR="00C12CFF" w:rsidRPr="00C12CFF" w:rsidRDefault="00C12CFF" w:rsidP="00C12CFF">
      <w:pPr>
        <w:rPr>
          <w:lang w:val="en-GB"/>
        </w:rPr>
      </w:pPr>
      <w:r w:rsidRPr="00C12CFF">
        <w:rPr>
          <w:lang w:val="en-GB"/>
        </w:rPr>
        <w:t>Finally, environmental agencies play an advisory and regulatory role by ensuring construction activities comply with sustainability standards and environmental protection legislation. Their involvement supports responsible resource use and minimises ecological impact.</w:t>
      </w:r>
    </w:p>
    <w:p w14:paraId="6E3BEE53" w14:textId="77777777" w:rsidR="00C12CFF" w:rsidRPr="00C12CFF" w:rsidRDefault="00C12CFF" w:rsidP="00C12CFF">
      <w:pPr>
        <w:rPr>
          <w:lang w:val="en-GB"/>
        </w:rPr>
      </w:pPr>
      <w:r w:rsidRPr="00C12CFF">
        <w:rPr>
          <w:lang w:val="en-GB"/>
        </w:rPr>
        <w:t>Overall, structured stakeholder involvement promotes accountability, improves communication flow, and increases the likelihood of successful project completion.</w:t>
      </w:r>
    </w:p>
    <w:p w14:paraId="539E76F0" w14:textId="77777777" w:rsidR="00C12CFF" w:rsidRPr="00C12CFF" w:rsidRDefault="00C12CFF" w:rsidP="00C12CFF"/>
    <w:p w14:paraId="16BB9E35" w14:textId="77777777" w:rsidR="00EF0748" w:rsidRDefault="000C18B8">
      <w:pPr>
        <w:pStyle w:val="Heading2"/>
      </w:pPr>
      <w:r>
        <w:t>Allocation of Resources</w:t>
      </w:r>
    </w:p>
    <w:p w14:paraId="33343C31" w14:textId="77777777" w:rsidR="00933685" w:rsidRPr="00933685" w:rsidRDefault="00933685" w:rsidP="00933685">
      <w:pPr>
        <w:rPr>
          <w:lang w:val="en-GB"/>
        </w:rPr>
      </w:pPr>
      <w:r w:rsidRPr="00933685">
        <w:rPr>
          <w:lang w:val="en-GB"/>
        </w:rPr>
        <w:t>Effective allocation of resources is essential to ensure that project objectives are delivered within the defined time, cost, and quality constraints. Resource planning for the highway reopening project focuses on the efficient deployment of human expertise, physical equipment, and financial investment throughout the project lifecycle. According to the Project Management Institute (2021), resource management ensures optimal utilisation while preventing delays caused by shortages or inefficient coordination.</w:t>
      </w:r>
    </w:p>
    <w:p w14:paraId="75F5EA3B" w14:textId="77777777" w:rsidR="00933685" w:rsidRPr="00933685" w:rsidRDefault="00933685" w:rsidP="00933685">
      <w:pPr>
        <w:rPr>
          <w:lang w:val="en-GB"/>
        </w:rPr>
      </w:pPr>
      <w:r w:rsidRPr="00933685">
        <w:rPr>
          <w:lang w:val="en-GB"/>
        </w:rPr>
        <w:t>Human resources form the foundation of project delivery. The project team consists of a qualified project manager responsible for governance and coordination, civil engineers overseeing structural assessments, environmental specialists ensuring regulatory compliance, construction workers executing repair activities, and health and safety officers maintaining workplace standards. Clearly defined roles reduce ambiguity and improve accountability across project stages.</w:t>
      </w:r>
    </w:p>
    <w:p w14:paraId="7627CFBE" w14:textId="77777777" w:rsidR="00933685" w:rsidRPr="00933685" w:rsidRDefault="00933685" w:rsidP="00933685">
      <w:pPr>
        <w:rPr>
          <w:lang w:val="en-GB"/>
        </w:rPr>
      </w:pPr>
      <w:r w:rsidRPr="00933685">
        <w:rPr>
          <w:lang w:val="en-GB"/>
        </w:rPr>
        <w:t>Physical resources include heavy construction machinery such as excavators, water pumps, resurfacing equipment, and safety installations required for highway rehabilitation. The availability of specialised equipment enables rapid debris clearance and structural stabilisation, which are critical during post-disaster recovery operations.</w:t>
      </w:r>
    </w:p>
    <w:p w14:paraId="7059A508" w14:textId="77777777" w:rsidR="00933685" w:rsidRPr="00933685" w:rsidRDefault="00933685" w:rsidP="00933685">
      <w:pPr>
        <w:rPr>
          <w:lang w:val="en-GB"/>
        </w:rPr>
      </w:pPr>
      <w:r w:rsidRPr="00933685">
        <w:rPr>
          <w:lang w:val="en-GB"/>
        </w:rPr>
        <w:t xml:space="preserve">Financial resources are distributed strategically to balance immediate emergency response requirements with long-term infrastructure repair. The project budget of £2.93 million includes emergency response expenditure, reconstruction costs, and a contingency reserve designed to absorb unforeseen expenses. Effective financial planning supports cost control </w:t>
      </w:r>
      <w:r w:rsidRPr="00933685">
        <w:rPr>
          <w:lang w:val="en-GB"/>
        </w:rPr>
        <w:lastRenderedPageBreak/>
        <w:t>and aligns with best practice recommendations in infrastructure project delivery (Kerzner, 2022).</w:t>
      </w:r>
    </w:p>
    <w:p w14:paraId="43410994" w14:textId="77777777" w:rsidR="00933685" w:rsidRPr="00933685" w:rsidRDefault="00933685" w:rsidP="00933685"/>
    <w:p w14:paraId="4242EA9B" w14:textId="77777777" w:rsidR="00EF0748" w:rsidRDefault="000C18B8">
      <w:pPr>
        <w:pStyle w:val="Heading2"/>
      </w:pPr>
      <w:r>
        <w:t>Risk Analysis</w:t>
      </w:r>
    </w:p>
    <w:tbl>
      <w:tblPr>
        <w:tblW w:w="8678" w:type="dxa"/>
        <w:tblCellSpacing w:w="15" w:type="dxa"/>
        <w:tblInd w:w="30" w:type="dxa"/>
        <w:tblCellMar>
          <w:top w:w="15" w:type="dxa"/>
          <w:left w:w="15" w:type="dxa"/>
          <w:bottom w:w="15" w:type="dxa"/>
          <w:right w:w="15" w:type="dxa"/>
        </w:tblCellMar>
        <w:tblLook w:val="04A0" w:firstRow="1" w:lastRow="0" w:firstColumn="1" w:lastColumn="0" w:noHBand="0" w:noVBand="1"/>
      </w:tblPr>
      <w:tblGrid>
        <w:gridCol w:w="2645"/>
        <w:gridCol w:w="1654"/>
        <w:gridCol w:w="1090"/>
        <w:gridCol w:w="3289"/>
      </w:tblGrid>
      <w:tr w:rsidR="002A4B88" w:rsidRPr="002A4B88" w14:paraId="4CDECF63" w14:textId="77777777" w:rsidTr="00294733">
        <w:trPr>
          <w:trHeight w:val="684"/>
          <w:tblHeader/>
          <w:tblCellSpacing w:w="15" w:type="dxa"/>
        </w:trPr>
        <w:tc>
          <w:tcPr>
            <w:tcW w:w="0" w:type="auto"/>
            <w:tcBorders>
              <w:top w:val="single" w:sz="12" w:space="0" w:color="auto"/>
              <w:bottom w:val="single" w:sz="12" w:space="0" w:color="auto"/>
            </w:tcBorders>
            <w:vAlign w:val="center"/>
            <w:hideMark/>
          </w:tcPr>
          <w:p w14:paraId="4B4D36E1" w14:textId="77777777" w:rsidR="002A4B88" w:rsidRPr="002A4B88" w:rsidRDefault="002A4B88" w:rsidP="002A4B88">
            <w:pPr>
              <w:rPr>
                <w:b/>
                <w:bCs/>
                <w:lang w:val="en-GB"/>
              </w:rPr>
            </w:pPr>
            <w:r w:rsidRPr="002A4B88">
              <w:rPr>
                <w:b/>
                <w:bCs/>
                <w:lang w:val="en-GB"/>
              </w:rPr>
              <w:t>Risk</w:t>
            </w:r>
          </w:p>
        </w:tc>
        <w:tc>
          <w:tcPr>
            <w:tcW w:w="0" w:type="auto"/>
            <w:tcBorders>
              <w:top w:val="single" w:sz="12" w:space="0" w:color="auto"/>
              <w:left w:val="single" w:sz="12" w:space="0" w:color="auto"/>
              <w:bottom w:val="single" w:sz="12" w:space="0" w:color="auto"/>
              <w:right w:val="single" w:sz="12" w:space="0" w:color="auto"/>
            </w:tcBorders>
            <w:vAlign w:val="center"/>
            <w:hideMark/>
          </w:tcPr>
          <w:p w14:paraId="6C3F2011" w14:textId="77777777" w:rsidR="002A4B88" w:rsidRPr="002A4B88" w:rsidRDefault="002A4B88" w:rsidP="002A4B88">
            <w:pPr>
              <w:rPr>
                <w:b/>
                <w:bCs/>
                <w:lang w:val="en-GB"/>
              </w:rPr>
            </w:pPr>
            <w:r w:rsidRPr="002A4B88">
              <w:rPr>
                <w:b/>
                <w:bCs/>
                <w:lang w:val="en-GB"/>
              </w:rPr>
              <w:t>Probability</w:t>
            </w:r>
          </w:p>
        </w:tc>
        <w:tc>
          <w:tcPr>
            <w:tcW w:w="0" w:type="auto"/>
            <w:tcBorders>
              <w:top w:val="single" w:sz="12" w:space="0" w:color="auto"/>
              <w:bottom w:val="single" w:sz="12" w:space="0" w:color="auto"/>
            </w:tcBorders>
            <w:vAlign w:val="center"/>
            <w:hideMark/>
          </w:tcPr>
          <w:p w14:paraId="4CBE0D35" w14:textId="77777777" w:rsidR="002A4B88" w:rsidRPr="002A4B88" w:rsidRDefault="002A4B88" w:rsidP="002A4B88">
            <w:pPr>
              <w:rPr>
                <w:b/>
                <w:bCs/>
                <w:lang w:val="en-GB"/>
              </w:rPr>
            </w:pPr>
            <w:r w:rsidRPr="002A4B88">
              <w:rPr>
                <w:b/>
                <w:bCs/>
                <w:lang w:val="en-GB"/>
              </w:rPr>
              <w:t>Impact</w:t>
            </w:r>
          </w:p>
        </w:tc>
        <w:tc>
          <w:tcPr>
            <w:tcW w:w="0" w:type="auto"/>
            <w:tcBorders>
              <w:top w:val="single" w:sz="12" w:space="0" w:color="auto"/>
              <w:left w:val="single" w:sz="12" w:space="0" w:color="auto"/>
              <w:bottom w:val="single" w:sz="12" w:space="0" w:color="auto"/>
            </w:tcBorders>
            <w:vAlign w:val="center"/>
            <w:hideMark/>
          </w:tcPr>
          <w:p w14:paraId="320D8CC9" w14:textId="77777777" w:rsidR="002A4B88" w:rsidRPr="002A4B88" w:rsidRDefault="002A4B88" w:rsidP="002A4B88">
            <w:pPr>
              <w:rPr>
                <w:b/>
                <w:bCs/>
                <w:lang w:val="en-GB"/>
              </w:rPr>
            </w:pPr>
            <w:r w:rsidRPr="002A4B88">
              <w:rPr>
                <w:b/>
                <w:bCs/>
                <w:lang w:val="en-GB"/>
              </w:rPr>
              <w:t>Mitigation</w:t>
            </w:r>
          </w:p>
        </w:tc>
      </w:tr>
      <w:tr w:rsidR="002A4B88" w:rsidRPr="002A4B88" w14:paraId="10578082" w14:textId="77777777" w:rsidTr="00294733">
        <w:trPr>
          <w:trHeight w:val="684"/>
          <w:tblCellSpacing w:w="15" w:type="dxa"/>
        </w:trPr>
        <w:tc>
          <w:tcPr>
            <w:tcW w:w="0" w:type="auto"/>
            <w:vAlign w:val="center"/>
            <w:hideMark/>
          </w:tcPr>
          <w:p w14:paraId="1AC6F709" w14:textId="77777777" w:rsidR="002A4B88" w:rsidRPr="002A4B88" w:rsidRDefault="002A4B88" w:rsidP="002A4B88">
            <w:pPr>
              <w:rPr>
                <w:lang w:val="en-GB"/>
              </w:rPr>
            </w:pPr>
            <w:r w:rsidRPr="002A4B88">
              <w:rPr>
                <w:lang w:val="en-GB"/>
              </w:rPr>
              <w:t>Further rainfall</w:t>
            </w:r>
          </w:p>
        </w:tc>
        <w:tc>
          <w:tcPr>
            <w:tcW w:w="0" w:type="auto"/>
            <w:tcBorders>
              <w:left w:val="single" w:sz="12" w:space="0" w:color="auto"/>
              <w:right w:val="single" w:sz="12" w:space="0" w:color="auto"/>
            </w:tcBorders>
            <w:vAlign w:val="center"/>
            <w:hideMark/>
          </w:tcPr>
          <w:p w14:paraId="5DFFE797" w14:textId="77777777" w:rsidR="002A4B88" w:rsidRPr="002A4B88" w:rsidRDefault="002A4B88" w:rsidP="002A4B88">
            <w:pPr>
              <w:rPr>
                <w:lang w:val="en-GB"/>
              </w:rPr>
            </w:pPr>
            <w:r w:rsidRPr="002A4B88">
              <w:rPr>
                <w:lang w:val="en-GB"/>
              </w:rPr>
              <w:t>High</w:t>
            </w:r>
          </w:p>
        </w:tc>
        <w:tc>
          <w:tcPr>
            <w:tcW w:w="0" w:type="auto"/>
            <w:vAlign w:val="center"/>
            <w:hideMark/>
          </w:tcPr>
          <w:p w14:paraId="3D646518" w14:textId="77777777" w:rsidR="002A4B88" w:rsidRPr="002A4B88" w:rsidRDefault="002A4B88" w:rsidP="002A4B88">
            <w:pPr>
              <w:rPr>
                <w:lang w:val="en-GB"/>
              </w:rPr>
            </w:pPr>
            <w:r w:rsidRPr="002A4B88">
              <w:rPr>
                <w:lang w:val="en-GB"/>
              </w:rPr>
              <w:t>High</w:t>
            </w:r>
          </w:p>
        </w:tc>
        <w:tc>
          <w:tcPr>
            <w:tcW w:w="0" w:type="auto"/>
            <w:tcBorders>
              <w:left w:val="single" w:sz="12" w:space="0" w:color="auto"/>
            </w:tcBorders>
            <w:vAlign w:val="center"/>
            <w:hideMark/>
          </w:tcPr>
          <w:p w14:paraId="4F87305F" w14:textId="77777777" w:rsidR="002A4B88" w:rsidRPr="002A4B88" w:rsidRDefault="002A4B88" w:rsidP="002A4B88">
            <w:pPr>
              <w:rPr>
                <w:lang w:val="en-GB"/>
              </w:rPr>
            </w:pPr>
            <w:r w:rsidRPr="002A4B88">
              <w:rPr>
                <w:lang w:val="en-GB"/>
              </w:rPr>
              <w:t>Temporary flood barriers</w:t>
            </w:r>
          </w:p>
        </w:tc>
      </w:tr>
      <w:tr w:rsidR="002A4B88" w:rsidRPr="002A4B88" w14:paraId="61110BB2" w14:textId="77777777" w:rsidTr="00294733">
        <w:trPr>
          <w:trHeight w:val="684"/>
          <w:tblCellSpacing w:w="15" w:type="dxa"/>
        </w:trPr>
        <w:tc>
          <w:tcPr>
            <w:tcW w:w="0" w:type="auto"/>
            <w:tcBorders>
              <w:top w:val="single" w:sz="12" w:space="0" w:color="auto"/>
            </w:tcBorders>
            <w:vAlign w:val="center"/>
            <w:hideMark/>
          </w:tcPr>
          <w:p w14:paraId="07E9C675" w14:textId="77777777" w:rsidR="002A4B88" w:rsidRPr="002A4B88" w:rsidRDefault="002A4B88" w:rsidP="002A4B88">
            <w:pPr>
              <w:rPr>
                <w:lang w:val="en-GB"/>
              </w:rPr>
            </w:pPr>
            <w:r w:rsidRPr="002A4B88">
              <w:rPr>
                <w:lang w:val="en-GB"/>
              </w:rPr>
              <w:t>Structural instability</w:t>
            </w:r>
          </w:p>
        </w:tc>
        <w:tc>
          <w:tcPr>
            <w:tcW w:w="0" w:type="auto"/>
            <w:tcBorders>
              <w:top w:val="single" w:sz="12" w:space="0" w:color="auto"/>
              <w:left w:val="single" w:sz="12" w:space="0" w:color="auto"/>
              <w:right w:val="single" w:sz="12" w:space="0" w:color="auto"/>
            </w:tcBorders>
            <w:vAlign w:val="center"/>
            <w:hideMark/>
          </w:tcPr>
          <w:p w14:paraId="2E6F3811" w14:textId="77777777" w:rsidR="002A4B88" w:rsidRPr="002A4B88" w:rsidRDefault="002A4B88" w:rsidP="002A4B88">
            <w:pPr>
              <w:rPr>
                <w:lang w:val="en-GB"/>
              </w:rPr>
            </w:pPr>
            <w:r w:rsidRPr="002A4B88">
              <w:rPr>
                <w:lang w:val="en-GB"/>
              </w:rPr>
              <w:t>Medium</w:t>
            </w:r>
          </w:p>
        </w:tc>
        <w:tc>
          <w:tcPr>
            <w:tcW w:w="0" w:type="auto"/>
            <w:tcBorders>
              <w:top w:val="single" w:sz="12" w:space="0" w:color="auto"/>
            </w:tcBorders>
            <w:vAlign w:val="center"/>
            <w:hideMark/>
          </w:tcPr>
          <w:p w14:paraId="7BC6BB8A" w14:textId="77777777" w:rsidR="002A4B88" w:rsidRPr="002A4B88" w:rsidRDefault="002A4B88" w:rsidP="002A4B88">
            <w:pPr>
              <w:rPr>
                <w:lang w:val="en-GB"/>
              </w:rPr>
            </w:pPr>
            <w:r w:rsidRPr="002A4B88">
              <w:rPr>
                <w:lang w:val="en-GB"/>
              </w:rPr>
              <w:t>High</w:t>
            </w:r>
          </w:p>
        </w:tc>
        <w:tc>
          <w:tcPr>
            <w:tcW w:w="0" w:type="auto"/>
            <w:tcBorders>
              <w:top w:val="single" w:sz="12" w:space="0" w:color="auto"/>
              <w:left w:val="single" w:sz="12" w:space="0" w:color="auto"/>
            </w:tcBorders>
            <w:vAlign w:val="center"/>
            <w:hideMark/>
          </w:tcPr>
          <w:p w14:paraId="12159565" w14:textId="77777777" w:rsidR="002A4B88" w:rsidRPr="002A4B88" w:rsidRDefault="002A4B88" w:rsidP="002A4B88">
            <w:pPr>
              <w:rPr>
                <w:lang w:val="en-GB"/>
              </w:rPr>
            </w:pPr>
            <w:r w:rsidRPr="002A4B88">
              <w:rPr>
                <w:lang w:val="en-GB"/>
              </w:rPr>
              <w:t>Geotechnical testing</w:t>
            </w:r>
          </w:p>
        </w:tc>
      </w:tr>
      <w:tr w:rsidR="002A4B88" w:rsidRPr="002A4B88" w14:paraId="1741F82E" w14:textId="77777777" w:rsidTr="00294733">
        <w:trPr>
          <w:trHeight w:val="684"/>
          <w:tblCellSpacing w:w="15" w:type="dxa"/>
        </w:trPr>
        <w:tc>
          <w:tcPr>
            <w:tcW w:w="0" w:type="auto"/>
            <w:tcBorders>
              <w:top w:val="single" w:sz="12" w:space="0" w:color="auto"/>
              <w:bottom w:val="single" w:sz="12" w:space="0" w:color="auto"/>
            </w:tcBorders>
            <w:vAlign w:val="center"/>
            <w:hideMark/>
          </w:tcPr>
          <w:p w14:paraId="65FA9ADB" w14:textId="77777777" w:rsidR="002A4B88" w:rsidRPr="002A4B88" w:rsidRDefault="002A4B88" w:rsidP="002A4B88">
            <w:pPr>
              <w:rPr>
                <w:lang w:val="en-GB"/>
              </w:rPr>
            </w:pPr>
            <w:r w:rsidRPr="002A4B88">
              <w:rPr>
                <w:lang w:val="en-GB"/>
              </w:rPr>
              <w:t>Material delay</w:t>
            </w:r>
          </w:p>
        </w:tc>
        <w:tc>
          <w:tcPr>
            <w:tcW w:w="0" w:type="auto"/>
            <w:tcBorders>
              <w:top w:val="single" w:sz="12" w:space="0" w:color="auto"/>
              <w:left w:val="single" w:sz="12" w:space="0" w:color="auto"/>
              <w:bottom w:val="single" w:sz="12" w:space="0" w:color="auto"/>
              <w:right w:val="single" w:sz="12" w:space="0" w:color="auto"/>
            </w:tcBorders>
            <w:vAlign w:val="center"/>
            <w:hideMark/>
          </w:tcPr>
          <w:p w14:paraId="5A13B2AD" w14:textId="77777777" w:rsidR="002A4B88" w:rsidRPr="002A4B88" w:rsidRDefault="002A4B88" w:rsidP="002A4B88">
            <w:pPr>
              <w:rPr>
                <w:lang w:val="en-GB"/>
              </w:rPr>
            </w:pPr>
            <w:r w:rsidRPr="002A4B88">
              <w:rPr>
                <w:lang w:val="en-GB"/>
              </w:rPr>
              <w:t>Medium</w:t>
            </w:r>
          </w:p>
        </w:tc>
        <w:tc>
          <w:tcPr>
            <w:tcW w:w="0" w:type="auto"/>
            <w:tcBorders>
              <w:top w:val="single" w:sz="12" w:space="0" w:color="auto"/>
              <w:bottom w:val="single" w:sz="12" w:space="0" w:color="auto"/>
            </w:tcBorders>
            <w:vAlign w:val="center"/>
            <w:hideMark/>
          </w:tcPr>
          <w:p w14:paraId="40BA7F00" w14:textId="77777777" w:rsidR="002A4B88" w:rsidRPr="002A4B88" w:rsidRDefault="002A4B88" w:rsidP="002A4B88">
            <w:pPr>
              <w:rPr>
                <w:lang w:val="en-GB"/>
              </w:rPr>
            </w:pPr>
            <w:r w:rsidRPr="002A4B88">
              <w:rPr>
                <w:lang w:val="en-GB"/>
              </w:rPr>
              <w:t>Medium</w:t>
            </w:r>
          </w:p>
        </w:tc>
        <w:tc>
          <w:tcPr>
            <w:tcW w:w="0" w:type="auto"/>
            <w:tcBorders>
              <w:top w:val="single" w:sz="12" w:space="0" w:color="auto"/>
              <w:left w:val="single" w:sz="12" w:space="0" w:color="auto"/>
              <w:bottom w:val="single" w:sz="12" w:space="0" w:color="auto"/>
            </w:tcBorders>
            <w:vAlign w:val="center"/>
            <w:hideMark/>
          </w:tcPr>
          <w:p w14:paraId="4DA6E8E8" w14:textId="77777777" w:rsidR="002A4B88" w:rsidRPr="002A4B88" w:rsidRDefault="002A4B88" w:rsidP="002A4B88">
            <w:pPr>
              <w:rPr>
                <w:lang w:val="en-GB"/>
              </w:rPr>
            </w:pPr>
            <w:r w:rsidRPr="002A4B88">
              <w:rPr>
                <w:lang w:val="en-GB"/>
              </w:rPr>
              <w:t>Pre-approved suppliers</w:t>
            </w:r>
          </w:p>
        </w:tc>
      </w:tr>
      <w:tr w:rsidR="002A4B88" w:rsidRPr="002A4B88" w14:paraId="3AB3C028" w14:textId="77777777" w:rsidTr="00294733">
        <w:trPr>
          <w:trHeight w:val="705"/>
          <w:tblCellSpacing w:w="15" w:type="dxa"/>
        </w:trPr>
        <w:tc>
          <w:tcPr>
            <w:tcW w:w="0" w:type="auto"/>
            <w:vAlign w:val="center"/>
            <w:hideMark/>
          </w:tcPr>
          <w:p w14:paraId="58DAC5C4" w14:textId="77777777" w:rsidR="002A4B88" w:rsidRPr="002A4B88" w:rsidRDefault="002A4B88" w:rsidP="002A4B88">
            <w:pPr>
              <w:rPr>
                <w:lang w:val="en-GB"/>
              </w:rPr>
            </w:pPr>
            <w:r w:rsidRPr="002A4B88">
              <w:rPr>
                <w:lang w:val="en-GB"/>
              </w:rPr>
              <w:t>Workforce safety</w:t>
            </w:r>
          </w:p>
        </w:tc>
        <w:tc>
          <w:tcPr>
            <w:tcW w:w="0" w:type="auto"/>
            <w:tcBorders>
              <w:left w:val="single" w:sz="12" w:space="0" w:color="auto"/>
              <w:right w:val="single" w:sz="12" w:space="0" w:color="auto"/>
            </w:tcBorders>
            <w:vAlign w:val="center"/>
            <w:hideMark/>
          </w:tcPr>
          <w:p w14:paraId="5BE1CDDD" w14:textId="77777777" w:rsidR="002A4B88" w:rsidRPr="002A4B88" w:rsidRDefault="002A4B88" w:rsidP="002A4B88">
            <w:pPr>
              <w:rPr>
                <w:lang w:val="en-GB"/>
              </w:rPr>
            </w:pPr>
            <w:r w:rsidRPr="002A4B88">
              <w:rPr>
                <w:lang w:val="en-GB"/>
              </w:rPr>
              <w:t>Low</w:t>
            </w:r>
          </w:p>
        </w:tc>
        <w:tc>
          <w:tcPr>
            <w:tcW w:w="0" w:type="auto"/>
            <w:vAlign w:val="center"/>
            <w:hideMark/>
          </w:tcPr>
          <w:p w14:paraId="00A37314" w14:textId="77777777" w:rsidR="002A4B88" w:rsidRPr="002A4B88" w:rsidRDefault="002A4B88" w:rsidP="002A4B88">
            <w:pPr>
              <w:rPr>
                <w:lang w:val="en-GB"/>
              </w:rPr>
            </w:pPr>
            <w:r w:rsidRPr="002A4B88">
              <w:rPr>
                <w:lang w:val="en-GB"/>
              </w:rPr>
              <w:t>High</w:t>
            </w:r>
          </w:p>
        </w:tc>
        <w:tc>
          <w:tcPr>
            <w:tcW w:w="0" w:type="auto"/>
            <w:tcBorders>
              <w:left w:val="single" w:sz="12" w:space="0" w:color="auto"/>
            </w:tcBorders>
            <w:vAlign w:val="center"/>
            <w:hideMark/>
          </w:tcPr>
          <w:p w14:paraId="198266F0" w14:textId="77777777" w:rsidR="002A4B88" w:rsidRPr="002A4B88" w:rsidRDefault="002A4B88" w:rsidP="002A4B88">
            <w:pPr>
              <w:rPr>
                <w:lang w:val="en-GB"/>
              </w:rPr>
            </w:pPr>
            <w:r w:rsidRPr="002A4B88">
              <w:rPr>
                <w:lang w:val="en-GB"/>
              </w:rPr>
              <w:t>Strict safety procedures</w:t>
            </w:r>
          </w:p>
        </w:tc>
      </w:tr>
    </w:tbl>
    <w:p w14:paraId="3BE8C549" w14:textId="5A85C026" w:rsidR="002A4B88" w:rsidRDefault="00294733" w:rsidP="002A4B88">
      <w:pPr>
        <w:rPr>
          <w:lang w:val="en-GB"/>
        </w:rPr>
      </w:pPr>
      <w:r w:rsidRPr="00294733">
        <w:rPr>
          <w:lang w:val="en-GB"/>
        </w:rPr>
        <w:t>Risk assessment follows ISO 31000 principles emphasising proactive identification and treatment of uncertainty (ISO, 2018</w:t>
      </w:r>
      <w:proofErr w:type="gramStart"/>
      <w:r w:rsidRPr="00294733">
        <w:rPr>
          <w:lang w:val="en-GB"/>
        </w:rPr>
        <w:t>).Continuous</w:t>
      </w:r>
      <w:proofErr w:type="gramEnd"/>
      <w:r w:rsidRPr="00294733">
        <w:rPr>
          <w:lang w:val="en-GB"/>
        </w:rPr>
        <w:t xml:space="preserve"> monitoring allows early corrective action and prevents schedule delays.</w:t>
      </w:r>
    </w:p>
    <w:p w14:paraId="43600750" w14:textId="77777777" w:rsidR="00B102CF" w:rsidRDefault="00B102CF" w:rsidP="00B102CF">
      <w:pPr>
        <w:rPr>
          <w:b/>
          <w:bCs/>
          <w:lang w:val="en-GB"/>
        </w:rPr>
      </w:pPr>
    </w:p>
    <w:p w14:paraId="6B0FBC3C" w14:textId="5E0F87FC" w:rsidR="00B102CF" w:rsidRPr="00B102CF" w:rsidRDefault="00B102CF" w:rsidP="00D37D6A">
      <w:pPr>
        <w:pStyle w:val="Heading2"/>
        <w:rPr>
          <w:lang w:val="en-GB"/>
        </w:rPr>
      </w:pPr>
      <w:r w:rsidRPr="00B102CF">
        <w:rPr>
          <w:lang w:val="en-GB"/>
        </w:rPr>
        <w:t>Monitoring and Control</w:t>
      </w:r>
    </w:p>
    <w:p w14:paraId="55B547FA" w14:textId="3CBC1A9B" w:rsidR="00B102CF" w:rsidRPr="00B102CF" w:rsidRDefault="00B102CF" w:rsidP="00B102CF">
      <w:pPr>
        <w:rPr>
          <w:lang w:val="en-GB"/>
        </w:rPr>
      </w:pPr>
      <w:r w:rsidRPr="00B102CF">
        <w:rPr>
          <w:lang w:val="en-GB"/>
        </w:rPr>
        <w:t>Monitoring and control mechanisms ensure that project performance remains aligned with planned objectives. Infrastructure recovery projects operate within dynamic environments where unexpected challenges frequently arise. Continuous monitoring therefore enables early identification of deviations from schedule or budget targets.</w:t>
      </w:r>
    </w:p>
    <w:p w14:paraId="2697172A" w14:textId="77777777" w:rsidR="00B102CF" w:rsidRPr="00B102CF" w:rsidRDefault="00B102CF" w:rsidP="00B102CF">
      <w:pPr>
        <w:rPr>
          <w:lang w:val="en-GB"/>
        </w:rPr>
      </w:pPr>
      <w:r w:rsidRPr="00B102CF">
        <w:rPr>
          <w:lang w:val="en-GB"/>
        </w:rPr>
        <w:t>Key Performance Indicators (KPIs) will be established to measure progress, including percentage completion of repair works, safety compliance levels, and expenditure against planned costs. Schedule performance will be monitored through variance analysis comparing planned timelines with actual progress. Where deviations occur, corrective actions such as resource reallocation or task resequencing will be implemented.</w:t>
      </w:r>
    </w:p>
    <w:p w14:paraId="0D607BD4" w14:textId="77777777" w:rsidR="00B102CF" w:rsidRPr="00B102CF" w:rsidRDefault="00B102CF" w:rsidP="00B102CF">
      <w:pPr>
        <w:rPr>
          <w:lang w:val="en-GB"/>
        </w:rPr>
      </w:pPr>
      <w:r w:rsidRPr="00B102CF">
        <w:rPr>
          <w:lang w:val="en-GB"/>
        </w:rPr>
        <w:t>Earned Value Management techniques provide an integrated method of assessing cost and schedule performance simultaneously. This analytical approach supports evidence-based decision-making and allows project stakeholders to evaluate whether the project remains on track to meet completion targets (Fleming and Koppelman, 2016). Regular reporting cycles ensure transparency and maintain stakeholder confidence.</w:t>
      </w:r>
    </w:p>
    <w:p w14:paraId="172501BD" w14:textId="3F1FC5A7" w:rsidR="00B102CF" w:rsidRPr="00B102CF" w:rsidRDefault="00B102CF" w:rsidP="00D37D6A">
      <w:pPr>
        <w:pStyle w:val="Heading2"/>
        <w:rPr>
          <w:lang w:val="en-GB"/>
        </w:rPr>
      </w:pPr>
      <w:r w:rsidRPr="00B102CF">
        <w:rPr>
          <w:lang w:val="en-GB"/>
        </w:rPr>
        <w:lastRenderedPageBreak/>
        <w:t>Communication Management</w:t>
      </w:r>
    </w:p>
    <w:p w14:paraId="01C06889" w14:textId="6BB4CBC3" w:rsidR="00B102CF" w:rsidRPr="00B102CF" w:rsidRDefault="00B102CF" w:rsidP="00B102CF">
      <w:pPr>
        <w:rPr>
          <w:lang w:val="en-GB"/>
        </w:rPr>
      </w:pPr>
      <w:r w:rsidRPr="00B102CF">
        <w:rPr>
          <w:lang w:val="en-GB"/>
        </w:rPr>
        <w:t>Effective communication is a critical success factor in complex infrastructure projects involving multiple stakeholders. Poor communication can lead to misunderstandings, delays, and reduced stakeholder trust. Consequently, a structured communication strategy will guide information exchange throughout the project.</w:t>
      </w:r>
    </w:p>
    <w:p w14:paraId="4D76FE13" w14:textId="77777777" w:rsidR="00B102CF" w:rsidRPr="00B102CF" w:rsidRDefault="00B102CF" w:rsidP="00B102CF">
      <w:pPr>
        <w:rPr>
          <w:lang w:val="en-GB"/>
        </w:rPr>
      </w:pPr>
      <w:r w:rsidRPr="00B102CF">
        <w:rPr>
          <w:lang w:val="en-GB"/>
        </w:rPr>
        <w:t>Internal communication will occur through daily operational briefings and weekly progress meetings involving engineers, contractors, and project leadership. These meetings ensure coordination of activities and rapid resolution of operational issues. External communication will focus on maintaining public awareness and stakeholder engagement. Local communities will receive regular updates regarding road closures, safety measures, and reopening timelines.</w:t>
      </w:r>
    </w:p>
    <w:p w14:paraId="68FE027B" w14:textId="77777777" w:rsidR="00B102CF" w:rsidRPr="00B102CF" w:rsidRDefault="00B102CF" w:rsidP="00B102CF">
      <w:pPr>
        <w:rPr>
          <w:lang w:val="en-GB"/>
        </w:rPr>
      </w:pPr>
      <w:r w:rsidRPr="00B102CF">
        <w:rPr>
          <w:lang w:val="en-GB"/>
        </w:rPr>
        <w:t>Formal reporting will be provided to local authorities and regulatory agencies to demonstrate compliance with environmental and safety standards. Emergency services will maintain continuous coordination with project teams to ensure uninterrupted access during construction phases. Establishing clear communication channels enhances collaboration and supports informed decision-making across all stakeholder groups (Turner, 2019).</w:t>
      </w:r>
    </w:p>
    <w:p w14:paraId="14D75E24" w14:textId="39CE652A" w:rsidR="00B102CF" w:rsidRPr="00B102CF" w:rsidRDefault="00B102CF" w:rsidP="00B102CF">
      <w:pPr>
        <w:pStyle w:val="Heading2"/>
        <w:rPr>
          <w:lang w:val="en-GB"/>
        </w:rPr>
      </w:pPr>
      <w:r w:rsidRPr="00B102CF">
        <w:rPr>
          <w:lang w:val="en-GB"/>
        </w:rPr>
        <w:t>Quality Management</w:t>
      </w:r>
    </w:p>
    <w:p w14:paraId="25433E42" w14:textId="77777777" w:rsidR="00B102CF" w:rsidRPr="00B102CF" w:rsidRDefault="00B102CF" w:rsidP="00B102CF">
      <w:pPr>
        <w:rPr>
          <w:lang w:val="en-GB"/>
        </w:rPr>
      </w:pPr>
      <w:r w:rsidRPr="00B102CF">
        <w:rPr>
          <w:lang w:val="en-GB"/>
        </w:rPr>
        <w:t>Quality management ensures that project deliverables meet required safety and performance standards. Highway reconstruction projects must comply with national engineering regulations and public safety requirements. Failure to maintain quality standards could result in infrastructure failure, financial loss, or reputational damage.</w:t>
      </w:r>
    </w:p>
    <w:p w14:paraId="1FB81FC7" w14:textId="77777777" w:rsidR="00B102CF" w:rsidRPr="00B102CF" w:rsidRDefault="00B102CF" w:rsidP="00B102CF">
      <w:pPr>
        <w:rPr>
          <w:lang w:val="en-GB"/>
        </w:rPr>
      </w:pPr>
      <w:r w:rsidRPr="00B102CF">
        <w:rPr>
          <w:lang w:val="en-GB"/>
        </w:rPr>
        <w:t>Quality assurance activities will include engineering inspections, material testing, and compliance verification against UK highway construction standards. Independent safety inspectors will evaluate structural stability before reopening the road to traffic. Quality control procedures will operate alongside construction activities rather than occurring solely at project completion, ensuring defects are identified early.</w:t>
      </w:r>
    </w:p>
    <w:p w14:paraId="75A7D8CD" w14:textId="77777777" w:rsidR="00B102CF" w:rsidRPr="00B102CF" w:rsidRDefault="00B102CF" w:rsidP="00B102CF">
      <w:pPr>
        <w:rPr>
          <w:lang w:val="en-GB"/>
        </w:rPr>
      </w:pPr>
      <w:r w:rsidRPr="00B102CF">
        <w:rPr>
          <w:lang w:val="en-GB"/>
        </w:rPr>
        <w:t>Continuous improvement principles will also be applied by documenting lessons learned throughout project execution. This approach strengthens organisational learning and enhances future disaster recovery responses. Effective quality management contributes directly to stakeholder satisfaction and long-term infrastructure resilience (Lock, 2020).</w:t>
      </w:r>
    </w:p>
    <w:p w14:paraId="68A22526" w14:textId="15976382" w:rsidR="00B102CF" w:rsidRPr="00B102CF" w:rsidRDefault="00B102CF" w:rsidP="00B102CF">
      <w:pPr>
        <w:pStyle w:val="Heading2"/>
        <w:rPr>
          <w:lang w:val="en-GB"/>
        </w:rPr>
      </w:pPr>
      <w:r w:rsidRPr="00B102CF">
        <w:rPr>
          <w:lang w:val="en-GB"/>
        </w:rPr>
        <w:t>Sustainability Considerations</w:t>
      </w:r>
    </w:p>
    <w:p w14:paraId="2F781AD7" w14:textId="4824C4AC" w:rsidR="00B102CF" w:rsidRPr="00B102CF" w:rsidRDefault="00B102CF" w:rsidP="00B102CF">
      <w:pPr>
        <w:rPr>
          <w:lang w:val="en-GB"/>
        </w:rPr>
      </w:pPr>
      <w:r w:rsidRPr="00B102CF">
        <w:rPr>
          <w:lang w:val="en-GB"/>
        </w:rPr>
        <w:t>Sustainability has become an increasingly important component of modern project management practice. Infrastructure recovery projects must not only restore functionality but also improve resilience against future environmental risks. Integrating sustainability principles into the highway reopening project supports long-term regional development.</w:t>
      </w:r>
    </w:p>
    <w:p w14:paraId="2DAA837F" w14:textId="77777777" w:rsidR="00B102CF" w:rsidRPr="00B102CF" w:rsidRDefault="00B102CF" w:rsidP="00B102CF">
      <w:pPr>
        <w:rPr>
          <w:lang w:val="en-GB"/>
        </w:rPr>
      </w:pPr>
      <w:r w:rsidRPr="00B102CF">
        <w:rPr>
          <w:lang w:val="en-GB"/>
        </w:rPr>
        <w:t xml:space="preserve">Drainage systems will be upgraded to improve water flow efficiency and reduce vulnerability to future flooding events. Environmentally responsible construction practices, </w:t>
      </w:r>
      <w:r w:rsidRPr="00B102CF">
        <w:rPr>
          <w:lang w:val="en-GB"/>
        </w:rPr>
        <w:lastRenderedPageBreak/>
        <w:t>including waste recycling and reduced material wastage, will minimise environmental impact. Furthermore, improved transport connectivity supports economic sustainability by enabling businesses and supply chains to resume operations quickly.</w:t>
      </w:r>
    </w:p>
    <w:p w14:paraId="01836D5E" w14:textId="77777777" w:rsidR="00B102CF" w:rsidRPr="00B102CF" w:rsidRDefault="00B102CF" w:rsidP="00B102CF">
      <w:pPr>
        <w:rPr>
          <w:lang w:val="en-GB"/>
        </w:rPr>
      </w:pPr>
      <w:r w:rsidRPr="00B102CF">
        <w:rPr>
          <w:lang w:val="en-GB"/>
        </w:rPr>
        <w:t>Considering sustainability during project planning aligns with contemporary project management theory, which emphasises value creation beyond immediate project delivery (Silvius and Schipper, 2019). Sustainable infrastructure investments provide long-term social, environmental, and economic benefits.</w:t>
      </w:r>
    </w:p>
    <w:p w14:paraId="7642FE1C" w14:textId="27884C3D" w:rsidR="00B102CF" w:rsidRPr="00B102CF" w:rsidRDefault="00B102CF" w:rsidP="00B102CF">
      <w:pPr>
        <w:pStyle w:val="Heading2"/>
        <w:rPr>
          <w:lang w:val="en-GB"/>
        </w:rPr>
      </w:pPr>
      <w:r w:rsidRPr="00B102CF">
        <w:rPr>
          <w:lang w:val="en-GB"/>
        </w:rPr>
        <w:t>Project Closure</w:t>
      </w:r>
    </w:p>
    <w:p w14:paraId="031B648F" w14:textId="3B7B8E6B" w:rsidR="00B102CF" w:rsidRPr="00B102CF" w:rsidRDefault="00B102CF" w:rsidP="00B102CF">
      <w:pPr>
        <w:rPr>
          <w:lang w:val="en-GB"/>
        </w:rPr>
      </w:pPr>
      <w:r w:rsidRPr="00B102CF">
        <w:rPr>
          <w:lang w:val="en-GB"/>
        </w:rPr>
        <w:t>Project closure represents the final stage of the project lifecycle and ensures that all objectives have been achieved and formally accepted by stakeholders. Closure activities will begin following completion of safety inspections and successful reopening of the highway.</w:t>
      </w:r>
    </w:p>
    <w:p w14:paraId="4CED7EDE" w14:textId="77777777" w:rsidR="00B102CF" w:rsidRPr="00B102CF" w:rsidRDefault="00B102CF" w:rsidP="00B102CF">
      <w:pPr>
        <w:rPr>
          <w:lang w:val="en-GB"/>
        </w:rPr>
      </w:pPr>
      <w:r w:rsidRPr="00B102CF">
        <w:rPr>
          <w:lang w:val="en-GB"/>
        </w:rPr>
        <w:t>Final inspections will verify compliance with engineering, environmental, and safety standards. Financial reconciliation will confirm that expenditures align with approved budgets. Project documentation, including risk records, performance reports, and lessons learned, will be archived for organisational reference.</w:t>
      </w:r>
    </w:p>
    <w:p w14:paraId="4E28D7FA" w14:textId="77777777" w:rsidR="00B102CF" w:rsidRPr="00B102CF" w:rsidRDefault="00B102CF" w:rsidP="00B102CF">
      <w:pPr>
        <w:rPr>
          <w:lang w:val="en-GB"/>
        </w:rPr>
      </w:pPr>
      <w:r w:rsidRPr="00B102CF">
        <w:rPr>
          <w:lang w:val="en-GB"/>
        </w:rPr>
        <w:t>A post-project evaluation meeting will assess overall project performance and identify opportunities for improvement in future emergency infrastructure projects. Formal closure procedures ensure accountability, promote organisational learning, and provide assurance that project benefits have been realised (Project Management Institute, 2021).</w:t>
      </w:r>
    </w:p>
    <w:p w14:paraId="180B72A6" w14:textId="77777777" w:rsidR="00B102CF" w:rsidRPr="00294733" w:rsidRDefault="00B102CF" w:rsidP="002A4B88">
      <w:pPr>
        <w:rPr>
          <w:lang w:val="en-GB"/>
        </w:rPr>
      </w:pPr>
    </w:p>
    <w:p w14:paraId="52B9E0C6" w14:textId="77777777" w:rsidR="00EF0748" w:rsidRDefault="000C18B8">
      <w:pPr>
        <w:pStyle w:val="Heading2"/>
      </w:pPr>
      <w:r>
        <w:t>Conclusion</w:t>
      </w:r>
    </w:p>
    <w:p w14:paraId="6C198211" w14:textId="77777777" w:rsidR="002A4B88" w:rsidRPr="002A4B88" w:rsidRDefault="002A4B88" w:rsidP="002A4B88">
      <w:pPr>
        <w:rPr>
          <w:lang w:val="en-GB"/>
        </w:rPr>
      </w:pPr>
      <w:r w:rsidRPr="002A4B88">
        <w:rPr>
          <w:lang w:val="en-GB"/>
        </w:rPr>
        <w:t>The July 2025 West Midlands flooding created urgent infrastructure challenges requiring structured project delivery. This Project Management Plan applies recognised methodologies, analytical tools, and professional practices to reopen a critical highway corridor safely and efficiently.</w:t>
      </w:r>
    </w:p>
    <w:p w14:paraId="299FBEF6" w14:textId="77777777" w:rsidR="002A4B88" w:rsidRPr="002A4B88" w:rsidRDefault="002A4B88" w:rsidP="002A4B88">
      <w:pPr>
        <w:rPr>
          <w:lang w:val="en-GB"/>
        </w:rPr>
      </w:pPr>
      <w:r w:rsidRPr="002A4B88">
        <w:rPr>
          <w:lang w:val="en-GB"/>
        </w:rPr>
        <w:t>Clear scope definition, stakeholder collaboration, effective resource allocation, and proactive risk management collectively support successful project completion. The plan demonstrates how project management principles translate theoretical frameworks into practical solutions for real-world disaster recovery.</w:t>
      </w:r>
    </w:p>
    <w:p w14:paraId="706DB5B6" w14:textId="77777777" w:rsidR="002A4B88" w:rsidRPr="002A4B88" w:rsidRDefault="002A4B88" w:rsidP="002A4B88">
      <w:pPr>
        <w:rPr>
          <w:lang w:val="en-GB"/>
        </w:rPr>
      </w:pPr>
      <w:r w:rsidRPr="002A4B88">
        <w:rPr>
          <w:lang w:val="en-GB"/>
        </w:rPr>
        <w:t>Successful execution will restore regional mobility, strengthen economic resilience, and improve preparedness for future climate-related events.</w:t>
      </w:r>
    </w:p>
    <w:p w14:paraId="06431A38" w14:textId="77777777" w:rsidR="002A4B88" w:rsidRPr="002A4B88" w:rsidRDefault="002A4B88" w:rsidP="002A4B88"/>
    <w:p w14:paraId="3863166D" w14:textId="77777777" w:rsidR="00EF0748" w:rsidRDefault="000C18B8">
      <w:pPr>
        <w:pStyle w:val="Heading1"/>
      </w:pPr>
      <w:r>
        <w:t>References</w:t>
      </w:r>
    </w:p>
    <w:p w14:paraId="1AEEF942" w14:textId="3CCD578E" w:rsidR="000D3169" w:rsidRPr="000D3169" w:rsidRDefault="000D3169" w:rsidP="000D3169">
      <w:pPr>
        <w:rPr>
          <w:lang w:val="en-GB"/>
        </w:rPr>
      </w:pPr>
      <w:r w:rsidRPr="000D3169">
        <w:rPr>
          <w:lang w:val="en-GB"/>
        </w:rPr>
        <w:t xml:space="preserve">Axelos.com. (2026). </w:t>
      </w:r>
      <w:r w:rsidRPr="000D3169">
        <w:rPr>
          <w:i/>
          <w:iCs/>
          <w:lang w:val="en-GB"/>
        </w:rPr>
        <w:t>Powering Best Practice | ITIL®, PRINCE2® and MSP® | Axelos</w:t>
      </w:r>
      <w:r w:rsidRPr="000D3169">
        <w:rPr>
          <w:lang w:val="en-GB"/>
        </w:rPr>
        <w:t>. [online] Available at: https://www.axelos.com/resource-hub/prince2 [Accessed</w:t>
      </w:r>
      <w:r>
        <w:rPr>
          <w:lang w:val="en-GB"/>
        </w:rPr>
        <w:t xml:space="preserve"> 12</w:t>
      </w:r>
      <w:r w:rsidRPr="000D3169">
        <w:rPr>
          <w:lang w:val="en-GB"/>
        </w:rPr>
        <w:t xml:space="preserve"> Mar. 2026].</w:t>
      </w:r>
    </w:p>
    <w:p w14:paraId="5CDD0E8D" w14:textId="77777777" w:rsidR="000D3169" w:rsidRPr="000D3169" w:rsidRDefault="000D3169" w:rsidP="000D3169">
      <w:pPr>
        <w:rPr>
          <w:lang w:val="en-GB"/>
        </w:rPr>
      </w:pPr>
      <w:r w:rsidRPr="000D3169">
        <w:rPr>
          <w:lang w:val="en-GB"/>
        </w:rPr>
        <w:lastRenderedPageBreak/>
        <w:t xml:space="preserve">Environment Agency (2019). </w:t>
      </w:r>
      <w:r w:rsidRPr="000D3169">
        <w:rPr>
          <w:i/>
          <w:iCs/>
          <w:lang w:val="en-GB"/>
        </w:rPr>
        <w:t>Environment Agency</w:t>
      </w:r>
      <w:r w:rsidRPr="000D3169">
        <w:rPr>
          <w:lang w:val="en-GB"/>
        </w:rPr>
        <w:t>. [online] GOV.UK. Available at: https://www.gov.uk/government/organisations/environment-agency.</w:t>
      </w:r>
    </w:p>
    <w:p w14:paraId="27840C31" w14:textId="77777777" w:rsidR="000D3169" w:rsidRPr="000D3169" w:rsidRDefault="000D3169" w:rsidP="000D3169">
      <w:pPr>
        <w:rPr>
          <w:lang w:val="en-GB"/>
        </w:rPr>
      </w:pPr>
      <w:r w:rsidRPr="000D3169">
        <w:rPr>
          <w:lang w:val="en-GB"/>
        </w:rPr>
        <w:t xml:space="preserve">Freeman, R.E. (2010). </w:t>
      </w:r>
      <w:r w:rsidRPr="000D3169">
        <w:rPr>
          <w:i/>
          <w:iCs/>
          <w:lang w:val="en-GB"/>
        </w:rPr>
        <w:t>Strategic Management: a Stakeholder Approach</w:t>
      </w:r>
      <w:r w:rsidRPr="000D3169">
        <w:rPr>
          <w:lang w:val="en-GB"/>
        </w:rPr>
        <w:t>. Cambridge: Cambridge University Press.</w:t>
      </w:r>
    </w:p>
    <w:p w14:paraId="0FD48CE5" w14:textId="77777777" w:rsidR="000D3169" w:rsidRPr="000D3169" w:rsidRDefault="000D3169" w:rsidP="000D3169">
      <w:pPr>
        <w:rPr>
          <w:lang w:val="en-GB"/>
        </w:rPr>
      </w:pPr>
      <w:r w:rsidRPr="000D3169">
        <w:rPr>
          <w:lang w:val="en-GB"/>
        </w:rPr>
        <w:t xml:space="preserve">ISO (2018). </w:t>
      </w:r>
      <w:r w:rsidRPr="000D3169">
        <w:rPr>
          <w:i/>
          <w:iCs/>
          <w:lang w:val="en-GB"/>
        </w:rPr>
        <w:t>ISO 31000 Risk management</w:t>
      </w:r>
      <w:r w:rsidRPr="000D3169">
        <w:rPr>
          <w:lang w:val="en-GB"/>
        </w:rPr>
        <w:t>. [online] ISO. Available at: https://www.iso.org/iso-31000-risk-management.html.</w:t>
      </w:r>
    </w:p>
    <w:p w14:paraId="682DDF8B" w14:textId="77777777" w:rsidR="000D3169" w:rsidRPr="000D3169" w:rsidRDefault="000D3169" w:rsidP="000D3169">
      <w:pPr>
        <w:rPr>
          <w:lang w:val="en-GB"/>
        </w:rPr>
      </w:pPr>
      <w:r w:rsidRPr="000D3169">
        <w:rPr>
          <w:lang w:val="en-GB"/>
        </w:rPr>
        <w:t xml:space="preserve">Kerzner, H. (2022). </w:t>
      </w:r>
      <w:r w:rsidRPr="000D3169">
        <w:rPr>
          <w:i/>
          <w:iCs/>
          <w:lang w:val="en-GB"/>
        </w:rPr>
        <w:t xml:space="preserve">Project </w:t>
      </w:r>
      <w:proofErr w:type="gramStart"/>
      <w:r w:rsidRPr="000D3169">
        <w:rPr>
          <w:i/>
          <w:iCs/>
          <w:lang w:val="en-GB"/>
        </w:rPr>
        <w:t>management :</w:t>
      </w:r>
      <w:proofErr w:type="gramEnd"/>
      <w:r w:rsidRPr="000D3169">
        <w:rPr>
          <w:i/>
          <w:iCs/>
          <w:lang w:val="en-GB"/>
        </w:rPr>
        <w:t xml:space="preserve"> A systems approach to planning, scheduling, and controlling</w:t>
      </w:r>
      <w:r w:rsidRPr="000D3169">
        <w:rPr>
          <w:lang w:val="en-GB"/>
        </w:rPr>
        <w:t>. 13th ed. Hoboken, New Jersey: Wiley.</w:t>
      </w:r>
    </w:p>
    <w:p w14:paraId="42E5B3BC" w14:textId="77777777" w:rsidR="000D3169" w:rsidRPr="000D3169" w:rsidRDefault="000D3169" w:rsidP="000D3169">
      <w:pPr>
        <w:rPr>
          <w:lang w:val="en-GB"/>
        </w:rPr>
      </w:pPr>
      <w:r w:rsidRPr="000D3169">
        <w:rPr>
          <w:lang w:val="en-GB"/>
        </w:rPr>
        <w:t xml:space="preserve">Lock, D. (2020). </w:t>
      </w:r>
      <w:r w:rsidRPr="000D3169">
        <w:rPr>
          <w:i/>
          <w:iCs/>
          <w:lang w:val="en-GB"/>
        </w:rPr>
        <w:t>Project Management</w:t>
      </w:r>
      <w:r w:rsidRPr="000D3169">
        <w:rPr>
          <w:lang w:val="en-GB"/>
        </w:rPr>
        <w:t>. 10th ed. Routledge.</w:t>
      </w:r>
    </w:p>
    <w:p w14:paraId="012CFDC8" w14:textId="77777777" w:rsidR="000D3169" w:rsidRPr="000D3169" w:rsidRDefault="000D3169" w:rsidP="000D3169">
      <w:pPr>
        <w:rPr>
          <w:lang w:val="en-GB"/>
        </w:rPr>
      </w:pPr>
      <w:r w:rsidRPr="000D3169">
        <w:rPr>
          <w:lang w:val="en-GB"/>
        </w:rPr>
        <w:t xml:space="preserve">Meredith, J.R. and Mantel, S.J. (2017). </w:t>
      </w:r>
      <w:r w:rsidRPr="000D3169">
        <w:rPr>
          <w:i/>
          <w:iCs/>
          <w:lang w:val="en-GB"/>
        </w:rPr>
        <w:t xml:space="preserve">Project </w:t>
      </w:r>
      <w:proofErr w:type="gramStart"/>
      <w:r w:rsidRPr="000D3169">
        <w:rPr>
          <w:i/>
          <w:iCs/>
          <w:lang w:val="en-GB"/>
        </w:rPr>
        <w:t>management :</w:t>
      </w:r>
      <w:proofErr w:type="gramEnd"/>
      <w:r w:rsidRPr="000D3169">
        <w:rPr>
          <w:i/>
          <w:iCs/>
          <w:lang w:val="en-GB"/>
        </w:rPr>
        <w:t xml:space="preserve"> A managerial approach</w:t>
      </w:r>
      <w:r w:rsidRPr="000D3169">
        <w:rPr>
          <w:lang w:val="en-GB"/>
        </w:rPr>
        <w:t>. 8th ed. Hoboken, Nj: Wiley.</w:t>
      </w:r>
    </w:p>
    <w:p w14:paraId="361083E6" w14:textId="77777777" w:rsidR="000D3169" w:rsidRPr="000D3169" w:rsidRDefault="000D3169" w:rsidP="000D3169">
      <w:pPr>
        <w:rPr>
          <w:lang w:val="en-GB"/>
        </w:rPr>
      </w:pPr>
      <w:r w:rsidRPr="000D3169">
        <w:rPr>
          <w:lang w:val="en-GB"/>
        </w:rPr>
        <w:t xml:space="preserve">PMI (2021). </w:t>
      </w:r>
      <w:r w:rsidRPr="000D3169">
        <w:rPr>
          <w:i/>
          <w:iCs/>
          <w:lang w:val="en-GB"/>
        </w:rPr>
        <w:t>PMBOK Guide and Standards</w:t>
      </w:r>
      <w:r w:rsidRPr="000D3169">
        <w:rPr>
          <w:lang w:val="en-GB"/>
        </w:rPr>
        <w:t>. [online] Pmi.org. Available at: https://www.pmi.org/pmbok-guide-standards.</w:t>
      </w:r>
    </w:p>
    <w:p w14:paraId="32A0E8C5" w14:textId="77777777" w:rsidR="000D3169" w:rsidRPr="000D3169" w:rsidRDefault="000D3169" w:rsidP="000D3169">
      <w:pPr>
        <w:rPr>
          <w:lang w:val="en-GB"/>
        </w:rPr>
      </w:pPr>
      <w:r w:rsidRPr="000D3169">
        <w:rPr>
          <w:lang w:val="en-GB"/>
        </w:rPr>
        <w:t xml:space="preserve">Project Management Institute (2019). </w:t>
      </w:r>
      <w:r w:rsidRPr="000D3169">
        <w:rPr>
          <w:i/>
          <w:iCs/>
          <w:lang w:val="en-GB"/>
        </w:rPr>
        <w:t>Project Management Institute | PMI</w:t>
      </w:r>
      <w:r w:rsidRPr="000D3169">
        <w:rPr>
          <w:lang w:val="en-GB"/>
        </w:rPr>
        <w:t>. [online] Pmi.org. Available at: https://www.pmi.org.</w:t>
      </w:r>
    </w:p>
    <w:p w14:paraId="620EA72E" w14:textId="77777777" w:rsidR="000D3169" w:rsidRPr="000D3169" w:rsidRDefault="000D3169" w:rsidP="000D3169">
      <w:pPr>
        <w:rPr>
          <w:lang w:val="en-GB"/>
        </w:rPr>
      </w:pPr>
      <w:r w:rsidRPr="000D3169">
        <w:rPr>
          <w:lang w:val="en-GB"/>
        </w:rPr>
        <w:t xml:space="preserve">Silvius, A.J.G. and Schipper, R (2019). </w:t>
      </w:r>
      <w:r w:rsidRPr="000D3169">
        <w:rPr>
          <w:i/>
          <w:iCs/>
          <w:lang w:val="en-GB"/>
        </w:rPr>
        <w:t>Home - Springer</w:t>
      </w:r>
      <w:r w:rsidRPr="000D3169">
        <w:rPr>
          <w:lang w:val="en-GB"/>
        </w:rPr>
        <w:t>. [online] Springer.com. Available at: https://link.springer.com.</w:t>
      </w:r>
    </w:p>
    <w:p w14:paraId="673072D7" w14:textId="77777777" w:rsidR="000D3169" w:rsidRPr="000D3169" w:rsidRDefault="000D3169" w:rsidP="000D3169">
      <w:pPr>
        <w:rPr>
          <w:lang w:val="en-GB"/>
        </w:rPr>
      </w:pPr>
      <w:r w:rsidRPr="000D3169">
        <w:rPr>
          <w:lang w:val="en-GB"/>
        </w:rPr>
        <w:t xml:space="preserve">Turner, R. (2019). </w:t>
      </w:r>
      <w:r w:rsidRPr="000D3169">
        <w:rPr>
          <w:i/>
          <w:iCs/>
          <w:lang w:val="en-GB"/>
        </w:rPr>
        <w:t>Gower Handbook of Project Management</w:t>
      </w:r>
      <w:r w:rsidRPr="000D3169">
        <w:rPr>
          <w:lang w:val="en-GB"/>
        </w:rPr>
        <w:t>. London: Taylor and Francis.</w:t>
      </w:r>
    </w:p>
    <w:p w14:paraId="5FFF4EEF" w14:textId="135D8B64" w:rsidR="00EF0748" w:rsidRDefault="00EF0748"/>
    <w:sectPr w:rsidR="00EF074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8FE5D8C"/>
    <w:multiLevelType w:val="multilevel"/>
    <w:tmpl w:val="2806E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607053">
    <w:abstractNumId w:val="8"/>
  </w:num>
  <w:num w:numId="2" w16cid:durableId="276378117">
    <w:abstractNumId w:val="6"/>
  </w:num>
  <w:num w:numId="3" w16cid:durableId="1377125418">
    <w:abstractNumId w:val="5"/>
  </w:num>
  <w:num w:numId="4" w16cid:durableId="797719047">
    <w:abstractNumId w:val="4"/>
  </w:num>
  <w:num w:numId="5" w16cid:durableId="1960721854">
    <w:abstractNumId w:val="7"/>
  </w:num>
  <w:num w:numId="6" w16cid:durableId="248119891">
    <w:abstractNumId w:val="3"/>
  </w:num>
  <w:num w:numId="7" w16cid:durableId="250243768">
    <w:abstractNumId w:val="2"/>
  </w:num>
  <w:num w:numId="8" w16cid:durableId="1440953835">
    <w:abstractNumId w:val="1"/>
  </w:num>
  <w:num w:numId="9" w16cid:durableId="563373322">
    <w:abstractNumId w:val="0"/>
  </w:num>
  <w:num w:numId="10" w16cid:durableId="5593659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18B8"/>
    <w:rsid w:val="000D3169"/>
    <w:rsid w:val="000D45B0"/>
    <w:rsid w:val="0015074B"/>
    <w:rsid w:val="00262F20"/>
    <w:rsid w:val="00294733"/>
    <w:rsid w:val="0029639D"/>
    <w:rsid w:val="002A4B88"/>
    <w:rsid w:val="00326F90"/>
    <w:rsid w:val="003A3609"/>
    <w:rsid w:val="004E68A0"/>
    <w:rsid w:val="007626F4"/>
    <w:rsid w:val="008901A2"/>
    <w:rsid w:val="008C2823"/>
    <w:rsid w:val="00933685"/>
    <w:rsid w:val="00AA1D8D"/>
    <w:rsid w:val="00B102CF"/>
    <w:rsid w:val="00B47730"/>
    <w:rsid w:val="00C12CFF"/>
    <w:rsid w:val="00CB0664"/>
    <w:rsid w:val="00D37D6A"/>
    <w:rsid w:val="00D94D2F"/>
    <w:rsid w:val="00DE3274"/>
    <w:rsid w:val="00E27E58"/>
    <w:rsid w:val="00EF0748"/>
    <w:rsid w:val="00F77758"/>
    <w:rsid w:val="00FC693F"/>
    <w:rsid w:val="00FD29C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7243A9"/>
  <w14:defaultImageDpi w14:val="300"/>
  <w15:docId w15:val="{0633B7FE-C1B8-4DEA-A7E1-63D177201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A4B88"/>
    <w:rPr>
      <w:color w:val="0000FF" w:themeColor="hyperlink"/>
      <w:u w:val="single"/>
    </w:rPr>
  </w:style>
  <w:style w:type="character" w:styleId="UnresolvedMention">
    <w:name w:val="Unresolved Mention"/>
    <w:basedOn w:val="DefaultParagraphFont"/>
    <w:uiPriority w:val="99"/>
    <w:semiHidden/>
    <w:unhideWhenUsed/>
    <w:rsid w:val="002A4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11</Pages>
  <Words>2935</Words>
  <Characters>16733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Panav khemani</cp:lastModifiedBy>
  <cp:revision>18</cp:revision>
  <dcterms:created xsi:type="dcterms:W3CDTF">2026-03-29T20:17:00Z</dcterms:created>
  <dcterms:modified xsi:type="dcterms:W3CDTF">2026-03-30T03:05:00Z</dcterms:modified>
  <cp:category/>
</cp:coreProperties>
</file>