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layout1.xml" ContentType="application/vnd.openxmlformats-officedocument.drawingml.diagramLayout+xml"/>
  <Override PartName="/word/document.xml" ContentType="application/vnd.openxmlformats-officedocument.wordprocessingml.document.main+xml"/>
  <Override PartName="/customXml/itemProps1.xml" ContentType="application/vnd.openxmlformats-officedocument.customXmlProperties+xml"/>
  <Override PartName="/word/diagrams/quickStyle1.xml" ContentType="application/vnd.openxmlformats-officedocument.drawingml.diagramStyle+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after="240" w:lineRule="auto" w:line="360"/>
        <w:jc w:val="center"/>
        <w:rPr/>
      </w:pPr>
      <w:bookmarkStart w:id="0" w:name="_f8h7pt5qm8f1" w:colFirst="0" w:colLast="0"/>
      <w:bookmarkEnd w:id="0"/>
      <w:r>
        <w:rPr>
          <w:noProof/>
          <w:lang w:val="en-US"/>
        </w:rPr>
        <w:drawing>
          <wp:inline distL="0" distT="0" distB="0" distR="0">
            <wp:extent cx="3381375" cy="1352550"/>
            <wp:effectExtent l="0" t="0" r="9525"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381375" cy="1352550"/>
                    </a:xfrm>
                    <a:prstGeom prst="rect"/>
                  </pic:spPr>
                </pic:pic>
              </a:graphicData>
            </a:graphic>
          </wp:inline>
        </w:drawing>
      </w:r>
      <w:r>
        <w:rPr/>
        <w:fldChar w:fldCharType="begin"/>
      </w:r>
      <w:r>
        <w:instrText xml:space="preserve"> INCLUDEPICTURE "C:\\Users\\AzZedin01\\Library\\Group Containers\\UBF8T346G9.ms\\WebArchiveCopyPasteTempFiles\\com.microsoft.Word\\8P2xdp3q1g646AAAAAElFTkSuQmCC" \* MERGEFORMAT </w:instrText>
      </w:r>
      <w:r>
        <w:rPr/>
        <w:fldChar w:fldCharType="end"/>
      </w:r>
    </w:p>
    <w:p>
      <w:pPr>
        <w:pStyle w:val="style0"/>
        <w:spacing w:after="240" w:lineRule="auto" w:line="360"/>
        <w:jc w:val="center"/>
        <w:rPr>
          <w:b/>
          <w:bCs/>
          <w:sz w:val="28"/>
          <w:szCs w:val="28"/>
        </w:rPr>
      </w:pPr>
      <w:r>
        <w:rPr>
          <w:b/>
          <w:bCs/>
          <w:sz w:val="28"/>
          <w:szCs w:val="28"/>
        </w:rPr>
        <w:t xml:space="preserve">Student Name: </w:t>
      </w:r>
      <w:r>
        <w:rPr>
          <w:b/>
          <w:bCs/>
          <w:sz w:val="28"/>
          <w:szCs w:val="28"/>
          <w:lang w:val="en-US"/>
        </w:rPr>
        <w:t>Kartik Mukeshbhai Raval</w:t>
      </w:r>
    </w:p>
    <w:p>
      <w:pPr>
        <w:pStyle w:val="style0"/>
        <w:spacing w:after="240" w:lineRule="auto" w:line="360"/>
        <w:jc w:val="center"/>
        <w:rPr>
          <w:b/>
          <w:bCs/>
          <w:sz w:val="28"/>
          <w:szCs w:val="28"/>
        </w:rPr>
      </w:pPr>
      <w:r>
        <w:rPr>
          <w:b/>
          <w:bCs/>
          <w:sz w:val="28"/>
          <w:szCs w:val="28"/>
        </w:rPr>
        <w:t>Student ID:</w:t>
      </w:r>
      <w:r>
        <w:rPr>
          <w:b/>
          <w:bCs/>
          <w:sz w:val="28"/>
          <w:szCs w:val="28"/>
          <w:lang w:val="en-US"/>
        </w:rPr>
        <w:t xml:space="preserve"> 2519361</w:t>
      </w:r>
    </w:p>
    <w:p>
      <w:pPr>
        <w:pStyle w:val="style0"/>
        <w:spacing w:after="240" w:lineRule="auto" w:line="360"/>
        <w:jc w:val="center"/>
        <w:rPr>
          <w:b/>
          <w:bCs/>
          <w:sz w:val="28"/>
          <w:szCs w:val="28"/>
        </w:rPr>
      </w:pPr>
      <w:r>
        <w:rPr>
          <w:b/>
          <w:bCs/>
          <w:sz w:val="28"/>
          <w:szCs w:val="28"/>
        </w:rPr>
        <w:t>Module Name: Marketing Management</w:t>
      </w:r>
    </w:p>
    <w:p>
      <w:pPr>
        <w:pStyle w:val="style0"/>
        <w:spacing w:after="240" w:lineRule="auto" w:line="360"/>
        <w:jc w:val="center"/>
        <w:rPr>
          <w:b/>
          <w:bCs/>
          <w:sz w:val="28"/>
          <w:szCs w:val="28"/>
        </w:rPr>
      </w:pPr>
      <w:r>
        <w:rPr>
          <w:b/>
          <w:bCs/>
          <w:sz w:val="28"/>
          <w:szCs w:val="28"/>
        </w:rPr>
        <w:t>Module Code: LCMB7024</w:t>
      </w:r>
    </w:p>
    <w:p>
      <w:pPr>
        <w:pStyle w:val="style0"/>
        <w:spacing w:after="240" w:lineRule="auto" w:line="360"/>
        <w:jc w:val="center"/>
        <w:rPr>
          <w:b/>
          <w:bCs/>
          <w:sz w:val="28"/>
          <w:szCs w:val="28"/>
        </w:rPr>
      </w:pPr>
      <w:r>
        <w:rPr>
          <w:b/>
          <w:bCs/>
          <w:sz w:val="28"/>
          <w:szCs w:val="28"/>
        </w:rPr>
        <w:t xml:space="preserve">Topic: </w:t>
      </w:r>
      <w:r>
        <w:rPr>
          <w:b/>
          <w:bCs/>
          <w:sz w:val="28"/>
          <w:szCs w:val="28"/>
        </w:rPr>
        <w:t>Developing a Brand Extension Strategy for Microsoft AI Workplace: A Strategic Marketing Portfolio</w:t>
      </w:r>
    </w:p>
    <w:p>
      <w:pPr>
        <w:pStyle w:val="style0"/>
        <w:spacing w:after="240" w:lineRule="auto" w:line="360"/>
        <w:jc w:val="center"/>
        <w:rPr>
          <w:b/>
          <w:bCs/>
          <w:sz w:val="28"/>
          <w:szCs w:val="28"/>
        </w:rPr>
      </w:pPr>
      <w:r>
        <w:rPr>
          <w:b/>
          <w:bCs/>
          <w:sz w:val="28"/>
          <w:szCs w:val="28"/>
        </w:rPr>
        <w:t>Lecturer’s Name:</w:t>
      </w:r>
      <w:r>
        <w:rPr>
          <w:b/>
          <w:bCs/>
          <w:sz w:val="28"/>
          <w:szCs w:val="28"/>
          <w:lang w:val="en-US"/>
        </w:rPr>
        <w:t xml:space="preserve"> Dr. Laila maazuoz </w:t>
      </w:r>
    </w:p>
    <w:p>
      <w:pPr>
        <w:pStyle w:val="style0"/>
        <w:spacing w:after="240" w:lineRule="auto" w:line="360"/>
        <w:jc w:val="center"/>
        <w:rPr>
          <w:b/>
          <w:bCs/>
          <w:sz w:val="28"/>
          <w:szCs w:val="28"/>
        </w:rPr>
      </w:pPr>
      <w:r>
        <w:rPr>
          <w:b/>
          <w:bCs/>
          <w:sz w:val="28"/>
          <w:szCs w:val="28"/>
        </w:rPr>
        <w:t>Word</w:t>
      </w:r>
      <w:r>
        <w:rPr>
          <w:b/>
          <w:bCs/>
          <w:sz w:val="28"/>
          <w:szCs w:val="28"/>
        </w:rPr>
        <w:t xml:space="preserve"> Count:</w:t>
      </w:r>
      <w:r>
        <w:rPr>
          <w:b/>
          <w:bCs/>
          <w:sz w:val="28"/>
          <w:szCs w:val="28"/>
        </w:rPr>
        <w:t xml:space="preserve"> 2445</w:t>
      </w:r>
    </w:p>
    <w:p>
      <w:pPr>
        <w:pStyle w:val="style0"/>
        <w:spacing w:after="240" w:lineRule="auto" w:line="360"/>
        <w:jc w:val="center"/>
        <w:rPr>
          <w:b/>
          <w:bCs/>
          <w:sz w:val="28"/>
          <w:szCs w:val="28"/>
        </w:rPr>
      </w:pPr>
      <w:r>
        <w:rPr>
          <w:b/>
          <w:bCs/>
          <w:sz w:val="28"/>
          <w:szCs w:val="28"/>
        </w:rPr>
        <w:t>Term 1</w:t>
      </w:r>
    </w:p>
    <w:p>
      <w:pPr>
        <w:pStyle w:val="style0"/>
        <w:spacing w:after="240" w:lineRule="auto" w:line="360"/>
        <w:jc w:val="center"/>
        <w:rPr>
          <w:b/>
          <w:bCs/>
          <w:sz w:val="28"/>
          <w:szCs w:val="28"/>
        </w:rPr>
      </w:pPr>
    </w:p>
    <w:p>
      <w:pPr>
        <w:pStyle w:val="style0"/>
        <w:spacing w:after="240" w:lineRule="auto" w:line="360"/>
        <w:jc w:val="center"/>
        <w:rPr>
          <w:b/>
          <w:bCs/>
          <w:sz w:val="28"/>
          <w:szCs w:val="28"/>
        </w:rPr>
      </w:pPr>
    </w:p>
    <w:p>
      <w:pPr>
        <w:pStyle w:val="style0"/>
        <w:spacing w:after="240" w:lineRule="auto" w:line="360"/>
        <w:rPr>
          <w:b/>
          <w:bCs/>
        </w:rPr>
      </w:pPr>
      <w:r>
        <w:rPr>
          <w:sz w:val="24"/>
        </w:rPr>
        <w:br w:type="page"/>
      </w:r>
    </w:p>
    <w:p>
      <w:pPr>
        <w:pStyle w:val="style266"/>
        <w:spacing w:after="240" w:lineRule="auto" w:line="360"/>
        <w:jc w:val="center"/>
        <w:rPr>
          <w:rFonts w:ascii="Arial" w:cs="Arial" w:hAnsi="Arial"/>
          <w:b/>
          <w:color w:val="auto"/>
          <w:sz w:val="28"/>
          <w:lang w:val="en-GB"/>
        </w:rPr>
      </w:pPr>
      <w:r>
        <w:rPr>
          <w:rFonts w:ascii="Arial" w:cs="Arial" w:hAnsi="Arial"/>
          <w:b/>
          <w:color w:val="auto"/>
          <w:sz w:val="28"/>
          <w:lang w:val="en-GB"/>
        </w:rPr>
        <w:t>Table of Contents</w:t>
      </w:r>
    </w:p>
    <w:p>
      <w:pPr>
        <w:pStyle w:val="style19"/>
        <w:spacing w:lineRule="auto" w:line="360"/>
        <w:rPr>
          <w:rFonts w:ascii="Cambria" w:cs="宋体" w:eastAsia="宋体" w:hAnsi="Cambria"/>
          <w:noProof/>
          <w:sz w:val="24"/>
          <w:szCs w:val="24"/>
          <w:lang w:val="en-US"/>
        </w:rPr>
      </w:pPr>
      <w:r>
        <w:rPr>
          <w:sz w:val="24"/>
        </w:rPr>
        <w:fldChar w:fldCharType="begin"/>
      </w:r>
      <w:r>
        <w:rPr>
          <w:sz w:val="24"/>
        </w:rPr>
        <w:instrText xml:space="preserve"> TOC \o "1-3" \h \z \u </w:instrText>
      </w:r>
      <w:r>
        <w:rPr>
          <w:sz w:val="24"/>
        </w:rPr>
        <w:fldChar w:fldCharType="separate"/>
      </w:r>
      <w:r>
        <w:rPr/>
        <w:fldChar w:fldCharType="begin"/>
      </w:r>
      <w:r>
        <w:instrText xml:space="preserve"> HYPERLINK \l "_Toc228449812" </w:instrText>
      </w:r>
      <w:r>
        <w:rPr/>
        <w:fldChar w:fldCharType="separate"/>
      </w:r>
      <w:r>
        <w:rPr>
          <w:rStyle w:val="style85"/>
          <w:noProof/>
          <w:sz w:val="24"/>
          <w:szCs w:val="24"/>
        </w:rPr>
        <w:t>Element 1: Brand Extension Poster Presentation</w:t>
      </w:r>
      <w:r>
        <w:rPr>
          <w:noProof/>
          <w:webHidden/>
          <w:sz w:val="24"/>
          <w:szCs w:val="24"/>
        </w:rPr>
        <w:tab/>
      </w:r>
      <w:r>
        <w:rPr>
          <w:noProof/>
          <w:webHidden/>
          <w:sz w:val="24"/>
          <w:szCs w:val="24"/>
        </w:rPr>
        <w:fldChar w:fldCharType="begin"/>
      </w:r>
      <w:r>
        <w:rPr>
          <w:noProof/>
          <w:webHidden/>
          <w:sz w:val="24"/>
          <w:szCs w:val="24"/>
        </w:rPr>
        <w:instrText xml:space="preserve"> PAGEREF _Toc228449812 \h </w:instrText>
      </w:r>
      <w:r>
        <w:rPr>
          <w:noProof/>
          <w:webHidden/>
          <w:sz w:val="24"/>
          <w:szCs w:val="24"/>
        </w:rPr>
        <w:fldChar w:fldCharType="separate"/>
      </w:r>
      <w:r>
        <w:rPr>
          <w:noProof/>
          <w:webHidden/>
          <w:sz w:val="24"/>
          <w:szCs w:val="24"/>
        </w:rPr>
        <w:t>3</w:t>
      </w:r>
      <w:r>
        <w:rPr>
          <w:noProof/>
          <w:webHidden/>
          <w:sz w:val="24"/>
          <w:szCs w:val="24"/>
        </w:rPr>
        <w:fldChar w:fldCharType="end"/>
      </w:r>
      <w:r>
        <w:rPr/>
        <w:fldChar w:fldCharType="end"/>
      </w:r>
    </w:p>
    <w:p>
      <w:pPr>
        <w:pStyle w:val="style19"/>
        <w:spacing w:lineRule="auto" w:line="360"/>
        <w:rPr>
          <w:rFonts w:ascii="Cambria" w:cs="宋体" w:eastAsia="宋体" w:hAnsi="Cambria"/>
          <w:noProof/>
          <w:sz w:val="24"/>
          <w:szCs w:val="24"/>
          <w:lang w:val="en-US"/>
        </w:rPr>
      </w:pPr>
      <w:r>
        <w:rPr/>
        <w:fldChar w:fldCharType="begin"/>
      </w:r>
      <w:r>
        <w:instrText xml:space="preserve"> HYPERLINK \l "_Toc228449813" </w:instrText>
      </w:r>
      <w:r>
        <w:rPr/>
        <w:fldChar w:fldCharType="separate"/>
      </w:r>
      <w:r>
        <w:rPr>
          <w:rStyle w:val="style85"/>
          <w:noProof/>
          <w:sz w:val="24"/>
          <w:szCs w:val="24"/>
        </w:rPr>
        <w:t>Element 2: STDP Analysis – Microsoft AI Workplace</w:t>
      </w:r>
      <w:r>
        <w:rPr>
          <w:noProof/>
          <w:webHidden/>
          <w:sz w:val="24"/>
          <w:szCs w:val="24"/>
        </w:rPr>
        <w:tab/>
      </w:r>
      <w:r>
        <w:rPr>
          <w:noProof/>
          <w:webHidden/>
          <w:sz w:val="24"/>
          <w:szCs w:val="24"/>
        </w:rPr>
        <w:fldChar w:fldCharType="begin"/>
      </w:r>
      <w:r>
        <w:rPr>
          <w:noProof/>
          <w:webHidden/>
          <w:sz w:val="24"/>
          <w:szCs w:val="24"/>
        </w:rPr>
        <w:instrText xml:space="preserve"> PAGEREF _Toc228449813 \h </w:instrText>
      </w:r>
      <w:r>
        <w:rPr>
          <w:noProof/>
          <w:webHidden/>
          <w:sz w:val="24"/>
          <w:szCs w:val="24"/>
        </w:rPr>
        <w:fldChar w:fldCharType="separate"/>
      </w:r>
      <w:r>
        <w:rPr>
          <w:noProof/>
          <w:webHidden/>
          <w:sz w:val="24"/>
          <w:szCs w:val="24"/>
        </w:rPr>
        <w:t>4</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"_Toc228449814" </w:instrText>
      </w:r>
      <w:r>
        <w:rPr/>
        <w:fldChar w:fldCharType="separate"/>
      </w:r>
      <w:r>
        <w:rPr>
          <w:rStyle w:val="style85"/>
          <w:noProof/>
          <w:sz w:val="24"/>
          <w:szCs w:val="24"/>
        </w:rPr>
        <w:t>2.1 Market Segmentation</w:t>
      </w:r>
      <w:r>
        <w:rPr>
          <w:noProof/>
          <w:webHidden/>
          <w:sz w:val="24"/>
          <w:szCs w:val="24"/>
        </w:rPr>
        <w:tab/>
      </w:r>
      <w:r>
        <w:rPr>
          <w:noProof/>
          <w:webHidden/>
          <w:sz w:val="24"/>
          <w:szCs w:val="24"/>
        </w:rPr>
        <w:fldChar w:fldCharType="begin"/>
      </w:r>
      <w:r>
        <w:rPr>
          <w:noProof/>
          <w:webHidden/>
          <w:sz w:val="24"/>
          <w:szCs w:val="24"/>
        </w:rPr>
        <w:instrText xml:space="preserve"> PAGEREF _Toc228449814 \h </w:instrText>
      </w:r>
      <w:r>
        <w:rPr>
          <w:noProof/>
          <w:webHidden/>
          <w:sz w:val="24"/>
          <w:szCs w:val="24"/>
        </w:rPr>
        <w:fldChar w:fldCharType="separate"/>
      </w:r>
      <w:r>
        <w:rPr>
          <w:noProof/>
          <w:webHidden/>
          <w:sz w:val="24"/>
          <w:szCs w:val="24"/>
        </w:rPr>
        <w:t>4</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"_Toc228449815" </w:instrText>
      </w:r>
      <w:r>
        <w:rPr/>
        <w:fldChar w:fldCharType="separate"/>
      </w:r>
      <w:r>
        <w:rPr>
          <w:rStyle w:val="style85"/>
          <w:noProof/>
          <w:sz w:val="24"/>
          <w:szCs w:val="24"/>
        </w:rPr>
        <w:t>2.2 Targeting Strategy</w:t>
      </w:r>
      <w:r>
        <w:rPr>
          <w:noProof/>
          <w:webHidden/>
          <w:sz w:val="24"/>
          <w:szCs w:val="24"/>
        </w:rPr>
        <w:tab/>
      </w:r>
      <w:r>
        <w:rPr>
          <w:noProof/>
          <w:webHidden/>
          <w:sz w:val="24"/>
          <w:szCs w:val="24"/>
        </w:rPr>
        <w:fldChar w:fldCharType="begin"/>
      </w:r>
      <w:r>
        <w:rPr>
          <w:noProof/>
          <w:webHidden/>
          <w:sz w:val="24"/>
          <w:szCs w:val="24"/>
        </w:rPr>
        <w:instrText xml:space="preserve"> PAGEREF _Toc228449815 \h </w:instrText>
      </w:r>
      <w:r>
        <w:rPr>
          <w:noProof/>
          <w:webHidden/>
          <w:sz w:val="24"/>
          <w:szCs w:val="24"/>
        </w:rPr>
        <w:fldChar w:fldCharType="separate"/>
      </w:r>
      <w:r>
        <w:rPr>
          <w:noProof/>
          <w:webHidden/>
          <w:sz w:val="24"/>
          <w:szCs w:val="24"/>
        </w:rPr>
        <w:t>5</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"_Toc228449816" </w:instrText>
      </w:r>
      <w:r>
        <w:rPr/>
        <w:fldChar w:fldCharType="separate"/>
      </w:r>
      <w:r>
        <w:rPr>
          <w:rStyle w:val="style85"/>
          <w:noProof/>
          <w:sz w:val="24"/>
          <w:szCs w:val="24"/>
        </w:rPr>
        <w:t>2.3 Differentiation Strategy</w:t>
      </w:r>
      <w:r>
        <w:rPr>
          <w:noProof/>
          <w:webHidden/>
          <w:sz w:val="24"/>
          <w:szCs w:val="24"/>
        </w:rPr>
        <w:tab/>
      </w:r>
      <w:r>
        <w:rPr>
          <w:noProof/>
          <w:webHidden/>
          <w:sz w:val="24"/>
          <w:szCs w:val="24"/>
        </w:rPr>
        <w:fldChar w:fldCharType="begin"/>
      </w:r>
      <w:r>
        <w:rPr>
          <w:noProof/>
          <w:webHidden/>
          <w:sz w:val="24"/>
          <w:szCs w:val="24"/>
        </w:rPr>
        <w:instrText xml:space="preserve"> PAGEREF _Toc228449816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"_Toc228449817" </w:instrText>
      </w:r>
      <w:r>
        <w:rPr/>
        <w:fldChar w:fldCharType="separate"/>
      </w:r>
      <w:r>
        <w:rPr>
          <w:rStyle w:val="style85"/>
          <w:noProof/>
          <w:sz w:val="24"/>
          <w:szCs w:val="24"/>
        </w:rPr>
        <w:t>2.4 Positioning Strategy</w:t>
      </w:r>
      <w:r>
        <w:rPr>
          <w:noProof/>
          <w:webHidden/>
          <w:sz w:val="24"/>
          <w:szCs w:val="24"/>
        </w:rPr>
        <w:tab/>
      </w:r>
      <w:r>
        <w:rPr>
          <w:noProof/>
          <w:webHidden/>
          <w:sz w:val="24"/>
          <w:szCs w:val="24"/>
        </w:rPr>
        <w:fldChar w:fldCharType="begin"/>
      </w:r>
      <w:r>
        <w:rPr>
          <w:noProof/>
          <w:webHidden/>
          <w:sz w:val="24"/>
          <w:szCs w:val="24"/>
        </w:rPr>
        <w:instrText xml:space="preserve"> PAGEREF _Toc228449817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19"/>
        <w:spacing w:lineRule="auto" w:line="360"/>
        <w:rPr>
          <w:rFonts w:ascii="Cambria" w:cs="宋体" w:eastAsia="宋体" w:hAnsi="Cambria"/>
          <w:noProof/>
          <w:sz w:val="24"/>
          <w:szCs w:val="24"/>
          <w:lang w:val="en-US"/>
        </w:rPr>
      </w:pPr>
      <w:r>
        <w:rPr/>
        <w:fldChar w:fldCharType="begin"/>
      </w:r>
      <w:r>
        <w:instrText xml:space="preserve"> HYPERLINK \l "_Toc228449818" </w:instrText>
      </w:r>
      <w:r>
        <w:rPr/>
        <w:fldChar w:fldCharType="separate"/>
      </w:r>
      <w:r>
        <w:rPr>
          <w:rStyle w:val="style85"/>
          <w:noProof/>
          <w:sz w:val="24"/>
          <w:szCs w:val="24"/>
        </w:rPr>
        <w:t>Element 3: Marketing Mix (7Ps) – Microsoft AI Workplace</w:t>
      </w:r>
      <w:r>
        <w:rPr>
          <w:noProof/>
          <w:webHidden/>
          <w:sz w:val="24"/>
          <w:szCs w:val="24"/>
        </w:rPr>
        <w:tab/>
      </w:r>
      <w:r>
        <w:rPr>
          <w:noProof/>
          <w:webHidden/>
          <w:sz w:val="24"/>
          <w:szCs w:val="24"/>
        </w:rPr>
        <w:fldChar w:fldCharType="begin"/>
      </w:r>
      <w:r>
        <w:rPr>
          <w:noProof/>
          <w:webHidden/>
          <w:sz w:val="24"/>
          <w:szCs w:val="24"/>
        </w:rPr>
        <w:instrText xml:space="preserve"> PAGEREF _Toc228449818 \h </w:instrText>
      </w:r>
      <w:r>
        <w:rPr>
          <w:noProof/>
          <w:webHidden/>
          <w:sz w:val="24"/>
          <w:szCs w:val="24"/>
        </w:rPr>
        <w:fldChar w:fldCharType="separate"/>
      </w:r>
      <w:r>
        <w:rPr>
          <w:noProof/>
          <w:webHidden/>
          <w:sz w:val="24"/>
          <w:szCs w:val="24"/>
        </w:rPr>
        <w:t>8</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"_Toc228449819" </w:instrText>
      </w:r>
      <w:r>
        <w:rPr/>
        <w:fldChar w:fldCharType="separate"/>
      </w:r>
      <w:r>
        <w:rPr>
          <w:rStyle w:val="style85"/>
          <w:noProof/>
          <w:sz w:val="24"/>
          <w:szCs w:val="24"/>
        </w:rPr>
        <w:t>3.1 Product</w:t>
      </w:r>
      <w:r>
        <w:rPr>
          <w:noProof/>
          <w:webHidden/>
          <w:sz w:val="24"/>
          <w:szCs w:val="24"/>
        </w:rPr>
        <w:tab/>
      </w:r>
      <w:r>
        <w:rPr>
          <w:noProof/>
          <w:webHidden/>
          <w:sz w:val="24"/>
          <w:szCs w:val="24"/>
        </w:rPr>
        <w:fldChar w:fldCharType="begin"/>
      </w:r>
      <w:r>
        <w:rPr>
          <w:noProof/>
          <w:webHidden/>
          <w:sz w:val="24"/>
          <w:szCs w:val="24"/>
        </w:rPr>
        <w:instrText xml:space="preserve"> PAGEREF _Toc228449819 \h </w:instrText>
      </w:r>
      <w:r>
        <w:rPr>
          <w:noProof/>
          <w:webHidden/>
          <w:sz w:val="24"/>
          <w:szCs w:val="24"/>
        </w:rPr>
        <w:fldChar w:fldCharType="separate"/>
      </w:r>
      <w:r>
        <w:rPr>
          <w:noProof/>
          <w:webHidden/>
          <w:sz w:val="24"/>
          <w:szCs w:val="24"/>
        </w:rPr>
        <w:t>10</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"_Toc228449820" </w:instrText>
      </w:r>
      <w:r>
        <w:rPr/>
        <w:fldChar w:fldCharType="separate"/>
      </w:r>
      <w:r>
        <w:rPr>
          <w:rStyle w:val="style85"/>
          <w:noProof/>
          <w:sz w:val="24"/>
          <w:szCs w:val="24"/>
        </w:rPr>
        <w:t>3.2 Price</w:t>
      </w:r>
      <w:r>
        <w:rPr>
          <w:noProof/>
          <w:webHidden/>
          <w:sz w:val="24"/>
          <w:szCs w:val="24"/>
        </w:rPr>
        <w:tab/>
      </w:r>
      <w:r>
        <w:rPr>
          <w:noProof/>
          <w:webHidden/>
          <w:sz w:val="24"/>
          <w:szCs w:val="24"/>
        </w:rPr>
        <w:fldChar w:fldCharType="begin"/>
      </w:r>
      <w:r>
        <w:rPr>
          <w:noProof/>
          <w:webHidden/>
          <w:sz w:val="24"/>
          <w:szCs w:val="24"/>
        </w:rPr>
        <w:instrText xml:space="preserve"> PAGEREF _Toc228449820 \h </w:instrText>
      </w:r>
      <w:r>
        <w:rPr>
          <w:noProof/>
          <w:webHidden/>
          <w:sz w:val="24"/>
          <w:szCs w:val="24"/>
        </w:rPr>
        <w:fldChar w:fldCharType="separate"/>
      </w:r>
      <w:r>
        <w:rPr>
          <w:noProof/>
          <w:webHidden/>
          <w:sz w:val="24"/>
          <w:szCs w:val="24"/>
        </w:rPr>
        <w:t>10</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"_Toc228449821" </w:instrText>
      </w:r>
      <w:r>
        <w:rPr/>
        <w:fldChar w:fldCharType="separate"/>
      </w:r>
      <w:r>
        <w:rPr>
          <w:rStyle w:val="style85"/>
          <w:noProof/>
          <w:sz w:val="24"/>
          <w:szCs w:val="24"/>
        </w:rPr>
        <w:t>3.3 Place (Distribution)</w:t>
      </w:r>
      <w:r>
        <w:rPr>
          <w:noProof/>
          <w:webHidden/>
          <w:sz w:val="24"/>
          <w:szCs w:val="24"/>
        </w:rPr>
        <w:tab/>
      </w:r>
      <w:r>
        <w:rPr>
          <w:noProof/>
          <w:webHidden/>
          <w:sz w:val="24"/>
          <w:szCs w:val="24"/>
        </w:rPr>
        <w:fldChar w:fldCharType="begin"/>
      </w:r>
      <w:r>
        <w:rPr>
          <w:noProof/>
          <w:webHidden/>
          <w:sz w:val="24"/>
          <w:szCs w:val="24"/>
        </w:rPr>
        <w:instrText xml:space="preserve"> PAGEREF _Toc228449821 \h </w:instrText>
      </w:r>
      <w:r>
        <w:rPr>
          <w:noProof/>
          <w:webHidden/>
          <w:sz w:val="24"/>
          <w:szCs w:val="24"/>
        </w:rPr>
        <w:fldChar w:fldCharType="separate"/>
      </w:r>
      <w:r>
        <w:rPr>
          <w:noProof/>
          <w:webHidden/>
          <w:sz w:val="24"/>
          <w:szCs w:val="24"/>
        </w:rPr>
        <w:t>11</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"_Toc228449822" </w:instrText>
      </w:r>
      <w:r>
        <w:rPr/>
        <w:fldChar w:fldCharType="separate"/>
      </w:r>
      <w:r>
        <w:rPr>
          <w:rStyle w:val="style85"/>
          <w:noProof/>
          <w:sz w:val="24"/>
          <w:szCs w:val="24"/>
        </w:rPr>
        <w:t>3.4 Promotion</w:t>
      </w:r>
      <w:r>
        <w:rPr>
          <w:noProof/>
          <w:webHidden/>
          <w:sz w:val="24"/>
          <w:szCs w:val="24"/>
        </w:rPr>
        <w:tab/>
      </w:r>
      <w:r>
        <w:rPr>
          <w:noProof/>
          <w:webHidden/>
          <w:sz w:val="24"/>
          <w:szCs w:val="24"/>
        </w:rPr>
        <w:fldChar w:fldCharType="begin"/>
      </w:r>
      <w:r>
        <w:rPr>
          <w:noProof/>
          <w:webHidden/>
          <w:sz w:val="24"/>
          <w:szCs w:val="24"/>
        </w:rPr>
        <w:instrText xml:space="preserve"> PAGEREF _Toc228449822 \h </w:instrText>
      </w:r>
      <w:r>
        <w:rPr>
          <w:noProof/>
          <w:webHidden/>
          <w:sz w:val="24"/>
          <w:szCs w:val="24"/>
        </w:rPr>
        <w:fldChar w:fldCharType="separate"/>
      </w:r>
      <w:r>
        <w:rPr>
          <w:noProof/>
          <w:webHidden/>
          <w:sz w:val="24"/>
          <w:szCs w:val="24"/>
        </w:rPr>
        <w:t>11</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"_Toc228449823" </w:instrText>
      </w:r>
      <w:r>
        <w:rPr/>
        <w:fldChar w:fldCharType="separate"/>
      </w:r>
      <w:r>
        <w:rPr>
          <w:rStyle w:val="style85"/>
          <w:noProof/>
          <w:sz w:val="24"/>
          <w:szCs w:val="24"/>
        </w:rPr>
        <w:t>3.5 People</w:t>
      </w:r>
      <w:r>
        <w:rPr>
          <w:noProof/>
          <w:webHidden/>
          <w:sz w:val="24"/>
          <w:szCs w:val="24"/>
        </w:rPr>
        <w:tab/>
      </w:r>
      <w:r>
        <w:rPr>
          <w:noProof/>
          <w:webHidden/>
          <w:sz w:val="24"/>
          <w:szCs w:val="24"/>
        </w:rPr>
        <w:fldChar w:fldCharType="begin"/>
      </w:r>
      <w:r>
        <w:rPr>
          <w:noProof/>
          <w:webHidden/>
          <w:sz w:val="24"/>
          <w:szCs w:val="24"/>
        </w:rPr>
        <w:instrText xml:space="preserve"> PAGEREF _Toc228449823 \h </w:instrText>
      </w:r>
      <w:r>
        <w:rPr>
          <w:noProof/>
          <w:webHidden/>
          <w:sz w:val="24"/>
          <w:szCs w:val="24"/>
        </w:rPr>
        <w:fldChar w:fldCharType="separate"/>
      </w:r>
      <w:r>
        <w:rPr>
          <w:noProof/>
          <w:webHidden/>
          <w:sz w:val="24"/>
          <w:szCs w:val="24"/>
        </w:rPr>
        <w:t>11</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"_Toc228449824" </w:instrText>
      </w:r>
      <w:r>
        <w:rPr/>
        <w:fldChar w:fldCharType="separate"/>
      </w:r>
      <w:r>
        <w:rPr>
          <w:rStyle w:val="style85"/>
          <w:noProof/>
          <w:sz w:val="24"/>
          <w:szCs w:val="24"/>
        </w:rPr>
        <w:t>3.6 Process</w:t>
      </w:r>
      <w:r>
        <w:rPr>
          <w:noProof/>
          <w:webHidden/>
          <w:sz w:val="24"/>
          <w:szCs w:val="24"/>
        </w:rPr>
        <w:tab/>
      </w:r>
      <w:r>
        <w:rPr>
          <w:noProof/>
          <w:webHidden/>
          <w:sz w:val="24"/>
          <w:szCs w:val="24"/>
        </w:rPr>
        <w:fldChar w:fldCharType="begin"/>
      </w:r>
      <w:r>
        <w:rPr>
          <w:noProof/>
          <w:webHidden/>
          <w:sz w:val="24"/>
          <w:szCs w:val="24"/>
        </w:rPr>
        <w:instrText xml:space="preserve"> PAGEREF _Toc228449824 \h </w:instrText>
      </w:r>
      <w:r>
        <w:rPr>
          <w:noProof/>
          <w:webHidden/>
          <w:sz w:val="24"/>
          <w:szCs w:val="24"/>
        </w:rPr>
        <w:fldChar w:fldCharType="separate"/>
      </w:r>
      <w:r>
        <w:rPr>
          <w:noProof/>
          <w:webHidden/>
          <w:sz w:val="24"/>
          <w:szCs w:val="24"/>
        </w:rPr>
        <w:t>12</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"_Toc228449825" </w:instrText>
      </w:r>
      <w:r>
        <w:rPr/>
        <w:fldChar w:fldCharType="separate"/>
      </w:r>
      <w:r>
        <w:rPr>
          <w:rStyle w:val="style85"/>
          <w:noProof/>
          <w:sz w:val="24"/>
          <w:szCs w:val="24"/>
        </w:rPr>
        <w:t>3.7 Physical Evidence</w:t>
      </w:r>
      <w:r>
        <w:rPr>
          <w:noProof/>
          <w:webHidden/>
          <w:sz w:val="24"/>
          <w:szCs w:val="24"/>
        </w:rPr>
        <w:tab/>
      </w:r>
      <w:r>
        <w:rPr>
          <w:noProof/>
          <w:webHidden/>
          <w:sz w:val="24"/>
          <w:szCs w:val="24"/>
        </w:rPr>
        <w:fldChar w:fldCharType="begin"/>
      </w:r>
      <w:r>
        <w:rPr>
          <w:noProof/>
          <w:webHidden/>
          <w:sz w:val="24"/>
          <w:szCs w:val="24"/>
        </w:rPr>
        <w:instrText xml:space="preserve"> PAGEREF _Toc228449825 \h </w:instrText>
      </w:r>
      <w:r>
        <w:rPr>
          <w:noProof/>
          <w:webHidden/>
          <w:sz w:val="24"/>
          <w:szCs w:val="24"/>
        </w:rPr>
        <w:fldChar w:fldCharType="separate"/>
      </w:r>
      <w:r>
        <w:rPr>
          <w:noProof/>
          <w:webHidden/>
          <w:sz w:val="24"/>
          <w:szCs w:val="24"/>
        </w:rPr>
        <w:t>12</w:t>
      </w:r>
      <w:r>
        <w:rPr>
          <w:noProof/>
          <w:webHidden/>
          <w:sz w:val="24"/>
          <w:szCs w:val="24"/>
        </w:rPr>
        <w:fldChar w:fldCharType="end"/>
      </w:r>
      <w:r>
        <w:rPr/>
        <w:fldChar w:fldCharType="end"/>
      </w:r>
    </w:p>
    <w:p>
      <w:pPr>
        <w:pStyle w:val="style20"/>
        <w:tabs>
          <w:tab w:val="right" w:leader="dot" w:pos="9350"/>
        </w:tabs>
        <w:spacing w:lineRule="auto" w:line="360"/>
        <w:rPr>
          <w:rFonts w:ascii="Cambria" w:cs="宋体" w:eastAsia="宋体" w:hAnsi="Cambria"/>
          <w:noProof/>
          <w:sz w:val="24"/>
          <w:szCs w:val="24"/>
          <w:lang w:val="en-US"/>
        </w:rPr>
      </w:pPr>
      <w:r>
        <w:rPr/>
        <w:fldChar w:fldCharType="begin"/>
      </w:r>
      <w:r>
        <w:instrText xml:space="preserve"> HYPERLINK \l "_Toc228449826" </w:instrText>
      </w:r>
      <w:r>
        <w:rPr/>
        <w:fldChar w:fldCharType="separate"/>
      </w:r>
      <w:r>
        <w:rPr>
          <w:rStyle w:val="style85"/>
          <w:noProof/>
          <w:sz w:val="24"/>
          <w:szCs w:val="24"/>
        </w:rPr>
        <w:t>3.6 Critical Evaluation</w:t>
      </w:r>
      <w:r>
        <w:rPr>
          <w:noProof/>
          <w:webHidden/>
          <w:sz w:val="24"/>
          <w:szCs w:val="24"/>
        </w:rPr>
        <w:tab/>
      </w:r>
      <w:r>
        <w:rPr>
          <w:noProof/>
          <w:webHidden/>
          <w:sz w:val="24"/>
          <w:szCs w:val="24"/>
        </w:rPr>
        <w:fldChar w:fldCharType="begin"/>
      </w:r>
      <w:r>
        <w:rPr>
          <w:noProof/>
          <w:webHidden/>
          <w:sz w:val="24"/>
          <w:szCs w:val="24"/>
        </w:rPr>
        <w:instrText xml:space="preserve"> PAGEREF _Toc228449826 \h </w:instrText>
      </w:r>
      <w:r>
        <w:rPr>
          <w:noProof/>
          <w:webHidden/>
          <w:sz w:val="24"/>
          <w:szCs w:val="24"/>
        </w:rPr>
        <w:fldChar w:fldCharType="separate"/>
      </w:r>
      <w:r>
        <w:rPr>
          <w:noProof/>
          <w:webHidden/>
          <w:sz w:val="24"/>
          <w:szCs w:val="24"/>
        </w:rPr>
        <w:t>12</w:t>
      </w:r>
      <w:r>
        <w:rPr>
          <w:noProof/>
          <w:webHidden/>
          <w:sz w:val="24"/>
          <w:szCs w:val="24"/>
        </w:rPr>
        <w:fldChar w:fldCharType="end"/>
      </w:r>
      <w:r>
        <w:rPr/>
        <w:fldChar w:fldCharType="end"/>
      </w:r>
    </w:p>
    <w:p>
      <w:pPr>
        <w:pStyle w:val="style19"/>
        <w:spacing w:lineRule="auto" w:line="360"/>
        <w:rPr>
          <w:rFonts w:ascii="Cambria" w:cs="宋体" w:eastAsia="宋体" w:hAnsi="Cambria"/>
          <w:noProof/>
          <w:sz w:val="24"/>
          <w:szCs w:val="24"/>
          <w:lang w:val="en-US"/>
        </w:rPr>
      </w:pPr>
      <w:r>
        <w:rPr/>
        <w:fldChar w:fldCharType="begin"/>
      </w:r>
      <w:r>
        <w:instrText xml:space="preserve"> HYPERLINK \l "_Toc228449827" </w:instrText>
      </w:r>
      <w:r>
        <w:rPr/>
        <w:fldChar w:fldCharType="separate"/>
      </w:r>
      <w:r>
        <w:rPr>
          <w:rStyle w:val="style85"/>
          <w:noProof/>
          <w:sz w:val="24"/>
          <w:szCs w:val="24"/>
        </w:rPr>
        <w:t>Element 4: Reflection</w:t>
      </w:r>
      <w:r>
        <w:rPr>
          <w:noProof/>
          <w:webHidden/>
          <w:sz w:val="24"/>
          <w:szCs w:val="24"/>
        </w:rPr>
        <w:tab/>
      </w:r>
      <w:r>
        <w:rPr>
          <w:noProof/>
          <w:webHidden/>
          <w:sz w:val="24"/>
          <w:szCs w:val="24"/>
        </w:rPr>
        <w:fldChar w:fldCharType="begin"/>
      </w:r>
      <w:r>
        <w:rPr>
          <w:noProof/>
          <w:webHidden/>
          <w:sz w:val="24"/>
          <w:szCs w:val="24"/>
        </w:rPr>
        <w:instrText xml:space="preserve"> PAGEREF _Toc228449827 \h </w:instrText>
      </w:r>
      <w:r>
        <w:rPr>
          <w:noProof/>
          <w:webHidden/>
          <w:sz w:val="24"/>
          <w:szCs w:val="24"/>
        </w:rPr>
        <w:fldChar w:fldCharType="separate"/>
      </w:r>
      <w:r>
        <w:rPr>
          <w:noProof/>
          <w:webHidden/>
          <w:sz w:val="24"/>
          <w:szCs w:val="24"/>
        </w:rPr>
        <w:t>13</w:t>
      </w:r>
      <w:r>
        <w:rPr>
          <w:noProof/>
          <w:webHidden/>
          <w:sz w:val="24"/>
          <w:szCs w:val="24"/>
        </w:rPr>
        <w:fldChar w:fldCharType="end"/>
      </w:r>
      <w:r>
        <w:rPr/>
        <w:fldChar w:fldCharType="end"/>
      </w:r>
    </w:p>
    <w:p>
      <w:pPr>
        <w:pStyle w:val="style19"/>
        <w:spacing w:lineRule="auto" w:line="360"/>
        <w:rPr>
          <w:rFonts w:ascii="Cambria" w:cs="宋体" w:eastAsia="宋体" w:hAnsi="Cambria"/>
          <w:noProof/>
          <w:sz w:val="24"/>
          <w:szCs w:val="24"/>
          <w:lang w:val="en-US"/>
        </w:rPr>
      </w:pPr>
      <w:r>
        <w:rPr/>
        <w:fldChar w:fldCharType="begin"/>
      </w:r>
      <w:r>
        <w:instrText xml:space="preserve"> HYPERLINK \l "_Toc228449828" </w:instrText>
      </w:r>
      <w:r>
        <w:rPr/>
        <w:fldChar w:fldCharType="separate"/>
      </w:r>
      <w:r>
        <w:rPr>
          <w:rStyle w:val="style85"/>
          <w:noProof/>
          <w:sz w:val="24"/>
          <w:szCs w:val="24"/>
        </w:rPr>
        <w:t>Reference</w:t>
      </w:r>
      <w:r>
        <w:rPr>
          <w:noProof/>
          <w:webHidden/>
          <w:sz w:val="24"/>
          <w:szCs w:val="24"/>
        </w:rPr>
        <w:tab/>
      </w:r>
      <w:r>
        <w:rPr>
          <w:noProof/>
          <w:webHidden/>
          <w:sz w:val="24"/>
          <w:szCs w:val="24"/>
        </w:rPr>
        <w:fldChar w:fldCharType="begin"/>
      </w:r>
      <w:r>
        <w:rPr>
          <w:noProof/>
          <w:webHidden/>
          <w:sz w:val="24"/>
          <w:szCs w:val="24"/>
        </w:rPr>
        <w:instrText xml:space="preserve"> PAGEREF _Toc228449828 \h </w:instrText>
      </w:r>
      <w:r>
        <w:rPr>
          <w:noProof/>
          <w:webHidden/>
          <w:sz w:val="24"/>
          <w:szCs w:val="24"/>
        </w:rPr>
        <w:fldChar w:fldCharType="separate"/>
      </w:r>
      <w:r>
        <w:rPr>
          <w:noProof/>
          <w:webHidden/>
          <w:sz w:val="24"/>
          <w:szCs w:val="24"/>
        </w:rPr>
        <w:t>15</w:t>
      </w:r>
      <w:r>
        <w:rPr>
          <w:noProof/>
          <w:webHidden/>
          <w:sz w:val="24"/>
          <w:szCs w:val="24"/>
        </w:rPr>
        <w:fldChar w:fldCharType="end"/>
      </w:r>
      <w:r>
        <w:rPr/>
        <w:fldChar w:fldCharType="end"/>
      </w:r>
    </w:p>
    <w:p>
      <w:pPr>
        <w:pStyle w:val="style0"/>
        <w:spacing w:after="240" w:lineRule="auto" w:line="360"/>
        <w:rPr/>
      </w:pPr>
      <w:r>
        <w:rPr>
          <w:b/>
          <w:bCs/>
          <w:noProof/>
          <w:sz w:val="24"/>
        </w:rPr>
        <w:fldChar w:fldCharType="end"/>
      </w:r>
    </w:p>
    <w:p>
      <w:pPr>
        <w:pStyle w:val="style0"/>
        <w:spacing w:lineRule="auto" w:line="360"/>
        <w:rPr>
          <w:sz w:val="24"/>
        </w:rPr>
      </w:pPr>
      <w:r>
        <w:rPr>
          <w:sz w:val="24"/>
        </w:rPr>
        <w:br w:type="page"/>
      </w:r>
    </w:p>
    <w:bookmarkStart w:id="1" w:name="_Toc228449812"/>
    <w:p>
      <w:pPr>
        <w:pStyle w:val="style1"/>
        <w:rPr/>
      </w:pPr>
      <w:r>
        <w:t>Element 1: Brand Extension Poster Presentation</w:t>
      </w:r>
      <w:bookmarkEnd w:id="1"/>
    </w:p>
    <w:p>
      <w:pPr>
        <w:pStyle w:val="style0"/>
        <w:spacing w:lineRule="auto" w:line="360"/>
        <w:jc w:val="center"/>
        <w:rPr/>
      </w:pPr>
      <w:r>
        <w:rPr>
          <w:noProof/>
          <w:lang w:val="en-US"/>
        </w:rPr>
        <w:drawing>
          <wp:inline distL="0" distT="0" distB="0" distR="0">
            <wp:extent cx="5043501" cy="7134225"/>
            <wp:effectExtent l="0" t="0" r="5080" b="0"/>
            <wp:docPr id="1027"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3" cstate="print"/>
                    <a:srcRect l="0" t="0" r="0" b="0"/>
                    <a:stretch/>
                  </pic:blipFill>
                  <pic:spPr>
                    <a:xfrm rot="0">
                      <a:off x="0" y="0"/>
                      <a:ext cx="5043501" cy="7134225"/>
                    </a:xfrm>
                    <a:prstGeom prst="rect"/>
                  </pic:spPr>
                </pic:pic>
              </a:graphicData>
            </a:graphic>
          </wp:inline>
        </w:drawing>
      </w:r>
      <w:r>
        <w:br w:type="page"/>
      </w:r>
    </w:p>
    <w:bookmarkStart w:id="2" w:name="_Toc228449813"/>
    <w:p>
      <w:pPr>
        <w:pStyle w:val="style1"/>
        <w:spacing w:after="240"/>
        <w:rPr/>
      </w:pPr>
      <w:r>
        <w:t>Element 2: STDP Analysis – Microsoft AI Workplace</w:t>
      </w:r>
      <w:bookmarkEnd w:id="2"/>
      <w:r>
        <w:t xml:space="preserve"> </w:t>
      </w:r>
    </w:p>
    <w:bookmarkStart w:id="3" w:name="_he4luxewen8h" w:colFirst="0" w:colLast="0"/>
    <w:bookmarkStart w:id="4" w:name="_Toc228449814"/>
    <w:bookmarkEnd w:id="3"/>
    <w:p>
      <w:pPr>
        <w:pStyle w:val="style2"/>
        <w:spacing w:after="240"/>
        <w:rPr/>
      </w:pPr>
      <w:r>
        <w:t>2.1 Market Segmentation</w:t>
      </w:r>
      <w:bookmarkEnd w:id="4"/>
    </w:p>
    <w:p>
      <w:pPr>
        <w:pStyle w:val="style0"/>
        <w:spacing w:before="240" w:after="240" w:lineRule="auto" w:line="360"/>
        <w:jc w:val="both"/>
        <w:rPr>
          <w:sz w:val="24"/>
        </w:rPr>
      </w:pPr>
      <w:r>
        <w:rPr>
          <w:sz w:val="24"/>
        </w:rPr>
        <w:t xml:space="preserve">The organization needs to follow effective tracking methods, which will help them to find customers or users who have high potential to use Microsoft AI Workplace. The organization uses a segmentation strategy with multiple factors that range from geographic to demographic and psychographic to </w:t>
      </w:r>
      <w:r>
        <w:rPr>
          <w:sz w:val="24"/>
        </w:rPr>
        <w:t>behavioural</w:t>
      </w:r>
      <w:r>
        <w:rPr>
          <w:sz w:val="24"/>
        </w:rPr>
        <w:t xml:space="preserve"> elements.</w:t>
      </w:r>
    </w:p>
    <w:bookmarkStart w:id="5" w:name="_jfup5f3mmtiv" w:colFirst="0" w:colLast="0"/>
    <w:bookmarkEnd w:id="5"/>
    <w:p>
      <w:pPr>
        <w:pStyle w:val="style0"/>
        <w:spacing w:before="240" w:after="240" w:lineRule="auto" w:line="360"/>
        <w:jc w:val="both"/>
        <w:rPr>
          <w:b/>
          <w:i/>
          <w:color w:val="000000"/>
          <w:sz w:val="24"/>
        </w:rPr>
      </w:pPr>
      <w:r>
        <w:rPr>
          <w:b/>
          <w:i/>
          <w:color w:val="000000"/>
          <w:sz w:val="24"/>
        </w:rPr>
        <w:t>Geographic Segmentation</w:t>
      </w:r>
    </w:p>
    <w:p>
      <w:pPr>
        <w:pStyle w:val="style0"/>
        <w:spacing w:before="240" w:after="240" w:lineRule="auto" w:line="360"/>
        <w:jc w:val="both"/>
        <w:rPr>
          <w:sz w:val="24"/>
        </w:rPr>
      </w:pPr>
      <w:r>
        <w:rPr>
          <w:sz w:val="24"/>
        </w:rPr>
        <w:t>Microsoft AI Workplace mainly focuses on developed nations and fast digitalising markets, which include the US, the UK, Europe, and Indian metropolitan areas such as Bengaluru and Hyderabad (Microsoft, 2026). The areas also exhibit advanced digital systems as they have achieved extensive usage, and businesses increasingly adopt hybrid and remote work models. The market readiness increases through government programs that promote AI adoption through development initiatives for the UK AI workforce.</w:t>
      </w:r>
    </w:p>
    <w:bookmarkStart w:id="6" w:name="_19k8q4ecmf8n" w:colFirst="0" w:colLast="0"/>
    <w:bookmarkEnd w:id="6"/>
    <w:p>
      <w:pPr>
        <w:pStyle w:val="style0"/>
        <w:spacing w:before="240" w:after="240" w:lineRule="auto" w:line="360"/>
        <w:jc w:val="both"/>
        <w:rPr>
          <w:b/>
          <w:i/>
          <w:color w:val="000000"/>
          <w:sz w:val="24"/>
        </w:rPr>
      </w:pPr>
      <w:r>
        <w:rPr>
          <w:b/>
          <w:i/>
          <w:color w:val="000000"/>
          <w:sz w:val="24"/>
        </w:rPr>
        <w:t>Demographic Segmentation</w:t>
      </w:r>
    </w:p>
    <w:p>
      <w:pPr>
        <w:pStyle w:val="style0"/>
        <w:spacing w:before="240" w:after="240" w:lineRule="auto" w:line="360"/>
        <w:jc w:val="both"/>
        <w:rPr>
          <w:sz w:val="24"/>
        </w:rPr>
      </w:pPr>
      <w:r>
        <w:rPr>
          <w:sz w:val="24"/>
        </w:rPr>
        <w:t xml:space="preserve">The key demographic segments include, </w:t>
      </w:r>
    </w:p>
    <w:p>
      <w:pPr>
        <w:pStyle w:val="style0"/>
        <w:spacing w:before="240" w:after="240" w:lineRule="auto" w:line="360"/>
        <w:jc w:val="both"/>
        <w:rPr>
          <w:sz w:val="24"/>
        </w:rPr>
      </w:pPr>
      <w:r>
        <w:rPr>
          <w:b/>
          <w:sz w:val="24"/>
        </w:rPr>
        <w:t>Age:</w:t>
      </w:r>
      <w:r>
        <w:rPr>
          <w:sz w:val="24"/>
        </w:rPr>
        <w:t xml:space="preserve"> 25 to 55 years</w:t>
      </w:r>
    </w:p>
    <w:p>
      <w:pPr>
        <w:pStyle w:val="style0"/>
        <w:spacing w:before="240" w:after="240" w:lineRule="auto" w:line="360"/>
        <w:jc w:val="both"/>
        <w:rPr>
          <w:sz w:val="24"/>
        </w:rPr>
      </w:pPr>
      <w:r>
        <w:rPr>
          <w:b/>
          <w:sz w:val="24"/>
        </w:rPr>
        <w:t>Occupation:</w:t>
      </w:r>
      <w:r>
        <w:rPr>
          <w:sz w:val="24"/>
        </w:rPr>
        <w:t xml:space="preserve"> Corporate professionals, managers, and knowledge workers</w:t>
      </w:r>
    </w:p>
    <w:p>
      <w:pPr>
        <w:pStyle w:val="style0"/>
        <w:spacing w:before="240" w:after="240" w:lineRule="auto" w:line="360"/>
        <w:jc w:val="both"/>
        <w:rPr>
          <w:sz w:val="24"/>
        </w:rPr>
      </w:pPr>
      <w:r>
        <w:rPr>
          <w:b/>
          <w:sz w:val="24"/>
        </w:rPr>
        <w:t>Income level:</w:t>
      </w:r>
      <w:r>
        <w:rPr>
          <w:sz w:val="24"/>
        </w:rPr>
        <w:t xml:space="preserve"> Medium to high-income earners</w:t>
      </w:r>
    </w:p>
    <w:p>
      <w:pPr>
        <w:pStyle w:val="style0"/>
        <w:spacing w:before="240" w:after="240" w:lineRule="auto" w:line="360"/>
        <w:jc w:val="both"/>
        <w:rPr>
          <w:sz w:val="24"/>
        </w:rPr>
      </w:pPr>
      <w:r>
        <w:rPr>
          <w:sz w:val="24"/>
        </w:rPr>
        <w:t>The present section shows excellent relevance as it shows the main workforce that uses Microsoft 365 productivity software, such as Word, Excel, and Teams, for their work (Rosener, 2024). The executive and senior management group constitutes a vital decision-making group where their actions determine which technologies will be implemented throughout the organization.</w:t>
      </w:r>
    </w:p>
    <w:bookmarkStart w:id="7" w:name="_86g1wv9s7jfx" w:colFirst="0" w:colLast="0"/>
    <w:bookmarkEnd w:id="7"/>
    <w:p>
      <w:pPr>
        <w:pStyle w:val="style0"/>
        <w:spacing w:before="240" w:after="240" w:lineRule="auto" w:line="360"/>
        <w:jc w:val="both"/>
        <w:rPr>
          <w:b/>
          <w:i/>
          <w:color w:val="000000"/>
          <w:sz w:val="24"/>
        </w:rPr>
      </w:pPr>
      <w:r>
        <w:rPr>
          <w:b/>
          <w:i/>
          <w:color w:val="000000"/>
          <w:sz w:val="24"/>
        </w:rPr>
        <w:t>Psychographic Segmentation</w:t>
      </w:r>
    </w:p>
    <w:p>
      <w:pPr>
        <w:pStyle w:val="style0"/>
        <w:spacing w:before="240" w:after="240" w:lineRule="auto" w:line="360"/>
        <w:jc w:val="both"/>
        <w:rPr>
          <w:sz w:val="24"/>
        </w:rPr>
      </w:pPr>
      <w:r>
        <w:rPr>
          <w:sz w:val="24"/>
        </w:rPr>
        <w:t>The target audience consists of people who value three specific traits, which include efficiency and productivity, and innovative practices (Farida and Setiawan, 2022). Also, the use of artificial intelligence consists of people who embrace new technologies and can achieve work-life balance through flexible work arrangements based on data analysis instead of other methods.</w:t>
      </w:r>
    </w:p>
    <w:p>
      <w:pPr>
        <w:pStyle w:val="style0"/>
        <w:spacing w:before="240" w:after="240" w:lineRule="auto" w:line="360"/>
        <w:jc w:val="both"/>
        <w:rPr>
          <w:sz w:val="24"/>
        </w:rPr>
      </w:pPr>
      <w:r>
        <w:rPr>
          <w:sz w:val="24"/>
        </w:rPr>
        <w:t>The group demonstrates a connection to the rising number of “digital-first professionals” who perceive AI as a tool that boosts their work efficiency through its ability and also decreases job demands.</w:t>
      </w:r>
    </w:p>
    <w:bookmarkStart w:id="8" w:name="_b6ebe4c55pjw" w:colFirst="0" w:colLast="0"/>
    <w:bookmarkEnd w:id="8"/>
    <w:p>
      <w:pPr>
        <w:pStyle w:val="style0"/>
        <w:spacing w:before="240" w:after="240" w:lineRule="auto" w:line="360"/>
        <w:jc w:val="both"/>
        <w:rPr>
          <w:b/>
          <w:i/>
          <w:color w:val="000000"/>
          <w:sz w:val="24"/>
        </w:rPr>
      </w:pPr>
      <w:r>
        <w:rPr>
          <w:b/>
          <w:i/>
          <w:color w:val="000000"/>
          <w:sz w:val="24"/>
        </w:rPr>
        <w:t>Behavioural Segmentation</w:t>
      </w:r>
    </w:p>
    <w:p>
      <w:pPr>
        <w:pStyle w:val="style0"/>
        <w:spacing w:before="240" w:after="240" w:lineRule="auto" w:line="360"/>
        <w:jc w:val="both"/>
        <w:rPr>
          <w:sz w:val="24"/>
        </w:rPr>
      </w:pPr>
      <w:r>
        <w:rPr>
          <w:sz w:val="24"/>
        </w:rPr>
        <w:t xml:space="preserve">Behavioural segmentation divides users based upon their actual software usage patterns, which highlights that Microsoft tools users who frequently access Teams, Outlook, and Excel represent their most active user base (Ooi et al., 2024). </w:t>
      </w:r>
    </w:p>
    <w:p>
      <w:pPr>
        <w:pStyle w:val="style0"/>
        <w:spacing w:before="240" w:after="240" w:lineRule="auto" w:line="360"/>
        <w:jc w:val="both"/>
        <w:rPr>
          <w:sz w:val="24"/>
        </w:rPr>
      </w:pPr>
      <w:r>
        <w:rPr>
          <w:sz w:val="24"/>
        </w:rPr>
        <w:t>The recent data indicates that approximately 75% of employees already use AI at work, with 46% reporting improved productivity, which shows their strong preference for using AI solutions in their jobs (Microsoft, 2024). The system identifies users who demonstrate strong loyalty to the brand by using AI technologies, who currently use Microsoft products.</w:t>
      </w:r>
    </w:p>
    <w:bookmarkStart w:id="9" w:name="_p4zt1pb1c2n7" w:colFirst="0" w:colLast="0"/>
    <w:bookmarkStart w:id="10" w:name="_Toc228449815"/>
    <w:bookmarkEnd w:id="9"/>
    <w:p>
      <w:pPr>
        <w:pStyle w:val="style2"/>
        <w:spacing w:after="240"/>
        <w:rPr/>
      </w:pPr>
      <w:r>
        <w:t>2.2 Targeting Strategy</w:t>
      </w:r>
      <w:bookmarkEnd w:id="10"/>
    </w:p>
    <w:p>
      <w:pPr>
        <w:pStyle w:val="style0"/>
        <w:spacing w:before="240" w:after="240" w:lineRule="auto" w:line="360"/>
        <w:jc w:val="both"/>
        <w:rPr>
          <w:sz w:val="24"/>
        </w:rPr>
      </w:pPr>
      <w:r>
        <w:rPr>
          <w:sz w:val="24"/>
        </w:rPr>
        <w:t xml:space="preserve">The targeted marketing strategy of Microsoft mainly directs its efforts toward business customers and individual users operating within corporate environments. </w:t>
      </w:r>
      <w:r>
        <w:rPr>
          <w:sz w:val="24"/>
        </w:rPr>
        <w:t xml:space="preserve">The primary target audience who are already integrated into the Microsoft ecosystem that consists medium-large enterprises </w:t>
      </w:r>
      <w:r>
        <w:rPr>
          <w:sz w:val="24"/>
        </w:rPr>
        <w:t xml:space="preserve">(Narayan, 2023). </w:t>
      </w:r>
    </w:p>
    <w:p>
      <w:pPr>
        <w:pStyle w:val="style0"/>
        <w:spacing w:before="240" w:after="240" w:lineRule="auto" w:line="360"/>
        <w:jc w:val="both"/>
        <w:rPr>
          <w:sz w:val="24"/>
        </w:rPr>
      </w:pPr>
      <w:r>
        <w:rPr>
          <w:sz w:val="24"/>
        </w:rPr>
        <w:t xml:space="preserve">The secondary target group comprises small and medium-sized enterprises (SMEs) that adopt cloud solutions and AI tools, benefiting from scalability and cost-efficiency. </w:t>
      </w:r>
      <w:r>
        <w:rPr>
          <w:rFonts w:ascii="Helvetica" w:hAnsi="Helvetica"/>
          <w:color w:val="000000"/>
          <w:sz w:val="26"/>
          <w:szCs w:val="26"/>
          <w:shd w:val="clear" w:color="auto" w:fill="ffffff"/>
        </w:rPr>
        <w:t xml:space="preserve">The trending future AI adoption showing an 80% growth over three years that can increase market interest by adopting this technology </w:t>
      </w:r>
      <w:r>
        <w:rPr>
          <w:sz w:val="24"/>
        </w:rPr>
        <w:t>(McKinsey, 2025). However, the adoption might get slowed down because of the cost and skills required, especially in the case of developing nations.</w:t>
      </w:r>
    </w:p>
    <w:bookmarkStart w:id="11" w:name="_219htpcsz69" w:colFirst="0" w:colLast="0"/>
    <w:bookmarkStart w:id="12" w:name="_Toc228449816"/>
    <w:bookmarkEnd w:id="11"/>
    <w:p>
      <w:pPr>
        <w:pStyle w:val="style2"/>
        <w:spacing w:after="240"/>
        <w:rPr/>
      </w:pPr>
      <w:r>
        <w:t>2.3 Differentiation Strategy</w:t>
      </w:r>
      <w:bookmarkEnd w:id="12"/>
    </w:p>
    <w:p>
      <w:pPr>
        <w:pStyle w:val="style0"/>
        <w:spacing w:before="240" w:after="240" w:lineRule="auto" w:line="360"/>
        <w:jc w:val="both"/>
        <w:rPr>
          <w:sz w:val="24"/>
        </w:rPr>
      </w:pPr>
      <w:r>
        <w:rPr>
          <w:sz w:val="24"/>
        </w:rPr>
        <w:t xml:space="preserve">Microsoft AI Workplace operates in a competitive market that includes Google Workspace AI and various enterprise artificial intelligence platforms. </w:t>
      </w:r>
    </w:p>
    <w:p>
      <w:pPr>
        <w:pStyle w:val="style0"/>
        <w:spacing w:before="240" w:after="240" w:lineRule="auto" w:line="360"/>
        <w:jc w:val="both"/>
        <w:rPr>
          <w:sz w:val="24"/>
        </w:rPr>
      </w:pPr>
      <w:r>
        <w:rPr>
          <w:sz w:val="24"/>
        </w:rPr>
        <w:t>Microsoft provides a complete digital workplace solution through its Microsoft 365, Teams, and Azure integration capabilities within the organizations (Guntupalli and Kuchimanchi, 2024). The system provides a better user experience because it eliminates system fragmentation.</w:t>
      </w:r>
    </w:p>
    <w:p>
      <w:pPr>
        <w:pStyle w:val="style0"/>
        <w:spacing w:before="240" w:after="240" w:lineRule="auto" w:line="360"/>
        <w:jc w:val="both"/>
        <w:rPr>
          <w:sz w:val="24"/>
        </w:rPr>
      </w:pPr>
      <w:r>
        <w:rPr>
          <w:sz w:val="24"/>
        </w:rPr>
        <w:t>The software tool Microsoft Copilot delivers three main functions, which include real-time help, automated processes, and recommendation systems to transform standard work activities into streamlined operational procedures (</w:t>
      </w:r>
      <w:r>
        <w:rPr>
          <w:sz w:val="24"/>
        </w:rPr>
        <w:t>Perumal,</w:t>
      </w:r>
      <w:r>
        <w:rPr>
          <w:sz w:val="24"/>
        </w:rPr>
        <w:t xml:space="preserve"> 2025). The system now enables users to obtain advanced capabilities over productivity functions. </w:t>
      </w:r>
    </w:p>
    <w:p>
      <w:pPr>
        <w:pStyle w:val="style0"/>
        <w:spacing w:before="240" w:after="240" w:lineRule="auto" w:line="360"/>
        <w:jc w:val="both"/>
        <w:rPr>
          <w:sz w:val="24"/>
        </w:rPr>
      </w:pPr>
      <w:r>
        <w:rPr>
          <w:sz w:val="24"/>
        </w:rPr>
        <w:t>The expertise Microsoft has attained in data protection and compliance standards serves organizations that handle confidential information (Cate, 2025). This system establishes a relationship of trust and operates within sectors subject to regulatory oversight, such as healthcare and finance.</w:t>
      </w:r>
    </w:p>
    <w:bookmarkStart w:id="13" w:name="_h559s9wcfc6c" w:colFirst="0" w:colLast="0"/>
    <w:bookmarkEnd w:id="13"/>
    <w:p>
      <w:pPr>
        <w:pStyle w:val="style0"/>
        <w:spacing w:before="240" w:after="240" w:lineRule="auto" w:line="360"/>
        <w:jc w:val="both"/>
        <w:rPr>
          <w:b/>
          <w:i/>
          <w:color w:val="000000"/>
          <w:sz w:val="24"/>
        </w:rPr>
      </w:pPr>
      <w:r>
        <w:rPr>
          <w:b/>
          <w:i/>
          <w:color w:val="000000"/>
          <w:sz w:val="24"/>
        </w:rPr>
        <w:t>Critical Evaluation</w:t>
      </w:r>
    </w:p>
    <w:p>
      <w:pPr>
        <w:pStyle w:val="style0"/>
        <w:spacing w:before="240" w:after="240" w:lineRule="auto" w:line="360"/>
        <w:jc w:val="both"/>
        <w:rPr>
          <w:sz w:val="24"/>
        </w:rPr>
      </w:pPr>
      <w:r>
        <w:rPr>
          <w:sz w:val="24"/>
        </w:rPr>
        <w:t>The company creates its unique products through strong differentiation, while Google provides its competitors with more flexible systems, which may attract startup companies (Van Der Vlist et al., 2024). In addition, the complex nature of Microsoft products creates challenges for users who lack technical expertise to learn their systems, which will result in slower adoption rates.</w:t>
      </w:r>
    </w:p>
    <w:bookmarkStart w:id="14" w:name="_lcpjqdi891ab" w:colFirst="0" w:colLast="0"/>
    <w:bookmarkStart w:id="15" w:name="_Toc228449817"/>
    <w:bookmarkEnd w:id="14"/>
    <w:p>
      <w:pPr>
        <w:pStyle w:val="style2"/>
        <w:spacing w:after="240"/>
        <w:rPr>
          <w:i/>
          <w:iCs/>
        </w:rPr>
      </w:pPr>
      <w:r>
        <w:t>2.4 Positioning Strategy</w:t>
      </w:r>
      <w:bookmarkEnd w:id="15"/>
    </w:p>
    <w:bookmarkStart w:id="16" w:name="_vi5yyjh7vyp" w:colFirst="0" w:colLast="0"/>
    <w:bookmarkEnd w:id="16"/>
    <w:p>
      <w:pPr>
        <w:pStyle w:val="style0"/>
        <w:spacing w:before="240" w:after="240" w:lineRule="auto" w:line="360"/>
        <w:jc w:val="both"/>
        <w:rPr>
          <w:b/>
          <w:i/>
          <w:color w:val="000000"/>
          <w:sz w:val="24"/>
        </w:rPr>
      </w:pPr>
      <w:r>
        <w:rPr>
          <w:b/>
          <w:i/>
          <w:color w:val="000000"/>
          <w:sz w:val="24"/>
        </w:rPr>
        <w:t>Positioning Dimensions</w:t>
      </w:r>
    </w:p>
    <w:p>
      <w:pPr>
        <w:pStyle w:val="style0"/>
        <w:spacing w:before="240" w:after="240" w:lineRule="auto" w:line="360"/>
        <w:jc w:val="both"/>
        <w:rPr>
          <w:sz w:val="24"/>
        </w:rPr>
      </w:pPr>
      <w:r>
        <w:rPr>
          <w:b/>
          <w:noProof/>
          <w:color w:val="000000"/>
          <w:sz w:val="24"/>
          <w:lang w:val="en-US"/>
        </w:rPr>
        <w:drawing>
          <wp:inline distL="0" distT="0" distB="0" distR="0">
            <wp:extent cx="5943600" cy="3333750"/>
            <wp:effectExtent l="38100" t="0" r="19050" b="0"/>
            <wp:docPr id="1028" name="Diagram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bookmarkStart w:id="17" w:name="_3ef5snees9ub" w:colFirst="0" w:colLast="0"/>
    <w:bookmarkEnd w:id="17"/>
    <w:p>
      <w:pPr>
        <w:pStyle w:val="style0"/>
        <w:spacing w:before="240" w:after="240" w:lineRule="auto" w:line="360"/>
        <w:jc w:val="both"/>
        <w:rPr>
          <w:b/>
          <w:i/>
          <w:color w:val="000000"/>
          <w:sz w:val="24"/>
        </w:rPr>
      </w:pPr>
      <w:r>
        <w:rPr>
          <w:b/>
          <w:i/>
          <w:color w:val="000000"/>
          <w:sz w:val="24"/>
        </w:rPr>
        <w:t>Perceptual Positioning</w:t>
      </w:r>
    </w:p>
    <w:p>
      <w:pPr>
        <w:pStyle w:val="style0"/>
        <w:spacing w:before="240" w:after="240" w:lineRule="auto" w:line="360"/>
        <w:jc w:val="center"/>
        <w:rPr>
          <w:sz w:val="24"/>
        </w:rPr>
      </w:pPr>
      <w:r>
        <w:rPr>
          <w:noProof/>
          <w:lang w:val="en-US"/>
        </w:rPr>
        <w:drawing>
          <wp:inline distL="0" distT="0" distB="0" distR="0">
            <wp:extent cx="4838700" cy="3541368"/>
            <wp:effectExtent l="76200" t="76200" r="133350" b="135890"/>
            <wp:docPr id="1029"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srcRect l="0" t="0" r="0" b="0"/>
                    <a:stretch/>
                  </pic:blipFill>
                  <pic:spPr>
                    <a:xfrm rot="0">
                      <a:off x="0" y="0"/>
                      <a:ext cx="4838700" cy="3541368"/>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before="240" w:after="240" w:lineRule="auto" w:line="360"/>
        <w:jc w:val="both"/>
        <w:rPr>
          <w:sz w:val="24"/>
        </w:rPr>
      </w:pPr>
      <w:r>
        <w:rPr>
          <w:sz w:val="24"/>
        </w:rPr>
        <w:t xml:space="preserve">In this perceptual map, </w:t>
      </w:r>
      <w:r>
        <w:rPr>
          <w:sz w:val="24"/>
        </w:rPr>
        <w:t>Microsoft operates in a high integration, high trust, and premium corporate quadrant</w:t>
      </w:r>
      <w:r>
        <w:rPr>
          <w:sz w:val="24"/>
        </w:rPr>
        <w:t xml:space="preserve"> while google is medium and Standalone is low</w:t>
      </w:r>
      <w:r>
        <w:rPr>
          <w:sz w:val="24"/>
        </w:rPr>
        <w:t>. This gives it a competitive advantage, which is guaranteed</w:t>
      </w:r>
      <w:r>
        <w:rPr>
          <w:sz w:val="24"/>
        </w:rPr>
        <w:t xml:space="preserve"> for the sustainability</w:t>
      </w:r>
      <w:r>
        <w:rPr>
          <w:sz w:val="24"/>
        </w:rPr>
        <w:t>.</w:t>
      </w:r>
    </w:p>
    <w:bookmarkStart w:id="18" w:name="_jy3nyhkt8dpf" w:colFirst="0" w:colLast="0"/>
    <w:bookmarkEnd w:id="18"/>
    <w:p>
      <w:pPr>
        <w:pStyle w:val="style0"/>
        <w:spacing w:before="240" w:after="240" w:lineRule="auto" w:line="360"/>
        <w:jc w:val="both"/>
        <w:rPr>
          <w:b/>
          <w:i/>
          <w:sz w:val="24"/>
        </w:rPr>
      </w:pPr>
      <w:r>
        <w:rPr>
          <w:b/>
          <w:i/>
          <w:sz w:val="24"/>
        </w:rPr>
        <w:t>Critical Insight</w:t>
      </w:r>
    </w:p>
    <w:p>
      <w:pPr>
        <w:pStyle w:val="style0"/>
        <w:spacing w:before="240" w:after="240" w:lineRule="auto" w:line="360"/>
        <w:jc w:val="both"/>
        <w:rPr>
          <w:sz w:val="24"/>
        </w:rPr>
      </w:pPr>
      <w:r>
        <w:rPr>
          <w:sz w:val="24"/>
        </w:rPr>
        <w:t>The STDP strategy enables Microsoft AI Workplace to achieve excellent results and aligns with current market trends regarding the rapid adoption of AI in the workplace. As per Banka an</w:t>
      </w:r>
      <w:r>
        <w:rPr>
          <w:sz w:val="24"/>
        </w:rPr>
        <w:t xml:space="preserve">d Uchihira, (2024), Microsoft </w:t>
      </w:r>
      <w:r>
        <w:rPr>
          <w:sz w:val="24"/>
        </w:rPr>
        <w:t>develop distinct products, and its integration and security features</w:t>
      </w:r>
      <w:r>
        <w:rPr>
          <w:sz w:val="24"/>
        </w:rPr>
        <w:t xml:space="preserve"> through the </w:t>
      </w:r>
      <w:r>
        <w:rPr>
          <w:sz w:val="24"/>
        </w:rPr>
        <w:t xml:space="preserve">competitive advantages </w:t>
      </w:r>
      <w:r>
        <w:rPr>
          <w:sz w:val="24"/>
        </w:rPr>
        <w:t>and capabilities along with</w:t>
      </w:r>
      <w:r>
        <w:rPr>
          <w:sz w:val="24"/>
        </w:rPr>
        <w:t xml:space="preserve"> its ecosys</w:t>
      </w:r>
      <w:r>
        <w:rPr>
          <w:sz w:val="24"/>
        </w:rPr>
        <w:t>tem-based targeting approach</w:t>
      </w:r>
      <w:r>
        <w:rPr>
          <w:sz w:val="24"/>
        </w:rPr>
        <w:t>.</w:t>
      </w:r>
    </w:p>
    <w:p>
      <w:pPr>
        <w:pStyle w:val="style0"/>
        <w:spacing w:before="240" w:after="240" w:lineRule="auto" w:line="360"/>
        <w:jc w:val="both"/>
        <w:rPr>
          <w:sz w:val="24"/>
        </w:rPr>
      </w:pPr>
      <w:r>
        <w:rPr>
          <w:sz w:val="24"/>
        </w:rPr>
        <w:t xml:space="preserve">However, Microsoft needs to solve three problems, which include making their products cheaper for customers, providing better training for users, and simplifying their systems, as they want to grow their business in new markets. The company can increase its business operations by reaching out to smaller companies. </w:t>
      </w:r>
    </w:p>
    <w:bookmarkStart w:id="19" w:name="_Toc228449818"/>
    <w:p>
      <w:pPr>
        <w:pStyle w:val="style1"/>
        <w:rPr>
          <w:lang w:val="en-US"/>
        </w:rPr>
      </w:pPr>
      <w:r>
        <w:t>Element</w:t>
      </w:r>
      <w:r>
        <w:t xml:space="preserve"> 3: Marketing Mix (7Ps) – Microsoft AI Workplace</w:t>
      </w:r>
      <w:bookmarkEnd w:id="19"/>
      <w:r>
        <w:t> </w:t>
      </w:r>
    </w:p>
    <w:p>
      <w:pPr>
        <w:pStyle w:val="style94"/>
        <w:spacing w:before="240" w:beforeAutospacing="false" w:after="240" w:afterAutospacing="false" w:lineRule="auto" w:line="360"/>
        <w:jc w:val="both"/>
        <w:rPr/>
      </w:pPr>
      <w:r>
        <w:rPr>
          <w:rFonts w:ascii="Arial" w:cs="Arial" w:hAnsi="Arial"/>
          <w:color w:val="000000"/>
        </w:rPr>
        <w:t>In the Microsoft AI workplace, the 7Ps marketing mix will be applied to ensure the organization’s positioning strategy by integrating an AI-driven enterprise-grade solution that supports the brand expansion worldwide. This framework delivers service-based market products rather than traditional marketing through the digital ecosystem approach (Maleewat, 2023).</w:t>
      </w:r>
    </w:p>
    <w:tbl>
      <w:tblPr>
        <w:tblW w:w="0" w:type="auto"/>
        <w:tblCellMar>
          <w:top w:w="15" w:type="dxa"/>
          <w:left w:w="15" w:type="dxa"/>
          <w:bottom w:w="15" w:type="dxa"/>
          <w:right w:w="15" w:type="dxa"/>
        </w:tblCellMar>
        <w:tblLook w:val="04A0" w:firstRow="1" w:lastRow="0" w:firstColumn="1" w:lastColumn="0" w:noHBand="0" w:noVBand="1"/>
      </w:tblPr>
      <w:tblGrid>
        <w:gridCol w:w="1453"/>
        <w:gridCol w:w="4784"/>
        <w:gridCol w:w="3122"/>
      </w:tblGrid>
      <w:tr>
        <w:trPr>
          <w:trHeight w:val="585" w:hRule="atLeast"/>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b/>
                <w:bCs/>
                <w:color w:val="000000"/>
              </w:rPr>
              <w:t>Element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b/>
                <w:bCs/>
                <w:color w:val="000000"/>
              </w:rPr>
              <w:t>Application to Microsoft AI Workplace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b/>
                <w:bCs/>
                <w:color w:val="000000"/>
              </w:rPr>
              <w:t>Strategic Justification</w:t>
            </w:r>
          </w:p>
        </w:tc>
      </w:tr>
      <w:tr>
        <w:tblPrEx/>
        <w:trPr>
          <w:trHeight w:val="1425" w:hRule="atLeast"/>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Product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AI technology to connect Microsoft 365 with Teams, Azure AI, and Copilot will be utilized in the workplace ecosystem to enable automated processes and team collaboration (Deena et al., 2024).</w:t>
            </w:r>
          </w:p>
          <w:p>
            <w:pPr>
              <w:pStyle w:val="style0"/>
              <w:spacing w:lineRule="auto" w:line="360"/>
              <w:jc w:val="both"/>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 xml:space="preserve">It </w:t>
            </w:r>
            <w:r>
              <w:rPr>
                <w:rFonts w:ascii="Arial" w:cs="Arial" w:hAnsi="Arial"/>
                <w:color w:val="000000"/>
              </w:rPr>
              <w:t>drives</w:t>
            </w:r>
            <w:r>
              <w:rPr>
                <w:rFonts w:ascii="Arial" w:cs="Arial" w:hAnsi="Arial"/>
                <w:color w:val="000000"/>
              </w:rPr>
              <w:t xml:space="preserve"> </w:t>
            </w:r>
            <w:r>
              <w:rPr>
                <w:rFonts w:ascii="Arial" w:cs="Arial" w:hAnsi="Arial"/>
                <w:color w:val="000000"/>
              </w:rPr>
              <w:t xml:space="preserve">AI-driven efficiency and basic productivity tools within the workplace. </w:t>
            </w:r>
          </w:p>
        </w:tc>
      </w:tr>
      <w:tr>
        <w:tblPrEx/>
        <w:trPr>
          <w:trHeight w:val="1140" w:hRule="atLeast"/>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Price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The pricing model offers subscription-based pricing, tiered pricing</w:t>
            </w:r>
            <w:r>
              <w:rPr>
                <w:rFonts w:ascii="Arial" w:cs="Arial" w:hAnsi="Arial"/>
                <w:color w:val="000000"/>
              </w:rPr>
              <w:t xml:space="preserve"> </w:t>
            </w:r>
            <w:r>
              <w:rPr>
                <w:rFonts w:ascii="Arial" w:cs="Arial" w:hAnsi="Arial"/>
                <w:color w:val="000000"/>
              </w:rPr>
              <w:t>and Copilot add-ons for</w:t>
            </w:r>
            <w:r>
              <w:rPr>
                <w:rFonts w:ascii="Arial" w:cs="Arial" w:hAnsi="Arial"/>
                <w:color w:val="000000"/>
              </w:rPr>
              <w:t xml:space="preserve"> </w:t>
            </w:r>
            <w:r>
              <w:rPr>
                <w:rFonts w:ascii="Arial" w:cs="Arial" w:hAnsi="Arial"/>
                <w:color w:val="000000"/>
              </w:rPr>
              <w:t xml:space="preserve">Microsoft, </w:t>
            </w:r>
            <w:r>
              <w:rPr>
                <w:rFonts w:ascii="Arial" w:cs="Arial" w:hAnsi="Arial"/>
                <w:color w:val="000000"/>
              </w:rPr>
              <w:t>and other</w:t>
            </w:r>
            <w:r>
              <w:rPr>
                <w:rFonts w:ascii="Arial" w:cs="Arial" w:hAnsi="Arial"/>
                <w:color w:val="000000"/>
              </w:rPr>
              <w:t xml:space="preserve"> </w:t>
            </w:r>
            <w:r>
              <w:rPr>
                <w:rFonts w:ascii="Arial" w:cs="Arial" w:hAnsi="Arial"/>
                <w:color w:val="000000"/>
              </w:rPr>
              <w:t xml:space="preserve">SMES </w:t>
            </w:r>
            <w:r>
              <w:rPr>
                <w:rFonts w:ascii="Arial" w:cs="Arial" w:hAnsi="Arial"/>
                <w:color w:val="000000"/>
              </w:rPr>
              <w:t>(Calzolari and Hanspach, 2025).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It supports a value-based pricing strategy by reinforcing premium positioning. </w:t>
            </w:r>
          </w:p>
        </w:tc>
      </w:tr>
      <w:tr>
        <w:tblPrEx/>
        <w:trPr>
          <w:trHeight w:val="1140" w:hRule="atLeast"/>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Place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The company delivers its services through four channels, which include Azure Cloud deployment, direct sales, partner network, and online distribution platforms (Galhotra, 2025).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It enables global scalability and accessibility. </w:t>
            </w:r>
          </w:p>
        </w:tc>
      </w:tr>
      <w:tr>
        <w:tblPrEx/>
        <w:trPr>
          <w:trHeight w:val="1140" w:hRule="atLeast"/>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Promotion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The company uses multiple B2B marketing methods, such as webinars, case studies, LinkedIn marketing, and Work Trend Index, which promote its products (Oklander et al., 2025).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It helps to reduce AI adoption resistance and build trust by using a leadership marketing strategy. </w:t>
            </w:r>
          </w:p>
        </w:tc>
      </w:tr>
      <w:tr>
        <w:tblPrEx/>
        <w:trPr>
          <w:trHeight w:val="1140" w:hRule="atLeast"/>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People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The group consists of end-users such as employees, IT managers, Microsoft support teams, and training partners to provide technical assistance (Chaushi et al., 2024).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It supports long-term engagement</w:t>
            </w:r>
            <w:r>
              <w:rPr>
                <w:rFonts w:ascii="Arial" w:cs="Arial" w:hAnsi="Arial"/>
                <w:color w:val="000000"/>
              </w:rPr>
              <w:t xml:space="preserve"> and </w:t>
            </w:r>
            <w:r>
              <w:rPr>
                <w:rFonts w:ascii="Arial" w:cs="Arial" w:hAnsi="Arial"/>
                <w:color w:val="000000"/>
              </w:rPr>
              <w:t>relationship marketing</w:t>
            </w:r>
            <w:r>
              <w:rPr>
                <w:rFonts w:ascii="Arial" w:cs="Arial" w:hAnsi="Arial"/>
                <w:color w:val="000000"/>
              </w:rPr>
              <w:t>. </w:t>
            </w:r>
          </w:p>
        </w:tc>
      </w:tr>
      <w:tr>
        <w:tblPrEx/>
        <w:trPr>
          <w:trHeight w:val="1140" w:hRule="atLeast"/>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Process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 xml:space="preserve">It provides seamless onboarding and AI-based automation </w:t>
            </w:r>
            <w:r>
              <w:rPr>
                <w:rFonts w:ascii="Arial" w:cs="Arial" w:hAnsi="Arial"/>
                <w:color w:val="000000"/>
              </w:rPr>
              <w:t>which helps to</w:t>
            </w:r>
            <w:r>
              <w:rPr>
                <w:rFonts w:ascii="Arial" w:cs="Arial" w:hAnsi="Arial"/>
                <w:color w:val="000000"/>
              </w:rPr>
              <w:t xml:space="preserve"> operate continuous cloud updates throughout the hybrid work (Sirangi, 2026).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It enhances efficiency and user experience for value co-creation</w:t>
            </w:r>
          </w:p>
        </w:tc>
      </w:tr>
      <w:tr>
        <w:tblPrEx/>
        <w:trPr>
          <w:trHeight w:val="1140" w:hRule="atLeast"/>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Physical Evidence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The system includes user interface elements, which comprise Teams and dashboards together with brand reputation data and security certification details (Myllynen and Kamau, 2025).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pPr>
              <w:pStyle w:val="style94"/>
              <w:spacing w:before="0" w:beforeAutospacing="false" w:after="0" w:afterAutospacing="false" w:lineRule="auto" w:line="360"/>
              <w:jc w:val="both"/>
              <w:rPr/>
            </w:pPr>
            <w:r>
              <w:rPr>
                <w:rFonts w:ascii="Arial" w:cs="Arial" w:hAnsi="Arial"/>
                <w:color w:val="000000"/>
              </w:rPr>
              <w:t>It provides tangible proof of value in a digital service environment with credibility. </w:t>
            </w:r>
          </w:p>
        </w:tc>
      </w:tr>
    </w:tbl>
    <w:p>
      <w:pPr>
        <w:pStyle w:val="style94"/>
        <w:spacing w:before="240" w:beforeAutospacing="false" w:after="240" w:afterAutospacing="false" w:lineRule="auto" w:line="360"/>
        <w:jc w:val="center"/>
        <w:rPr/>
      </w:pPr>
      <w:r>
        <w:rPr>
          <w:rFonts w:ascii="Arial" w:cs="Arial" w:hAnsi="Arial"/>
          <w:b/>
          <w:bCs/>
          <w:color w:val="000000"/>
        </w:rPr>
        <w:t>Table 1: Marketing Mix (7Ps)</w:t>
      </w:r>
    </w:p>
    <w:p>
      <w:pPr>
        <w:pStyle w:val="style94"/>
        <w:spacing w:before="240" w:beforeAutospacing="false" w:after="240" w:afterAutospacing="false" w:lineRule="auto" w:line="360"/>
        <w:jc w:val="center"/>
        <w:rPr/>
      </w:pPr>
      <w:r>
        <w:rPr>
          <w:rFonts w:ascii="Arial" w:cs="Arial" w:hAnsi="Arial"/>
          <w:color w:val="000000"/>
        </w:rPr>
        <w:t>(Source: Self-developed)</w:t>
      </w:r>
    </w:p>
    <w:bookmarkStart w:id="20" w:name="_Toc228449819"/>
    <w:p>
      <w:pPr>
        <w:pStyle w:val="style2"/>
        <w:rPr/>
      </w:pPr>
      <w:r>
        <w:t xml:space="preserve">3.1 </w:t>
      </w:r>
      <w:r>
        <w:t>Product</w:t>
      </w:r>
      <w:bookmarkEnd w:id="20"/>
    </w:p>
    <w:p>
      <w:pPr>
        <w:pStyle w:val="style94"/>
        <w:spacing w:before="240" w:beforeAutospacing="false" w:after="240" w:afterAutospacing="false" w:lineRule="auto" w:line="360"/>
        <w:jc w:val="both"/>
        <w:rPr/>
      </w:pPr>
      <w:r>
        <w:rPr>
          <w:rFonts w:ascii="Arial" w:cs="Arial" w:hAnsi="Arial"/>
          <w:color w:val="000000"/>
        </w:rPr>
        <w:t>By integrating AI-powered tools, the Microsoft AI Workplace functions as a hybrid product-service ecosystem through Copilot and Teams, intelligent collaboration, and workflow automation (Rogge et al., 2025). A primary focus of the product strategy is increasing productivity and enhancing decision-making by developing an AI application that will work through Microsoft 365, Azure AI, and Teams. This program offers cloud-based solutions for protecting against cyber threats and providing users with technical support services (El Koshiry et al., 2025). This strategy is similar to Kotler’s product levels model, in which value creation is extended beyond functionality to encompass ecosystems. In a radical shift from productivity tools to “smart working solutions,” Microsoft switches from executing tasks to cognitive augmentation.</w:t>
      </w:r>
    </w:p>
    <w:bookmarkStart w:id="21" w:name="_Toc228449820"/>
    <w:p>
      <w:pPr>
        <w:pStyle w:val="style2"/>
        <w:rPr/>
      </w:pPr>
      <w:r>
        <w:t>3.2 Price</w:t>
      </w:r>
      <w:bookmarkEnd w:id="21"/>
    </w:p>
    <w:p>
      <w:pPr>
        <w:pStyle w:val="style94"/>
        <w:spacing w:before="240" w:beforeAutospacing="false" w:after="240" w:afterAutospacing="false" w:lineRule="auto" w:line="360"/>
        <w:jc w:val="both"/>
        <w:rPr/>
      </w:pPr>
      <w:r>
        <w:rPr>
          <w:rFonts w:ascii="Arial" w:cs="Arial" w:hAnsi="Arial"/>
          <w:color w:val="000000"/>
        </w:rPr>
        <w:t>Microsoft takes on value-based and subscription pricing strategies that are typically in line with the SaaS (Software-as-a-Service) model. The pricing elements are involved in Tiered subscriptions, such as Microsoft 365 and Copilot add-ons, and licensing agreements for enterprise, and flexible pricing for SMEs. </w:t>
      </w:r>
    </w:p>
    <w:p>
      <w:pPr>
        <w:pStyle w:val="style94"/>
        <w:spacing w:before="240" w:beforeAutospacing="false" w:after="240" w:afterAutospacing="false" w:lineRule="auto" w:line="360"/>
        <w:jc w:val="both"/>
        <w:rPr/>
      </w:pPr>
      <w:r>
        <w:rPr>
          <w:rFonts w:ascii="Arial" w:cs="Arial" w:hAnsi="Arial"/>
          <w:color w:val="000000"/>
        </w:rPr>
        <w:t>The organizations will make payments to achieve higher efficiency and increased productivity through their operations due to the method, which highlights customer-perceived value pricing (Jain, 2023). The business strategy requires premium pricing to strengthen the market position of the company. The subscription model generates ongoing revenue, which helps to maintain customer relationships (Uwah, 2023). However, the high costs of products can create barriers to access for both SMEs and emerging markets, which requires companies to implement freemium or tiered pricing systems to achieve better product adoption.</w:t>
      </w:r>
    </w:p>
    <w:bookmarkStart w:id="22" w:name="_Toc228449821"/>
    <w:p>
      <w:pPr>
        <w:pStyle w:val="style2"/>
        <w:rPr/>
      </w:pPr>
      <w:r>
        <w:t>3.3 Place (</w:t>
      </w:r>
      <w:r>
        <w:t>Distribution</w:t>
      </w:r>
      <w:r>
        <w:t>)</w:t>
      </w:r>
      <w:bookmarkEnd w:id="22"/>
    </w:p>
    <w:p>
      <w:pPr>
        <w:pStyle w:val="style94"/>
        <w:spacing w:before="240" w:beforeAutospacing="false" w:after="240" w:afterAutospacing="false" w:lineRule="auto" w:line="360"/>
        <w:jc w:val="both"/>
        <w:rPr/>
      </w:pPr>
      <w:r>
        <w:rPr>
          <w:rFonts w:ascii="Arial" w:cs="Arial" w:hAnsi="Arial"/>
          <w:color w:val="000000"/>
        </w:rPr>
        <w:t xml:space="preserve">The Microsoft AI Workplace distributes its services through a digital-first model, which operates cloud-based systems that use Microsoft Azure and online platforms. </w:t>
      </w:r>
      <w:r>
        <w:rPr>
          <w:rFonts w:ascii="Arial" w:cs="Arial" w:hAnsi="Arial"/>
          <w:color w:val="000000"/>
        </w:rPr>
        <w:t>As per</w:t>
      </w:r>
      <w:r>
        <w:rPr>
          <w:rFonts w:ascii="Arial" w:cs="Arial" w:hAnsi="Arial"/>
          <w:color w:val="000000"/>
        </w:rPr>
        <w:t xml:space="preserve"> </w:t>
      </w:r>
      <w:r>
        <w:rPr>
          <w:rFonts w:ascii="Arial" w:cs="Arial" w:hAnsi="Arial"/>
          <w:color w:val="000000"/>
        </w:rPr>
        <w:t xml:space="preserve">Depner and Richter, (2025), the </w:t>
      </w:r>
      <w:r>
        <w:rPr>
          <w:rFonts w:ascii="Arial" w:cs="Arial" w:hAnsi="Arial"/>
          <w:color w:val="000000"/>
        </w:rPr>
        <w:t>digital</w:t>
      </w:r>
      <w:r>
        <w:rPr>
          <w:rFonts w:ascii="Arial" w:cs="Arial" w:hAnsi="Arial"/>
          <w:color w:val="000000"/>
        </w:rPr>
        <w:t xml:space="preserve"> channels</w:t>
      </w:r>
      <w:r>
        <w:rPr>
          <w:rFonts w:ascii="Arial" w:cs="Arial" w:hAnsi="Arial"/>
          <w:color w:val="000000"/>
        </w:rPr>
        <w:t xml:space="preserve"> can</w:t>
      </w:r>
      <w:r>
        <w:rPr>
          <w:rFonts w:ascii="Arial" w:cs="Arial" w:hAnsi="Arial"/>
          <w:color w:val="000000"/>
        </w:rPr>
        <w:t xml:space="preserve"> operate IT consultants </w:t>
      </w:r>
      <w:r>
        <w:rPr>
          <w:rFonts w:ascii="Arial" w:cs="Arial" w:hAnsi="Arial"/>
          <w:color w:val="000000"/>
        </w:rPr>
        <w:t xml:space="preserve">and others </w:t>
      </w:r>
      <w:r>
        <w:rPr>
          <w:rFonts w:ascii="Arial" w:cs="Arial" w:hAnsi="Arial"/>
          <w:color w:val="000000"/>
        </w:rPr>
        <w:t xml:space="preserve">through </w:t>
      </w:r>
      <w:r>
        <w:rPr>
          <w:rFonts w:ascii="Arial" w:cs="Arial" w:hAnsi="Arial"/>
          <w:color w:val="000000"/>
        </w:rPr>
        <w:t xml:space="preserve">the </w:t>
      </w:r>
      <w:r>
        <w:rPr>
          <w:rFonts w:ascii="Arial" w:cs="Arial" w:hAnsi="Arial"/>
          <w:color w:val="000000"/>
        </w:rPr>
        <w:t>enterprise contracts, and partnerships</w:t>
      </w:r>
      <w:r>
        <w:rPr>
          <w:rFonts w:ascii="Arial" w:cs="Arial" w:hAnsi="Arial"/>
          <w:color w:val="000000"/>
        </w:rPr>
        <w:t xml:space="preserve"> with resellers in cloud marketplaces.</w:t>
      </w:r>
      <w:r>
        <w:rPr>
          <w:rFonts w:ascii="Arial" w:cs="Arial" w:hAnsi="Arial"/>
          <w:color w:val="000000"/>
        </w:rPr>
        <w:t xml:space="preserve"> The system </w:t>
      </w:r>
      <w:r>
        <w:rPr>
          <w:rFonts w:ascii="Arial" w:cs="Arial" w:hAnsi="Arial"/>
          <w:color w:val="000000"/>
        </w:rPr>
        <w:t>remains</w:t>
      </w:r>
      <w:r>
        <w:rPr>
          <w:rFonts w:ascii="Arial" w:cs="Arial" w:hAnsi="Arial"/>
          <w:color w:val="000000"/>
        </w:rPr>
        <w:t xml:space="preserve"> accessible to users</w:t>
      </w:r>
      <w:r>
        <w:rPr>
          <w:rFonts w:ascii="Arial" w:cs="Arial" w:hAnsi="Arial"/>
          <w:color w:val="000000"/>
        </w:rPr>
        <w:t xml:space="preserve"> while using</w:t>
      </w:r>
      <w:r>
        <w:rPr>
          <w:rFonts w:ascii="Arial" w:cs="Arial" w:hAnsi="Arial"/>
          <w:color w:val="000000"/>
        </w:rPr>
        <w:t xml:space="preserve"> intensive distribution methods to deliver deployment solutions </w:t>
      </w:r>
      <w:r>
        <w:rPr>
          <w:rFonts w:ascii="Arial" w:cs="Arial" w:hAnsi="Arial"/>
          <w:color w:val="000000"/>
        </w:rPr>
        <w:t xml:space="preserve">to the </w:t>
      </w:r>
      <w:r>
        <w:rPr>
          <w:rFonts w:ascii="Arial" w:cs="Arial" w:hAnsi="Arial"/>
          <w:color w:val="000000"/>
        </w:rPr>
        <w:t>enterprise</w:t>
      </w:r>
      <w:r>
        <w:rPr>
          <w:rFonts w:ascii="Arial" w:cs="Arial" w:hAnsi="Arial"/>
          <w:color w:val="000000"/>
        </w:rPr>
        <w:t xml:space="preserve"> </w:t>
      </w:r>
      <w:r>
        <w:rPr>
          <w:rFonts w:ascii="Arial" w:cs="Arial" w:hAnsi="Arial"/>
          <w:color w:val="000000"/>
        </w:rPr>
        <w:t>(Emma, 2024). The cloud-based approach supports global scalability, real-time updates, and remote accessibility. However, this system creates accessibility barriers for regions due to a lack of sufficient Internet connectivity, which depends on digital infrastructure. </w:t>
      </w:r>
    </w:p>
    <w:bookmarkStart w:id="23" w:name="_Toc228449822"/>
    <w:p>
      <w:pPr>
        <w:pStyle w:val="style2"/>
        <w:rPr/>
      </w:pPr>
      <w:r>
        <w:t xml:space="preserve">3.4 </w:t>
      </w:r>
      <w:r>
        <w:t>Promotion</w:t>
      </w:r>
      <w:bookmarkEnd w:id="23"/>
    </w:p>
    <w:p>
      <w:pPr>
        <w:pStyle w:val="style94"/>
        <w:spacing w:before="240" w:beforeAutospacing="false" w:after="240" w:afterAutospacing="false" w:lineRule="auto" w:line="360"/>
        <w:jc w:val="both"/>
        <w:rPr/>
      </w:pPr>
      <w:r>
        <w:rPr>
          <w:rFonts w:ascii="Arial" w:cs="Arial" w:hAnsi="Arial"/>
          <w:color w:val="000000"/>
        </w:rPr>
        <w:t>The promotion approach adopts a data-driven marketing strategy for B2B communication to raise the profile of the communication by using personal tools such as content marketing, Webinars, product demos, LinkedIn, and professional events. </w:t>
      </w:r>
    </w:p>
    <w:p>
      <w:pPr>
        <w:pStyle w:val="style94"/>
        <w:spacing w:before="240" w:beforeAutospacing="false" w:after="240" w:afterAutospacing="false" w:lineRule="auto" w:line="360"/>
        <w:jc w:val="both"/>
        <w:rPr/>
      </w:pPr>
      <w:r>
        <w:rPr>
          <w:rFonts w:ascii="Arial" w:cs="Arial" w:hAnsi="Arial"/>
          <w:color w:val="000000"/>
        </w:rPr>
        <w:t>The IMC theory requires consistent brand presentation across marketing channels. Microsoft uses educational marketing to show its AI technology increases productivity by reaching 40% improvement in efficiency and 30% reduction in operational costs (Microsoft, 2026). The technical aspects highlight the necessity of establishing human-centered storytelling methods that can prevent developing emotional connections of people. </w:t>
      </w:r>
    </w:p>
    <w:bookmarkStart w:id="24" w:name="_Toc228449823"/>
    <w:p>
      <w:pPr>
        <w:pStyle w:val="style2"/>
        <w:rPr/>
      </w:pPr>
      <w:r>
        <w:t xml:space="preserve">3.5 </w:t>
      </w:r>
      <w:r>
        <w:t>People</w:t>
      </w:r>
      <w:bookmarkEnd w:id="24"/>
    </w:p>
    <w:p>
      <w:pPr>
        <w:pStyle w:val="style94"/>
        <w:spacing w:before="240" w:beforeAutospacing="false" w:after="240" w:afterAutospacing="false" w:lineRule="auto" w:line="360"/>
        <w:jc w:val="both"/>
        <w:rPr/>
      </w:pPr>
      <w:r>
        <w:rPr>
          <w:rFonts w:ascii="Arial" w:cs="Arial" w:hAnsi="Arial"/>
          <w:color w:val="000000"/>
        </w:rPr>
        <w:t>People are demonstrated as stakeholders who are involves Employees, IT managers, decision-makers, and training teams within the service delivery, while integrating AI in Microsoft (Parkin et al., 2023). In addition, Microsoft invests in training programs for AI literacy, customer support services, and partner communities by focusing on long-term engagement, which aligns with relationship marketing theory. </w:t>
      </w:r>
    </w:p>
    <w:p>
      <w:pPr>
        <w:pStyle w:val="style94"/>
        <w:spacing w:before="240" w:beforeAutospacing="false" w:after="240" w:afterAutospacing="false" w:lineRule="auto" w:line="360"/>
        <w:jc w:val="both"/>
        <w:rPr/>
      </w:pPr>
      <w:r>
        <w:rPr>
          <w:rFonts w:ascii="Arial" w:cs="Arial" w:hAnsi="Arial"/>
          <w:color w:val="000000"/>
        </w:rPr>
        <w:t>The implementation of AI technology faces challenges, while employees resist the system due to their fear of losing employment. The organizations need to develop more effective change management methods to manage these challenges.</w:t>
      </w:r>
    </w:p>
    <w:bookmarkStart w:id="25" w:name="_Toc228449824"/>
    <w:p>
      <w:pPr>
        <w:pStyle w:val="style2"/>
        <w:rPr/>
      </w:pPr>
      <w:r>
        <w:t xml:space="preserve">3.6 </w:t>
      </w:r>
      <w:r>
        <w:t>Process</w:t>
      </w:r>
      <w:bookmarkEnd w:id="25"/>
    </w:p>
    <w:p>
      <w:pPr>
        <w:pStyle w:val="style94"/>
        <w:spacing w:before="240" w:beforeAutospacing="false" w:after="240" w:afterAutospacing="false" w:lineRule="auto" w:line="360"/>
        <w:jc w:val="both"/>
        <w:rPr/>
      </w:pPr>
      <w:r>
        <w:rPr>
          <w:rFonts w:ascii="Arial" w:cs="Arial" w:hAnsi="Arial"/>
          <w:color w:val="000000"/>
        </w:rPr>
        <w:t>The process means the method by which the service is provided and experienced. Microsoft ensures seamless onboarding, automated workflows, and continuous improvements while using cloud integration and AI tools (Baddam, 2025). These tools help to increase speed and efficiency for better decision-making accuracy with workflow. </w:t>
      </w:r>
    </w:p>
    <w:p>
      <w:pPr>
        <w:pStyle w:val="style94"/>
        <w:spacing w:before="240" w:beforeAutospacing="false" w:after="240" w:afterAutospacing="false" w:lineRule="auto" w:line="360"/>
        <w:jc w:val="both"/>
        <w:rPr/>
      </w:pPr>
      <w:r>
        <w:rPr>
          <w:rFonts w:ascii="Arial" w:cs="Arial" w:hAnsi="Arial"/>
          <w:color w:val="000000"/>
        </w:rPr>
        <w:t>The service-dominant logic framework shows value created for the user by their interactions with the platform (Tang and Yang, 2025). However, the implementation process faces difficulties as the complex processes require specialized knowledge, which organizations provide services without digital capabilities.</w:t>
      </w:r>
    </w:p>
    <w:bookmarkStart w:id="26" w:name="_Toc228449825"/>
    <w:p>
      <w:pPr>
        <w:pStyle w:val="style2"/>
        <w:rPr/>
      </w:pPr>
      <w:r>
        <w:t>3.7 Physical Evidence</w:t>
      </w:r>
      <w:bookmarkEnd w:id="26"/>
    </w:p>
    <w:p>
      <w:pPr>
        <w:pStyle w:val="style94"/>
        <w:spacing w:before="240" w:beforeAutospacing="false" w:after="240" w:afterAutospacing="false" w:lineRule="auto" w:line="360"/>
        <w:jc w:val="both"/>
        <w:rPr/>
      </w:pPr>
      <w:r>
        <w:rPr>
          <w:rFonts w:ascii="Arial" w:cs="Arial" w:hAnsi="Arial"/>
          <w:color w:val="000000"/>
        </w:rPr>
        <w:t>The physical evidence is represented through user interface, such as Teams and Copilot dashboards, to increase brand reputation, trust, and performance metrics (Nallamothu, 2024). Although Microsoft develops a strong brand credibility, which reinforces perceived quality and reliability (Qiang, 2025). Additionally, it improves certifications for security and maintains compliance with visual dashboards. These act values in an intangible service environment as tangible evidence with specific characteristics.</w:t>
      </w:r>
    </w:p>
    <w:bookmarkStart w:id="27" w:name="_Toc228449826"/>
    <w:p>
      <w:pPr>
        <w:pStyle w:val="style2"/>
        <w:rPr/>
      </w:pPr>
      <w:r>
        <w:t xml:space="preserve">3.6 Critical </w:t>
      </w:r>
      <w:r>
        <w:t>Evaluation</w:t>
      </w:r>
      <w:bookmarkEnd w:id="27"/>
    </w:p>
    <w:p>
      <w:pPr>
        <w:pStyle w:val="style94"/>
        <w:spacing w:before="240" w:beforeAutospacing="false" w:after="240" w:afterAutospacing="false" w:lineRule="auto" w:line="360"/>
        <w:jc w:val="both"/>
        <w:rPr/>
      </w:pPr>
      <w:r>
        <w:rPr>
          <w:rFonts w:ascii="Arial" w:cs="Arial" w:hAnsi="Arial"/>
          <w:color w:val="000000"/>
        </w:rPr>
        <w:t>The premium integrated positioning of Microsoft links directly with the marketing 7Ps strategy. It creates a competitive advantage for the company through ecosystem integration and AI development that strengthens enterprise trust. However, as pointed out by Atata and Odedeyi, (2025), high prices reduce the ability of customers to participate, whereas the current ecosystem of existing products creates a dependency that limits user flexibility and decreases usability. Also, Microsoft implements lower price bands for its products, enhances the user experience, and expands its emotional branding approach to increase its effectiveness (Shukla et al., 2025).</w:t>
      </w:r>
    </w:p>
    <w:bookmarkStart w:id="28" w:name="_Toc228449827"/>
    <w:p>
      <w:pPr>
        <w:pStyle w:val="style1"/>
        <w:rPr/>
      </w:pPr>
      <w:r>
        <w:t>Element</w:t>
      </w:r>
      <w:r>
        <w:t xml:space="preserve"> 4: Reflection</w:t>
      </w:r>
      <w:bookmarkEnd w:id="28"/>
    </w:p>
    <w:p>
      <w:pPr>
        <w:pStyle w:val="style94"/>
        <w:spacing w:before="240" w:beforeAutospacing="false" w:after="240" w:afterAutospacing="false" w:lineRule="auto" w:line="360"/>
        <w:jc w:val="both"/>
        <w:rPr/>
      </w:pPr>
      <w:r>
        <w:rPr>
          <w:rFonts w:ascii="Arial" w:cs="Arial" w:hAnsi="Arial"/>
          <w:color w:val="000000"/>
        </w:rPr>
        <w:t xml:space="preserve">The Microsoft AI Workplace brand expansion and its development have allowed me to reflect on my skill development as a marketer in my work. One of the significant things I have learned throughout this development process is that the company creates a strategic alignment between its brand extensions and overall brand identity. I have </w:t>
      </w:r>
      <w:r>
        <w:rPr>
          <w:rFonts w:ascii="Arial" w:cs="Arial" w:hAnsi="Arial"/>
          <w:color w:val="000000"/>
        </w:rPr>
        <w:t>gained</w:t>
      </w:r>
      <w:r>
        <w:rPr>
          <w:rFonts w:ascii="Arial" w:cs="Arial" w:hAnsi="Arial"/>
          <w:color w:val="000000"/>
        </w:rPr>
        <w:t xml:space="preserve"> </w:t>
      </w:r>
      <w:r>
        <w:rPr>
          <w:rFonts w:ascii="Arial" w:cs="Arial" w:hAnsi="Arial"/>
          <w:color w:val="000000"/>
        </w:rPr>
        <w:t xml:space="preserve">knowledge </w:t>
      </w:r>
      <w:r>
        <w:rPr>
          <w:rFonts w:ascii="Arial" w:cs="Arial" w:hAnsi="Arial"/>
          <w:color w:val="000000"/>
        </w:rPr>
        <w:t>the development process</w:t>
      </w:r>
      <w:r>
        <w:rPr>
          <w:rFonts w:ascii="Arial" w:cs="Arial" w:hAnsi="Arial"/>
          <w:color w:val="000000"/>
        </w:rPr>
        <w:t xml:space="preserve"> b</w:t>
      </w:r>
      <w:r>
        <w:rPr>
          <w:rFonts w:ascii="Arial" w:cs="Arial" w:hAnsi="Arial"/>
          <w:color w:val="000000"/>
        </w:rPr>
        <w:t>y studying Microsoft's cloud computing and pro</w:t>
      </w:r>
      <w:r>
        <w:rPr>
          <w:rFonts w:ascii="Arial" w:cs="Arial" w:hAnsi="Arial"/>
          <w:color w:val="000000"/>
        </w:rPr>
        <w:t>ductivity of AI tools,</w:t>
      </w:r>
      <w:r>
        <w:rPr>
          <w:rFonts w:ascii="Arial" w:cs="Arial" w:hAnsi="Arial"/>
          <w:color w:val="000000"/>
        </w:rPr>
        <w:t xml:space="preserve"> </w:t>
      </w:r>
      <w:r>
        <w:rPr>
          <w:rFonts w:ascii="Arial" w:cs="Arial" w:hAnsi="Arial"/>
          <w:color w:val="000000"/>
        </w:rPr>
        <w:t>to create the AI Workplace concept and enterprise solutions (Jain, 2022). The study also used the process of brand extension theory within the company, which helps to maintain a consistent identity and protect its brand equity.</w:t>
      </w:r>
    </w:p>
    <w:p>
      <w:pPr>
        <w:pStyle w:val="style94"/>
        <w:spacing w:before="240" w:beforeAutospacing="false" w:after="240" w:afterAutospacing="false" w:lineRule="auto" w:line="360"/>
        <w:jc w:val="both"/>
        <w:rPr/>
      </w:pPr>
      <w:r>
        <w:rPr>
          <w:rFonts w:ascii="Arial" w:cs="Arial" w:hAnsi="Arial"/>
          <w:color w:val="000000"/>
        </w:rPr>
        <w:t>The poster presentation contributed to my professional development, which required me to create visual content that displayed complicated concepts in an understandable format. It serves business communication as an essential ability that helped me to build three important skills, which included increased self-confidence, improved time management, and better persuasive presentation abilities (Halilsoy, 2024). However, this process faced multiple obstacles that needed to be addressed by showing important academic knowledge, which served as one of the major restrictions. These requirements can present within fixed time limits, forcing us to identify essential information that needs to be presented.</w:t>
      </w:r>
    </w:p>
    <w:p>
      <w:pPr>
        <w:pStyle w:val="style94"/>
        <w:spacing w:before="240" w:beforeAutospacing="false" w:after="240" w:afterAutospacing="false" w:lineRule="auto" w:line="360"/>
        <w:jc w:val="both"/>
        <w:rPr/>
      </w:pPr>
      <w:r>
        <w:rPr>
          <w:rFonts w:ascii="Arial" w:cs="Arial" w:hAnsi="Arial"/>
          <w:color w:val="000000"/>
        </w:rPr>
        <w:t>The STDP framework supported segmentation and targeting choices, which showed me effective strategic decision-making processes (Pardede et al., 2024). I had discovered the organization’s chosen market segments, such as targeting strategies that align with their market strengths, to give more opportunities for an effective market. I had also learned to see things from a strategic perspective instead of a descriptive one, which improved my strategic thinking skills, and my development reached a new level.</w:t>
      </w:r>
    </w:p>
    <w:p>
      <w:pPr>
        <w:pStyle w:val="style94"/>
        <w:spacing w:before="240" w:beforeAutospacing="false" w:after="240" w:afterAutospacing="false" w:lineRule="auto" w:line="360"/>
        <w:jc w:val="both"/>
        <w:rPr/>
      </w:pPr>
      <w:r>
        <w:rPr>
          <w:rFonts w:ascii="Arial" w:cs="Arial" w:hAnsi="Arial"/>
          <w:color w:val="000000"/>
        </w:rPr>
        <w:t xml:space="preserve">The marketing mix analysis showed me theoretical concepts through practical demonstration while applying them within the company. In addition, I had learned the 7Ps components that must function to achieve the complete marketing business strategy. The pricing process involves establishing product market identity more than determining customer value (Jain et al., 2022). Also, the promotion process extends to customer </w:t>
      </w:r>
      <w:r>
        <w:rPr>
          <w:rFonts w:ascii="Arial" w:cs="Arial" w:hAnsi="Arial"/>
          <w:color w:val="000000"/>
        </w:rPr>
        <w:t>communication because it teaches customers about new technologies, which include AI (Chen et al., 2025). The promotion process extends to customer communication as it teaches customers about new technologies, which include AI.</w:t>
      </w:r>
    </w:p>
    <w:p>
      <w:pPr>
        <w:pStyle w:val="style94"/>
        <w:spacing w:before="240" w:beforeAutospacing="false" w:after="240" w:afterAutospacing="false" w:lineRule="auto" w:line="360"/>
        <w:jc w:val="both"/>
        <w:rPr/>
      </w:pPr>
      <w:r>
        <w:rPr>
          <w:rFonts w:ascii="Arial" w:cs="Arial" w:hAnsi="Arial"/>
          <w:color w:val="000000"/>
        </w:rPr>
        <w:t xml:space="preserve">Moreover, the whole project developed my critical thinking skills, where I needed to assess different strategies to discover their weaknesses. My analytical skills will be improved through academic and real-world data collection as I develop research abilities to analyze data by using marketing frameworks (Hamzat et al., 2023). I have </w:t>
      </w:r>
      <w:r>
        <w:rPr>
          <w:rFonts w:ascii="Arial" w:cs="Arial" w:hAnsi="Arial"/>
          <w:color w:val="000000"/>
        </w:rPr>
        <w:t xml:space="preserve">highlighted </w:t>
      </w:r>
      <w:r>
        <w:rPr>
          <w:rFonts w:ascii="Arial" w:cs="Arial" w:hAnsi="Arial"/>
          <w:color w:val="000000"/>
        </w:rPr>
        <w:t xml:space="preserve">analytical and conceptual skills, which </w:t>
      </w:r>
      <w:r>
        <w:rPr>
          <w:rFonts w:ascii="Arial" w:cs="Arial" w:hAnsi="Arial"/>
          <w:color w:val="000000"/>
        </w:rPr>
        <w:t>improves</w:t>
      </w:r>
      <w:r>
        <w:rPr>
          <w:rFonts w:ascii="Arial" w:cs="Arial" w:hAnsi="Arial"/>
          <w:color w:val="000000"/>
        </w:rPr>
        <w:t xml:space="preserve"> my performance assessment </w:t>
      </w:r>
      <w:r>
        <w:rPr>
          <w:rFonts w:ascii="Arial" w:cs="Arial" w:hAnsi="Arial"/>
          <w:color w:val="000000"/>
        </w:rPr>
        <w:t xml:space="preserve">by developing </w:t>
      </w:r>
      <w:r>
        <w:rPr>
          <w:rFonts w:ascii="Arial" w:cs="Arial" w:hAnsi="Arial"/>
          <w:color w:val="000000"/>
        </w:rPr>
        <w:t xml:space="preserve">visual storytelling techniques and communication confidence </w:t>
      </w:r>
      <w:r>
        <w:rPr>
          <w:rFonts w:ascii="Arial" w:cs="Arial" w:hAnsi="Arial"/>
          <w:color w:val="000000"/>
        </w:rPr>
        <w:t>within</w:t>
      </w:r>
      <w:r>
        <w:rPr>
          <w:rFonts w:ascii="Arial" w:cs="Arial" w:hAnsi="Arial"/>
          <w:color w:val="000000"/>
        </w:rPr>
        <w:t xml:space="preserve"> my work. </w:t>
      </w:r>
      <w:bookmarkStart w:id="29" w:name="_GoBack"/>
      <w:bookmarkEnd w:id="29"/>
      <w:r>
        <w:rPr>
          <w:rFonts w:ascii="Arial" w:cs="Arial" w:hAnsi="Arial"/>
          <w:color w:val="000000"/>
        </w:rPr>
        <w:t>These involve additional time to both practice and rehearsal, using peer feedback to improve my presentation skills, and bringing innovative design elements within my visual design work.</w:t>
      </w:r>
    </w:p>
    <w:p>
      <w:pPr>
        <w:pStyle w:val="style94"/>
        <w:spacing w:before="240" w:beforeAutospacing="false" w:after="240" w:afterAutospacing="false" w:lineRule="auto" w:line="360"/>
        <w:jc w:val="both"/>
        <w:rPr/>
      </w:pPr>
      <w:r>
        <w:rPr>
          <w:rFonts w:ascii="Arial" w:cs="Arial" w:hAnsi="Arial"/>
          <w:color w:val="000000"/>
        </w:rPr>
        <w:t>Therefore, these program has equipped me with the skills needed for upcoming marketing and management positions, which require strategic thinking and flexible working abilities.</w:t>
      </w:r>
    </w:p>
    <w:p>
      <w:pPr>
        <w:pStyle w:val="style0"/>
        <w:spacing w:after="240" w:lineRule="auto" w:line="360"/>
        <w:rPr>
          <w:b/>
          <w:sz w:val="28"/>
          <w:szCs w:val="40"/>
        </w:rPr>
      </w:pPr>
      <w:r>
        <w:br w:type="page"/>
      </w:r>
    </w:p>
    <w:bookmarkStart w:id="30" w:name="_Toc228449828"/>
    <w:p>
      <w:pPr>
        <w:pStyle w:val="style1"/>
        <w:spacing w:after="240"/>
        <w:rPr/>
      </w:pPr>
      <w:r>
        <w:t>Reference</w:t>
      </w:r>
      <w:bookmarkEnd w:id="30"/>
    </w:p>
    <w:p>
      <w:pPr>
        <w:pStyle w:val="style0"/>
        <w:spacing w:before="240" w:after="240" w:lineRule="auto" w:line="360"/>
        <w:jc w:val="both"/>
        <w:rPr>
          <w:sz w:val="24"/>
          <w:szCs w:val="24"/>
          <w:lang w:val="en-US"/>
        </w:rPr>
      </w:pPr>
      <w:r>
        <w:rPr>
          <w:sz w:val="24"/>
          <w:szCs w:val="24"/>
          <w:lang w:val="en-US"/>
        </w:rPr>
        <w:t xml:space="preserve">Atata, R. and Odedeyi, T., 2025. Designing Inclusive Interfaces: Enhancing User Experience for People with Disabilities Through Adaptive UI Accessibility Principles. </w:t>
      </w:r>
      <w:r>
        <w:rPr>
          <w:i/>
          <w:iCs/>
          <w:sz w:val="24"/>
          <w:szCs w:val="24"/>
          <w:lang w:val="en-US"/>
        </w:rPr>
        <w:t>Int. J. Sci. Res. Arch</w:t>
      </w:r>
      <w:r>
        <w:rPr>
          <w:sz w:val="24"/>
          <w:szCs w:val="24"/>
          <w:lang w:val="en-US"/>
        </w:rPr>
        <w:t xml:space="preserve">, </w:t>
      </w:r>
      <w:r>
        <w:rPr>
          <w:i/>
          <w:iCs/>
          <w:sz w:val="24"/>
          <w:szCs w:val="24"/>
          <w:lang w:val="en-US"/>
        </w:rPr>
        <w:t>16</w:t>
      </w:r>
      <w:r>
        <w:rPr>
          <w:sz w:val="24"/>
          <w:szCs w:val="24"/>
          <w:lang w:val="en-US"/>
        </w:rPr>
        <w:t xml:space="preserve">, pp.1072-1096.  </w:t>
      </w:r>
      <w:r>
        <w:rPr/>
        <w:fldChar w:fldCharType="begin"/>
      </w:r>
      <w:r>
        <w:instrText xml:space="preserve"> HYPERLINK "https://www.researchgate.net/profile/Toluwani-Odedeyi-2/publication/394977485_Designing_Inclusive_Interfaces_Enhancing_User_Experience_for_People_with_Disabilities_Through_Adaptive_UI_Accessibility_Principles/links/68ae5d167984e374aceb8b8b/Designing-Inclusive-Interfaces-Enhancing-User-Experience-for-People-with-Disabilities-Through-Adaptive-UI-Accessibility-Principles.pdf" </w:instrText>
      </w:r>
      <w:r>
        <w:rPr/>
        <w:fldChar w:fldCharType="separate"/>
      </w:r>
      <w:r>
        <w:rPr>
          <w:rStyle w:val="style85"/>
          <w:sz w:val="24"/>
          <w:szCs w:val="24"/>
          <w:lang w:val="en-US"/>
        </w:rPr>
        <w:t>https://www.researchgate.net/profile/Toluwani-Odedeyi-2/publication/394977485_Designing_Inclusive_Interfaces_Enhancing_User_Experience_for_People_with_Disabilities_Through_Adaptive_UI_Accessibility_Principles/links/68ae5d167984e374aceb8b8b/Designing-Inclusive-Interfaces-Enhancing-User-Experience-for-People-with-Disabilities-Through-Adaptive-UI-Accessibility-Principles.pdf</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Baddam, B.R., 2025. Cloud Automation in Healthcare: Faster Onboarding and Better Patient Experiences. </w:t>
      </w:r>
      <w:r>
        <w:rPr>
          <w:i/>
          <w:iCs/>
          <w:sz w:val="24"/>
          <w:szCs w:val="24"/>
          <w:lang w:val="en-US"/>
        </w:rPr>
        <w:t>Journal of Computer Science and Technology Studies</w:t>
      </w:r>
      <w:r>
        <w:rPr>
          <w:sz w:val="24"/>
          <w:szCs w:val="24"/>
          <w:lang w:val="en-US"/>
        </w:rPr>
        <w:t xml:space="preserve">, </w:t>
      </w:r>
      <w:r>
        <w:rPr>
          <w:i/>
          <w:iCs/>
          <w:sz w:val="24"/>
          <w:szCs w:val="24"/>
          <w:lang w:val="en-US"/>
        </w:rPr>
        <w:t>7</w:t>
      </w:r>
      <w:r>
        <w:rPr>
          <w:sz w:val="24"/>
          <w:szCs w:val="24"/>
          <w:lang w:val="en-US"/>
        </w:rPr>
        <w:t xml:space="preserve">(4), pp.91-97.  </w:t>
      </w:r>
      <w:r>
        <w:rPr/>
        <w:fldChar w:fldCharType="begin"/>
      </w:r>
      <w:r>
        <w:instrText xml:space="preserve"> HYPERLINK "https://al-kindipublishers.org/index.php/jcsts/article/download/9453/8107" </w:instrText>
      </w:r>
      <w:r>
        <w:rPr/>
        <w:fldChar w:fldCharType="separate"/>
      </w:r>
      <w:r>
        <w:rPr>
          <w:rStyle w:val="style85"/>
          <w:sz w:val="24"/>
          <w:szCs w:val="24"/>
          <w:lang w:val="en-US"/>
        </w:rPr>
        <w:t>https://al-kindipublishers.org/index.php/jcsts/article/download/9453/8107</w:t>
      </w:r>
      <w:r>
        <w:rPr/>
        <w:fldChar w:fldCharType="end"/>
      </w:r>
      <w:r>
        <w:rPr>
          <w:sz w:val="24"/>
          <w:szCs w:val="24"/>
          <w:lang w:val="en-US"/>
        </w:rPr>
        <w:t> </w:t>
      </w:r>
    </w:p>
    <w:p>
      <w:pPr>
        <w:pStyle w:val="style0"/>
        <w:spacing w:before="240" w:after="240" w:lineRule="auto" w:line="360"/>
        <w:jc w:val="both"/>
        <w:rPr>
          <w:sz w:val="24"/>
          <w:szCs w:val="24"/>
        </w:rPr>
      </w:pPr>
      <w:r>
        <w:rPr>
          <w:color w:val="222222"/>
          <w:sz w:val="24"/>
          <w:szCs w:val="24"/>
          <w:shd w:val="clear" w:color="auto" w:fill="ffffff"/>
        </w:rPr>
        <w:t xml:space="preserve">Banka, K. and Uchihira, N., 2024. Dynamic capability in business ecosystems as a sustainable industrial strategy: How to accelerate transformation momentum. </w:t>
      </w:r>
      <w:r>
        <w:rPr>
          <w:i/>
          <w:iCs/>
          <w:color w:val="222222"/>
          <w:sz w:val="24"/>
          <w:szCs w:val="24"/>
          <w:shd w:val="clear" w:color="auto" w:fill="ffffff"/>
        </w:rPr>
        <w:t>Sustainability</w:t>
      </w:r>
      <w:r>
        <w:rPr>
          <w:color w:val="222222"/>
          <w:sz w:val="24"/>
          <w:szCs w:val="24"/>
          <w:shd w:val="clear" w:color="auto" w:fill="ffffff"/>
        </w:rPr>
        <w:t xml:space="preserve">, </w:t>
      </w:r>
      <w:r>
        <w:rPr>
          <w:i/>
          <w:iCs/>
          <w:color w:val="222222"/>
          <w:sz w:val="24"/>
          <w:szCs w:val="24"/>
          <w:shd w:val="clear" w:color="auto" w:fill="ffffff"/>
        </w:rPr>
        <w:t>16</w:t>
      </w:r>
      <w:r>
        <w:rPr>
          <w:color w:val="222222"/>
          <w:sz w:val="24"/>
          <w:szCs w:val="24"/>
          <w:shd w:val="clear" w:color="auto" w:fill="ffffff"/>
        </w:rPr>
        <w:t>(11), p.4506.</w:t>
      </w:r>
      <w:r>
        <w:rPr>
          <w:color w:val="000000"/>
          <w:sz w:val="24"/>
          <w:szCs w:val="24"/>
        </w:rPr>
        <w:t xml:space="preserve">  </w:t>
      </w:r>
      <w:r>
        <w:rPr/>
        <w:fldChar w:fldCharType="begin"/>
      </w:r>
      <w:r>
        <w:instrText xml:space="preserve"> HYPERLINK "https://www.mdpi.com/2071-1050/16/11/4506" </w:instrText>
      </w:r>
      <w:r>
        <w:rPr/>
        <w:fldChar w:fldCharType="separate"/>
      </w:r>
      <w:r>
        <w:rPr>
          <w:rStyle w:val="style85"/>
          <w:color w:val="1155cc"/>
          <w:sz w:val="24"/>
          <w:szCs w:val="24"/>
        </w:rPr>
        <w:t>https://www.mdpi.com/2071-1050/16/11/4506</w:t>
      </w:r>
      <w:r>
        <w:rPr/>
        <w:fldChar w:fldCharType="end"/>
      </w:r>
      <w:r>
        <w:rPr>
          <w:color w:val="000000"/>
          <w:sz w:val="24"/>
          <w:szCs w:val="24"/>
        </w:rPr>
        <w:t> </w:t>
      </w:r>
    </w:p>
    <w:p>
      <w:pPr>
        <w:pStyle w:val="style0"/>
        <w:spacing w:before="240" w:after="240" w:lineRule="auto" w:line="360"/>
        <w:jc w:val="both"/>
        <w:rPr>
          <w:sz w:val="24"/>
          <w:szCs w:val="24"/>
          <w:lang w:val="en-US"/>
        </w:rPr>
      </w:pPr>
      <w:r>
        <w:rPr>
          <w:sz w:val="24"/>
          <w:szCs w:val="24"/>
          <w:lang w:val="en-US"/>
        </w:rPr>
        <w:t xml:space="preserve">Calzolari, G. and Hanspach, P., 2025. Pricing algorithms out of the box: A study of the repricing industry. </w:t>
      </w:r>
      <w:r>
        <w:rPr>
          <w:i/>
          <w:iCs/>
          <w:sz w:val="24"/>
          <w:szCs w:val="24"/>
          <w:lang w:val="en-US"/>
        </w:rPr>
        <w:t>Journal of Competition Law &amp; Economics</w:t>
      </w:r>
      <w:r>
        <w:rPr>
          <w:sz w:val="24"/>
          <w:szCs w:val="24"/>
          <w:lang w:val="en-US"/>
        </w:rPr>
        <w:t xml:space="preserve">, </w:t>
      </w:r>
      <w:r>
        <w:rPr>
          <w:i/>
          <w:iCs/>
          <w:sz w:val="24"/>
          <w:szCs w:val="24"/>
          <w:lang w:val="en-US"/>
        </w:rPr>
        <w:t>21</w:t>
      </w:r>
      <w:r>
        <w:rPr>
          <w:sz w:val="24"/>
          <w:szCs w:val="24"/>
          <w:lang w:val="en-US"/>
        </w:rPr>
        <w:t xml:space="preserve">(2), pp.163-187.  </w:t>
      </w:r>
      <w:r>
        <w:rPr/>
        <w:fldChar w:fldCharType="begin"/>
      </w:r>
      <w:r>
        <w:instrText xml:space="preserve"> HYPERLINK "https://papers.ssrn.com/sol3/Delivery.cfm?abstractid=4871394" </w:instrText>
      </w:r>
      <w:r>
        <w:rPr/>
        <w:fldChar w:fldCharType="separate"/>
      </w:r>
      <w:r>
        <w:rPr>
          <w:rStyle w:val="style85"/>
          <w:sz w:val="24"/>
          <w:szCs w:val="24"/>
          <w:lang w:val="en-US"/>
        </w:rPr>
        <w:t>https://papers.ssrn.com/sol3/Delivery.cfm?abstractid=4871394</w:t>
      </w:r>
      <w:r>
        <w:rPr/>
        <w:fldChar w:fldCharType="end"/>
      </w:r>
      <w:r>
        <w:rPr>
          <w:sz w:val="24"/>
          <w:szCs w:val="24"/>
          <w:lang w:val="en-US"/>
        </w:rPr>
        <w:t> </w:t>
      </w:r>
    </w:p>
    <w:p>
      <w:pPr>
        <w:pStyle w:val="style0"/>
        <w:spacing w:before="240" w:after="240" w:lineRule="auto" w:line="360"/>
        <w:jc w:val="both"/>
        <w:rPr>
          <w:sz w:val="24"/>
          <w:szCs w:val="24"/>
        </w:rPr>
      </w:pPr>
      <w:r>
        <w:rPr>
          <w:color w:val="222222"/>
          <w:sz w:val="24"/>
          <w:szCs w:val="24"/>
          <w:shd w:val="clear" w:color="auto" w:fill="ffffff"/>
        </w:rPr>
        <w:t>Cate, M., 2025. Regulatory Frameworks and Compliance Strategies for Protecting Consumer Data.</w:t>
      </w:r>
      <w:r>
        <w:rPr>
          <w:color w:val="000000"/>
          <w:sz w:val="24"/>
          <w:szCs w:val="24"/>
        </w:rPr>
        <w:t xml:space="preserve">  </w:t>
      </w:r>
      <w:r>
        <w:rPr/>
        <w:fldChar w:fldCharType="begin"/>
      </w:r>
      <w:r>
        <w:instrText xml:space="preserve"> HYPERLINK "https://www.researchgate.net/profile/Mia-Cate/publication/392069810_Regulatory_Frameworks_and_Compliance_Strategies_for_Protecting_Consumer_Data/links/68321493be1b507dce90221b/Regulatory-Frameworks-and-Compliance-Strategies-for-Protecting-Consumer-Data.pdf" </w:instrText>
      </w:r>
      <w:r>
        <w:rPr/>
        <w:fldChar w:fldCharType="separate"/>
      </w:r>
      <w:r>
        <w:rPr>
          <w:rStyle w:val="style85"/>
          <w:color w:val="1155cc"/>
          <w:sz w:val="24"/>
          <w:szCs w:val="24"/>
        </w:rPr>
        <w:t>https://www.researchgate.net/profile/Mia-Cate/publication/392069810_Regulatory_Frameworks_and_Compliance_Strategies_for_Protecting_Consumer_Data/links/68321493be1b507dce90221b/Regulatory-Frameworks-and-Compliance-Strategies-for-Protecting-Consumer-Data.pdf</w:t>
      </w:r>
      <w:r>
        <w:rPr/>
        <w:fldChar w:fldCharType="end"/>
      </w:r>
      <w:r>
        <w:rPr>
          <w:color w:val="000000"/>
          <w:sz w:val="24"/>
          <w:szCs w:val="24"/>
        </w:rPr>
        <w:t> </w:t>
      </w:r>
    </w:p>
    <w:p>
      <w:pPr>
        <w:pStyle w:val="style0"/>
        <w:spacing w:before="240" w:after="240" w:lineRule="auto" w:line="360"/>
        <w:jc w:val="both"/>
        <w:rPr>
          <w:sz w:val="24"/>
          <w:szCs w:val="24"/>
          <w:lang w:val="en-US"/>
        </w:rPr>
      </w:pPr>
      <w:r>
        <w:rPr>
          <w:sz w:val="24"/>
          <w:szCs w:val="24"/>
          <w:lang w:val="en-US"/>
        </w:rPr>
        <w:t xml:space="preserve">Chaushi, B.A., Nastovska, M. and Veseli-Kurtishi, T., 2024. MS Teams for Virtual Collaboration-An Overview. </w:t>
      </w:r>
      <w:r>
        <w:rPr/>
        <w:fldChar w:fldCharType="begin"/>
      </w:r>
      <w:r>
        <w:instrText xml:space="preserve"> HYPERLINK "https://www.academia.edu/download/123452190/icetol2024_babazi.pdf" </w:instrText>
      </w:r>
      <w:r>
        <w:rPr/>
        <w:fldChar w:fldCharType="separate"/>
      </w:r>
      <w:r>
        <w:rPr>
          <w:rStyle w:val="style85"/>
          <w:sz w:val="24"/>
          <w:szCs w:val="24"/>
          <w:lang w:val="en-US"/>
        </w:rPr>
        <w:t>https://www.academia.edu/download/123452190/icetol2024_babazi.pdf</w:t>
      </w:r>
      <w:r>
        <w:rPr/>
        <w:fldChar w:fldCharType="end"/>
      </w:r>
      <w:r>
        <w:rPr>
          <w:sz w:val="24"/>
          <w:szCs w:val="24"/>
          <w:lang w:val="en-US"/>
        </w:rPr>
        <w:t xml:space="preserve">   </w:t>
      </w:r>
    </w:p>
    <w:p>
      <w:pPr>
        <w:pStyle w:val="style0"/>
        <w:spacing w:before="240" w:after="240" w:lineRule="auto" w:line="360"/>
        <w:jc w:val="both"/>
        <w:rPr>
          <w:sz w:val="24"/>
          <w:szCs w:val="24"/>
          <w:lang w:val="en-US"/>
        </w:rPr>
      </w:pPr>
      <w:r>
        <w:rPr>
          <w:sz w:val="24"/>
          <w:szCs w:val="24"/>
          <w:lang w:val="en-US"/>
        </w:rPr>
        <w:t xml:space="preserve">Chen, C., Zakaria, N.H.B., Deng, W., Xu, X. and Xu, Y., 2025. AI-driven marketing innovation in educational technology: a multi-dimensional analysis of virtual sales personnel and intelligent promotion strategies on user acceptance and engagement. </w:t>
      </w:r>
      <w:r>
        <w:rPr>
          <w:i/>
          <w:iCs/>
          <w:sz w:val="24"/>
          <w:szCs w:val="24"/>
          <w:lang w:val="en-US"/>
        </w:rPr>
        <w:t>Future Technology</w:t>
      </w:r>
      <w:r>
        <w:rPr>
          <w:sz w:val="24"/>
          <w:szCs w:val="24"/>
          <w:lang w:val="en-US"/>
        </w:rPr>
        <w:t xml:space="preserve">, </w:t>
      </w:r>
      <w:r>
        <w:rPr>
          <w:i/>
          <w:iCs/>
          <w:sz w:val="24"/>
          <w:szCs w:val="24"/>
          <w:lang w:val="en-US"/>
        </w:rPr>
        <w:t>4</w:t>
      </w:r>
      <w:r>
        <w:rPr>
          <w:sz w:val="24"/>
          <w:szCs w:val="24"/>
          <w:lang w:val="en-US"/>
        </w:rPr>
        <w:t xml:space="preserve">(4), pp.146-158.  </w:t>
      </w:r>
      <w:r>
        <w:rPr/>
        <w:fldChar w:fldCharType="begin"/>
      </w:r>
      <w:r>
        <w:instrText xml:space="preserve"> HYPERLINK "https://fupubco.com/futech/article/download/475/231" </w:instrText>
      </w:r>
      <w:r>
        <w:rPr/>
        <w:fldChar w:fldCharType="separate"/>
      </w:r>
      <w:r>
        <w:rPr>
          <w:rStyle w:val="style85"/>
          <w:sz w:val="24"/>
          <w:szCs w:val="24"/>
          <w:lang w:val="en-US"/>
        </w:rPr>
        <w:t>https://fupubco.com/futech/article/download/475/231</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Deena, D., Prasad, C. and Geetha, J., 2024, November. Intelligent conversational ai for microsoft teams with actionable insights. In </w:t>
      </w:r>
      <w:r>
        <w:rPr>
          <w:i/>
          <w:iCs/>
          <w:sz w:val="24"/>
          <w:szCs w:val="24"/>
          <w:lang w:val="en-US"/>
        </w:rPr>
        <w:t>2024 8th International Conference on Computational System and Information Technology for Sustainable Solutions (CSITSS)</w:t>
      </w:r>
      <w:r>
        <w:rPr>
          <w:sz w:val="24"/>
          <w:szCs w:val="24"/>
          <w:lang w:val="en-US"/>
        </w:rPr>
        <w:t xml:space="preserve"> (pp. 1-5). IEEE.  </w:t>
      </w:r>
      <w:r>
        <w:rPr/>
        <w:fldChar w:fldCharType="begin"/>
      </w:r>
      <w:r>
        <w:instrText xml:space="preserve"> HYPERLINK "https://www.researchgate.net/profile/Chandrika-Prasad/publication/387653713_Intelligent_Conversational_AI_for_Microsoft_Teams_with_Actionable_Insights/links/68241fd58a76251f22e1a877/Intelligent-Conversational-AI-for-Microsoft-Teams-with-Actionable-Insights.pdf" </w:instrText>
      </w:r>
      <w:r>
        <w:rPr/>
        <w:fldChar w:fldCharType="separate"/>
      </w:r>
      <w:r>
        <w:rPr>
          <w:rStyle w:val="style85"/>
          <w:sz w:val="24"/>
          <w:szCs w:val="24"/>
          <w:lang w:val="en-US"/>
        </w:rPr>
        <w:t>https://www.researchgate.net/profile/Chandrika-Prasad/publication/387653713_Intelligent_Conversational_AI_for_Microsoft_Teams_with_Actionable_Insights/links/68241fd58a76251f22e1a877/Intelligent-Conversational-AI-for-Microsoft-Teams-with-Actionable-Insights.pdf</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Depner, S. and Richter, A., 2025. Cloud meets customer: IT service providers in the public cloud ecosystem. </w:t>
      </w:r>
      <w:r>
        <w:rPr>
          <w:i/>
          <w:iCs/>
          <w:sz w:val="24"/>
          <w:szCs w:val="24"/>
          <w:lang w:val="en-US"/>
        </w:rPr>
        <w:t>Business Horizons</w:t>
      </w:r>
      <w:r>
        <w:rPr>
          <w:sz w:val="24"/>
          <w:szCs w:val="24"/>
          <w:lang w:val="en-US"/>
        </w:rPr>
        <w:t xml:space="preserve">.  </w:t>
      </w:r>
      <w:r>
        <w:rPr/>
        <w:fldChar w:fldCharType="begin"/>
      </w:r>
      <w:r>
        <w:instrText xml:space="preserve"> HYPERLINK "https://www.sciencedirect.com/science/article/pii/S0007681325000813" </w:instrText>
      </w:r>
      <w:r>
        <w:rPr/>
        <w:fldChar w:fldCharType="separate"/>
      </w:r>
      <w:r>
        <w:rPr>
          <w:rStyle w:val="style85"/>
          <w:sz w:val="24"/>
          <w:szCs w:val="24"/>
          <w:lang w:val="en-US"/>
        </w:rPr>
        <w:t>https://www.sciencedirect.com/science/article/pii/S0007681325000813</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El Koshiry, A.M., Eliwa, E.H., Abdel Mohsen, N.A. and Khalil, S.S., 2025. The impact of AI-based cloud network management on Microsoft Azure in promoting green technology awareness. </w:t>
      </w:r>
      <w:r>
        <w:rPr>
          <w:i/>
          <w:iCs/>
          <w:sz w:val="24"/>
          <w:szCs w:val="24"/>
          <w:lang w:val="en-US"/>
        </w:rPr>
        <w:t>Sustainability</w:t>
      </w:r>
      <w:r>
        <w:rPr>
          <w:sz w:val="24"/>
          <w:szCs w:val="24"/>
          <w:lang w:val="en-US"/>
        </w:rPr>
        <w:t xml:space="preserve">, </w:t>
      </w:r>
      <w:r>
        <w:rPr>
          <w:i/>
          <w:iCs/>
          <w:sz w:val="24"/>
          <w:szCs w:val="24"/>
          <w:lang w:val="en-US"/>
        </w:rPr>
        <w:t>17</w:t>
      </w:r>
      <w:r>
        <w:rPr>
          <w:sz w:val="24"/>
          <w:szCs w:val="24"/>
          <w:lang w:val="en-US"/>
        </w:rPr>
        <w:t xml:space="preserve">(3), p.1065.  </w:t>
      </w:r>
      <w:r>
        <w:rPr/>
        <w:fldChar w:fldCharType="begin"/>
      </w:r>
      <w:r>
        <w:instrText xml:space="preserve"> HYPERLINK "https://www.mdpi.com/2071-1050/17/3/1065" </w:instrText>
      </w:r>
      <w:r>
        <w:rPr/>
        <w:fldChar w:fldCharType="separate"/>
      </w:r>
      <w:r>
        <w:rPr>
          <w:rStyle w:val="style85"/>
          <w:sz w:val="24"/>
          <w:szCs w:val="24"/>
          <w:lang w:val="en-US"/>
        </w:rPr>
        <w:t>https://www.mdpi.com/2071-1050/17/3/1065</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Emma, L., 2024. Enterprise Resource Planning (ERP) Systems for Streamlining Organizational Processes. </w:t>
      </w:r>
      <w:r>
        <w:rPr>
          <w:i/>
          <w:iCs/>
          <w:sz w:val="24"/>
          <w:szCs w:val="24"/>
          <w:lang w:val="en-US"/>
        </w:rPr>
        <w:t>Unpublished Manuscript</w:t>
      </w:r>
      <w:r>
        <w:rPr>
          <w:sz w:val="24"/>
          <w:szCs w:val="24"/>
          <w:lang w:val="en-US"/>
        </w:rPr>
        <w:t xml:space="preserve">.  </w:t>
      </w:r>
      <w:r>
        <w:rPr/>
        <w:fldChar w:fldCharType="begin"/>
      </w:r>
      <w:r>
        <w:instrText xml:space="preserve"> HYPERLINK "https://www.researchgate.net/profile/Lawrence-Emma/publication/386382658_Enterprise_Resource_Planning_ERP_Systems_for_Streamlining_Organizational_Processes/links/674fd3b0790d154bf9c28b6f/Enterprise-Resource-Planning-ERP-Systems-for-Streamlining-Organizational-Processes.pdf" </w:instrText>
      </w:r>
      <w:r>
        <w:rPr/>
        <w:fldChar w:fldCharType="separate"/>
      </w:r>
      <w:r>
        <w:rPr>
          <w:rStyle w:val="style85"/>
          <w:sz w:val="24"/>
          <w:szCs w:val="24"/>
          <w:lang w:val="en-US"/>
        </w:rPr>
        <w:t>https://www.researchgate.net/profile/Lawrence-Emma/publication/386382658_Enterprise_Resource_Planning_ERP_Systems_for_Streamlining_Organizational_Processes/links/674fd3b0790d154bf9c28b6f/Enterprise-Resource-Planning-ERP-Systems-for-Streamlining-Organizational-Processes.pdf</w:t>
      </w:r>
      <w:r>
        <w:rPr/>
        <w:fldChar w:fldCharType="end"/>
      </w:r>
      <w:r>
        <w:rPr>
          <w:sz w:val="24"/>
          <w:szCs w:val="24"/>
          <w:lang w:val="en-US"/>
        </w:rPr>
        <w:t> </w:t>
      </w:r>
    </w:p>
    <w:p>
      <w:pPr>
        <w:pStyle w:val="style0"/>
        <w:spacing w:before="240" w:after="240" w:lineRule="auto" w:line="360"/>
        <w:jc w:val="both"/>
        <w:rPr>
          <w:sz w:val="24"/>
          <w:szCs w:val="24"/>
        </w:rPr>
      </w:pPr>
      <w:r>
        <w:rPr>
          <w:color w:val="222222"/>
          <w:sz w:val="24"/>
          <w:szCs w:val="24"/>
          <w:shd w:val="clear" w:color="auto" w:fill="ffffff"/>
        </w:rPr>
        <w:t xml:space="preserve">Farida, I. and Setiawan, D., 2022. Business strategies and competitive advantage: the role of performance and innovation. </w:t>
      </w:r>
      <w:r>
        <w:rPr>
          <w:i/>
          <w:iCs/>
          <w:color w:val="222222"/>
          <w:sz w:val="24"/>
          <w:szCs w:val="24"/>
          <w:shd w:val="clear" w:color="auto" w:fill="ffffff"/>
        </w:rPr>
        <w:t>Journal of open innovation: Technology, market, and complexity</w:t>
      </w:r>
      <w:r>
        <w:rPr>
          <w:color w:val="222222"/>
          <w:sz w:val="24"/>
          <w:szCs w:val="24"/>
          <w:shd w:val="clear" w:color="auto" w:fill="ffffff"/>
        </w:rPr>
        <w:t xml:space="preserve">, </w:t>
      </w:r>
      <w:r>
        <w:rPr>
          <w:i/>
          <w:iCs/>
          <w:color w:val="222222"/>
          <w:sz w:val="24"/>
          <w:szCs w:val="24"/>
          <w:shd w:val="clear" w:color="auto" w:fill="ffffff"/>
        </w:rPr>
        <w:t>8</w:t>
      </w:r>
      <w:r>
        <w:rPr>
          <w:color w:val="222222"/>
          <w:sz w:val="24"/>
          <w:szCs w:val="24"/>
          <w:shd w:val="clear" w:color="auto" w:fill="ffffff"/>
        </w:rPr>
        <w:t>(3), p.163.</w:t>
      </w:r>
      <w:r>
        <w:rPr>
          <w:color w:val="000000"/>
          <w:sz w:val="24"/>
          <w:szCs w:val="24"/>
        </w:rPr>
        <w:t xml:space="preserve">  </w:t>
      </w:r>
      <w:r>
        <w:rPr/>
        <w:fldChar w:fldCharType="begin"/>
      </w:r>
      <w:r>
        <w:instrText xml:space="preserve"> HYPERLINK "https://www.sciencedirect.com/science/article/pii/S2199853122007648" </w:instrText>
      </w:r>
      <w:r>
        <w:rPr/>
        <w:fldChar w:fldCharType="separate"/>
      </w:r>
      <w:r>
        <w:rPr>
          <w:rStyle w:val="style85"/>
          <w:color w:val="1155cc"/>
          <w:sz w:val="24"/>
          <w:szCs w:val="24"/>
        </w:rPr>
        <w:t>https://www.sciencedirect.com/science/article/pii/S2199853122007648</w:t>
      </w:r>
      <w:r>
        <w:rPr/>
        <w:fldChar w:fldCharType="end"/>
      </w:r>
      <w:r>
        <w:rPr>
          <w:color w:val="000000"/>
          <w:sz w:val="24"/>
          <w:szCs w:val="24"/>
        </w:rPr>
        <w:t> </w:t>
      </w:r>
    </w:p>
    <w:p>
      <w:pPr>
        <w:pStyle w:val="style0"/>
        <w:spacing w:before="240" w:after="240" w:lineRule="auto" w:line="360"/>
        <w:jc w:val="both"/>
        <w:rPr>
          <w:sz w:val="24"/>
          <w:szCs w:val="24"/>
          <w:lang w:val="en-US"/>
        </w:rPr>
      </w:pPr>
      <w:r>
        <w:rPr>
          <w:sz w:val="24"/>
          <w:szCs w:val="24"/>
          <w:lang w:val="en-US"/>
        </w:rPr>
        <w:t xml:space="preserve">Galhotra, B., 2025. Comparative Analysis of Amazon Web Services (AWS), Azure, and Google Cloud: Core Services, Market Strategy, and Pricing Models. </w:t>
      </w:r>
      <w:r>
        <w:rPr>
          <w:i/>
          <w:iCs/>
          <w:sz w:val="24"/>
          <w:szCs w:val="24"/>
          <w:lang w:val="en-US"/>
        </w:rPr>
        <w:t>New Horizons of Science, Technology and Culture</w:t>
      </w:r>
      <w:r>
        <w:rPr>
          <w:sz w:val="24"/>
          <w:szCs w:val="24"/>
          <w:lang w:val="en-US"/>
        </w:rPr>
        <w:t xml:space="preserve">, p.33.  </w:t>
      </w:r>
      <w:r>
        <w:rPr/>
        <w:fldChar w:fldCharType="begin"/>
      </w:r>
      <w:r>
        <w:instrText xml:space="preserve"> HYPERLINK "https://www.researchgate.net/profile/Md-Abdullah-Imam/publication/395333099_Identifying_the_Type_of_ARP_Request_to_Introduce_the_MAC_Address_Table_Instability_Results_in_Network_Sensitivity/links/68bcf8656f87c42f3b904554/Identifying-the-Type-of-ARP-Request-to-Introduce-the-MAC-Address-Table-Instability-Results-in-Network-Sensitivity.pdf" \l "page=44" </w:instrText>
      </w:r>
      <w:r>
        <w:rPr/>
        <w:fldChar w:fldCharType="separate"/>
      </w:r>
      <w:r>
        <w:rPr>
          <w:rStyle w:val="style85"/>
          <w:sz w:val="24"/>
          <w:szCs w:val="24"/>
          <w:lang w:val="en-US"/>
        </w:rPr>
        <w:t>https://www.researchgate.net/profile/Md-Abdullah-Imam/publication/395333099_Identifying_the_Type_of_ARP_Request_to_Introduce_the_MAC_Address_Table_Instability_Results_in_Network_Sensitivity/links/68bcf8656f87c42f3b904554/Identifying-the-Type-of-ARP-Request-to-Introduce-the-MAC-Address-Table-Instability-Results-in-Network-Sensitivity.pdf#page=44</w:t>
      </w:r>
      <w:r>
        <w:rPr/>
        <w:fldChar w:fldCharType="end"/>
      </w:r>
      <w:r>
        <w:rPr>
          <w:sz w:val="24"/>
          <w:szCs w:val="24"/>
          <w:lang w:val="en-US"/>
        </w:rPr>
        <w:t> </w:t>
      </w:r>
    </w:p>
    <w:p>
      <w:pPr>
        <w:pStyle w:val="style0"/>
        <w:spacing w:before="240" w:after="240" w:lineRule="auto" w:line="360"/>
        <w:jc w:val="both"/>
        <w:rPr>
          <w:sz w:val="24"/>
          <w:szCs w:val="24"/>
        </w:rPr>
      </w:pPr>
      <w:r>
        <w:rPr>
          <w:color w:val="222222"/>
          <w:sz w:val="24"/>
          <w:szCs w:val="24"/>
          <w:shd w:val="clear" w:color="auto" w:fill="ffffff"/>
        </w:rPr>
        <w:t xml:space="preserve">Guntupalli, D.K. and Kuchimanchi, S.N., 2024. Microsoft Dynamics 365: Implementation and Azure Cloud integration in modern business operations. </w:t>
      </w:r>
      <w:r>
        <w:rPr>
          <w:i/>
          <w:iCs/>
          <w:color w:val="222222"/>
          <w:sz w:val="24"/>
          <w:szCs w:val="24"/>
          <w:shd w:val="clear" w:color="auto" w:fill="ffffff"/>
        </w:rPr>
        <w:t>International Journal of Computer Engineering and Technology (IJCET)</w:t>
      </w:r>
      <w:r>
        <w:rPr>
          <w:color w:val="222222"/>
          <w:sz w:val="24"/>
          <w:szCs w:val="24"/>
          <w:shd w:val="clear" w:color="auto" w:fill="ffffff"/>
        </w:rPr>
        <w:t xml:space="preserve">, </w:t>
      </w:r>
      <w:r>
        <w:rPr>
          <w:i/>
          <w:iCs/>
          <w:color w:val="222222"/>
          <w:sz w:val="24"/>
          <w:szCs w:val="24"/>
          <w:shd w:val="clear" w:color="auto" w:fill="ffffff"/>
        </w:rPr>
        <w:t>15</w:t>
      </w:r>
      <w:r>
        <w:rPr>
          <w:color w:val="222222"/>
          <w:sz w:val="24"/>
          <w:szCs w:val="24"/>
          <w:shd w:val="clear" w:color="auto" w:fill="ffffff"/>
        </w:rPr>
        <w:t>(6), pp.726-731.</w:t>
      </w:r>
      <w:r>
        <w:rPr>
          <w:color w:val="000000"/>
          <w:sz w:val="24"/>
          <w:szCs w:val="24"/>
        </w:rPr>
        <w:t xml:space="preserve">  </w:t>
      </w:r>
      <w:r>
        <w:rPr/>
        <w:fldChar w:fldCharType="begin"/>
      </w:r>
      <w:r>
        <w:instrText xml:space="preserve"> HYPERLINK "https://www.researchgate.net/profile/Dileepkumar-Guntupalli/publication/386176503_Microsoft_Dynamics_365_Implementation_and_Azure_Cloud_Integration_in_Modern_Business_Operations/links/6747b6ea359dcb4d9d3cac6c/Microsoft-Dynamics-365-Implementation-and-Azure-Cloud-Integration-in-Modern-Business-Operations.pdf" </w:instrText>
      </w:r>
      <w:r>
        <w:rPr/>
        <w:fldChar w:fldCharType="separate"/>
      </w:r>
      <w:r>
        <w:rPr>
          <w:rStyle w:val="style85"/>
          <w:color w:val="1155cc"/>
          <w:sz w:val="24"/>
          <w:szCs w:val="24"/>
        </w:rPr>
        <w:t>https://www.researchgate.net/profile/Dileepkumar-Guntupalli/publication/386176503_Microsoft_Dynamics_365_Implementation_and_Azure_Cloud_Integration_in_Modern_Business_Operations/links/6747b6ea359dcb4d9d3cac6c/Microsoft-Dynamics-365-Implementation-and-Azure-Cloud-Integration-in-Modern-Business-Operations.pdf</w:t>
      </w:r>
      <w:r>
        <w:rPr/>
        <w:fldChar w:fldCharType="end"/>
      </w:r>
      <w:r>
        <w:rPr>
          <w:color w:val="000000"/>
          <w:sz w:val="24"/>
          <w:szCs w:val="24"/>
        </w:rPr>
        <w:t> </w:t>
      </w:r>
    </w:p>
    <w:p>
      <w:pPr>
        <w:pStyle w:val="style0"/>
        <w:spacing w:before="240" w:after="240" w:lineRule="auto" w:line="360"/>
        <w:jc w:val="both"/>
        <w:rPr>
          <w:sz w:val="24"/>
          <w:szCs w:val="24"/>
          <w:lang w:val="en-US"/>
        </w:rPr>
      </w:pPr>
      <w:r>
        <w:rPr>
          <w:sz w:val="24"/>
          <w:szCs w:val="24"/>
          <w:lang w:val="en-US"/>
        </w:rPr>
        <w:t xml:space="preserve">Halilsoy, T., 2024. The importance of self-confidence. </w:t>
      </w:r>
      <w:r>
        <w:rPr>
          <w:i/>
          <w:iCs/>
          <w:sz w:val="24"/>
          <w:szCs w:val="24"/>
          <w:lang w:val="en-US"/>
        </w:rPr>
        <w:t>Akademik Tarih ve Düşünce Dergisi</w:t>
      </w:r>
      <w:r>
        <w:rPr>
          <w:sz w:val="24"/>
          <w:szCs w:val="24"/>
          <w:lang w:val="en-US"/>
        </w:rPr>
        <w:t xml:space="preserve">, </w:t>
      </w:r>
      <w:r>
        <w:rPr>
          <w:i/>
          <w:iCs/>
          <w:sz w:val="24"/>
          <w:szCs w:val="24"/>
          <w:lang w:val="en-US"/>
        </w:rPr>
        <w:t>11</w:t>
      </w:r>
      <w:r>
        <w:rPr>
          <w:sz w:val="24"/>
          <w:szCs w:val="24"/>
          <w:lang w:val="en-US"/>
        </w:rPr>
        <w:t xml:space="preserve">(5), pp.2975-2989.  </w:t>
      </w:r>
      <w:r>
        <w:rPr/>
        <w:fldChar w:fldCharType="begin"/>
      </w:r>
      <w:r>
        <w:instrText xml:space="preserve"> HYPERLINK "https://dergipark.org.tr/en/download/article-file/4126134" </w:instrText>
      </w:r>
      <w:r>
        <w:rPr/>
        <w:fldChar w:fldCharType="separate"/>
      </w:r>
      <w:r>
        <w:rPr>
          <w:rStyle w:val="style85"/>
          <w:sz w:val="24"/>
          <w:szCs w:val="24"/>
          <w:lang w:val="en-US"/>
        </w:rPr>
        <w:t>https://dergipark.org.tr/en/download/article-file/4126134</w:t>
      </w:r>
      <w:r>
        <w:rPr/>
        <w:fldChar w:fldCharType="end"/>
      </w:r>
      <w:r>
        <w:rPr>
          <w:sz w:val="24"/>
          <w:szCs w:val="24"/>
          <w:lang w:val="en-US"/>
        </w:rPr>
        <w:t> </w:t>
      </w:r>
    </w:p>
    <w:p>
      <w:pPr>
        <w:pStyle w:val="style0"/>
        <w:spacing w:before="240" w:after="240" w:lineRule="auto" w:line="360"/>
        <w:jc w:val="both"/>
        <w:rPr>
          <w:sz w:val="24"/>
          <w:szCs w:val="24"/>
        </w:rPr>
      </w:pPr>
      <w:r>
        <w:rPr>
          <w:sz w:val="24"/>
          <w:szCs w:val="24"/>
        </w:rPr>
        <w:t xml:space="preserve">Hamzat, L., Abiodun, D. and Joseph, A., 2023. Empowering entrepreneurial growth through data-driven financial literacy, market research, and personalized education tool. </w:t>
      </w:r>
      <w:r>
        <w:rPr>
          <w:i/>
          <w:iCs/>
          <w:sz w:val="24"/>
          <w:szCs w:val="24"/>
        </w:rPr>
        <w:t>World Journal of Advanced Research and Reviews</w:t>
      </w:r>
      <w:r>
        <w:rPr>
          <w:sz w:val="24"/>
          <w:szCs w:val="24"/>
        </w:rPr>
        <w:t xml:space="preserve">, </w:t>
      </w:r>
      <w:r>
        <w:rPr>
          <w:i/>
          <w:iCs/>
          <w:sz w:val="24"/>
          <w:szCs w:val="24"/>
        </w:rPr>
        <w:t>19</w:t>
      </w:r>
      <w:r>
        <w:rPr>
          <w:sz w:val="24"/>
          <w:szCs w:val="24"/>
        </w:rPr>
        <w:t xml:space="preserve">(2), pp.1692-1711.  </w:t>
      </w:r>
      <w:r>
        <w:rPr/>
        <w:fldChar w:fldCharType="begin"/>
      </w:r>
      <w:r>
        <w:instrText xml:space="preserve"> HYPERLINK "https://www.researchgate.net/profile/Lolade-Hamzat/publication/391666310_Empowering_entrepreneurial_growth_through_data-driven_financial_literacy_market_research_and_personalized_education_tool/links/6821fe13bd3f1930dd709dd1/Empowering-entrepreneurial-growth-through-data-driven-financial-literacy-market-research-and-personalized-education-tool.pdf" </w:instrText>
      </w:r>
      <w:r>
        <w:rPr/>
        <w:fldChar w:fldCharType="separate"/>
      </w:r>
      <w:r>
        <w:rPr>
          <w:rStyle w:val="style85"/>
          <w:sz w:val="24"/>
          <w:szCs w:val="24"/>
        </w:rPr>
        <w:t>https://www.researchgate.net/profile/Lolade-Hamzat/publication/391666310_Empowering_entrepreneurial_growth_through_data-driven_financial_literacy_market_research_and_personalized_education_tool/links/6821fe13bd3f1930dd709dd1/Empowering-entrepreneurial-growth-through-data-driven-financial-literacy-market-research-and-personalized-education-tool.pdf</w:t>
      </w:r>
      <w:r>
        <w:rPr/>
        <w:fldChar w:fldCharType="end"/>
      </w:r>
    </w:p>
    <w:p>
      <w:pPr>
        <w:pStyle w:val="style0"/>
        <w:spacing w:before="240" w:after="240" w:lineRule="auto" w:line="360"/>
        <w:jc w:val="both"/>
        <w:rPr>
          <w:sz w:val="24"/>
          <w:szCs w:val="24"/>
          <w:lang w:val="en-US"/>
        </w:rPr>
      </w:pPr>
      <w:r>
        <w:rPr>
          <w:sz w:val="24"/>
          <w:szCs w:val="24"/>
          <w:lang w:val="en-US"/>
        </w:rPr>
        <w:t xml:space="preserve">Jain, N.S., 2022. Pioneering the future of technology: integrating advanced cloud computing with artificial intelligence for scalable, intelligent systems. </w:t>
      </w:r>
      <w:r>
        <w:rPr>
          <w:i/>
          <w:iCs/>
          <w:sz w:val="24"/>
          <w:szCs w:val="24"/>
          <w:lang w:val="en-US"/>
        </w:rPr>
        <w:t>World Journal of Advanced Research and Reviews</w:t>
      </w:r>
      <w:r>
        <w:rPr>
          <w:sz w:val="24"/>
          <w:szCs w:val="24"/>
          <w:lang w:val="en-US"/>
        </w:rPr>
        <w:t xml:space="preserve">, </w:t>
      </w:r>
      <w:r>
        <w:rPr>
          <w:i/>
          <w:iCs/>
          <w:sz w:val="24"/>
          <w:szCs w:val="24"/>
          <w:lang w:val="en-US"/>
        </w:rPr>
        <w:t>13</w:t>
      </w:r>
      <w:r>
        <w:rPr>
          <w:sz w:val="24"/>
          <w:szCs w:val="24"/>
          <w:lang w:val="en-US"/>
        </w:rPr>
        <w:t>, pp.847-</w:t>
      </w:r>
      <w:r>
        <w:rPr>
          <w:sz w:val="24"/>
          <w:szCs w:val="24"/>
          <w:lang w:val="en-US"/>
        </w:rPr>
        <w:t xml:space="preserve">62.  </w:t>
      </w:r>
      <w:r>
        <w:rPr/>
        <w:fldChar w:fldCharType="begin"/>
      </w:r>
      <w:r>
        <w:instrText xml:space="preserve"> HYPERLINK "https://www.researchgate.net/profile/Souratn-Jain-4/publication/389782558_Pioneering_the_future_of_technology_integrating_advanced_cloud_computing_with_artificial_intelligence_for_scalable_intelligent_systems/links/67d1dbcb7c5b5569dcb9f8d7/Pioneering-the-future-of-technology-integrating-advanced-cloud-computing-with-artificial-intelligence-for-scalable-intelligent-systems.pdf" </w:instrText>
      </w:r>
      <w:r>
        <w:rPr/>
        <w:fldChar w:fldCharType="separate"/>
      </w:r>
      <w:r>
        <w:rPr>
          <w:rStyle w:val="style85"/>
          <w:sz w:val="24"/>
          <w:szCs w:val="24"/>
          <w:lang w:val="en-US"/>
        </w:rPr>
        <w:t>https://www.researchgate.net/profile/Souratn-Jain-4/publication/389782558_Pioneering_the_future_of_technology_integrating_advanced_cloud_computing_with_artificial_intelligence_for_scalable_intelligent_systems/links/67d1dbcb7c5b5569dcb9f8d7/Pioneering-the-future-of-technology-integrating-advanced-cloud-computing-with-artificial-intelligence-for-scalable-intelligent-systems.pdf</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Jain, R., Jain, S. and Jain, S., 2022. Analyzing and exploring the effectiveness of each element of 7Ps of marketing mix. </w:t>
      </w:r>
      <w:r>
        <w:rPr>
          <w:i/>
          <w:iCs/>
          <w:sz w:val="24"/>
          <w:szCs w:val="24"/>
          <w:lang w:val="en-US"/>
        </w:rPr>
        <w:t>International Journal of All Research Education and Scientific Methods (IJARESM)</w:t>
      </w:r>
      <w:r>
        <w:rPr>
          <w:sz w:val="24"/>
          <w:szCs w:val="24"/>
          <w:lang w:val="en-US"/>
        </w:rPr>
        <w:t xml:space="preserve">, </w:t>
      </w:r>
      <w:r>
        <w:rPr>
          <w:i/>
          <w:iCs/>
          <w:sz w:val="24"/>
          <w:szCs w:val="24"/>
          <w:lang w:val="en-US"/>
        </w:rPr>
        <w:t>10</w:t>
      </w:r>
      <w:r>
        <w:rPr>
          <w:sz w:val="24"/>
          <w:szCs w:val="24"/>
          <w:lang w:val="en-US"/>
        </w:rPr>
        <w:t xml:space="preserve">(1), pp.2455-6211.  </w:t>
      </w:r>
      <w:r>
        <w:rPr/>
        <w:fldChar w:fldCharType="begin"/>
      </w:r>
      <w:r>
        <w:instrText xml:space="preserve"> HYPERLINK "https://www.researchgate.net/profile/Riddhisha-Jain/publication/357657009_Analyzing_and_Exploring_the_Effectiveness_of_Each_Element_of_7Ps_of_Marketing_Mix/links/61d84cdfb6b5667157d148c7/Analyzing-and-Exploring-the-Effectiveness-of-Each-Element-of-7Ps-of-Marketing-Mix.pdf" </w:instrText>
      </w:r>
      <w:r>
        <w:rPr/>
        <w:fldChar w:fldCharType="separate"/>
      </w:r>
      <w:r>
        <w:rPr>
          <w:rStyle w:val="style85"/>
          <w:sz w:val="24"/>
          <w:szCs w:val="24"/>
          <w:lang w:val="en-US"/>
        </w:rPr>
        <w:t>https://www.researchgate.net/profile/Riddhisha-Jain/publication/357657009_Analyzing_and_Exploring_the_Effectiveness_of_Each_Element_of_7Ps_of_Marketing_Mix/links/61d84cdfb6b5667157d148c7/Analyzing-and-Exploring-the-Effectiveness-of-Each-Element-of-7Ps-of-Marketing-Mix.pdf</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Jain, S., 2023. Pricing Strategies and Consumer Perceived Value in Digital Markets. </w:t>
      </w:r>
      <w:r>
        <w:rPr>
          <w:i/>
          <w:iCs/>
          <w:sz w:val="24"/>
          <w:szCs w:val="24"/>
          <w:lang w:val="en-US"/>
        </w:rPr>
        <w:t>International Journal of Research &amp; Technology</w:t>
      </w:r>
      <w:r>
        <w:rPr>
          <w:sz w:val="24"/>
          <w:szCs w:val="24"/>
          <w:lang w:val="en-US"/>
        </w:rPr>
        <w:t xml:space="preserve">, </w:t>
      </w:r>
      <w:r>
        <w:rPr>
          <w:i/>
          <w:iCs/>
          <w:sz w:val="24"/>
          <w:szCs w:val="24"/>
          <w:lang w:val="en-US"/>
        </w:rPr>
        <w:t>11</w:t>
      </w:r>
      <w:r>
        <w:rPr>
          <w:sz w:val="24"/>
          <w:szCs w:val="24"/>
          <w:lang w:val="en-US"/>
        </w:rPr>
        <w:t xml:space="preserve">(1), pp.78-88.  </w:t>
      </w:r>
      <w:r>
        <w:rPr/>
        <w:fldChar w:fldCharType="begin"/>
      </w:r>
      <w:r>
        <w:instrText xml:space="preserve"> HYPERLINK "https://ijrt.org/j/article/download/761/690" </w:instrText>
      </w:r>
      <w:r>
        <w:rPr/>
        <w:fldChar w:fldCharType="separate"/>
      </w:r>
      <w:r>
        <w:rPr>
          <w:rStyle w:val="style85"/>
          <w:sz w:val="24"/>
          <w:szCs w:val="24"/>
          <w:lang w:val="en-US"/>
        </w:rPr>
        <w:t>https://ijrt.org/j/article/download/761/690</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Liang, Q., 2025. Disruption and reconstruction: A data-driven marketing paradigm shift in China's B2B management training industry. </w:t>
      </w:r>
      <w:r>
        <w:rPr>
          <w:i/>
          <w:iCs/>
          <w:sz w:val="24"/>
          <w:szCs w:val="24"/>
          <w:lang w:val="en-US"/>
        </w:rPr>
        <w:t>Economics and Management Innovation</w:t>
      </w:r>
      <w:r>
        <w:rPr>
          <w:sz w:val="24"/>
          <w:szCs w:val="24"/>
          <w:lang w:val="en-US"/>
        </w:rPr>
        <w:t xml:space="preserve">, </w:t>
      </w:r>
      <w:r>
        <w:rPr>
          <w:i/>
          <w:iCs/>
          <w:sz w:val="24"/>
          <w:szCs w:val="24"/>
          <w:lang w:val="en-US"/>
        </w:rPr>
        <w:t>2</w:t>
      </w:r>
      <w:r>
        <w:rPr>
          <w:sz w:val="24"/>
          <w:szCs w:val="24"/>
          <w:lang w:val="en-US"/>
        </w:rPr>
        <w:t xml:space="preserve">(5), pp.40-46. </w:t>
      </w:r>
      <w:r>
        <w:rPr/>
        <w:fldChar w:fldCharType="begin"/>
      </w:r>
      <w:r>
        <w:instrText xml:space="preserve"> HYPERLINK "https://www.gbspress.com/index.php/EMI/article/download/443/460" </w:instrText>
      </w:r>
      <w:r>
        <w:rPr/>
        <w:fldChar w:fldCharType="separate"/>
      </w:r>
      <w:r>
        <w:rPr>
          <w:rStyle w:val="style85"/>
          <w:sz w:val="24"/>
          <w:szCs w:val="24"/>
          <w:lang w:val="en-US"/>
        </w:rPr>
        <w:t>https://www.gbspress.com/index.php/EMI/article/download/443/460</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Maleewat, N., 2023. The influencing effect of the service marketing mix (7ps) and customer satisfaction on brand trust: hotel industry in Thailand. </w:t>
      </w:r>
      <w:r>
        <w:rPr>
          <w:i/>
          <w:iCs/>
          <w:sz w:val="24"/>
          <w:szCs w:val="24"/>
          <w:lang w:val="en-US"/>
        </w:rPr>
        <w:t>Faculty of Business Administration, Rajamangala University of Technology Krungthep</w:t>
      </w:r>
      <w:r>
        <w:rPr>
          <w:sz w:val="24"/>
          <w:szCs w:val="24"/>
          <w:lang w:val="en-US"/>
        </w:rPr>
        <w:t xml:space="preserve">, </w:t>
      </w:r>
      <w:r>
        <w:rPr>
          <w:i/>
          <w:iCs/>
          <w:sz w:val="24"/>
          <w:szCs w:val="24"/>
          <w:lang w:val="en-US"/>
        </w:rPr>
        <w:t>7</w:t>
      </w:r>
      <w:r>
        <w:rPr>
          <w:sz w:val="24"/>
          <w:szCs w:val="24"/>
          <w:lang w:val="en-US"/>
        </w:rPr>
        <w:t xml:space="preserve">(1).  </w:t>
      </w:r>
      <w:r>
        <w:rPr/>
        <w:fldChar w:fldCharType="begin"/>
      </w:r>
      <w:r>
        <w:instrText xml:space="preserve"> HYPERLINK "https://so01.tci-thaijo.org/index.php/GBAFR/article/download/266602/174127/1019968" </w:instrText>
      </w:r>
      <w:r>
        <w:rPr/>
        <w:fldChar w:fldCharType="separate"/>
      </w:r>
      <w:r>
        <w:rPr>
          <w:rStyle w:val="style85"/>
          <w:sz w:val="24"/>
          <w:szCs w:val="24"/>
          <w:lang w:val="en-US"/>
        </w:rPr>
        <w:t>https://so01.tci-thaijo.org/index.php/GBAFR/article/download/266602/174127/1019968</w:t>
      </w:r>
      <w:r>
        <w:rPr/>
        <w:fldChar w:fldCharType="end"/>
      </w:r>
      <w:r>
        <w:rPr>
          <w:sz w:val="24"/>
          <w:szCs w:val="24"/>
          <w:lang w:val="en-US"/>
        </w:rPr>
        <w:t> </w:t>
      </w:r>
    </w:p>
    <w:p>
      <w:pPr>
        <w:pStyle w:val="style0"/>
        <w:spacing w:before="240" w:after="240" w:lineRule="auto" w:line="360"/>
        <w:jc w:val="both"/>
        <w:rPr>
          <w:sz w:val="24"/>
          <w:szCs w:val="24"/>
        </w:rPr>
      </w:pPr>
      <w:r>
        <w:rPr>
          <w:color w:val="000000"/>
          <w:sz w:val="24"/>
          <w:szCs w:val="24"/>
        </w:rPr>
        <w:t xml:space="preserve">McKinsey, (2025), </w:t>
      </w:r>
      <w:r>
        <w:rPr>
          <w:i/>
          <w:iCs/>
          <w:color w:val="000000"/>
          <w:sz w:val="24"/>
          <w:szCs w:val="24"/>
        </w:rPr>
        <w:t>The state of AI in 2025: Agents, innovation, and transformation.</w:t>
      </w:r>
      <w:r>
        <w:rPr>
          <w:color w:val="000000"/>
          <w:sz w:val="24"/>
          <w:szCs w:val="24"/>
        </w:rPr>
        <w:t xml:space="preserve"> Available from </w:t>
      </w:r>
      <w:r>
        <w:rPr/>
        <w:fldChar w:fldCharType="begin"/>
      </w:r>
      <w:r>
        <w:instrText xml:space="preserve"> HYPERLINK "https://www.mckinsey.com/capabilities/quantumblack/our-insights/the-state-of-ai" </w:instrText>
      </w:r>
      <w:r>
        <w:rPr/>
        <w:fldChar w:fldCharType="separate"/>
      </w:r>
      <w:r>
        <w:rPr>
          <w:rStyle w:val="style85"/>
          <w:color w:val="1155cc"/>
          <w:sz w:val="24"/>
          <w:szCs w:val="24"/>
        </w:rPr>
        <w:t>https://www.mckinsey.com/capabilities/quantumblack/our-insights/the-state-of-ai</w:t>
      </w:r>
      <w:r>
        <w:rPr/>
        <w:fldChar w:fldCharType="end"/>
      </w:r>
      <w:r>
        <w:rPr>
          <w:color w:val="000000"/>
          <w:sz w:val="24"/>
          <w:szCs w:val="24"/>
        </w:rPr>
        <w:t xml:space="preserve"> Accessed on 28.04.2026.  </w:t>
      </w:r>
    </w:p>
    <w:p>
      <w:pPr>
        <w:pStyle w:val="style0"/>
        <w:spacing w:before="240" w:after="240" w:lineRule="auto" w:line="360"/>
        <w:jc w:val="both"/>
        <w:rPr>
          <w:sz w:val="24"/>
          <w:szCs w:val="24"/>
        </w:rPr>
      </w:pPr>
      <w:r>
        <w:rPr>
          <w:color w:val="000000"/>
          <w:sz w:val="24"/>
          <w:szCs w:val="24"/>
        </w:rPr>
        <w:t xml:space="preserve">Microsoft, (2024), </w:t>
      </w:r>
      <w:r>
        <w:rPr>
          <w:i/>
          <w:iCs/>
          <w:color w:val="000000"/>
          <w:sz w:val="24"/>
          <w:szCs w:val="24"/>
        </w:rPr>
        <w:t>AI at Work Is Here. Now Comes the Hard Part.</w:t>
      </w:r>
      <w:r>
        <w:rPr>
          <w:color w:val="000000"/>
          <w:sz w:val="24"/>
          <w:szCs w:val="24"/>
        </w:rPr>
        <w:t xml:space="preserve"> Available from </w:t>
      </w:r>
      <w:r>
        <w:rPr/>
        <w:fldChar w:fldCharType="begin"/>
      </w:r>
      <w:r>
        <w:instrText xml:space="preserve"> HYPERLINK "https://www.microsoft.com/en-us/worklab/work-trend-index/ai-at-work-is-here-now-comes-the-hard-part" </w:instrText>
      </w:r>
      <w:r>
        <w:rPr/>
        <w:fldChar w:fldCharType="separate"/>
      </w:r>
      <w:r>
        <w:rPr>
          <w:rStyle w:val="style85"/>
          <w:color w:val="1155cc"/>
          <w:sz w:val="24"/>
          <w:szCs w:val="24"/>
        </w:rPr>
        <w:t>https://www.microsoft.com/en-us/worklab/work-trend-index/ai-at-work-is-here-now-comes-the-hard-part</w:t>
      </w:r>
      <w:r>
        <w:rPr/>
        <w:fldChar w:fldCharType="end"/>
      </w:r>
      <w:r>
        <w:rPr>
          <w:color w:val="000000"/>
          <w:sz w:val="24"/>
          <w:szCs w:val="24"/>
        </w:rPr>
        <w:t xml:space="preserve"> Accessed on 28.04.2026.  </w:t>
      </w:r>
    </w:p>
    <w:p>
      <w:pPr>
        <w:pStyle w:val="style0"/>
        <w:spacing w:before="240" w:after="240" w:lineRule="auto" w:line="360"/>
        <w:jc w:val="both"/>
        <w:rPr>
          <w:sz w:val="24"/>
          <w:szCs w:val="24"/>
        </w:rPr>
      </w:pPr>
      <w:r>
        <w:rPr>
          <w:color w:val="000000"/>
          <w:sz w:val="24"/>
          <w:szCs w:val="24"/>
        </w:rPr>
        <w:t xml:space="preserve">Microsoft, (2026), </w:t>
      </w:r>
      <w:r>
        <w:rPr>
          <w:i/>
          <w:iCs/>
          <w:color w:val="000000"/>
          <w:sz w:val="24"/>
          <w:szCs w:val="24"/>
        </w:rPr>
        <w:t>Celebrating AI leaders from India &amp; South Asia.</w:t>
      </w:r>
      <w:r>
        <w:rPr>
          <w:color w:val="000000"/>
          <w:sz w:val="24"/>
          <w:szCs w:val="24"/>
        </w:rPr>
        <w:t xml:space="preserve"> Available from </w:t>
      </w:r>
      <w:r>
        <w:rPr/>
        <w:fldChar w:fldCharType="begin"/>
      </w:r>
      <w:r>
        <w:instrText xml:space="preserve"> HYPERLINK "https://www.microsoft.com/en-in/aifirstmovers" </w:instrText>
      </w:r>
      <w:r>
        <w:rPr/>
        <w:fldChar w:fldCharType="separate"/>
      </w:r>
      <w:r>
        <w:rPr>
          <w:rStyle w:val="style85"/>
          <w:color w:val="1155cc"/>
          <w:sz w:val="24"/>
          <w:szCs w:val="24"/>
        </w:rPr>
        <w:t>https://www.microsoft.com/en-in/aifirstmovers</w:t>
      </w:r>
      <w:r>
        <w:rPr/>
        <w:fldChar w:fldCharType="end"/>
      </w:r>
      <w:r>
        <w:rPr>
          <w:color w:val="000000"/>
          <w:sz w:val="24"/>
          <w:szCs w:val="24"/>
        </w:rPr>
        <w:t xml:space="preserve"> Accessed on 28.04.2026.  </w:t>
      </w:r>
    </w:p>
    <w:p>
      <w:pPr>
        <w:pStyle w:val="style0"/>
        <w:spacing w:before="240" w:after="240" w:lineRule="auto" w:line="360"/>
        <w:jc w:val="both"/>
        <w:rPr>
          <w:sz w:val="24"/>
          <w:szCs w:val="24"/>
          <w:lang w:val="en-US"/>
        </w:rPr>
      </w:pPr>
      <w:r>
        <w:rPr>
          <w:sz w:val="24"/>
          <w:szCs w:val="24"/>
          <w:lang w:val="en-US"/>
        </w:rPr>
        <w:t>Microsoft, (2026).</w:t>
      </w:r>
      <w:r>
        <w:rPr>
          <w:i/>
          <w:iCs/>
          <w:sz w:val="24"/>
          <w:szCs w:val="24"/>
          <w:lang w:val="en-US"/>
        </w:rPr>
        <w:t xml:space="preserve"> How to Use AI to be More Productive and Efficient at Work. </w:t>
      </w:r>
      <w:r>
        <w:rPr>
          <w:sz w:val="24"/>
          <w:szCs w:val="24"/>
          <w:lang w:val="en-US"/>
        </w:rPr>
        <w:t xml:space="preserve">Available on </w:t>
      </w:r>
      <w:r>
        <w:rPr/>
        <w:fldChar w:fldCharType="begin"/>
      </w:r>
      <w:r>
        <w:instrText xml:space="preserve"> HYPERLINK "https://www.microsoft.com/en-us/microsoft-365/business-insights-ideas/resources/ai-productivity-tips-business" \l ":~:text=By%20making%20AI%20part%20of,a%20fraction%20of%20the%20time" </w:instrText>
      </w:r>
      <w:r>
        <w:rPr/>
        <w:fldChar w:fldCharType="separate"/>
      </w:r>
      <w:r>
        <w:rPr>
          <w:rStyle w:val="style85"/>
          <w:sz w:val="24"/>
          <w:szCs w:val="24"/>
          <w:lang w:val="en-US"/>
        </w:rPr>
        <w:t>https://www.microsoft.com/en-us/microsoft-365/business-insights-ideas/resources/ai-productivity-tips-business#:~:text=By%20making%20AI%20part%20of,a%20fraction%20of%20the%20time</w:t>
      </w:r>
      <w:r>
        <w:rPr/>
        <w:fldChar w:fldCharType="end"/>
      </w:r>
      <w:r>
        <w:rPr>
          <w:sz w:val="24"/>
          <w:szCs w:val="24"/>
          <w:lang w:val="en-US"/>
        </w:rPr>
        <w:t>. Accessed on 30.04.2026. </w:t>
      </w:r>
    </w:p>
    <w:p>
      <w:pPr>
        <w:pStyle w:val="style0"/>
        <w:spacing w:before="240" w:after="240" w:lineRule="auto" w:line="360"/>
        <w:jc w:val="both"/>
        <w:rPr>
          <w:sz w:val="24"/>
          <w:szCs w:val="24"/>
          <w:lang w:val="en-US"/>
        </w:rPr>
      </w:pPr>
      <w:r>
        <w:rPr>
          <w:sz w:val="24"/>
          <w:szCs w:val="24"/>
          <w:lang w:val="en-US"/>
        </w:rPr>
        <w:t xml:space="preserve">Myllynen, T. and Kamau, E., 2025. The Evolution of Dashboard Design: Best Practices for Data Visualization in Decision Support Systems.  </w:t>
      </w:r>
      <w:r>
        <w:rPr/>
        <w:fldChar w:fldCharType="begin"/>
      </w:r>
      <w:r>
        <w:instrText xml:space="preserve"> HYPERLINK "https://www.computationalengineeringjournal.com/uploads/archives/20251128125427_ECA-2025-1-004.1.pdf" </w:instrText>
      </w:r>
      <w:r>
        <w:rPr/>
        <w:fldChar w:fldCharType="separate"/>
      </w:r>
      <w:r>
        <w:rPr>
          <w:rStyle w:val="style85"/>
          <w:sz w:val="24"/>
          <w:szCs w:val="24"/>
          <w:lang w:val="en-US"/>
        </w:rPr>
        <w:t>https://www.computationalengineeringjournal.com/uploads/archives/20251128125427_ECA-2025-1-004.1.pdf</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Nallamothu, T.K., 2024. Empowering Analysts with AI: Evaluating Nuance DAX Copilot in Business Intelligence Environments. </w:t>
      </w:r>
      <w:r>
        <w:rPr>
          <w:i/>
          <w:iCs/>
          <w:sz w:val="24"/>
          <w:szCs w:val="24"/>
          <w:lang w:val="en-US"/>
        </w:rPr>
        <w:t>International Journal of Advanced Research in Computer Science &amp; Technology (IJARCST)</w:t>
      </w:r>
      <w:r>
        <w:rPr>
          <w:sz w:val="24"/>
          <w:szCs w:val="24"/>
          <w:lang w:val="en-US"/>
        </w:rPr>
        <w:t xml:space="preserve">, </w:t>
      </w:r>
      <w:r>
        <w:rPr>
          <w:i/>
          <w:iCs/>
          <w:sz w:val="24"/>
          <w:szCs w:val="24"/>
          <w:lang w:val="en-US"/>
        </w:rPr>
        <w:t>7</w:t>
      </w:r>
      <w:r>
        <w:rPr>
          <w:sz w:val="24"/>
          <w:szCs w:val="24"/>
          <w:lang w:val="en-US"/>
        </w:rPr>
        <w:t xml:space="preserve">(4), pp.10624-10633.  </w:t>
      </w:r>
      <w:r>
        <w:rPr/>
        <w:fldChar w:fldCharType="begin"/>
      </w:r>
      <w:r>
        <w:instrText xml:space="preserve"> HYPERLINK "https://www.ijarcst.org/index.php/ijarcst/article/download/225/216" </w:instrText>
      </w:r>
      <w:r>
        <w:rPr/>
        <w:fldChar w:fldCharType="separate"/>
      </w:r>
      <w:r>
        <w:rPr>
          <w:rStyle w:val="style85"/>
          <w:sz w:val="24"/>
          <w:szCs w:val="24"/>
          <w:lang w:val="en-US"/>
        </w:rPr>
        <w:t>https://www.ijarcst.org/index.php/ijarcst/article/download/225/216</w:t>
      </w:r>
      <w:r>
        <w:rPr/>
        <w:fldChar w:fldCharType="end"/>
      </w:r>
      <w:r>
        <w:rPr>
          <w:sz w:val="24"/>
          <w:szCs w:val="24"/>
          <w:lang w:val="en-US"/>
        </w:rPr>
        <w:t> </w:t>
      </w:r>
    </w:p>
    <w:p>
      <w:pPr>
        <w:pStyle w:val="style0"/>
        <w:spacing w:before="240" w:after="240" w:lineRule="auto" w:line="360"/>
        <w:jc w:val="both"/>
        <w:rPr>
          <w:sz w:val="24"/>
          <w:szCs w:val="24"/>
        </w:rPr>
      </w:pPr>
      <w:r>
        <w:rPr>
          <w:color w:val="222222"/>
          <w:sz w:val="24"/>
          <w:szCs w:val="24"/>
          <w:shd w:val="clear" w:color="auto" w:fill="ffffff"/>
        </w:rPr>
        <w:t xml:space="preserve">Narayan, D., 2023. Monopolization and competition under platform capitalism: Analyzing transformations in the computing industry. </w:t>
      </w:r>
      <w:r>
        <w:rPr>
          <w:i/>
          <w:iCs/>
          <w:color w:val="222222"/>
          <w:sz w:val="24"/>
          <w:szCs w:val="24"/>
          <w:shd w:val="clear" w:color="auto" w:fill="ffffff"/>
        </w:rPr>
        <w:t>New Media &amp; Society</w:t>
      </w:r>
      <w:r>
        <w:rPr>
          <w:color w:val="222222"/>
          <w:sz w:val="24"/>
          <w:szCs w:val="24"/>
          <w:shd w:val="clear" w:color="auto" w:fill="ffffff"/>
        </w:rPr>
        <w:t xml:space="preserve">, </w:t>
      </w:r>
      <w:r>
        <w:rPr>
          <w:i/>
          <w:iCs/>
          <w:color w:val="222222"/>
          <w:sz w:val="24"/>
          <w:szCs w:val="24"/>
          <w:shd w:val="clear" w:color="auto" w:fill="ffffff"/>
        </w:rPr>
        <w:t>25</w:t>
      </w:r>
      <w:r>
        <w:rPr>
          <w:color w:val="222222"/>
          <w:sz w:val="24"/>
          <w:szCs w:val="24"/>
          <w:shd w:val="clear" w:color="auto" w:fill="ffffff"/>
        </w:rPr>
        <w:t>(2), pp.287-306.</w:t>
      </w:r>
      <w:r>
        <w:rPr>
          <w:color w:val="000000"/>
          <w:sz w:val="24"/>
          <w:szCs w:val="24"/>
        </w:rPr>
        <w:t xml:space="preserve">  </w:t>
      </w:r>
      <w:r>
        <w:rPr/>
        <w:fldChar w:fldCharType="begin"/>
      </w:r>
      <w:r>
        <w:instrText xml:space="preserve"> HYPERLINK "https://www.researchgate.net/profile/Devika-Narayan/publication/369062978_Monopolization_and_competition_under_platform_capitalism_Analyzing_transformations_in_the_computing_industry/links/671103d624a01038d0f0fdd5/Monopolization-and-competition-under-platform-capitalism-Analyzing-transformations-in-the-computing-industry.pdf" </w:instrText>
      </w:r>
      <w:r>
        <w:rPr/>
        <w:fldChar w:fldCharType="separate"/>
      </w:r>
      <w:r>
        <w:rPr>
          <w:rStyle w:val="style85"/>
          <w:color w:val="1155cc"/>
          <w:sz w:val="24"/>
          <w:szCs w:val="24"/>
        </w:rPr>
        <w:t>https://www.researchgate.net/profile/Devika-Narayan/publication/369062978_Monopolization_and_competition_under_platform_capitalism_Analyzing_transformations_in_the_computing_industry/links/671103d624a01038d0f0fdd5/Monopolization-and-competition-under-platform-capitalism-Analyzing-transformations-in-the-computing-industry.pdf</w:t>
      </w:r>
      <w:r>
        <w:rPr/>
        <w:fldChar w:fldCharType="end"/>
      </w:r>
      <w:r>
        <w:rPr>
          <w:color w:val="000000"/>
          <w:sz w:val="24"/>
          <w:szCs w:val="24"/>
        </w:rPr>
        <w:t> </w:t>
      </w:r>
    </w:p>
    <w:p>
      <w:pPr>
        <w:pStyle w:val="style0"/>
        <w:spacing w:before="240" w:after="240" w:lineRule="auto" w:line="360"/>
        <w:jc w:val="both"/>
        <w:rPr>
          <w:sz w:val="24"/>
          <w:szCs w:val="24"/>
          <w:lang w:val="en-US"/>
        </w:rPr>
      </w:pPr>
      <w:r>
        <w:rPr>
          <w:sz w:val="24"/>
          <w:szCs w:val="24"/>
          <w:lang w:val="en-US"/>
        </w:rPr>
        <w:t xml:space="preserve">Oklander, M., Karandin, O., Ptashchenko, O. and Dybach, I., 2025. LinkedIn as a key tool for targeted advertising in industrial B2B marketing.  </w:t>
      </w:r>
      <w:r>
        <w:rPr/>
        <w:fldChar w:fldCharType="begin"/>
      </w:r>
      <w:r>
        <w:instrText xml:space="preserve"> HYPERLINK "https://repository.hneu.edu.ua/bitstream/123456789/37113/1/%D0%BE%D0%BA%D0%BB%D0%B0%D0%BD%D0%B4%D0%B5%D1%80.pdf" </w:instrText>
      </w:r>
      <w:r>
        <w:rPr/>
        <w:fldChar w:fldCharType="separate"/>
      </w:r>
      <w:r>
        <w:rPr>
          <w:rStyle w:val="style85"/>
          <w:sz w:val="24"/>
          <w:szCs w:val="24"/>
          <w:lang w:val="en-US"/>
        </w:rPr>
        <w:t>https://repository.hneu.edu.ua/bitstream/123456789/37113/1/%D0%BE%D0%BA%D0%BB%D0%B0%D0%BD%D0%B4%D0%B5%D1%80.pdf</w:t>
      </w:r>
      <w:r>
        <w:rPr/>
        <w:fldChar w:fldCharType="end"/>
      </w:r>
      <w:r>
        <w:rPr>
          <w:sz w:val="24"/>
          <w:szCs w:val="24"/>
          <w:lang w:val="en-US"/>
        </w:rPr>
        <w:t>  </w:t>
      </w:r>
    </w:p>
    <w:p>
      <w:pPr>
        <w:pStyle w:val="style0"/>
        <w:spacing w:before="240" w:after="240" w:lineRule="auto" w:line="360"/>
        <w:jc w:val="both"/>
        <w:rPr>
          <w:sz w:val="24"/>
          <w:szCs w:val="24"/>
        </w:rPr>
      </w:pPr>
      <w:r>
        <w:rPr>
          <w:color w:val="222222"/>
          <w:sz w:val="24"/>
          <w:szCs w:val="24"/>
          <w:shd w:val="clear" w:color="auto" w:fill="ffffff"/>
        </w:rPr>
        <w:t xml:space="preserve">Ooi, L.Y., Ting, C.Y., Zakariah, H. and Chandar, E., 2024. Behavioural user segmentation of app users based on functionality interaction patterns. </w:t>
      </w:r>
      <w:r>
        <w:rPr>
          <w:i/>
          <w:iCs/>
          <w:color w:val="222222"/>
          <w:sz w:val="24"/>
          <w:szCs w:val="24"/>
          <w:shd w:val="clear" w:color="auto" w:fill="ffffff"/>
        </w:rPr>
        <w:t>Cogent Engineering</w:t>
      </w:r>
      <w:r>
        <w:rPr>
          <w:color w:val="222222"/>
          <w:sz w:val="24"/>
          <w:szCs w:val="24"/>
          <w:shd w:val="clear" w:color="auto" w:fill="ffffff"/>
        </w:rPr>
        <w:t xml:space="preserve">, </w:t>
      </w:r>
      <w:r>
        <w:rPr>
          <w:i/>
          <w:iCs/>
          <w:color w:val="222222"/>
          <w:sz w:val="24"/>
          <w:szCs w:val="24"/>
          <w:shd w:val="clear" w:color="auto" w:fill="ffffff"/>
        </w:rPr>
        <w:t>11</w:t>
      </w:r>
      <w:r>
        <w:rPr>
          <w:color w:val="222222"/>
          <w:sz w:val="24"/>
          <w:szCs w:val="24"/>
          <w:shd w:val="clear" w:color="auto" w:fill="ffffff"/>
        </w:rPr>
        <w:t xml:space="preserve">(1), </w:t>
      </w:r>
      <w:r>
        <w:rPr>
          <w:color w:val="222222"/>
          <w:sz w:val="24"/>
          <w:szCs w:val="24"/>
          <w:shd w:val="clear" w:color="auto" w:fill="ffffff"/>
        </w:rPr>
        <w:t>p.2430430.</w:t>
      </w:r>
      <w:r>
        <w:rPr>
          <w:color w:val="000000"/>
          <w:sz w:val="24"/>
          <w:szCs w:val="24"/>
        </w:rPr>
        <w:t xml:space="preserve">  </w:t>
      </w:r>
      <w:r>
        <w:rPr/>
        <w:fldChar w:fldCharType="begin"/>
      </w:r>
      <w:r>
        <w:instrText xml:space="preserve"> HYPERLINK "https://www.tandfonline.com/doi/pdf/10.1080/23311916.2024.2430430%4010.1080/tfocoll.2025.0.issue-MECON-2024" </w:instrText>
      </w:r>
      <w:r>
        <w:rPr/>
        <w:fldChar w:fldCharType="separate"/>
      </w:r>
      <w:r>
        <w:rPr>
          <w:rStyle w:val="style85"/>
          <w:color w:val="1155cc"/>
          <w:sz w:val="24"/>
          <w:szCs w:val="24"/>
        </w:rPr>
        <w:t>https://www.tandfonline.com/doi/pdf/10.1080/23311916.2024.2430430%4010.1080/tfocoll.2025.0.issue-MECON-2024</w:t>
      </w:r>
      <w:r>
        <w:rPr/>
        <w:fldChar w:fldCharType="end"/>
      </w:r>
      <w:r>
        <w:rPr>
          <w:color w:val="000000"/>
          <w:sz w:val="24"/>
          <w:szCs w:val="24"/>
        </w:rPr>
        <w:t> </w:t>
      </w:r>
    </w:p>
    <w:p>
      <w:pPr>
        <w:pStyle w:val="style0"/>
        <w:spacing w:before="240" w:after="240" w:lineRule="auto" w:line="360"/>
        <w:jc w:val="both"/>
        <w:rPr>
          <w:sz w:val="24"/>
          <w:szCs w:val="24"/>
          <w:lang w:val="en-US"/>
        </w:rPr>
      </w:pPr>
      <w:r>
        <w:rPr>
          <w:sz w:val="24"/>
          <w:szCs w:val="24"/>
          <w:lang w:val="en-US"/>
        </w:rPr>
        <w:t xml:space="preserve">Pardede, A.J., Herlambang, T. and Santoso, B., 2024. The Impact of Market Segmentation, Targeting, and Positioning on Sales Volume Growth with Purchase Decision as a Mediating Variable at PT. Suud Group 88, Bondowoso Regency, Indonesia. </w:t>
      </w:r>
      <w:r>
        <w:rPr>
          <w:i/>
          <w:iCs/>
          <w:sz w:val="24"/>
          <w:szCs w:val="24"/>
          <w:lang w:val="en-US"/>
        </w:rPr>
        <w:t>International Social Sciences and Humanities</w:t>
      </w:r>
      <w:r>
        <w:rPr>
          <w:sz w:val="24"/>
          <w:szCs w:val="24"/>
          <w:lang w:val="en-US"/>
        </w:rPr>
        <w:t xml:space="preserve">, </w:t>
      </w:r>
      <w:r>
        <w:rPr>
          <w:i/>
          <w:iCs/>
          <w:sz w:val="24"/>
          <w:szCs w:val="24"/>
          <w:lang w:val="en-US"/>
        </w:rPr>
        <w:t>3</w:t>
      </w:r>
      <w:r>
        <w:rPr>
          <w:sz w:val="24"/>
          <w:szCs w:val="24"/>
          <w:lang w:val="en-US"/>
        </w:rPr>
        <w:t xml:space="preserve">(3), pp.792-801.  </w:t>
      </w:r>
      <w:r>
        <w:rPr/>
        <w:fldChar w:fldCharType="begin"/>
      </w:r>
      <w:r>
        <w:instrText xml:space="preserve"> HYPERLINK "http://proceeding.unmuhjember.ac.id/index.php/issh/article/download/699/667" </w:instrText>
      </w:r>
      <w:r>
        <w:rPr/>
        <w:fldChar w:fldCharType="separate"/>
      </w:r>
      <w:r>
        <w:rPr>
          <w:rStyle w:val="style85"/>
          <w:sz w:val="24"/>
          <w:szCs w:val="24"/>
          <w:lang w:val="en-US"/>
        </w:rPr>
        <w:t>http://proceeding.unmuhjember.ac.id/index.php/issh/article/download/699/667</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Parkin, S., Kuhn, K. and Shaikh, S.A., 2023. Executive decision-makers: a scenario-based approach to assessing organizational cyber-risk perception. </w:t>
      </w:r>
      <w:r>
        <w:rPr>
          <w:i/>
          <w:iCs/>
          <w:sz w:val="24"/>
          <w:szCs w:val="24"/>
          <w:lang w:val="en-US"/>
        </w:rPr>
        <w:t>Journal of Cybersecurity</w:t>
      </w:r>
      <w:r>
        <w:rPr>
          <w:sz w:val="24"/>
          <w:szCs w:val="24"/>
          <w:lang w:val="en-US"/>
        </w:rPr>
        <w:t xml:space="preserve">, </w:t>
      </w:r>
      <w:r>
        <w:rPr>
          <w:i/>
          <w:iCs/>
          <w:sz w:val="24"/>
          <w:szCs w:val="24"/>
          <w:lang w:val="en-US"/>
        </w:rPr>
        <w:t>9</w:t>
      </w:r>
      <w:r>
        <w:rPr>
          <w:sz w:val="24"/>
          <w:szCs w:val="24"/>
          <w:lang w:val="en-US"/>
        </w:rPr>
        <w:t xml:space="preserve">(1), p.tyad018.  </w:t>
      </w:r>
      <w:r>
        <w:rPr/>
        <w:fldChar w:fldCharType="begin"/>
      </w:r>
      <w:r>
        <w:instrText xml:space="preserve"> HYPERLINK "https://academic.oup.com/cybersecurity/article-pdf/9/1/tyad018/51177064/tyad018.pdf" </w:instrText>
      </w:r>
      <w:r>
        <w:rPr/>
        <w:fldChar w:fldCharType="separate"/>
      </w:r>
      <w:r>
        <w:rPr>
          <w:rStyle w:val="style85"/>
          <w:sz w:val="24"/>
          <w:szCs w:val="24"/>
          <w:lang w:val="en-US"/>
        </w:rPr>
        <w:t>https://academic.oup.com/cybersecurity/article-pdf/9/1/tyad018/51177064/tyad018.pdf</w:t>
      </w:r>
      <w:r>
        <w:rPr/>
        <w:fldChar w:fldCharType="end"/>
      </w:r>
      <w:r>
        <w:rPr>
          <w:sz w:val="24"/>
          <w:szCs w:val="24"/>
          <w:lang w:val="en-US"/>
        </w:rPr>
        <w:t> </w:t>
      </w:r>
    </w:p>
    <w:p>
      <w:pPr>
        <w:pStyle w:val="style0"/>
        <w:spacing w:before="240" w:after="240" w:lineRule="auto" w:line="360"/>
        <w:jc w:val="both"/>
        <w:rPr>
          <w:sz w:val="24"/>
          <w:szCs w:val="24"/>
        </w:rPr>
      </w:pPr>
      <w:r>
        <w:rPr>
          <w:color w:val="222222"/>
          <w:sz w:val="24"/>
          <w:szCs w:val="24"/>
          <w:shd w:val="clear" w:color="auto" w:fill="ffffff"/>
        </w:rPr>
        <w:t xml:space="preserve">Perumal, R.A., 2025. The role of AI tools like ChatGPT and Copilot in revolutionizing software development and user experiences. </w:t>
      </w:r>
      <w:r>
        <w:rPr>
          <w:i/>
          <w:iCs/>
          <w:color w:val="222222"/>
          <w:sz w:val="24"/>
          <w:szCs w:val="24"/>
          <w:shd w:val="clear" w:color="auto" w:fill="ffffff"/>
        </w:rPr>
        <w:t>International Journal of Advance Research, Ideas and Innovations in Technology</w:t>
      </w:r>
      <w:r>
        <w:rPr>
          <w:color w:val="222222"/>
          <w:sz w:val="24"/>
          <w:szCs w:val="24"/>
          <w:shd w:val="clear" w:color="auto" w:fill="ffffff"/>
        </w:rPr>
        <w:t xml:space="preserve">, </w:t>
      </w:r>
      <w:r>
        <w:rPr>
          <w:i/>
          <w:iCs/>
          <w:color w:val="222222"/>
          <w:sz w:val="24"/>
          <w:szCs w:val="24"/>
          <w:shd w:val="clear" w:color="auto" w:fill="ffffff"/>
        </w:rPr>
        <w:t>11</w:t>
      </w:r>
      <w:r>
        <w:rPr>
          <w:color w:val="222222"/>
          <w:sz w:val="24"/>
          <w:szCs w:val="24"/>
          <w:shd w:val="clear" w:color="auto" w:fill="ffffff"/>
        </w:rPr>
        <w:t>(1), pp.125-131.</w:t>
      </w:r>
      <w:r>
        <w:rPr>
          <w:color w:val="000000"/>
          <w:sz w:val="24"/>
          <w:szCs w:val="24"/>
        </w:rPr>
        <w:t xml:space="preserve">  </w:t>
      </w:r>
      <w:r>
        <w:rPr/>
        <w:fldChar w:fldCharType="begin"/>
      </w:r>
      <w:r>
        <w:instrText xml:space="preserve"> HYPERLINK "https://www.researchgate.net/profile/Radhakrishnan-Arikrishna-Perumal/publication/393978216_The_Role_of_AI_Tools_like_Chatgpt_and_Copilot_in_Revolutionizing_Software_Development_and_User_Experiences/links/6882600a0786937984544678/The-Role-of-AI-Tools-like-Chatgpt-and-Copilot-in-Revolutionizing-Software-Development-and-User-Experiences.pdf" </w:instrText>
      </w:r>
      <w:r>
        <w:rPr/>
        <w:fldChar w:fldCharType="separate"/>
      </w:r>
      <w:r>
        <w:rPr>
          <w:rStyle w:val="style85"/>
          <w:color w:val="1155cc"/>
          <w:sz w:val="24"/>
          <w:szCs w:val="24"/>
        </w:rPr>
        <w:t>https://www.researchgate.net/profile/Radhakrishnan-Arikrishna-Perumal/publication/393978216_The_Role_of_AI_Tools_like_Chatgpt_and_Copilot_in_Revolutionizing_Software_Development_and_User_Experiences/links/6882600a0786937984544678/The-Role-of-AI-Tools-like-Chatgpt-and-Copilot-in-Revolutionizing-Software-Development-and-User-Experiences.pdf</w:t>
      </w:r>
      <w:r>
        <w:rPr/>
        <w:fldChar w:fldCharType="end"/>
      </w:r>
      <w:r>
        <w:rPr>
          <w:color w:val="000000"/>
          <w:sz w:val="24"/>
          <w:szCs w:val="24"/>
        </w:rPr>
        <w:t> </w:t>
      </w:r>
    </w:p>
    <w:p>
      <w:pPr>
        <w:pStyle w:val="style0"/>
        <w:spacing w:before="240" w:after="240" w:lineRule="auto" w:line="360"/>
        <w:jc w:val="both"/>
        <w:rPr>
          <w:sz w:val="24"/>
          <w:szCs w:val="24"/>
          <w:lang w:val="en-US"/>
        </w:rPr>
      </w:pPr>
      <w:r>
        <w:rPr>
          <w:sz w:val="24"/>
          <w:szCs w:val="24"/>
          <w:lang w:val="en-US"/>
        </w:rPr>
        <w:t xml:space="preserve">Qiang, Q., 2025. </w:t>
      </w:r>
      <w:r>
        <w:rPr>
          <w:i/>
          <w:iCs/>
          <w:sz w:val="24"/>
          <w:szCs w:val="24"/>
          <w:lang w:val="en-US"/>
        </w:rPr>
        <w:t>Corporate soft power strategy in shaping global influence: a case study of Microsoft</w:t>
      </w:r>
      <w:r>
        <w:rPr>
          <w:sz w:val="24"/>
          <w:szCs w:val="24"/>
          <w:lang w:val="en-US"/>
        </w:rPr>
        <w:t xml:space="preserve">. Pepperdine University. </w:t>
      </w:r>
      <w:r>
        <w:rPr/>
        <w:fldChar w:fldCharType="begin"/>
      </w:r>
      <w:r>
        <w:instrText xml:space="preserve"> HYPERLINK "https://search.proquest.com/openview/ef33d739ac7138b5e1118439e34aebfc/1.pdf?pq-origsite=gscholar&amp;cbl=18750&amp;diss=y" </w:instrText>
      </w:r>
      <w:r>
        <w:rPr/>
        <w:fldChar w:fldCharType="separate"/>
      </w:r>
      <w:r>
        <w:rPr>
          <w:rStyle w:val="style85"/>
          <w:sz w:val="24"/>
          <w:szCs w:val="24"/>
          <w:lang w:val="en-US"/>
        </w:rPr>
        <w:t>https://search.proquest.com/openview/ef33d739ac7138b5e1118439e34aebfc/1.pdf?pq-origsite=gscholar&amp;cbl=18750&amp;diss=y</w:t>
      </w:r>
      <w:r>
        <w:rPr/>
        <w:fldChar w:fldCharType="end"/>
      </w:r>
      <w:r>
        <w:rPr>
          <w:sz w:val="24"/>
          <w:szCs w:val="24"/>
          <w:lang w:val="en-US"/>
        </w:rPr>
        <w:t xml:space="preserve">   </w:t>
      </w:r>
    </w:p>
    <w:p>
      <w:pPr>
        <w:pStyle w:val="style0"/>
        <w:spacing w:before="240" w:after="240" w:lineRule="auto" w:line="360"/>
        <w:jc w:val="both"/>
        <w:rPr>
          <w:sz w:val="24"/>
          <w:szCs w:val="24"/>
          <w:lang w:val="en-US"/>
        </w:rPr>
      </w:pPr>
      <w:r>
        <w:rPr>
          <w:sz w:val="24"/>
          <w:szCs w:val="24"/>
          <w:lang w:val="en-US"/>
        </w:rPr>
        <w:t xml:space="preserve">Rogge, N.D., Lamovšek, A. and Batistič, S., 2025. AI meets IA: A typology of generative-AI-supported work through individual ambidexterity. </w:t>
      </w:r>
      <w:r>
        <w:rPr>
          <w:i/>
          <w:iCs/>
          <w:sz w:val="24"/>
          <w:szCs w:val="24"/>
          <w:lang w:val="en-US"/>
        </w:rPr>
        <w:t>Business horizons</w:t>
      </w:r>
      <w:r>
        <w:rPr>
          <w:sz w:val="24"/>
          <w:szCs w:val="24"/>
          <w:lang w:val="en-US"/>
        </w:rPr>
        <w:t xml:space="preserve">. </w:t>
      </w:r>
      <w:r>
        <w:rPr/>
        <w:fldChar w:fldCharType="begin"/>
      </w:r>
      <w:r>
        <w:instrText xml:space="preserve"> HYPERLINK "https://www.sciencedirect.com/science/article/pii/S0007681325001090" </w:instrText>
      </w:r>
      <w:r>
        <w:rPr/>
        <w:fldChar w:fldCharType="separate"/>
      </w:r>
      <w:r>
        <w:rPr>
          <w:rStyle w:val="style85"/>
          <w:sz w:val="24"/>
          <w:szCs w:val="24"/>
          <w:lang w:val="en-US"/>
        </w:rPr>
        <w:t>https://www.sciencedirect.com/science/article/pii/S0007681325001090</w:t>
      </w:r>
      <w:r>
        <w:rPr/>
        <w:fldChar w:fldCharType="end"/>
      </w:r>
      <w:r>
        <w:rPr>
          <w:sz w:val="24"/>
          <w:szCs w:val="24"/>
          <w:lang w:val="en-US"/>
        </w:rPr>
        <w:t xml:space="preserve">  </w:t>
      </w:r>
    </w:p>
    <w:p>
      <w:pPr>
        <w:pStyle w:val="style0"/>
        <w:spacing w:before="240" w:after="240" w:lineRule="auto" w:line="360"/>
        <w:jc w:val="both"/>
        <w:rPr>
          <w:sz w:val="24"/>
          <w:szCs w:val="24"/>
        </w:rPr>
      </w:pPr>
      <w:r>
        <w:rPr>
          <w:color w:val="222222"/>
          <w:sz w:val="24"/>
          <w:szCs w:val="24"/>
          <w:shd w:val="clear" w:color="auto" w:fill="ffffff"/>
        </w:rPr>
        <w:t xml:space="preserve">Rosener, W.J., 2024. Comparative Analysis of Google Sheets and Microsoft Excel: A Discussion Case in Spreadsheet Software. </w:t>
      </w:r>
      <w:r>
        <w:rPr>
          <w:i/>
          <w:iCs/>
          <w:color w:val="222222"/>
          <w:sz w:val="24"/>
          <w:szCs w:val="24"/>
          <w:shd w:val="clear" w:color="auto" w:fill="ffffff"/>
        </w:rPr>
        <w:t>Journal of Cases on Information Technology (JCIT)</w:t>
      </w:r>
      <w:r>
        <w:rPr>
          <w:color w:val="222222"/>
          <w:sz w:val="24"/>
          <w:szCs w:val="24"/>
          <w:shd w:val="clear" w:color="auto" w:fill="ffffff"/>
        </w:rPr>
        <w:t xml:space="preserve">, </w:t>
      </w:r>
      <w:r>
        <w:rPr>
          <w:i/>
          <w:iCs/>
          <w:color w:val="222222"/>
          <w:sz w:val="24"/>
          <w:szCs w:val="24"/>
          <w:shd w:val="clear" w:color="auto" w:fill="ffffff"/>
        </w:rPr>
        <w:t>26</w:t>
      </w:r>
      <w:r>
        <w:rPr>
          <w:color w:val="222222"/>
          <w:sz w:val="24"/>
          <w:szCs w:val="24"/>
          <w:shd w:val="clear" w:color="auto" w:fill="ffffff"/>
        </w:rPr>
        <w:t>(1), pp.1-21.</w:t>
      </w:r>
      <w:r>
        <w:rPr>
          <w:color w:val="000000"/>
          <w:sz w:val="24"/>
          <w:szCs w:val="24"/>
        </w:rPr>
        <w:t xml:space="preserve">  </w:t>
      </w:r>
      <w:r>
        <w:rPr/>
        <w:fldChar w:fldCharType="begin"/>
      </w:r>
      <w:r>
        <w:instrText xml:space="preserve"> HYPERLINK "https://www.igi-global.com/viewtitle.aspx?titleid=351672" </w:instrText>
      </w:r>
      <w:r>
        <w:rPr/>
        <w:fldChar w:fldCharType="separate"/>
      </w:r>
      <w:r>
        <w:rPr>
          <w:rStyle w:val="style85"/>
          <w:color w:val="1155cc"/>
          <w:sz w:val="24"/>
          <w:szCs w:val="24"/>
        </w:rPr>
        <w:t>https://www.igi-global.com/viewtitle.aspx?titleid=351672</w:t>
      </w:r>
      <w:r>
        <w:rPr/>
        <w:fldChar w:fldCharType="end"/>
      </w:r>
      <w:r>
        <w:rPr>
          <w:color w:val="000000"/>
          <w:sz w:val="24"/>
          <w:szCs w:val="24"/>
        </w:rPr>
        <w:t xml:space="preserve"> </w:t>
      </w:r>
      <w:r>
        <w:rPr>
          <w:sz w:val="24"/>
          <w:szCs w:val="24"/>
        </w:rPr>
        <w:br w:type="page"/>
      </w:r>
    </w:p>
    <w:p>
      <w:pPr>
        <w:pStyle w:val="style0"/>
        <w:spacing w:before="240" w:after="240" w:lineRule="auto" w:line="360"/>
        <w:jc w:val="both"/>
        <w:rPr>
          <w:sz w:val="24"/>
          <w:szCs w:val="24"/>
          <w:lang w:val="en-US"/>
        </w:rPr>
      </w:pPr>
      <w:r>
        <w:rPr>
          <w:sz w:val="24"/>
          <w:szCs w:val="24"/>
          <w:lang w:val="en-US"/>
        </w:rPr>
        <w:t xml:space="preserve">Shukla, S., Kumari, R. and Thakur, D.S., 2025. Effectiveness of subscription model in modern marketing. </w:t>
      </w:r>
      <w:r>
        <w:rPr>
          <w:i/>
          <w:iCs/>
          <w:sz w:val="24"/>
          <w:szCs w:val="24"/>
          <w:lang w:val="en-US"/>
        </w:rPr>
        <w:t>International journal for novel research in economics, finance and management</w:t>
      </w:r>
      <w:r>
        <w:rPr>
          <w:sz w:val="24"/>
          <w:szCs w:val="24"/>
          <w:lang w:val="en-US"/>
        </w:rPr>
        <w:t xml:space="preserve">, </w:t>
      </w:r>
      <w:r>
        <w:rPr>
          <w:i/>
          <w:iCs/>
          <w:sz w:val="24"/>
          <w:szCs w:val="24"/>
          <w:lang w:val="en-US"/>
        </w:rPr>
        <w:t>3</w:t>
      </w:r>
      <w:r>
        <w:rPr>
          <w:sz w:val="24"/>
          <w:szCs w:val="24"/>
          <w:lang w:val="en-US"/>
        </w:rPr>
        <w:t xml:space="preserve">, pp.269-281. </w:t>
      </w:r>
      <w:r>
        <w:rPr/>
        <w:fldChar w:fldCharType="begin"/>
      </w:r>
      <w:r>
        <w:instrText xml:space="preserve"> HYPERLINK "https://ijnrefm.com/wp-content/uploads/2025/04/ijnrefm-vol-3-issue2-138.pdf" </w:instrText>
      </w:r>
      <w:r>
        <w:rPr/>
        <w:fldChar w:fldCharType="separate"/>
      </w:r>
      <w:r>
        <w:rPr>
          <w:rStyle w:val="style85"/>
          <w:sz w:val="24"/>
          <w:szCs w:val="24"/>
          <w:lang w:val="en-US"/>
        </w:rPr>
        <w:t>https://ijnrefm.com/wp-content/uploads/2025/04/ijnrefm-vol-3-issue2-138.pdf</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Sirangi, V.A., 2026. Transforming Global HR and Payroll through Real-Time Analytics, AI Automation and Seamless Cloud Integration for Future Workforce Success. </w:t>
      </w:r>
      <w:r>
        <w:rPr>
          <w:i/>
          <w:iCs/>
          <w:sz w:val="24"/>
          <w:szCs w:val="24"/>
          <w:lang w:val="en-US"/>
        </w:rPr>
        <w:t>AI Automation and Seamless Cloud Integration for Future Workforce Success (March 30, 2026)</w:t>
      </w:r>
      <w:r>
        <w:rPr>
          <w:sz w:val="24"/>
          <w:szCs w:val="24"/>
          <w:lang w:val="en-US"/>
        </w:rPr>
        <w:t xml:space="preserve">.  </w:t>
      </w:r>
      <w:r>
        <w:rPr/>
        <w:fldChar w:fldCharType="begin"/>
      </w:r>
      <w:r>
        <w:instrText xml:space="preserve"> HYPERLINK "https://papers.ssrn.com/sol3/Delivery.cfm?abstractid=6559780" </w:instrText>
      </w:r>
      <w:r>
        <w:rPr/>
        <w:fldChar w:fldCharType="separate"/>
      </w:r>
      <w:r>
        <w:rPr>
          <w:rStyle w:val="style85"/>
          <w:sz w:val="24"/>
          <w:szCs w:val="24"/>
          <w:lang w:val="en-US"/>
        </w:rPr>
        <w:t>https://papers.ssrn.com/sol3/Delivery.cfm?abstractid=6559780</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Tang, J. and Yang, F., 2025. Value-in-use and sustaining use intention on e-commerce platforms: the service-dominant logic perspective. </w:t>
      </w:r>
      <w:r>
        <w:rPr>
          <w:i/>
          <w:iCs/>
          <w:sz w:val="24"/>
          <w:szCs w:val="24"/>
          <w:lang w:val="en-US"/>
        </w:rPr>
        <w:t>Sustainability</w:t>
      </w:r>
      <w:r>
        <w:rPr>
          <w:sz w:val="24"/>
          <w:szCs w:val="24"/>
          <w:lang w:val="en-US"/>
        </w:rPr>
        <w:t xml:space="preserve">, </w:t>
      </w:r>
      <w:r>
        <w:rPr>
          <w:i/>
          <w:iCs/>
          <w:sz w:val="24"/>
          <w:szCs w:val="24"/>
          <w:lang w:val="en-US"/>
        </w:rPr>
        <w:t>17</w:t>
      </w:r>
      <w:r>
        <w:rPr>
          <w:sz w:val="24"/>
          <w:szCs w:val="24"/>
          <w:lang w:val="en-US"/>
        </w:rPr>
        <w:t xml:space="preserve">(3), p.1335.  </w:t>
      </w:r>
      <w:r>
        <w:rPr/>
        <w:fldChar w:fldCharType="begin"/>
      </w:r>
      <w:r>
        <w:instrText xml:space="preserve"> HYPERLINK "https://www.mdpi.com/2071-1050/17/3/1335" </w:instrText>
      </w:r>
      <w:r>
        <w:rPr/>
        <w:fldChar w:fldCharType="separate"/>
      </w:r>
      <w:r>
        <w:rPr>
          <w:rStyle w:val="style85"/>
          <w:sz w:val="24"/>
          <w:szCs w:val="24"/>
          <w:lang w:val="en-US"/>
        </w:rPr>
        <w:t>https://www.mdpi.com/2071-1050/17/3/1335</w:t>
      </w:r>
      <w:r>
        <w:rPr/>
        <w:fldChar w:fldCharType="end"/>
      </w:r>
      <w:r>
        <w:rPr>
          <w:sz w:val="24"/>
          <w:szCs w:val="24"/>
          <w:lang w:val="en-US"/>
        </w:rPr>
        <w:t> </w:t>
      </w:r>
    </w:p>
    <w:p>
      <w:pPr>
        <w:pStyle w:val="style0"/>
        <w:spacing w:before="240" w:after="240" w:lineRule="auto" w:line="360"/>
        <w:jc w:val="both"/>
        <w:rPr>
          <w:sz w:val="24"/>
          <w:szCs w:val="24"/>
          <w:lang w:val="en-US"/>
        </w:rPr>
      </w:pPr>
      <w:r>
        <w:rPr>
          <w:sz w:val="24"/>
          <w:szCs w:val="24"/>
          <w:lang w:val="en-US"/>
        </w:rPr>
        <w:t xml:space="preserve">Uwah, V.A., 2023. Impact of Subscription Revenue Model on 21st Century Businesses. </w:t>
      </w:r>
      <w:r>
        <w:rPr>
          <w:i/>
          <w:iCs/>
          <w:sz w:val="24"/>
          <w:szCs w:val="24"/>
          <w:lang w:val="en-US"/>
        </w:rPr>
        <w:t>Journal of Science Education and Humanities</w:t>
      </w:r>
      <w:r>
        <w:rPr>
          <w:sz w:val="24"/>
          <w:szCs w:val="24"/>
          <w:lang w:val="en-US"/>
        </w:rPr>
        <w:t xml:space="preserve">, </w:t>
      </w:r>
      <w:r>
        <w:rPr>
          <w:i/>
          <w:iCs/>
          <w:sz w:val="24"/>
          <w:szCs w:val="24"/>
          <w:lang w:val="en-US"/>
        </w:rPr>
        <w:t>7</w:t>
      </w:r>
      <w:r>
        <w:rPr>
          <w:sz w:val="24"/>
          <w:szCs w:val="24"/>
          <w:lang w:val="en-US"/>
        </w:rPr>
        <w:t xml:space="preserve">(2).  </w:t>
      </w:r>
      <w:r>
        <w:rPr/>
        <w:fldChar w:fldCharType="begin"/>
      </w:r>
      <w:r>
        <w:instrText xml:space="preserve"> HYPERLINK "https://www.akscoejoseh.org.ng/index.php/joseh/article/download/33/35" </w:instrText>
      </w:r>
      <w:r>
        <w:rPr/>
        <w:fldChar w:fldCharType="separate"/>
      </w:r>
      <w:r>
        <w:rPr>
          <w:rStyle w:val="style85"/>
          <w:sz w:val="24"/>
          <w:szCs w:val="24"/>
          <w:lang w:val="en-US"/>
        </w:rPr>
        <w:t>https://www.akscoejoseh.org.ng/index.php/joseh/article/download/33/35</w:t>
      </w:r>
      <w:r>
        <w:rPr/>
        <w:fldChar w:fldCharType="end"/>
      </w:r>
      <w:r>
        <w:rPr>
          <w:sz w:val="24"/>
          <w:szCs w:val="24"/>
          <w:lang w:val="en-US"/>
        </w:rPr>
        <w:t> </w:t>
      </w:r>
    </w:p>
    <w:p>
      <w:pPr>
        <w:pStyle w:val="style0"/>
        <w:spacing w:before="240" w:after="240" w:lineRule="auto" w:line="360"/>
        <w:jc w:val="both"/>
        <w:rPr>
          <w:color w:val="000000"/>
          <w:sz w:val="24"/>
          <w:szCs w:val="24"/>
        </w:rPr>
      </w:pPr>
      <w:r>
        <w:rPr>
          <w:color w:val="222222"/>
          <w:sz w:val="24"/>
          <w:szCs w:val="24"/>
          <w:shd w:val="clear" w:color="auto" w:fill="ffffff"/>
        </w:rPr>
        <w:t xml:space="preserve">Van Der Vlist, F., Helmond, A. and Ferrari, F., 2024. Big AI: Cloud infrastructure dependence and the industrialisation of artificial intelligence. </w:t>
      </w:r>
      <w:r>
        <w:rPr>
          <w:i/>
          <w:iCs/>
          <w:color w:val="222222"/>
          <w:sz w:val="24"/>
          <w:szCs w:val="24"/>
          <w:shd w:val="clear" w:color="auto" w:fill="ffffff"/>
        </w:rPr>
        <w:t>Big Data &amp; Society</w:t>
      </w:r>
      <w:r>
        <w:rPr>
          <w:color w:val="222222"/>
          <w:sz w:val="24"/>
          <w:szCs w:val="24"/>
          <w:shd w:val="clear" w:color="auto" w:fill="ffffff"/>
        </w:rPr>
        <w:t xml:space="preserve">, </w:t>
      </w:r>
      <w:r>
        <w:rPr>
          <w:i/>
          <w:iCs/>
          <w:color w:val="222222"/>
          <w:sz w:val="24"/>
          <w:szCs w:val="24"/>
          <w:shd w:val="clear" w:color="auto" w:fill="ffffff"/>
        </w:rPr>
        <w:t>11</w:t>
      </w:r>
      <w:r>
        <w:rPr>
          <w:color w:val="222222"/>
          <w:sz w:val="24"/>
          <w:szCs w:val="24"/>
          <w:shd w:val="clear" w:color="auto" w:fill="ffffff"/>
        </w:rPr>
        <w:t>(1), p.20539517241232630.</w:t>
      </w:r>
      <w:r>
        <w:rPr>
          <w:color w:val="000000"/>
          <w:sz w:val="24"/>
          <w:szCs w:val="24"/>
        </w:rPr>
        <w:t xml:space="preserve">  </w:t>
      </w:r>
      <w:r>
        <w:rPr/>
        <w:fldChar w:fldCharType="begin"/>
      </w:r>
      <w:r>
        <w:instrText xml:space="preserve"> HYPERLINK "https://journals.sagepub.com/doi/pdf/10.1177/20539517241232630" </w:instrText>
      </w:r>
      <w:r>
        <w:rPr/>
        <w:fldChar w:fldCharType="separate"/>
      </w:r>
      <w:r>
        <w:rPr>
          <w:rStyle w:val="style85"/>
          <w:color w:val="1155cc"/>
          <w:sz w:val="24"/>
          <w:szCs w:val="24"/>
        </w:rPr>
        <w:t>https://journals.sagepub.com/doi/pdf/10.1177/20539517241232630</w:t>
      </w:r>
      <w:r>
        <w:rPr/>
        <w:fldChar w:fldCharType="end"/>
      </w:r>
      <w:r>
        <w:rPr>
          <w:color w:val="000000"/>
          <w:sz w:val="24"/>
          <w:szCs w:val="24"/>
        </w:rPr>
        <w:t> </w:t>
      </w:r>
    </w:p>
    <w:p>
      <w:pPr>
        <w:pStyle w:val="style0"/>
        <w:spacing w:before="240" w:after="240" w:lineRule="auto" w:line="360"/>
        <w:jc w:val="both"/>
        <w:rPr>
          <w:sz w:val="24"/>
        </w:rPr>
      </w:pPr>
    </w:p>
    <w:p>
      <w:pPr>
        <w:pStyle w:val="style0"/>
        <w:spacing w:before="240" w:after="240" w:lineRule="auto" w:line="360"/>
        <w:jc w:val="both"/>
        <w:rPr>
          <w:sz w:val="24"/>
        </w:rPr>
      </w:pPr>
    </w:p>
    <w:sectPr>
      <w:footerReference w:type="default" r:id="rId10"/>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Helvetica">
    <w:altName w:val="Helvetica"/>
    <w:panose1 w:val="020b06040200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sz w:val="20"/>
      </w:rPr>
    </w:pPr>
    <w:r>
      <w:rPr>
        <w:sz w:val="20"/>
      </w:rPr>
      <w:fldChar w:fldCharType="begin"/>
    </w:r>
    <w:r>
      <w:rPr>
        <w:sz w:val="20"/>
      </w:rPr>
      <w:instrText xml:space="preserve"> PAGE   \* MERGEFORMAT </w:instrText>
    </w:r>
    <w:r>
      <w:rPr>
        <w:sz w:val="20"/>
      </w:rPr>
      <w:fldChar w:fldCharType="separate"/>
    </w:r>
    <w:r>
      <w:rPr>
        <w:noProof/>
        <w:sz w:val="20"/>
      </w:rPr>
      <w:t>14</w:t>
    </w:r>
    <w:r>
      <w:rPr>
        <w:noProof/>
        <w:sz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017681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bidi="ar-SA" w:eastAsia="en-US"/>
      </w:rPr>
    </w:rPrDefault>
    <w:pPrDefault>
      <w:pPr>
        <w:spacing w:lineRule="auto" w:line="276"/>
      </w:pPr>
    </w:pPrDefault>
  </w:docDefaults>
  <w:style w:type="paragraph" w:default="1" w:styleId="style0">
    <w:name w:val="Normal"/>
    <w:next w:val="style0"/>
    <w:pPr/>
    <w:rPr>
      <w:lang w:val="en-GB"/>
    </w:rPr>
  </w:style>
  <w:style w:type="paragraph" w:styleId="style1">
    <w:name w:val="heading 1"/>
    <w:basedOn w:val="style0"/>
    <w:next w:val="style0"/>
    <w:pPr>
      <w:keepNext/>
      <w:keepLines/>
      <w:spacing w:before="120" w:after="120" w:lineRule="auto" w:line="360"/>
      <w:outlineLvl w:val="0"/>
    </w:pPr>
    <w:rPr>
      <w:b/>
      <w:sz w:val="28"/>
      <w:szCs w:val="40"/>
    </w:rPr>
  </w:style>
  <w:style w:type="paragraph" w:styleId="style2">
    <w:name w:val="heading 2"/>
    <w:basedOn w:val="style0"/>
    <w:next w:val="style0"/>
    <w:pPr>
      <w:keepNext/>
      <w:keepLines/>
      <w:spacing w:before="120" w:after="120" w:lineRule="auto" w:line="360"/>
      <w:outlineLvl w:val="1"/>
    </w:pPr>
    <w:rPr>
      <w:b/>
      <w:sz w:val="26"/>
      <w:szCs w:val="32"/>
    </w:rPr>
  </w:style>
  <w:style w:type="paragraph" w:styleId="style3">
    <w:name w:val="heading 3"/>
    <w:basedOn w:val="style0"/>
    <w:next w:val="style0"/>
    <w:pPr>
      <w:keepNext/>
      <w:keepLines/>
      <w:spacing w:before="320" w:after="80"/>
      <w:outlineLvl w:val="2"/>
    </w:pPr>
    <w:rPr>
      <w:color w:val="434343"/>
      <w:sz w:val="28"/>
      <w:szCs w:val="28"/>
    </w:rPr>
  </w:style>
  <w:style w:type="paragraph" w:styleId="style4">
    <w:name w:val="heading 4"/>
    <w:basedOn w:val="style0"/>
    <w:next w:val="style0"/>
    <w:pPr>
      <w:keepNext/>
      <w:keepLines/>
      <w:spacing w:before="280" w:after="80"/>
      <w:outlineLvl w:val="3"/>
    </w:pPr>
    <w:rPr>
      <w:color w:val="666666"/>
      <w:sz w:val="24"/>
      <w:szCs w:val="24"/>
    </w:rPr>
  </w:style>
  <w:style w:type="paragraph" w:styleId="style5">
    <w:name w:val="heading 5"/>
    <w:basedOn w:val="style0"/>
    <w:next w:val="style0"/>
    <w:pPr>
      <w:keepNext/>
      <w:keepLines/>
      <w:spacing w:before="240" w:after="80"/>
      <w:outlineLvl w:val="4"/>
    </w:pPr>
    <w:rPr>
      <w:color w:val="666666"/>
    </w:rPr>
  </w:style>
  <w:style w:type="paragraph" w:styleId="style6">
    <w:name w:val="heading 6"/>
    <w:basedOn w:val="style0"/>
    <w:next w:val="style0"/>
    <w:pPr>
      <w:keepNext/>
      <w:keepLines/>
      <w:spacing w:before="240" w:after="80"/>
      <w:outlineLvl w:val="5"/>
    </w:pPr>
    <w:rPr>
      <w:i/>
      <w:iCs/>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sz w:val="52"/>
      <w:szCs w:val="52"/>
    </w:rPr>
  </w:style>
  <w:style w:type="paragraph" w:styleId="style74">
    <w:name w:val="Subtitle"/>
    <w:basedOn w:val="style0"/>
    <w:next w:val="style0"/>
    <w:pPr>
      <w:keepNext/>
      <w:keepLines/>
      <w:spacing w:after="320"/>
    </w:pPr>
    <w:rPr>
      <w:color w:val="666666"/>
      <w:sz w:val="30"/>
      <w:szCs w:val="30"/>
    </w:rPr>
  </w:style>
  <w:style w:type="paragraph" w:styleId="style31">
    <w:name w:val="header"/>
    <w:basedOn w:val="style0"/>
    <w:next w:val="style31"/>
    <w:link w:val="style4098"/>
    <w:uiPriority w:val="99"/>
    <w:pPr>
      <w:tabs>
        <w:tab w:val="center" w:leader="none" w:pos="4680"/>
        <w:tab w:val="right" w:leader="none" w:pos="9360"/>
      </w:tabs>
      <w:spacing w:lineRule="auto" w:line="240"/>
    </w:pPr>
    <w:rPr/>
  </w:style>
  <w:style w:type="character" w:customStyle="1" w:styleId="style4098">
    <w:name w:val="Header Char_54073b60-71b3-43c2-99a1-fd014ba1bd4a"/>
    <w:basedOn w:val="style65"/>
    <w:next w:val="style4098"/>
    <w:link w:val="style31"/>
    <w:uiPriority w:val="99"/>
  </w:style>
  <w:style w:type="paragraph" w:styleId="style32">
    <w:name w:val="footer"/>
    <w:basedOn w:val="style0"/>
    <w:next w:val="style32"/>
    <w:link w:val="style4099"/>
    <w:uiPriority w:val="99"/>
    <w:pPr>
      <w:tabs>
        <w:tab w:val="center" w:leader="none" w:pos="4680"/>
        <w:tab w:val="right" w:leader="none" w:pos="9360"/>
      </w:tabs>
      <w:spacing w:lineRule="auto" w:line="240"/>
    </w:pPr>
    <w:rPr/>
  </w:style>
  <w:style w:type="character" w:customStyle="1" w:styleId="style4099">
    <w:name w:val="Footer Char_32d0b53c-5a2b-40f3-ad6f-173bbb5831d9"/>
    <w:basedOn w:val="style65"/>
    <w:next w:val="style4099"/>
    <w:link w:val="style32"/>
    <w:uiPriority w:val="99"/>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lang w:val="en-US"/>
    </w:rPr>
  </w:style>
  <w:style w:type="character" w:styleId="style85">
    <w:name w:val="Hyperlink"/>
    <w:basedOn w:val="style65"/>
    <w:next w:val="style85"/>
    <w:uiPriority w:val="99"/>
    <w:rPr>
      <w:color w:val="0000ff"/>
      <w:u w:val="single"/>
    </w:rPr>
  </w:style>
  <w:style w:type="paragraph" w:styleId="style266">
    <w:name w:val="TOC Heading"/>
    <w:basedOn w:val="style1"/>
    <w:next w:val="style0"/>
    <w:qFormat/>
    <w:uiPriority w:val="39"/>
    <w:pPr>
      <w:spacing w:before="240" w:after="0" w:lineRule="auto" w:line="259"/>
      <w:outlineLvl w:val="9"/>
    </w:pPr>
    <w:rPr>
      <w:rFonts w:ascii="Calibri" w:cs="宋体" w:eastAsia="宋体" w:hAnsi="Calibri"/>
      <w:b w:val="false"/>
      <w:color w:val="365f91"/>
      <w:sz w:val="32"/>
      <w:szCs w:val="32"/>
      <w:lang w:val="en-US"/>
    </w:rPr>
  </w:style>
  <w:style w:type="paragraph" w:styleId="style19">
    <w:name w:val="toc 1"/>
    <w:basedOn w:val="style0"/>
    <w:next w:val="style0"/>
    <w:uiPriority w:val="39"/>
    <w:pPr>
      <w:tabs>
        <w:tab w:val="right" w:leader="dot" w:pos="9350"/>
      </w:tabs>
      <w:spacing w:after="100"/>
    </w:pPr>
    <w:rPr/>
  </w:style>
  <w:style w:type="paragraph" w:styleId="style20">
    <w:name w:val="toc 2"/>
    <w:basedOn w:val="style0"/>
    <w:next w:val="style0"/>
    <w:uiPriority w:val="39"/>
    <w:pPr>
      <w:spacing w:after="100"/>
      <w:ind w:left="220"/>
    </w:pPr>
    <w:rPr/>
  </w:style>
</w:styles>
</file>

<file path=word/_rels/document.xml.rels><?xml version="1.0" encoding="UTF-8"?>
<Relationships xmlns="http://schemas.openxmlformats.org/package/2006/relationships"><Relationship Id="rId11" Type="http://schemas.openxmlformats.org/officeDocument/2006/relationships/styles" Target="styles.xml"/><Relationship Id="rId10" Type="http://schemas.openxmlformats.org/officeDocument/2006/relationships/footer" Target="footer1.xml"/><Relationship Id="rId13" Type="http://schemas.openxmlformats.org/officeDocument/2006/relationships/settings" Target="settings.xml"/><Relationship Id="rId12"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9" Type="http://schemas.openxmlformats.org/officeDocument/2006/relationships/image" Target="media/image2.png"/><Relationship Id="rId15" Type="http://schemas.openxmlformats.org/officeDocument/2006/relationships/theme" Target="theme/theme1.xml"/><Relationship Id="rId14" Type="http://schemas.microsoft.com/office/2007/relationships/diagramDrawing" Target="diagrams/drawing1.xml"/><Relationship Id="rId16" Type="http://schemas.openxmlformats.org/officeDocument/2006/relationships/customXml" Target="../customXml/item1.xml"/><Relationship Id="rId5" Type="http://schemas.openxmlformats.org/officeDocument/2006/relationships/diagramData" Target="diagrams/data1.xml"/><Relationship Id="rId6" Type="http://schemas.openxmlformats.org/officeDocument/2006/relationships/diagramLayout" Target="diagrams/layout1.xml"/><Relationship Id="rId7" Type="http://schemas.openxmlformats.org/officeDocument/2006/relationships/diagramQuickStyle" Target="diagrams/quickStyle1.xml"/><Relationship Id="rId8"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D01F88-DD39-44CE-B36D-6F78876A6AD6}"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1AADD9B6-C739-404E-BD90-475CC33DFFFD}">
      <dgm:prSet phldrT="[Text]"/>
      <dgm:spPr/>
      <dgm:t>
        <a:bodyPr/>
        <a:lstStyle/>
        <a:p>
          <a:r>
            <a:rPr lang="en-US">
              <a:latin typeface="Arial" panose="020B0604020202020204" pitchFamily="34" charset="0"/>
              <a:cs typeface="Arial" panose="020B0604020202020204" pitchFamily="34" charset="0"/>
            </a:rPr>
            <a:t>Functional benefits</a:t>
          </a:r>
        </a:p>
      </dgm:t>
    </dgm:pt>
    <dgm:pt modelId="{EA2F0118-058D-4A95-B008-17946D25EFBE}" type="parTrans" cxnId="{334C9F03-0E92-4208-833B-E4EEF91DB8D2}">
      <dgm:prSet/>
      <dgm:spPr/>
      <dgm:t>
        <a:bodyPr/>
        <a:lstStyle/>
        <a:p>
          <a:endParaRPr lang="en-US"/>
        </a:p>
      </dgm:t>
    </dgm:pt>
    <dgm:pt modelId="{E597F873-C1BC-4031-B8D3-AB1B887843CE}" type="sibTrans" cxnId="{334C9F03-0E92-4208-833B-E4EEF91DB8D2}">
      <dgm:prSet/>
      <dgm:spPr/>
      <dgm:t>
        <a:bodyPr/>
        <a:lstStyle/>
        <a:p>
          <a:endParaRPr lang="en-US"/>
        </a:p>
      </dgm:t>
    </dgm:pt>
    <dgm:pt modelId="{F5A776FF-FF58-4E32-9E65-7D6ED9A72613}">
      <dgm:prSet phldrT="[Text]"/>
      <dgm:spPr/>
      <dgm:t>
        <a:bodyPr/>
        <a:lstStyle/>
        <a:p>
          <a:r>
            <a:rPr lang="en-US">
              <a:latin typeface="Arial" panose="020B0604020202020204" pitchFamily="34" charset="0"/>
              <a:cs typeface="Arial" panose="020B0604020202020204" pitchFamily="34" charset="0"/>
            </a:rPr>
            <a:t>Automation</a:t>
          </a:r>
        </a:p>
      </dgm:t>
    </dgm:pt>
    <dgm:pt modelId="{4A14A0D6-F610-4E80-9231-165A0824D53C}" type="parTrans" cxnId="{58EF0FC6-C601-460C-8012-B070E5C4A680}">
      <dgm:prSet/>
      <dgm:spPr/>
      <dgm:t>
        <a:bodyPr/>
        <a:lstStyle/>
        <a:p>
          <a:endParaRPr lang="en-US"/>
        </a:p>
      </dgm:t>
    </dgm:pt>
    <dgm:pt modelId="{02E8AC47-2879-43D4-829E-1BD89D1674B3}" type="sibTrans" cxnId="{58EF0FC6-C601-460C-8012-B070E5C4A680}">
      <dgm:prSet/>
      <dgm:spPr/>
      <dgm:t>
        <a:bodyPr/>
        <a:lstStyle/>
        <a:p>
          <a:endParaRPr lang="en-US"/>
        </a:p>
      </dgm:t>
    </dgm:pt>
    <dgm:pt modelId="{15D7DF14-DC77-4A59-9074-27C434E65D1E}">
      <dgm:prSet phldrT="[Text]"/>
      <dgm:spPr/>
      <dgm:t>
        <a:bodyPr/>
        <a:lstStyle/>
        <a:p>
          <a:r>
            <a:rPr lang="en-US">
              <a:latin typeface="Arial" panose="020B0604020202020204" pitchFamily="34" charset="0"/>
              <a:cs typeface="Arial" panose="020B0604020202020204" pitchFamily="34" charset="0"/>
            </a:rPr>
            <a:t>Enhanced collaboration</a:t>
          </a:r>
        </a:p>
      </dgm:t>
    </dgm:pt>
    <dgm:pt modelId="{5326E2F8-078B-4293-B4B8-A205B6E49D6F}" type="parTrans" cxnId="{B817E824-F185-4278-A314-B966FB60B440}">
      <dgm:prSet/>
      <dgm:spPr/>
      <dgm:t>
        <a:bodyPr/>
        <a:lstStyle/>
        <a:p>
          <a:endParaRPr lang="en-US"/>
        </a:p>
      </dgm:t>
    </dgm:pt>
    <dgm:pt modelId="{9818630D-3E40-420A-B99D-A6A5296EAE2D}" type="sibTrans" cxnId="{B817E824-F185-4278-A314-B966FB60B440}">
      <dgm:prSet/>
      <dgm:spPr/>
      <dgm:t>
        <a:bodyPr/>
        <a:lstStyle/>
        <a:p>
          <a:endParaRPr lang="en-US"/>
        </a:p>
      </dgm:t>
    </dgm:pt>
    <dgm:pt modelId="{4B680CEB-8903-4E40-99C4-8A3911662FB2}">
      <dgm:prSet phldrT="[Text]"/>
      <dgm:spPr/>
      <dgm:t>
        <a:bodyPr/>
        <a:lstStyle/>
        <a:p>
          <a:r>
            <a:rPr lang="en-US">
              <a:latin typeface="Arial" panose="020B0604020202020204" pitchFamily="34" charset="0"/>
              <a:cs typeface="Arial" panose="020B0604020202020204" pitchFamily="34" charset="0"/>
            </a:rPr>
            <a:t>Emotional benefits</a:t>
          </a:r>
        </a:p>
      </dgm:t>
    </dgm:pt>
    <dgm:pt modelId="{858E6E67-05B2-47B8-A377-585ACB254F10}" type="parTrans" cxnId="{62C3912E-FF30-4BCC-B010-A1C599CAB853}">
      <dgm:prSet/>
      <dgm:spPr/>
      <dgm:t>
        <a:bodyPr/>
        <a:lstStyle/>
        <a:p>
          <a:endParaRPr lang="en-US"/>
        </a:p>
      </dgm:t>
    </dgm:pt>
    <dgm:pt modelId="{FC1F69F5-9096-404B-9A1F-AF1589B6F6C7}" type="sibTrans" cxnId="{62C3912E-FF30-4BCC-B010-A1C599CAB853}">
      <dgm:prSet/>
      <dgm:spPr/>
      <dgm:t>
        <a:bodyPr/>
        <a:lstStyle/>
        <a:p>
          <a:endParaRPr lang="en-US"/>
        </a:p>
      </dgm:t>
    </dgm:pt>
    <dgm:pt modelId="{939FB163-69EB-42DF-8063-2106C9326CCF}">
      <dgm:prSet phldrT="[Text]"/>
      <dgm:spPr/>
      <dgm:t>
        <a:bodyPr/>
        <a:lstStyle/>
        <a:p>
          <a:r>
            <a:rPr lang="en-US">
              <a:latin typeface="Arial" panose="020B0604020202020204" pitchFamily="34" charset="0"/>
              <a:cs typeface="Arial" panose="020B0604020202020204" pitchFamily="34" charset="0"/>
            </a:rPr>
            <a:t>Reduced stress </a:t>
          </a:r>
        </a:p>
      </dgm:t>
    </dgm:pt>
    <dgm:pt modelId="{9C5AFDC0-A43F-459B-8D71-747DB944B744}" type="parTrans" cxnId="{915A108C-A292-4B9F-8F69-721A47E1742C}">
      <dgm:prSet/>
      <dgm:spPr/>
      <dgm:t>
        <a:bodyPr/>
        <a:lstStyle/>
        <a:p>
          <a:endParaRPr lang="en-US"/>
        </a:p>
      </dgm:t>
    </dgm:pt>
    <dgm:pt modelId="{FBB1AFC7-6BAB-42BF-92C3-DF9E4382FDEE}" type="sibTrans" cxnId="{915A108C-A292-4B9F-8F69-721A47E1742C}">
      <dgm:prSet/>
      <dgm:spPr/>
      <dgm:t>
        <a:bodyPr/>
        <a:lstStyle/>
        <a:p>
          <a:endParaRPr lang="en-US"/>
        </a:p>
      </dgm:t>
    </dgm:pt>
    <dgm:pt modelId="{E70EFDEB-69A0-4428-8F10-770DB0B2B655}">
      <dgm:prSet phldrT="[Text]"/>
      <dgm:spPr/>
      <dgm:t>
        <a:bodyPr/>
        <a:lstStyle/>
        <a:p>
          <a:r>
            <a:rPr lang="en-US">
              <a:latin typeface="Arial" panose="020B0604020202020204" pitchFamily="34" charset="0"/>
              <a:cs typeface="Arial" panose="020B0604020202020204" pitchFamily="34" charset="0"/>
            </a:rPr>
            <a:t>Improved work-life balance</a:t>
          </a:r>
        </a:p>
      </dgm:t>
    </dgm:pt>
    <dgm:pt modelId="{825D7DD6-27F2-441E-8239-CA4A182F969F}" type="parTrans" cxnId="{860BD1D7-48B9-4C8C-8F9B-9BF83B81EB7F}">
      <dgm:prSet/>
      <dgm:spPr/>
      <dgm:t>
        <a:bodyPr/>
        <a:lstStyle/>
        <a:p>
          <a:endParaRPr lang="en-US"/>
        </a:p>
      </dgm:t>
    </dgm:pt>
    <dgm:pt modelId="{FA4217F7-258C-445B-99DE-E0464E31DD39}" type="sibTrans" cxnId="{860BD1D7-48B9-4C8C-8F9B-9BF83B81EB7F}">
      <dgm:prSet/>
      <dgm:spPr/>
      <dgm:t>
        <a:bodyPr/>
        <a:lstStyle/>
        <a:p>
          <a:endParaRPr lang="en-US"/>
        </a:p>
      </dgm:t>
    </dgm:pt>
    <dgm:pt modelId="{B9400054-B58C-4D0D-8978-7B48BAC162D6}">
      <dgm:prSet phldrT="[Text]"/>
      <dgm:spPr/>
      <dgm:t>
        <a:bodyPr/>
        <a:lstStyle/>
        <a:p>
          <a:r>
            <a:rPr lang="en-US">
              <a:latin typeface="Arial" panose="020B0604020202020204" pitchFamily="34" charset="0"/>
              <a:cs typeface="Arial" panose="020B0604020202020204" pitchFamily="34" charset="0"/>
            </a:rPr>
            <a:t>Economic benefits</a:t>
          </a:r>
        </a:p>
      </dgm:t>
    </dgm:pt>
    <dgm:pt modelId="{7101162F-8479-4322-B46F-A4FA6AA4A5CB}" type="parTrans" cxnId="{0C7A4228-D658-43C9-A3E5-D6C7EE1591B7}">
      <dgm:prSet/>
      <dgm:spPr/>
      <dgm:t>
        <a:bodyPr/>
        <a:lstStyle/>
        <a:p>
          <a:endParaRPr lang="en-US"/>
        </a:p>
      </dgm:t>
    </dgm:pt>
    <dgm:pt modelId="{642B1287-E292-48E1-BF11-7F76E0F64480}" type="sibTrans" cxnId="{0C7A4228-D658-43C9-A3E5-D6C7EE1591B7}">
      <dgm:prSet/>
      <dgm:spPr/>
      <dgm:t>
        <a:bodyPr/>
        <a:lstStyle/>
        <a:p>
          <a:endParaRPr lang="en-US"/>
        </a:p>
      </dgm:t>
    </dgm:pt>
    <dgm:pt modelId="{53BD99E0-F49E-481B-B24C-5E5C3BB5D1D2}">
      <dgm:prSet phldrT="[Text]"/>
      <dgm:spPr/>
      <dgm:t>
        <a:bodyPr/>
        <a:lstStyle/>
        <a:p>
          <a:r>
            <a:rPr lang="en-US">
              <a:latin typeface="Arial" panose="020B0604020202020204" pitchFamily="34" charset="0"/>
              <a:cs typeface="Arial" panose="020B0604020202020204" pitchFamily="34" charset="0"/>
            </a:rPr>
            <a:t>Increased efficiency </a:t>
          </a:r>
        </a:p>
      </dgm:t>
    </dgm:pt>
    <dgm:pt modelId="{90DB6241-8AF7-4C39-8120-F2A6FA3F5D56}" type="parTrans" cxnId="{7BB152D8-8880-400D-9969-BB64942C3C53}">
      <dgm:prSet/>
      <dgm:spPr/>
      <dgm:t>
        <a:bodyPr/>
        <a:lstStyle/>
        <a:p>
          <a:endParaRPr lang="en-US"/>
        </a:p>
      </dgm:t>
    </dgm:pt>
    <dgm:pt modelId="{D9E1905D-1CCB-4292-B4B8-046FCE92769E}" type="sibTrans" cxnId="{7BB152D8-8880-400D-9969-BB64942C3C53}">
      <dgm:prSet/>
      <dgm:spPr/>
      <dgm:t>
        <a:bodyPr/>
        <a:lstStyle/>
        <a:p>
          <a:endParaRPr lang="en-US"/>
        </a:p>
      </dgm:t>
    </dgm:pt>
    <dgm:pt modelId="{F5586E3D-EA68-4799-A63E-D1FE39E3B218}">
      <dgm:prSet phldrT="[Text]"/>
      <dgm:spPr/>
      <dgm:t>
        <a:bodyPr/>
        <a:lstStyle/>
        <a:p>
          <a:r>
            <a:rPr lang="en-US">
              <a:latin typeface="Arial" panose="020B0604020202020204" pitchFamily="34" charset="0"/>
              <a:cs typeface="Arial" panose="020B0604020202020204" pitchFamily="34" charset="0"/>
            </a:rPr>
            <a:t>Cost savings</a:t>
          </a:r>
        </a:p>
      </dgm:t>
    </dgm:pt>
    <dgm:pt modelId="{9B22D34B-4189-4C28-9052-3282D59CC948}" type="parTrans" cxnId="{654BA5C0-E306-4068-A66D-BC7025F7253E}">
      <dgm:prSet/>
      <dgm:spPr/>
      <dgm:t>
        <a:bodyPr/>
        <a:lstStyle/>
        <a:p>
          <a:endParaRPr lang="en-US"/>
        </a:p>
      </dgm:t>
    </dgm:pt>
    <dgm:pt modelId="{F4C5EC68-05DB-4B90-91C7-6D78EC5BCC2D}" type="sibTrans" cxnId="{654BA5C0-E306-4068-A66D-BC7025F7253E}">
      <dgm:prSet/>
      <dgm:spPr/>
      <dgm:t>
        <a:bodyPr/>
        <a:lstStyle/>
        <a:p>
          <a:endParaRPr lang="en-US"/>
        </a:p>
      </dgm:t>
    </dgm:pt>
    <dgm:pt modelId="{BB3309F3-CB13-489E-85FD-74E85C1AA2AD}">
      <dgm:prSet phldrT="[Text]"/>
      <dgm:spPr/>
      <dgm:t>
        <a:bodyPr/>
        <a:lstStyle/>
        <a:p>
          <a:r>
            <a:rPr lang="en-US">
              <a:latin typeface="Arial" panose="020B0604020202020204" pitchFamily="34" charset="0"/>
              <a:cs typeface="Arial" panose="020B0604020202020204" pitchFamily="34" charset="0"/>
            </a:rPr>
            <a:t>Data-driven decision-making</a:t>
          </a:r>
        </a:p>
      </dgm:t>
    </dgm:pt>
    <dgm:pt modelId="{0A43AB83-A4DC-4DC9-8C42-05C407C97722}" type="parTrans" cxnId="{B369F2DC-FD3C-4D6C-9F1C-0BDA8110221A}">
      <dgm:prSet/>
      <dgm:spPr/>
      <dgm:t>
        <a:bodyPr/>
        <a:lstStyle/>
        <a:p>
          <a:endParaRPr lang="en-US"/>
        </a:p>
      </dgm:t>
    </dgm:pt>
    <dgm:pt modelId="{5EBF0B16-C45E-4C5B-A2EB-F63BC3169625}" type="sibTrans" cxnId="{B369F2DC-FD3C-4D6C-9F1C-0BDA8110221A}">
      <dgm:prSet/>
      <dgm:spPr/>
      <dgm:t>
        <a:bodyPr/>
        <a:lstStyle/>
        <a:p>
          <a:endParaRPr lang="en-US"/>
        </a:p>
      </dgm:t>
    </dgm:pt>
    <dgm:pt modelId="{CB38658A-738E-47F2-B1D4-6F76C13F1A6C}" type="pres">
      <dgm:prSet presAssocID="{A0D01F88-DD39-44CE-B36D-6F78876A6AD6}" presName="Name0" presStyleCnt="0">
        <dgm:presLayoutVars>
          <dgm:dir/>
          <dgm:animLvl val="lvl"/>
          <dgm:resizeHandles val="exact"/>
        </dgm:presLayoutVars>
      </dgm:prSet>
      <dgm:spPr/>
      <dgm:t>
        <a:bodyPr/>
        <a:lstStyle/>
        <a:p>
          <a:endParaRPr lang="en-US"/>
        </a:p>
      </dgm:t>
    </dgm:pt>
    <dgm:pt modelId="{3CAAD0F7-5BB1-4754-BC3B-8268A430410A}" type="pres">
      <dgm:prSet presAssocID="{1AADD9B6-C739-404E-BD90-475CC33DFFFD}" presName="composite" presStyleCnt="0"/>
      <dgm:spPr/>
    </dgm:pt>
    <dgm:pt modelId="{A60298D2-25B7-4C15-9383-DFD0AF2A6C36}" type="pres">
      <dgm:prSet presAssocID="{1AADD9B6-C739-404E-BD90-475CC33DFFFD}" presName="parTx" presStyleLbl="alignNode1" presStyleIdx="0" presStyleCnt="3">
        <dgm:presLayoutVars>
          <dgm:chMax val="0"/>
          <dgm:chPref val="0"/>
          <dgm:bulletEnabled val="1"/>
        </dgm:presLayoutVars>
      </dgm:prSet>
      <dgm:spPr/>
      <dgm:t>
        <a:bodyPr/>
        <a:lstStyle/>
        <a:p>
          <a:endParaRPr lang="en-US"/>
        </a:p>
      </dgm:t>
    </dgm:pt>
    <dgm:pt modelId="{B60FEC83-5096-46E4-B56E-89DAF1E7DD2C}" type="pres">
      <dgm:prSet presAssocID="{1AADD9B6-C739-404E-BD90-475CC33DFFFD}" presName="desTx" presStyleLbl="alignAccFollowNode1" presStyleIdx="0" presStyleCnt="3">
        <dgm:presLayoutVars>
          <dgm:bulletEnabled val="1"/>
        </dgm:presLayoutVars>
      </dgm:prSet>
      <dgm:spPr/>
      <dgm:t>
        <a:bodyPr/>
        <a:lstStyle/>
        <a:p>
          <a:endParaRPr lang="en-US"/>
        </a:p>
      </dgm:t>
    </dgm:pt>
    <dgm:pt modelId="{B8AD83A9-F213-400D-9EBC-D92FB5C66633}" type="pres">
      <dgm:prSet presAssocID="{E597F873-C1BC-4031-B8D3-AB1B887843CE}" presName="space" presStyleCnt="0"/>
      <dgm:spPr/>
    </dgm:pt>
    <dgm:pt modelId="{7E0E3951-DB88-42B4-9ED3-F7AD96205692}" type="pres">
      <dgm:prSet presAssocID="{4B680CEB-8903-4E40-99C4-8A3911662FB2}" presName="composite" presStyleCnt="0"/>
      <dgm:spPr/>
    </dgm:pt>
    <dgm:pt modelId="{F924D8BD-3596-4130-AD7B-D49804A12484}" type="pres">
      <dgm:prSet presAssocID="{4B680CEB-8903-4E40-99C4-8A3911662FB2}" presName="parTx" presStyleLbl="alignNode1" presStyleIdx="1" presStyleCnt="3">
        <dgm:presLayoutVars>
          <dgm:chMax val="0"/>
          <dgm:chPref val="0"/>
          <dgm:bulletEnabled val="1"/>
        </dgm:presLayoutVars>
      </dgm:prSet>
      <dgm:spPr/>
      <dgm:t>
        <a:bodyPr/>
        <a:lstStyle/>
        <a:p>
          <a:endParaRPr lang="en-US"/>
        </a:p>
      </dgm:t>
    </dgm:pt>
    <dgm:pt modelId="{082B5757-35B2-4073-BD13-CABE0D043BE4}" type="pres">
      <dgm:prSet presAssocID="{4B680CEB-8903-4E40-99C4-8A3911662FB2}" presName="desTx" presStyleLbl="alignAccFollowNode1" presStyleIdx="1" presStyleCnt="3">
        <dgm:presLayoutVars>
          <dgm:bulletEnabled val="1"/>
        </dgm:presLayoutVars>
      </dgm:prSet>
      <dgm:spPr/>
      <dgm:t>
        <a:bodyPr/>
        <a:lstStyle/>
        <a:p>
          <a:endParaRPr lang="en-US"/>
        </a:p>
      </dgm:t>
    </dgm:pt>
    <dgm:pt modelId="{0D746DD7-461E-4341-A9B5-A7F27E71E084}" type="pres">
      <dgm:prSet presAssocID="{FC1F69F5-9096-404B-9A1F-AF1589B6F6C7}" presName="space" presStyleCnt="0"/>
      <dgm:spPr/>
    </dgm:pt>
    <dgm:pt modelId="{FAEAC9F6-2C79-42B8-BB3D-824042D0F8DE}" type="pres">
      <dgm:prSet presAssocID="{B9400054-B58C-4D0D-8978-7B48BAC162D6}" presName="composite" presStyleCnt="0"/>
      <dgm:spPr/>
    </dgm:pt>
    <dgm:pt modelId="{3A3319C4-CB31-497E-8F2A-6CB02B6AC2B0}" type="pres">
      <dgm:prSet presAssocID="{B9400054-B58C-4D0D-8978-7B48BAC162D6}" presName="parTx" presStyleLbl="alignNode1" presStyleIdx="2" presStyleCnt="3">
        <dgm:presLayoutVars>
          <dgm:chMax val="0"/>
          <dgm:chPref val="0"/>
          <dgm:bulletEnabled val="1"/>
        </dgm:presLayoutVars>
      </dgm:prSet>
      <dgm:spPr/>
      <dgm:t>
        <a:bodyPr/>
        <a:lstStyle/>
        <a:p>
          <a:endParaRPr lang="en-US"/>
        </a:p>
      </dgm:t>
    </dgm:pt>
    <dgm:pt modelId="{9CCE1CE8-7C9D-4B78-953C-B93F14D34728}" type="pres">
      <dgm:prSet presAssocID="{B9400054-B58C-4D0D-8978-7B48BAC162D6}" presName="desTx" presStyleLbl="alignAccFollowNode1" presStyleIdx="2" presStyleCnt="3">
        <dgm:presLayoutVars>
          <dgm:bulletEnabled val="1"/>
        </dgm:presLayoutVars>
      </dgm:prSet>
      <dgm:spPr/>
      <dgm:t>
        <a:bodyPr/>
        <a:lstStyle/>
        <a:p>
          <a:endParaRPr lang="en-US"/>
        </a:p>
      </dgm:t>
    </dgm:pt>
  </dgm:ptLst>
  <dgm:cxnLst>
    <dgm:cxn modelId="{9889CE5B-789D-4276-84FC-1009BFDFB40E}" type="presOf" srcId="{A0D01F88-DD39-44CE-B36D-6F78876A6AD6}" destId="{CB38658A-738E-47F2-B1D4-6F76C13F1A6C}" srcOrd="0" destOrd="0" presId="urn:microsoft.com/office/officeart/2005/8/layout/hList1"/>
    <dgm:cxn modelId="{6AB0B098-DC5B-4BCE-A623-AE7BF7E1F752}" type="presOf" srcId="{BB3309F3-CB13-489E-85FD-74E85C1AA2AD}" destId="{B60FEC83-5096-46E4-B56E-89DAF1E7DD2C}" srcOrd="0" destOrd="2" presId="urn:microsoft.com/office/officeart/2005/8/layout/hList1"/>
    <dgm:cxn modelId="{C29B80F2-70AD-42AE-BD07-8C47484893BC}" type="presOf" srcId="{939FB163-69EB-42DF-8063-2106C9326CCF}" destId="{082B5757-35B2-4073-BD13-CABE0D043BE4}" srcOrd="0" destOrd="0" presId="urn:microsoft.com/office/officeart/2005/8/layout/hList1"/>
    <dgm:cxn modelId="{EB29D178-2AC2-47D4-B123-96C533ADC1D1}" type="presOf" srcId="{1AADD9B6-C739-404E-BD90-475CC33DFFFD}" destId="{A60298D2-25B7-4C15-9383-DFD0AF2A6C36}" srcOrd="0" destOrd="0" presId="urn:microsoft.com/office/officeart/2005/8/layout/hList1"/>
    <dgm:cxn modelId="{A2241DE4-6D27-4E03-85E3-A71106BD6D82}" type="presOf" srcId="{53BD99E0-F49E-481B-B24C-5E5C3BB5D1D2}" destId="{9CCE1CE8-7C9D-4B78-953C-B93F14D34728}" srcOrd="0" destOrd="0" presId="urn:microsoft.com/office/officeart/2005/8/layout/hList1"/>
    <dgm:cxn modelId="{B80F060E-C0CE-401A-B3E4-03CF4318E921}" type="presOf" srcId="{F5586E3D-EA68-4799-A63E-D1FE39E3B218}" destId="{9CCE1CE8-7C9D-4B78-953C-B93F14D34728}" srcOrd="0" destOrd="1" presId="urn:microsoft.com/office/officeart/2005/8/layout/hList1"/>
    <dgm:cxn modelId="{62C3912E-FF30-4BCC-B010-A1C599CAB853}" srcId="{A0D01F88-DD39-44CE-B36D-6F78876A6AD6}" destId="{4B680CEB-8903-4E40-99C4-8A3911662FB2}" srcOrd="1" destOrd="0" parTransId="{858E6E67-05B2-47B8-A377-585ACB254F10}" sibTransId="{FC1F69F5-9096-404B-9A1F-AF1589B6F6C7}"/>
    <dgm:cxn modelId="{334C9F03-0E92-4208-833B-E4EEF91DB8D2}" srcId="{A0D01F88-DD39-44CE-B36D-6F78876A6AD6}" destId="{1AADD9B6-C739-404E-BD90-475CC33DFFFD}" srcOrd="0" destOrd="0" parTransId="{EA2F0118-058D-4A95-B008-17946D25EFBE}" sibTransId="{E597F873-C1BC-4031-B8D3-AB1B887843CE}"/>
    <dgm:cxn modelId="{B369F2DC-FD3C-4D6C-9F1C-0BDA8110221A}" srcId="{1AADD9B6-C739-404E-BD90-475CC33DFFFD}" destId="{BB3309F3-CB13-489E-85FD-74E85C1AA2AD}" srcOrd="2" destOrd="0" parTransId="{0A43AB83-A4DC-4DC9-8C42-05C407C97722}" sibTransId="{5EBF0B16-C45E-4C5B-A2EB-F63BC3169625}"/>
    <dgm:cxn modelId="{2D1F88B3-1283-4DF4-825D-C0D77FA73036}" type="presOf" srcId="{F5A776FF-FF58-4E32-9E65-7D6ED9A72613}" destId="{B60FEC83-5096-46E4-B56E-89DAF1E7DD2C}" srcOrd="0" destOrd="0" presId="urn:microsoft.com/office/officeart/2005/8/layout/hList1"/>
    <dgm:cxn modelId="{860BD1D7-48B9-4C8C-8F9B-9BF83B81EB7F}" srcId="{4B680CEB-8903-4E40-99C4-8A3911662FB2}" destId="{E70EFDEB-69A0-4428-8F10-770DB0B2B655}" srcOrd="1" destOrd="0" parTransId="{825D7DD6-27F2-441E-8239-CA4A182F969F}" sibTransId="{FA4217F7-258C-445B-99DE-E0464E31DD39}"/>
    <dgm:cxn modelId="{5475420A-A87F-43C5-95BD-B5B9814CD5AB}" type="presOf" srcId="{4B680CEB-8903-4E40-99C4-8A3911662FB2}" destId="{F924D8BD-3596-4130-AD7B-D49804A12484}" srcOrd="0" destOrd="0" presId="urn:microsoft.com/office/officeart/2005/8/layout/hList1"/>
    <dgm:cxn modelId="{97EDBA3B-5E38-48DC-A1D5-08903F22D0E9}" type="presOf" srcId="{E70EFDEB-69A0-4428-8F10-770DB0B2B655}" destId="{082B5757-35B2-4073-BD13-CABE0D043BE4}" srcOrd="0" destOrd="1" presId="urn:microsoft.com/office/officeart/2005/8/layout/hList1"/>
    <dgm:cxn modelId="{58EF0FC6-C601-460C-8012-B070E5C4A680}" srcId="{1AADD9B6-C739-404E-BD90-475CC33DFFFD}" destId="{F5A776FF-FF58-4E32-9E65-7D6ED9A72613}" srcOrd="0" destOrd="0" parTransId="{4A14A0D6-F610-4E80-9231-165A0824D53C}" sibTransId="{02E8AC47-2879-43D4-829E-1BD89D1674B3}"/>
    <dgm:cxn modelId="{7BB152D8-8880-400D-9969-BB64942C3C53}" srcId="{B9400054-B58C-4D0D-8978-7B48BAC162D6}" destId="{53BD99E0-F49E-481B-B24C-5E5C3BB5D1D2}" srcOrd="0" destOrd="0" parTransId="{90DB6241-8AF7-4C39-8120-F2A6FA3F5D56}" sibTransId="{D9E1905D-1CCB-4292-B4B8-046FCE92769E}"/>
    <dgm:cxn modelId="{B5D9193E-04AC-4D18-8DA5-6F4652553514}" type="presOf" srcId="{B9400054-B58C-4D0D-8978-7B48BAC162D6}" destId="{3A3319C4-CB31-497E-8F2A-6CB02B6AC2B0}" srcOrd="0" destOrd="0" presId="urn:microsoft.com/office/officeart/2005/8/layout/hList1"/>
    <dgm:cxn modelId="{31911719-AA1B-490A-89E9-64F29B13DDD1}" type="presOf" srcId="{15D7DF14-DC77-4A59-9074-27C434E65D1E}" destId="{B60FEC83-5096-46E4-B56E-89DAF1E7DD2C}" srcOrd="0" destOrd="1" presId="urn:microsoft.com/office/officeart/2005/8/layout/hList1"/>
    <dgm:cxn modelId="{915A108C-A292-4B9F-8F69-721A47E1742C}" srcId="{4B680CEB-8903-4E40-99C4-8A3911662FB2}" destId="{939FB163-69EB-42DF-8063-2106C9326CCF}" srcOrd="0" destOrd="0" parTransId="{9C5AFDC0-A43F-459B-8D71-747DB944B744}" sibTransId="{FBB1AFC7-6BAB-42BF-92C3-DF9E4382FDEE}"/>
    <dgm:cxn modelId="{B817E824-F185-4278-A314-B966FB60B440}" srcId="{1AADD9B6-C739-404E-BD90-475CC33DFFFD}" destId="{15D7DF14-DC77-4A59-9074-27C434E65D1E}" srcOrd="1" destOrd="0" parTransId="{5326E2F8-078B-4293-B4B8-A205B6E49D6F}" sibTransId="{9818630D-3E40-420A-B99D-A6A5296EAE2D}"/>
    <dgm:cxn modelId="{654BA5C0-E306-4068-A66D-BC7025F7253E}" srcId="{B9400054-B58C-4D0D-8978-7B48BAC162D6}" destId="{F5586E3D-EA68-4799-A63E-D1FE39E3B218}" srcOrd="1" destOrd="0" parTransId="{9B22D34B-4189-4C28-9052-3282D59CC948}" sibTransId="{F4C5EC68-05DB-4B90-91C7-6D78EC5BCC2D}"/>
    <dgm:cxn modelId="{0C7A4228-D658-43C9-A3E5-D6C7EE1591B7}" srcId="{A0D01F88-DD39-44CE-B36D-6F78876A6AD6}" destId="{B9400054-B58C-4D0D-8978-7B48BAC162D6}" srcOrd="2" destOrd="0" parTransId="{7101162F-8479-4322-B46F-A4FA6AA4A5CB}" sibTransId="{642B1287-E292-48E1-BF11-7F76E0F64480}"/>
    <dgm:cxn modelId="{EBEBDF0D-5043-45B7-BD14-7F473B3DC9D8}" type="presParOf" srcId="{CB38658A-738E-47F2-B1D4-6F76C13F1A6C}" destId="{3CAAD0F7-5BB1-4754-BC3B-8268A430410A}" srcOrd="0" destOrd="0" presId="urn:microsoft.com/office/officeart/2005/8/layout/hList1"/>
    <dgm:cxn modelId="{0E2CA75A-4613-4C39-8AE3-79D3428EE2B1}" type="presParOf" srcId="{3CAAD0F7-5BB1-4754-BC3B-8268A430410A}" destId="{A60298D2-25B7-4C15-9383-DFD0AF2A6C36}" srcOrd="0" destOrd="0" presId="urn:microsoft.com/office/officeart/2005/8/layout/hList1"/>
    <dgm:cxn modelId="{9529E562-5502-4ABD-AB49-97A370FE4C9D}" type="presParOf" srcId="{3CAAD0F7-5BB1-4754-BC3B-8268A430410A}" destId="{B60FEC83-5096-46E4-B56E-89DAF1E7DD2C}" srcOrd="1" destOrd="0" presId="urn:microsoft.com/office/officeart/2005/8/layout/hList1"/>
    <dgm:cxn modelId="{F0A72905-0EDD-43E8-9B4B-278F3D796835}" type="presParOf" srcId="{CB38658A-738E-47F2-B1D4-6F76C13F1A6C}" destId="{B8AD83A9-F213-400D-9EBC-D92FB5C66633}" srcOrd="1" destOrd="0" presId="urn:microsoft.com/office/officeart/2005/8/layout/hList1"/>
    <dgm:cxn modelId="{5DDF8EDC-5908-4CC7-A590-389B4B852712}" type="presParOf" srcId="{CB38658A-738E-47F2-B1D4-6F76C13F1A6C}" destId="{7E0E3951-DB88-42B4-9ED3-F7AD96205692}" srcOrd="2" destOrd="0" presId="urn:microsoft.com/office/officeart/2005/8/layout/hList1"/>
    <dgm:cxn modelId="{0C701301-BA05-4BEC-8C07-B2F0165BB652}" type="presParOf" srcId="{7E0E3951-DB88-42B4-9ED3-F7AD96205692}" destId="{F924D8BD-3596-4130-AD7B-D49804A12484}" srcOrd="0" destOrd="0" presId="urn:microsoft.com/office/officeart/2005/8/layout/hList1"/>
    <dgm:cxn modelId="{4AFE5664-781E-4EDA-B431-8173AC609E74}" type="presParOf" srcId="{7E0E3951-DB88-42B4-9ED3-F7AD96205692}" destId="{082B5757-35B2-4073-BD13-CABE0D043BE4}" srcOrd="1" destOrd="0" presId="urn:microsoft.com/office/officeart/2005/8/layout/hList1"/>
    <dgm:cxn modelId="{545B94AD-7A00-4537-8147-CF959810DE9E}" type="presParOf" srcId="{CB38658A-738E-47F2-B1D4-6F76C13F1A6C}" destId="{0D746DD7-461E-4341-A9B5-A7F27E71E084}" srcOrd="3" destOrd="0" presId="urn:microsoft.com/office/officeart/2005/8/layout/hList1"/>
    <dgm:cxn modelId="{DE7A802E-BA2C-4185-B7C0-4AA63E7C9771}" type="presParOf" srcId="{CB38658A-738E-47F2-B1D4-6F76C13F1A6C}" destId="{FAEAC9F6-2C79-42B8-BB3D-824042D0F8DE}" srcOrd="4" destOrd="0" presId="urn:microsoft.com/office/officeart/2005/8/layout/hList1"/>
    <dgm:cxn modelId="{64FE281E-CA4E-4988-8472-906776E6C804}" type="presParOf" srcId="{FAEAC9F6-2C79-42B8-BB3D-824042D0F8DE}" destId="{3A3319C4-CB31-497E-8F2A-6CB02B6AC2B0}" srcOrd="0" destOrd="0" presId="urn:microsoft.com/office/officeart/2005/8/layout/hList1"/>
    <dgm:cxn modelId="{BCBC59CB-9CF3-45A6-9B34-2FDA7FB3AE56}" type="presParOf" srcId="{FAEAC9F6-2C79-42B8-BB3D-824042D0F8DE}" destId="{9CCE1CE8-7C9D-4B78-953C-B93F14D34728}" srcOrd="1" destOrd="0" presId="urn:microsoft.com/office/officeart/2005/8/layout/h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0298D2-25B7-4C15-9383-DFD0AF2A6C36}">
      <dsp:nvSpPr>
        <dsp:cNvPr id="0" name=""/>
        <dsp:cNvSpPr/>
      </dsp:nvSpPr>
      <dsp:spPr>
        <a:xfrm>
          <a:off x="1857" y="399117"/>
          <a:ext cx="1810940" cy="657935"/>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77216" rIns="135128" bIns="77216" numCol="1" spcCol="1270" anchor="ctr" anchorCtr="0">
          <a:noAutofit/>
        </a:bodyPr>
        <a:lstStyle/>
        <a:p>
          <a:pPr lvl="0" algn="ctr" defTabSz="844550">
            <a:lnSpc>
              <a:spcPct val="90000"/>
            </a:lnSpc>
            <a:spcBef>
              <a:spcPct val="0"/>
            </a:spcBef>
            <a:spcAft>
              <a:spcPct val="35000"/>
            </a:spcAft>
          </a:pPr>
          <a:r>
            <a:rPr lang="en-US" sz="1900" kern="1200">
              <a:latin typeface="Arial" panose="020B0604020202020204" pitchFamily="34" charset="0"/>
              <a:cs typeface="Arial" panose="020B0604020202020204" pitchFamily="34" charset="0"/>
            </a:rPr>
            <a:t>Functional benefits</a:t>
          </a:r>
        </a:p>
      </dsp:txBody>
      <dsp:txXfrm>
        <a:off x="1857" y="399117"/>
        <a:ext cx="1810940" cy="657935"/>
      </dsp:txXfrm>
    </dsp:sp>
    <dsp:sp modelId="{B60FEC83-5096-46E4-B56E-89DAF1E7DD2C}">
      <dsp:nvSpPr>
        <dsp:cNvPr id="0" name=""/>
        <dsp:cNvSpPr/>
      </dsp:nvSpPr>
      <dsp:spPr>
        <a:xfrm>
          <a:off x="1857" y="1057052"/>
          <a:ext cx="1810940" cy="1877579"/>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US" sz="1900" kern="1200">
              <a:latin typeface="Arial" panose="020B0604020202020204" pitchFamily="34" charset="0"/>
              <a:cs typeface="Arial" panose="020B0604020202020204" pitchFamily="34" charset="0"/>
            </a:rPr>
            <a:t>Automation</a:t>
          </a:r>
        </a:p>
        <a:p>
          <a:pPr marL="171450" lvl="1" indent="-171450" algn="l" defTabSz="844550">
            <a:lnSpc>
              <a:spcPct val="90000"/>
            </a:lnSpc>
            <a:spcBef>
              <a:spcPct val="0"/>
            </a:spcBef>
            <a:spcAft>
              <a:spcPct val="15000"/>
            </a:spcAft>
            <a:buChar char="••"/>
          </a:pPr>
          <a:r>
            <a:rPr lang="en-US" sz="1900" kern="1200">
              <a:latin typeface="Arial" panose="020B0604020202020204" pitchFamily="34" charset="0"/>
              <a:cs typeface="Arial" panose="020B0604020202020204" pitchFamily="34" charset="0"/>
            </a:rPr>
            <a:t>Enhanced collaboration</a:t>
          </a:r>
        </a:p>
        <a:p>
          <a:pPr marL="171450" lvl="1" indent="-171450" algn="l" defTabSz="844550">
            <a:lnSpc>
              <a:spcPct val="90000"/>
            </a:lnSpc>
            <a:spcBef>
              <a:spcPct val="0"/>
            </a:spcBef>
            <a:spcAft>
              <a:spcPct val="15000"/>
            </a:spcAft>
            <a:buChar char="••"/>
          </a:pPr>
          <a:r>
            <a:rPr lang="en-US" sz="1900" kern="1200">
              <a:latin typeface="Arial" panose="020B0604020202020204" pitchFamily="34" charset="0"/>
              <a:cs typeface="Arial" panose="020B0604020202020204" pitchFamily="34" charset="0"/>
            </a:rPr>
            <a:t>Data-driven decision-making</a:t>
          </a:r>
        </a:p>
      </dsp:txBody>
      <dsp:txXfrm>
        <a:off x="1857" y="1057052"/>
        <a:ext cx="1810940" cy="1877579"/>
      </dsp:txXfrm>
    </dsp:sp>
    <dsp:sp modelId="{F924D8BD-3596-4130-AD7B-D49804A12484}">
      <dsp:nvSpPr>
        <dsp:cNvPr id="0" name=""/>
        <dsp:cNvSpPr/>
      </dsp:nvSpPr>
      <dsp:spPr>
        <a:xfrm>
          <a:off x="2066329" y="399117"/>
          <a:ext cx="1810940" cy="657935"/>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77216" rIns="135128" bIns="77216" numCol="1" spcCol="1270" anchor="ctr" anchorCtr="0">
          <a:noAutofit/>
        </a:bodyPr>
        <a:lstStyle/>
        <a:p>
          <a:pPr lvl="0" algn="ctr" defTabSz="844550">
            <a:lnSpc>
              <a:spcPct val="90000"/>
            </a:lnSpc>
            <a:spcBef>
              <a:spcPct val="0"/>
            </a:spcBef>
            <a:spcAft>
              <a:spcPct val="35000"/>
            </a:spcAft>
          </a:pPr>
          <a:r>
            <a:rPr lang="en-US" sz="1900" kern="1200">
              <a:latin typeface="Arial" panose="020B0604020202020204" pitchFamily="34" charset="0"/>
              <a:cs typeface="Arial" panose="020B0604020202020204" pitchFamily="34" charset="0"/>
            </a:rPr>
            <a:t>Emotional benefits</a:t>
          </a:r>
        </a:p>
      </dsp:txBody>
      <dsp:txXfrm>
        <a:off x="2066329" y="399117"/>
        <a:ext cx="1810940" cy="657935"/>
      </dsp:txXfrm>
    </dsp:sp>
    <dsp:sp modelId="{082B5757-35B2-4073-BD13-CABE0D043BE4}">
      <dsp:nvSpPr>
        <dsp:cNvPr id="0" name=""/>
        <dsp:cNvSpPr/>
      </dsp:nvSpPr>
      <dsp:spPr>
        <a:xfrm>
          <a:off x="2066329" y="1057052"/>
          <a:ext cx="1810940" cy="1877579"/>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US" sz="1900" kern="1200">
              <a:latin typeface="Arial" panose="020B0604020202020204" pitchFamily="34" charset="0"/>
              <a:cs typeface="Arial" panose="020B0604020202020204" pitchFamily="34" charset="0"/>
            </a:rPr>
            <a:t>Reduced stress </a:t>
          </a:r>
        </a:p>
        <a:p>
          <a:pPr marL="171450" lvl="1" indent="-171450" algn="l" defTabSz="844550">
            <a:lnSpc>
              <a:spcPct val="90000"/>
            </a:lnSpc>
            <a:spcBef>
              <a:spcPct val="0"/>
            </a:spcBef>
            <a:spcAft>
              <a:spcPct val="15000"/>
            </a:spcAft>
            <a:buChar char="••"/>
          </a:pPr>
          <a:r>
            <a:rPr lang="en-US" sz="1900" kern="1200">
              <a:latin typeface="Arial" panose="020B0604020202020204" pitchFamily="34" charset="0"/>
              <a:cs typeface="Arial" panose="020B0604020202020204" pitchFamily="34" charset="0"/>
            </a:rPr>
            <a:t>Improved work-life balance</a:t>
          </a:r>
        </a:p>
      </dsp:txBody>
      <dsp:txXfrm>
        <a:off x="2066329" y="1057052"/>
        <a:ext cx="1810940" cy="1877579"/>
      </dsp:txXfrm>
    </dsp:sp>
    <dsp:sp modelId="{3A3319C4-CB31-497E-8F2A-6CB02B6AC2B0}">
      <dsp:nvSpPr>
        <dsp:cNvPr id="0" name=""/>
        <dsp:cNvSpPr/>
      </dsp:nvSpPr>
      <dsp:spPr>
        <a:xfrm>
          <a:off x="4130801" y="399117"/>
          <a:ext cx="1810940" cy="657935"/>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77216" rIns="135128" bIns="77216" numCol="1" spcCol="1270" anchor="ctr" anchorCtr="0">
          <a:noAutofit/>
        </a:bodyPr>
        <a:lstStyle/>
        <a:p>
          <a:pPr lvl="0" algn="ctr" defTabSz="844550">
            <a:lnSpc>
              <a:spcPct val="90000"/>
            </a:lnSpc>
            <a:spcBef>
              <a:spcPct val="0"/>
            </a:spcBef>
            <a:spcAft>
              <a:spcPct val="35000"/>
            </a:spcAft>
          </a:pPr>
          <a:r>
            <a:rPr lang="en-US" sz="1900" kern="1200">
              <a:latin typeface="Arial" panose="020B0604020202020204" pitchFamily="34" charset="0"/>
              <a:cs typeface="Arial" panose="020B0604020202020204" pitchFamily="34" charset="0"/>
            </a:rPr>
            <a:t>Economic benefits</a:t>
          </a:r>
        </a:p>
      </dsp:txBody>
      <dsp:txXfrm>
        <a:off x="4130801" y="399117"/>
        <a:ext cx="1810940" cy="657935"/>
      </dsp:txXfrm>
    </dsp:sp>
    <dsp:sp modelId="{9CCE1CE8-7C9D-4B78-953C-B93F14D34728}">
      <dsp:nvSpPr>
        <dsp:cNvPr id="0" name=""/>
        <dsp:cNvSpPr/>
      </dsp:nvSpPr>
      <dsp:spPr>
        <a:xfrm>
          <a:off x="4130801" y="1057052"/>
          <a:ext cx="1810940" cy="1877579"/>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US" sz="1900" kern="1200">
              <a:latin typeface="Arial" panose="020B0604020202020204" pitchFamily="34" charset="0"/>
              <a:cs typeface="Arial" panose="020B0604020202020204" pitchFamily="34" charset="0"/>
            </a:rPr>
            <a:t>Increased efficiency </a:t>
          </a:r>
        </a:p>
        <a:p>
          <a:pPr marL="171450" lvl="1" indent="-171450" algn="l" defTabSz="844550">
            <a:lnSpc>
              <a:spcPct val="90000"/>
            </a:lnSpc>
            <a:spcBef>
              <a:spcPct val="0"/>
            </a:spcBef>
            <a:spcAft>
              <a:spcPct val="15000"/>
            </a:spcAft>
            <a:buChar char="••"/>
          </a:pPr>
          <a:r>
            <a:rPr lang="en-US" sz="1900" kern="1200">
              <a:latin typeface="Arial" panose="020B0604020202020204" pitchFamily="34" charset="0"/>
              <a:cs typeface="Arial" panose="020B0604020202020204" pitchFamily="34" charset="0"/>
            </a:rPr>
            <a:t>Cost savings</a:t>
          </a:r>
        </a:p>
      </dsp:txBody>
      <dsp:txXfrm>
        <a:off x="4130801" y="1057052"/>
        <a:ext cx="1810940" cy="1877579"/>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35035-4CEB-4648-89D0-D93397DE4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3583</Words>
  <Pages>22</Pages>
  <Characters>27864</Characters>
  <Application>WPS Office</Application>
  <DocSecurity>0</DocSecurity>
  <Paragraphs>182</Paragraphs>
  <ScaleCrop>false</ScaleCrop>
  <LinksUpToDate>false</LinksUpToDate>
  <CharactersWithSpaces>31399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2026-04-30T08:50:00Z</dcterms:created>
  <dc:creator>USER</dc:creator>
  <lastModifiedBy>CPH2527</lastModifiedBy>
  <dcterms:modified xsi:type="dcterms:W3CDTF">2026-04-30T11:18:27Z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20b699db72b9466fa91eb4eefe48a124</vt:lpwstr>
  </property>
</Properties>
</file>