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E2E70" w14:textId="77777777" w:rsidR="001F5ABD" w:rsidRPr="001F5ABD" w:rsidRDefault="001F5ABD" w:rsidP="001F5ABD">
      <w:pPr>
        <w:pStyle w:val="NormalWeb"/>
        <w:spacing w:line="360" w:lineRule="auto"/>
        <w:jc w:val="center"/>
        <w:rPr>
          <w:rFonts w:ascii="Arial" w:hAnsi="Arial" w:cs="Arial"/>
          <w:sz w:val="40"/>
          <w:szCs w:val="40"/>
        </w:rPr>
      </w:pPr>
    </w:p>
    <w:p w14:paraId="07BC354C" w14:textId="68AB7EB3" w:rsidR="001F5ABD" w:rsidRPr="001F5ABD" w:rsidRDefault="001F5ABD" w:rsidP="001F5ABD">
      <w:pPr>
        <w:pStyle w:val="NormalWeb"/>
        <w:jc w:val="center"/>
        <w:rPr>
          <w:rFonts w:ascii="Arial" w:hAnsi="Arial" w:cs="Arial"/>
          <w:sz w:val="40"/>
          <w:szCs w:val="40"/>
        </w:rPr>
      </w:pPr>
      <w:r w:rsidRPr="001F5ABD">
        <w:rPr>
          <w:rFonts w:ascii="Arial" w:hAnsi="Arial" w:cs="Arial"/>
          <w:b/>
          <w:bCs/>
          <w:sz w:val="40"/>
          <w:szCs w:val="40"/>
        </w:rPr>
        <w:t>Module Code:</w:t>
      </w:r>
      <w:r w:rsidRPr="001F5ABD">
        <w:rPr>
          <w:rFonts w:ascii="Arial" w:hAnsi="Arial" w:cs="Arial"/>
          <w:sz w:val="40"/>
          <w:szCs w:val="40"/>
        </w:rPr>
        <w:t xml:space="preserve"> BMIH5006</w:t>
      </w:r>
    </w:p>
    <w:p w14:paraId="0A5DC369" w14:textId="16287E68" w:rsidR="001F5ABD" w:rsidRPr="001F5ABD" w:rsidRDefault="001F5ABD" w:rsidP="001F5ABD">
      <w:pPr>
        <w:pStyle w:val="NormalWeb"/>
        <w:jc w:val="center"/>
        <w:rPr>
          <w:rFonts w:ascii="Arial" w:hAnsi="Arial" w:cs="Arial"/>
          <w:sz w:val="40"/>
          <w:szCs w:val="40"/>
        </w:rPr>
      </w:pPr>
      <w:r w:rsidRPr="001F5ABD">
        <w:rPr>
          <w:rFonts w:ascii="Arial" w:hAnsi="Arial" w:cs="Arial"/>
          <w:b/>
          <w:bCs/>
          <w:sz w:val="40"/>
          <w:szCs w:val="40"/>
        </w:rPr>
        <w:t>Module Name:</w:t>
      </w:r>
      <w:r w:rsidRPr="001F5ABD">
        <w:rPr>
          <w:rFonts w:ascii="Arial" w:hAnsi="Arial" w:cs="Arial"/>
          <w:sz w:val="40"/>
          <w:szCs w:val="40"/>
        </w:rPr>
        <w:t xml:space="preserve"> Sustainable Hospitality &amp; Tourism Management</w:t>
      </w:r>
    </w:p>
    <w:p w14:paraId="4BDE4F03" w14:textId="126CE086" w:rsidR="001F5ABD" w:rsidRPr="001F5ABD" w:rsidRDefault="001F5ABD" w:rsidP="001F5ABD">
      <w:pPr>
        <w:pStyle w:val="NormalWeb"/>
        <w:jc w:val="center"/>
        <w:rPr>
          <w:rFonts w:ascii="Arial" w:hAnsi="Arial" w:cs="Arial"/>
          <w:sz w:val="40"/>
          <w:szCs w:val="40"/>
        </w:rPr>
      </w:pPr>
      <w:r w:rsidRPr="001F5ABD">
        <w:rPr>
          <w:rFonts w:ascii="Arial" w:hAnsi="Arial" w:cs="Arial"/>
          <w:b/>
          <w:bCs/>
          <w:sz w:val="40"/>
          <w:szCs w:val="40"/>
        </w:rPr>
        <w:t>Lecturer Name:</w:t>
      </w:r>
      <w:r w:rsidRPr="001F5ABD">
        <w:rPr>
          <w:rFonts w:ascii="Arial" w:hAnsi="Arial" w:cs="Arial"/>
          <w:sz w:val="40"/>
          <w:szCs w:val="40"/>
        </w:rPr>
        <w:t xml:space="preserve"> Lisa Knight</w:t>
      </w:r>
    </w:p>
    <w:p w14:paraId="11DD0A36" w14:textId="2170AB4C" w:rsidR="001F5ABD" w:rsidRPr="001F5ABD" w:rsidRDefault="001F5ABD" w:rsidP="001F5ABD">
      <w:pPr>
        <w:pStyle w:val="NormalWeb"/>
        <w:jc w:val="center"/>
        <w:rPr>
          <w:rFonts w:ascii="Arial" w:hAnsi="Arial" w:cs="Arial"/>
          <w:b/>
          <w:bCs/>
          <w:sz w:val="40"/>
          <w:szCs w:val="40"/>
        </w:rPr>
      </w:pPr>
      <w:r w:rsidRPr="001F5ABD">
        <w:rPr>
          <w:rFonts w:ascii="Arial" w:hAnsi="Arial" w:cs="Arial"/>
          <w:b/>
          <w:bCs/>
          <w:sz w:val="40"/>
          <w:szCs w:val="40"/>
        </w:rPr>
        <w:t>Student Name:</w:t>
      </w:r>
      <w:r>
        <w:rPr>
          <w:rFonts w:ascii="Arial" w:hAnsi="Arial" w:cs="Arial"/>
          <w:b/>
          <w:bCs/>
          <w:sz w:val="40"/>
          <w:szCs w:val="40"/>
        </w:rPr>
        <w:t xml:space="preserve"> </w:t>
      </w:r>
      <w:r w:rsidR="006B7A80">
        <w:rPr>
          <w:rFonts w:ascii="Arial" w:hAnsi="Arial" w:cs="Arial"/>
          <w:sz w:val="40"/>
          <w:szCs w:val="40"/>
        </w:rPr>
        <w:t>Elena-Madalina Vilceanu</w:t>
      </w:r>
    </w:p>
    <w:p w14:paraId="2FFCD222" w14:textId="3BF3CD7A" w:rsidR="001F5ABD" w:rsidRPr="001F5ABD" w:rsidRDefault="001F5ABD" w:rsidP="001F5ABD">
      <w:pPr>
        <w:pStyle w:val="NormalWeb"/>
        <w:jc w:val="center"/>
        <w:rPr>
          <w:rFonts w:ascii="Arial" w:hAnsi="Arial" w:cs="Arial"/>
          <w:sz w:val="40"/>
          <w:szCs w:val="40"/>
        </w:rPr>
      </w:pPr>
      <w:r w:rsidRPr="001F5ABD">
        <w:rPr>
          <w:rFonts w:ascii="Arial" w:hAnsi="Arial" w:cs="Arial"/>
          <w:b/>
          <w:bCs/>
          <w:sz w:val="40"/>
          <w:szCs w:val="40"/>
        </w:rPr>
        <w:t>Student ID:</w:t>
      </w:r>
      <w:r w:rsidRPr="001F5ABD">
        <w:rPr>
          <w:rFonts w:ascii="Arial" w:hAnsi="Arial" w:cs="Arial"/>
          <w:sz w:val="40"/>
          <w:szCs w:val="40"/>
        </w:rPr>
        <w:t xml:space="preserve"> 1815431</w:t>
      </w:r>
    </w:p>
    <w:p w14:paraId="6134C483" w14:textId="2A89FE0F" w:rsidR="001F5ABD" w:rsidRDefault="001F5ABD" w:rsidP="009E2051">
      <w:pPr>
        <w:pStyle w:val="NormalWeb"/>
        <w:spacing w:line="360" w:lineRule="auto"/>
        <w:jc w:val="both"/>
        <w:rPr>
          <w:rFonts w:ascii="Arial" w:hAnsi="Arial" w:cs="Arial"/>
        </w:rPr>
      </w:pPr>
    </w:p>
    <w:p w14:paraId="4CB25099" w14:textId="77777777" w:rsidR="001F5ABD" w:rsidRDefault="001F5ABD" w:rsidP="009E2051">
      <w:pPr>
        <w:pStyle w:val="NormalWeb"/>
        <w:spacing w:line="360" w:lineRule="auto"/>
        <w:jc w:val="both"/>
        <w:rPr>
          <w:rFonts w:ascii="Arial" w:hAnsi="Arial" w:cs="Arial"/>
        </w:rPr>
      </w:pPr>
    </w:p>
    <w:p w14:paraId="51CE71E4" w14:textId="77777777" w:rsidR="001F5ABD" w:rsidRDefault="001F5ABD" w:rsidP="009E2051">
      <w:pPr>
        <w:pStyle w:val="NormalWeb"/>
        <w:spacing w:line="360" w:lineRule="auto"/>
        <w:jc w:val="both"/>
        <w:rPr>
          <w:rFonts w:ascii="Arial" w:hAnsi="Arial" w:cs="Arial"/>
        </w:rPr>
      </w:pPr>
    </w:p>
    <w:p w14:paraId="6AC68E3D" w14:textId="77777777" w:rsidR="001F5ABD" w:rsidRDefault="001F5ABD" w:rsidP="009E2051">
      <w:pPr>
        <w:pStyle w:val="NormalWeb"/>
        <w:spacing w:line="360" w:lineRule="auto"/>
        <w:jc w:val="both"/>
        <w:rPr>
          <w:rFonts w:ascii="Arial" w:hAnsi="Arial" w:cs="Arial"/>
        </w:rPr>
      </w:pPr>
    </w:p>
    <w:p w14:paraId="15D845F9" w14:textId="77777777" w:rsidR="001F5ABD" w:rsidRDefault="001F5ABD" w:rsidP="009E2051">
      <w:pPr>
        <w:pStyle w:val="NormalWeb"/>
        <w:spacing w:line="360" w:lineRule="auto"/>
        <w:jc w:val="both"/>
        <w:rPr>
          <w:rFonts w:ascii="Arial" w:hAnsi="Arial" w:cs="Arial"/>
        </w:rPr>
      </w:pPr>
    </w:p>
    <w:p w14:paraId="35EBC23B" w14:textId="77777777" w:rsidR="001F5ABD" w:rsidRDefault="001F5ABD" w:rsidP="009E2051">
      <w:pPr>
        <w:pStyle w:val="NormalWeb"/>
        <w:spacing w:line="360" w:lineRule="auto"/>
        <w:jc w:val="both"/>
        <w:rPr>
          <w:rFonts w:ascii="Arial" w:hAnsi="Arial" w:cs="Arial"/>
        </w:rPr>
      </w:pPr>
    </w:p>
    <w:p w14:paraId="4960B2F6" w14:textId="77777777" w:rsidR="001F5ABD" w:rsidRDefault="001F5ABD" w:rsidP="009E2051">
      <w:pPr>
        <w:pStyle w:val="NormalWeb"/>
        <w:spacing w:line="360" w:lineRule="auto"/>
        <w:jc w:val="both"/>
        <w:rPr>
          <w:rFonts w:ascii="Arial" w:hAnsi="Arial" w:cs="Arial"/>
        </w:rPr>
      </w:pPr>
    </w:p>
    <w:p w14:paraId="295C7A2E" w14:textId="77777777" w:rsidR="001F5ABD" w:rsidRDefault="001F5ABD" w:rsidP="009E2051">
      <w:pPr>
        <w:pStyle w:val="NormalWeb"/>
        <w:spacing w:line="360" w:lineRule="auto"/>
        <w:jc w:val="both"/>
        <w:rPr>
          <w:rFonts w:ascii="Arial" w:hAnsi="Arial" w:cs="Arial"/>
        </w:rPr>
      </w:pPr>
    </w:p>
    <w:p w14:paraId="2401F07A" w14:textId="77777777" w:rsidR="001F5ABD" w:rsidRDefault="001F5ABD" w:rsidP="009E2051">
      <w:pPr>
        <w:pStyle w:val="NormalWeb"/>
        <w:spacing w:line="360" w:lineRule="auto"/>
        <w:jc w:val="both"/>
        <w:rPr>
          <w:rFonts w:ascii="Arial" w:hAnsi="Arial" w:cs="Arial"/>
        </w:rPr>
      </w:pPr>
    </w:p>
    <w:p w14:paraId="53EDD110" w14:textId="77777777" w:rsidR="001F5ABD" w:rsidRDefault="001F5ABD" w:rsidP="009E2051">
      <w:pPr>
        <w:pStyle w:val="NormalWeb"/>
        <w:spacing w:line="360" w:lineRule="auto"/>
        <w:jc w:val="both"/>
        <w:rPr>
          <w:rFonts w:ascii="Arial" w:hAnsi="Arial" w:cs="Arial"/>
        </w:rPr>
      </w:pPr>
    </w:p>
    <w:p w14:paraId="3926DC6A" w14:textId="77777777" w:rsidR="001F5ABD" w:rsidRDefault="001F5ABD" w:rsidP="009E2051">
      <w:pPr>
        <w:pStyle w:val="NormalWeb"/>
        <w:spacing w:line="360" w:lineRule="auto"/>
        <w:jc w:val="both"/>
        <w:rPr>
          <w:rFonts w:ascii="Arial" w:hAnsi="Arial" w:cs="Arial"/>
        </w:rPr>
      </w:pPr>
    </w:p>
    <w:p w14:paraId="6C2A9275" w14:textId="77777777" w:rsidR="001F5ABD" w:rsidRDefault="001F5ABD" w:rsidP="009E2051">
      <w:pPr>
        <w:pStyle w:val="NormalWeb"/>
        <w:spacing w:line="360" w:lineRule="auto"/>
        <w:jc w:val="both"/>
        <w:rPr>
          <w:rFonts w:ascii="Arial" w:hAnsi="Arial" w:cs="Arial"/>
        </w:rPr>
      </w:pPr>
    </w:p>
    <w:p w14:paraId="07D7FAE1" w14:textId="77777777" w:rsidR="00684381" w:rsidRDefault="00684381" w:rsidP="001F5ABD">
      <w:pPr>
        <w:pStyle w:val="NormalWeb"/>
        <w:spacing w:line="360" w:lineRule="auto"/>
        <w:jc w:val="both"/>
        <w:rPr>
          <w:rFonts w:ascii="Arial" w:hAnsi="Arial" w:cs="Arial"/>
        </w:rPr>
        <w:sectPr w:rsidR="00684381">
          <w:footerReference w:type="even" r:id="rId6"/>
          <w:footerReference w:type="default" r:id="rId7"/>
          <w:pgSz w:w="11906" w:h="16838"/>
          <w:pgMar w:top="1440" w:right="1440" w:bottom="1440" w:left="1440" w:header="708" w:footer="708" w:gutter="0"/>
          <w:cols w:space="708"/>
          <w:docGrid w:linePitch="360"/>
        </w:sectPr>
      </w:pPr>
    </w:p>
    <w:p w14:paraId="124803AC" w14:textId="77777777" w:rsidR="001F5ABD" w:rsidRPr="001F5ABD" w:rsidRDefault="001F5ABD" w:rsidP="001F5ABD">
      <w:pPr>
        <w:pStyle w:val="NormalWeb"/>
        <w:spacing w:line="360" w:lineRule="auto"/>
        <w:jc w:val="both"/>
        <w:rPr>
          <w:rFonts w:ascii="Arial" w:hAnsi="Arial" w:cs="Arial"/>
        </w:rPr>
      </w:pPr>
      <w:r w:rsidRPr="001F5ABD">
        <w:rPr>
          <w:rFonts w:ascii="Arial" w:hAnsi="Arial" w:cs="Arial"/>
        </w:rPr>
        <w:lastRenderedPageBreak/>
        <w:t>Corporate Social Responsibility (CSR) refers to the ethical practices and behaviours companies should adopt regarding the environment, society, and their stakeholders (Fordham and Robinson, 2018). CSR entails practices that seek to reduce environmental damage, help local communities, and promote fair wages and labour conditions, while still maintaining the company’s profits. For this reason, the concept has gained significant popularity in recent years, especially in sectors like hospitality, where companies need to balance quality services and sustainability.</w:t>
      </w:r>
    </w:p>
    <w:p w14:paraId="6FC19CCC" w14:textId="77777777" w:rsidR="001F5ABD" w:rsidRPr="001F5ABD" w:rsidRDefault="001F5ABD" w:rsidP="001F5ABD">
      <w:pPr>
        <w:pStyle w:val="NormalWeb"/>
        <w:spacing w:line="360" w:lineRule="auto"/>
        <w:jc w:val="both"/>
        <w:rPr>
          <w:rFonts w:ascii="Arial" w:hAnsi="Arial" w:cs="Arial"/>
        </w:rPr>
      </w:pPr>
      <w:r w:rsidRPr="001F5ABD">
        <w:rPr>
          <w:rFonts w:ascii="Arial" w:hAnsi="Arial" w:cs="Arial"/>
        </w:rPr>
        <w:t>The purpose of this essay is to examine how The Ritz Paris, one of the most famous hotels in the world, integrates CSR to promote sustainable practices. The hotel is renowned for its elegance, history, and, more recently, for its efforts to reduce its environmental footprint and enhance its social contributions (The Ritz-Carlton, 2023). Furthermore, the essay will evaluate the impact of the CSR activities implemented by the company on the local community and environment. It will also discuss the influence of French legislation on the hotel's approach to responsible business practices, as well as the potential challenges the hotel still faces when implementing CSR.</w:t>
      </w:r>
    </w:p>
    <w:p w14:paraId="7C708600" w14:textId="76656657" w:rsidR="001F5ABD" w:rsidRDefault="001F5ABD" w:rsidP="009E2051">
      <w:pPr>
        <w:pStyle w:val="NormalWeb"/>
        <w:spacing w:line="360" w:lineRule="auto"/>
        <w:jc w:val="both"/>
        <w:rPr>
          <w:rFonts w:ascii="Arial" w:hAnsi="Arial" w:cs="Arial"/>
        </w:rPr>
      </w:pPr>
      <w:r w:rsidRPr="001F5ABD">
        <w:rPr>
          <w:rFonts w:ascii="Arial" w:hAnsi="Arial" w:cs="Arial"/>
        </w:rPr>
        <w:t>The Ritz Paris began integrating CSR activities into its operations in 2003 when it established the Community Footprints, a charity aimed at supporting local communities, education, and the environment (Ritz-Carlton, 2023). Additionally, the company has made it its mission since 1983 to bring a positive impact to the community and environment, while maintaining its commitment to providing luxurious services. The concept of CSR was introduced in academia in the 1950s and gained popularity from the 1980s (</w:t>
      </w:r>
      <w:proofErr w:type="spellStart"/>
      <w:r w:rsidRPr="001F5ABD">
        <w:rPr>
          <w:rFonts w:ascii="Arial" w:hAnsi="Arial" w:cs="Arial"/>
        </w:rPr>
        <w:t>Agudelo</w:t>
      </w:r>
      <w:proofErr w:type="spellEnd"/>
      <w:r w:rsidRPr="001F5ABD">
        <w:rPr>
          <w:rFonts w:ascii="Arial" w:hAnsi="Arial" w:cs="Arial"/>
        </w:rPr>
        <w:t xml:space="preserve">, </w:t>
      </w:r>
      <w:proofErr w:type="spellStart"/>
      <w:r w:rsidRPr="001F5ABD">
        <w:rPr>
          <w:rFonts w:ascii="Arial" w:hAnsi="Arial" w:cs="Arial"/>
        </w:rPr>
        <w:t>Jóhannsdóttir</w:t>
      </w:r>
      <w:proofErr w:type="spellEnd"/>
      <w:r w:rsidRPr="001F5ABD">
        <w:rPr>
          <w:rFonts w:ascii="Arial" w:hAnsi="Arial" w:cs="Arial"/>
        </w:rPr>
        <w:t xml:space="preserve"> and </w:t>
      </w:r>
      <w:proofErr w:type="spellStart"/>
      <w:r w:rsidRPr="001F5ABD">
        <w:rPr>
          <w:rFonts w:ascii="Arial" w:hAnsi="Arial" w:cs="Arial"/>
        </w:rPr>
        <w:t>Davídsdóttir</w:t>
      </w:r>
      <w:proofErr w:type="spellEnd"/>
      <w:r w:rsidRPr="001F5ABD">
        <w:rPr>
          <w:rFonts w:ascii="Arial" w:hAnsi="Arial" w:cs="Arial"/>
        </w:rPr>
        <w:t>, 2019). The fact that The Ritz Paris adopted the concept so early on demonstrates its commitment towards bettering society and the environment. Although they began adopting CSR early, their practices were not well-established initially, as expected. Over time, however, their efforts have evolved to encompass a wide range of initiatives aimed at balancing luxury with responsibility, from energy conservation efforts to community engagement.</w:t>
      </w:r>
    </w:p>
    <w:p w14:paraId="6A595445" w14:textId="77777777" w:rsidR="001F5ABD" w:rsidRPr="001F5ABD" w:rsidRDefault="001F5ABD" w:rsidP="001F5ABD">
      <w:pPr>
        <w:pStyle w:val="NormalWeb"/>
        <w:spacing w:line="360" w:lineRule="auto"/>
        <w:jc w:val="both"/>
        <w:rPr>
          <w:rFonts w:ascii="Arial" w:hAnsi="Arial" w:cs="Arial"/>
        </w:rPr>
      </w:pPr>
      <w:r w:rsidRPr="001F5ABD">
        <w:rPr>
          <w:rFonts w:ascii="Arial" w:hAnsi="Arial" w:cs="Arial"/>
        </w:rPr>
        <w:t xml:space="preserve">A central aspect of the hotel’s CSR approach is environmental sustainability. The hotel aims to reduce energy use, water consumption, and waste generation through modern technologies and practices to minimise its ecological impact. The Ritz Paris has introduced advanced technologies for energy savings throughout the property, such </w:t>
      </w:r>
      <w:r w:rsidRPr="001F5ABD">
        <w:rPr>
          <w:rFonts w:ascii="Arial" w:hAnsi="Arial" w:cs="Arial"/>
        </w:rPr>
        <w:lastRenderedPageBreak/>
        <w:t>as LED lighting systems, intelligent heating and cooling systems, and motion-sensor lights in low-traffic areas (</w:t>
      </w:r>
      <w:proofErr w:type="spellStart"/>
      <w:r w:rsidRPr="001F5ABD">
        <w:rPr>
          <w:rFonts w:ascii="Arial" w:hAnsi="Arial" w:cs="Arial"/>
        </w:rPr>
        <w:t>Kolobkova</w:t>
      </w:r>
      <w:proofErr w:type="spellEnd"/>
      <w:r w:rsidRPr="001F5ABD">
        <w:rPr>
          <w:rFonts w:ascii="Arial" w:hAnsi="Arial" w:cs="Arial"/>
        </w:rPr>
        <w:t>, Romanov and Frolova, 2021). Additionally, the company has implemented systems that monitor energy use to reduce unnecessary consumption. These measures not only have a positive impact in reducing greenhouse gas emissions but also reduce the hotel’s overall energy consumption and, therefore, costs. This aligns with research by Levy and Park (2014), who have shown that such efforts positively affect the environment while helping the company save costs and improve its brand image.</w:t>
      </w:r>
    </w:p>
    <w:p w14:paraId="0002D2E2" w14:textId="77777777" w:rsidR="001F5ABD" w:rsidRPr="001F5ABD" w:rsidRDefault="001F5ABD" w:rsidP="001F5ABD">
      <w:pPr>
        <w:pStyle w:val="NormalWeb"/>
        <w:spacing w:line="360" w:lineRule="auto"/>
        <w:jc w:val="both"/>
        <w:rPr>
          <w:rFonts w:ascii="Arial" w:hAnsi="Arial" w:cs="Arial"/>
        </w:rPr>
      </w:pPr>
      <w:r w:rsidRPr="001F5ABD">
        <w:rPr>
          <w:rFonts w:ascii="Arial" w:hAnsi="Arial" w:cs="Arial"/>
        </w:rPr>
        <w:t xml:space="preserve">Another significant environmental effort has been reducing water consumption. A hotel of similar size to The Ritz Paris consumes, on average, 1,500 litres of water per room, which is far higher than the accepted level. Given that water scarcity affects more than 40% of the world’s population, it is imperative for luxury hotels in developed countries like The Ritz Paris to reduce their water consumption (Sustainable Hospitality Alliance, 2023). To combat this issue, The Ritz Paris has adopted fixtures in guest rooms, such as </w:t>
      </w:r>
      <w:proofErr w:type="gramStart"/>
      <w:r w:rsidRPr="001F5ABD">
        <w:rPr>
          <w:rFonts w:ascii="Arial" w:hAnsi="Arial" w:cs="Arial"/>
        </w:rPr>
        <w:t>low-flow</w:t>
      </w:r>
      <w:proofErr w:type="gramEnd"/>
      <w:r w:rsidRPr="001F5ABD">
        <w:rPr>
          <w:rFonts w:ascii="Arial" w:hAnsi="Arial" w:cs="Arial"/>
        </w:rPr>
        <w:t xml:space="preserve"> taps and showers, which reduce the amount of water flowing through them without compromising the guest experience (</w:t>
      </w:r>
      <w:proofErr w:type="spellStart"/>
      <w:r w:rsidRPr="001F5ABD">
        <w:rPr>
          <w:rFonts w:ascii="Arial" w:hAnsi="Arial" w:cs="Arial"/>
        </w:rPr>
        <w:t>Fidar</w:t>
      </w:r>
      <w:proofErr w:type="spellEnd"/>
      <w:r w:rsidRPr="001F5ABD">
        <w:rPr>
          <w:rFonts w:ascii="Arial" w:hAnsi="Arial" w:cs="Arial"/>
        </w:rPr>
        <w:t xml:space="preserve">, Memon and Butler, 2016). Additionally, the hotel has introduced water recycling systems in its laundry and housekeeping departments to reduce water waste. These measures help conserve one of the most valuable resources on earth while also reducing the company’s operational costs (Amaral </w:t>
      </w:r>
      <w:r w:rsidRPr="001F5ABD">
        <w:rPr>
          <w:rFonts w:ascii="Arial" w:hAnsi="Arial" w:cs="Arial"/>
          <w:i/>
          <w:iCs/>
        </w:rPr>
        <w:t>et al</w:t>
      </w:r>
      <w:r w:rsidRPr="001F5ABD">
        <w:rPr>
          <w:rFonts w:ascii="Arial" w:hAnsi="Arial" w:cs="Arial"/>
        </w:rPr>
        <w:t>., 2020).</w:t>
      </w:r>
    </w:p>
    <w:p w14:paraId="2720C69A" w14:textId="77777777" w:rsidR="001F5ABD" w:rsidRDefault="001F5ABD" w:rsidP="009E2051">
      <w:pPr>
        <w:pStyle w:val="NormalWeb"/>
        <w:spacing w:line="360" w:lineRule="auto"/>
        <w:jc w:val="both"/>
        <w:rPr>
          <w:rFonts w:ascii="Arial" w:hAnsi="Arial" w:cs="Arial"/>
        </w:rPr>
      </w:pPr>
      <w:r w:rsidRPr="001F5ABD">
        <w:rPr>
          <w:rFonts w:ascii="Arial" w:hAnsi="Arial" w:cs="Arial"/>
        </w:rPr>
        <w:t xml:space="preserve">The hotel is not only known for its luxurious rooms but also for its quality services, particularly its cuisine. To reduce the carbon footprint associated with transporting food from other countries or regions, the hotel has partnered with local farmers to use seasonal and organic products. Additionally, the company has engaged with local programmes to reduce food waste by redistributing surplus food to charities that help underprivileged communities (Ritz-Carlton, 2023). Research by </w:t>
      </w:r>
      <w:proofErr w:type="spellStart"/>
      <w:r w:rsidRPr="001F5ABD">
        <w:rPr>
          <w:rFonts w:ascii="Arial" w:hAnsi="Arial" w:cs="Arial"/>
        </w:rPr>
        <w:t>Amicarelli</w:t>
      </w:r>
      <w:proofErr w:type="spellEnd"/>
      <w:r w:rsidRPr="001F5ABD">
        <w:rPr>
          <w:rFonts w:ascii="Arial" w:hAnsi="Arial" w:cs="Arial"/>
        </w:rPr>
        <w:t xml:space="preserve"> </w:t>
      </w:r>
      <w:r w:rsidRPr="001F5ABD">
        <w:rPr>
          <w:rFonts w:ascii="Arial" w:hAnsi="Arial" w:cs="Arial"/>
          <w:i/>
          <w:iCs/>
        </w:rPr>
        <w:t>et al.</w:t>
      </w:r>
      <w:r w:rsidRPr="001F5ABD">
        <w:rPr>
          <w:rFonts w:ascii="Arial" w:hAnsi="Arial" w:cs="Arial"/>
        </w:rPr>
        <w:t xml:space="preserve"> (2021) has shown that partnerships between hotels and local charities are essential in reducing food waste. However, it is equally important for the hotel to reduce food waste at its source by accurately predicting guest attendance. An empirical study by Pirani and Arafat (2016) in the hotel industry in the UAE confirmed similar results. Therefore, The Ritz Paris should also focus on accurately calculating the number of meals required per guest to reduce food waste from the outset.</w:t>
      </w:r>
    </w:p>
    <w:p w14:paraId="778922F1" w14:textId="71DE0E7E" w:rsidR="001F5ABD" w:rsidRPr="001F5ABD" w:rsidRDefault="001F5ABD" w:rsidP="001F5ABD">
      <w:pPr>
        <w:pStyle w:val="NormalWeb"/>
        <w:spacing w:line="360" w:lineRule="auto"/>
        <w:jc w:val="both"/>
        <w:rPr>
          <w:rFonts w:ascii="Arial" w:hAnsi="Arial" w:cs="Arial"/>
        </w:rPr>
      </w:pPr>
      <w:r w:rsidRPr="001F5ABD">
        <w:rPr>
          <w:rFonts w:ascii="Arial" w:hAnsi="Arial" w:cs="Arial"/>
        </w:rPr>
        <w:lastRenderedPageBreak/>
        <w:t xml:space="preserve">Finally, the hotel has also focused on its impact on the local community and engaged actively with many charities and non-profit organisations to support local businesses. Their efforts in this direction show that the hotel views luxury tourism as increasingly environmentally and socially conscious. Furthermore, the hotel aims to promote fair labour conditions both within the hotel and throughout its supply chain to ensure compliance with French employment laws and ethical sourcing standards (Dewi </w:t>
      </w:r>
      <w:r w:rsidRPr="001F5ABD">
        <w:rPr>
          <w:rFonts w:ascii="Arial" w:hAnsi="Arial" w:cs="Arial"/>
          <w:i/>
          <w:iCs/>
        </w:rPr>
        <w:t>et al.</w:t>
      </w:r>
      <w:r w:rsidRPr="001F5ABD">
        <w:rPr>
          <w:rFonts w:ascii="Arial" w:hAnsi="Arial" w:cs="Arial"/>
        </w:rPr>
        <w:t>, 2022). The Ritz Paris aims to set a standard for how luxury hotels should operate while maintaining the same level of quality (Ritz</w:t>
      </w:r>
      <w:r>
        <w:rPr>
          <w:rFonts w:ascii="Arial" w:hAnsi="Arial" w:cs="Arial"/>
        </w:rPr>
        <w:t>-Carlton</w:t>
      </w:r>
      <w:r w:rsidRPr="001F5ABD">
        <w:rPr>
          <w:rFonts w:ascii="Arial" w:hAnsi="Arial" w:cs="Arial"/>
        </w:rPr>
        <w:t xml:space="preserve">, 2023). Butcher and </w:t>
      </w:r>
      <w:proofErr w:type="spellStart"/>
      <w:r w:rsidRPr="001F5ABD">
        <w:rPr>
          <w:rFonts w:ascii="Arial" w:hAnsi="Arial" w:cs="Arial"/>
        </w:rPr>
        <w:t>Chomvilailuk</w:t>
      </w:r>
      <w:proofErr w:type="spellEnd"/>
      <w:r w:rsidRPr="001F5ABD">
        <w:rPr>
          <w:rFonts w:ascii="Arial" w:hAnsi="Arial" w:cs="Arial"/>
        </w:rPr>
        <w:t xml:space="preserve"> (2022) conducted empirical studies using data from hotels in the US and Thailand and found that focusing on the local community has a positive impact on a hotel’s brand image. However, the authors also found that for CSR activities to be truly successful, they must be adopted by guests. Therefore, it is imperative for The Ritz Paris to take the lead in educating its guests on the importance of CSR and encouraging them to adopt these practices both on the hotel premises and beyond. For instance, the hotel has encouraged guests to use fewer towels and minimise linen washing to reduce water and energy consumption.</w:t>
      </w:r>
    </w:p>
    <w:p w14:paraId="630E6BB0" w14:textId="77777777" w:rsidR="001F5ABD" w:rsidRPr="001F5ABD" w:rsidRDefault="001F5ABD" w:rsidP="001F5ABD">
      <w:pPr>
        <w:pStyle w:val="NormalWeb"/>
        <w:spacing w:line="360" w:lineRule="auto"/>
        <w:jc w:val="both"/>
        <w:rPr>
          <w:rFonts w:ascii="Arial" w:hAnsi="Arial" w:cs="Arial"/>
        </w:rPr>
      </w:pPr>
      <w:r w:rsidRPr="001F5ABD">
        <w:rPr>
          <w:rFonts w:ascii="Arial" w:hAnsi="Arial" w:cs="Arial"/>
        </w:rPr>
        <w:t>Overall, by adopting these comprehensive CSR activities, The Ritz Paris has demonstrated that sustainability and luxury can coexist. The hotel’s early and ongoing efforts have shown its commitment to reducing its environmental impact and enhancing social welfare. These efforts have brought both great opportunities and challenges, which will be discussed shortly. However, it is first important to consider the legal environment that has shaped these activities.</w:t>
      </w:r>
    </w:p>
    <w:p w14:paraId="36652BE1"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French legislation has a significant effect on the CSR activities adopted by The Ritz Paris. One of the key pieces of legislation influencing the hotel’s operations is the French Energy Transition Law, adopted almost ten years ago, in 2015. It aims to reduce greenhouse gas emissions and increase energy efficiency across all sectors by requiring businesses to adopt energy-saving measures and report on their environmental impact (Dreyfus and </w:t>
      </w:r>
      <w:proofErr w:type="spellStart"/>
      <w:r w:rsidRPr="00684381">
        <w:rPr>
          <w:rFonts w:ascii="Arial" w:hAnsi="Arial" w:cs="Arial"/>
        </w:rPr>
        <w:t>Allemand</w:t>
      </w:r>
      <w:proofErr w:type="spellEnd"/>
      <w:r w:rsidRPr="00684381">
        <w:rPr>
          <w:rFonts w:ascii="Arial" w:hAnsi="Arial" w:cs="Arial"/>
        </w:rPr>
        <w:t>, 2017). To comply with this law, The Ritz Paris had to implement new technologies such as LED lighting, water-reducing taps, and other control systems, as explained earlier.</w:t>
      </w:r>
    </w:p>
    <w:p w14:paraId="6251203E"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Another important legislative framework is France’s Anti-Waste Law for a Circular Economy. This law was introduced to combat waste and promote recycling. It </w:t>
      </w:r>
      <w:r w:rsidRPr="00684381">
        <w:rPr>
          <w:rFonts w:ascii="Arial" w:hAnsi="Arial" w:cs="Arial"/>
        </w:rPr>
        <w:lastRenderedPageBreak/>
        <w:t>encourages businesses to reduce single-use plastics and use biodegradable alternatives in their operations. Additionally, it encourages businesses to increase recycling through waste separation processes, ensuring that materials such as glass, paper, and plastic are recycled effectively (Hajek, 2023). By adhering to this law, The Ritz Paris has enhanced its image as an environmentally friendly establishment.</w:t>
      </w:r>
    </w:p>
    <w:p w14:paraId="5D4ECBA1"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Furthermore, France also has stringent policies regarding fair employment, such as the national minimum wage, benefits, and equal working conditions for all employees (</w:t>
      </w:r>
      <w:proofErr w:type="spellStart"/>
      <w:r w:rsidRPr="00684381">
        <w:rPr>
          <w:rFonts w:ascii="Arial" w:hAnsi="Arial" w:cs="Arial"/>
        </w:rPr>
        <w:t>Syrovatka</w:t>
      </w:r>
      <w:proofErr w:type="spellEnd"/>
      <w:r w:rsidRPr="00684381">
        <w:rPr>
          <w:rFonts w:ascii="Arial" w:hAnsi="Arial" w:cs="Arial"/>
        </w:rPr>
        <w:t>, 2020). These policies are key for The Ritz Paris in ensuring that staff members are treated fairly and equally. Additionally, the hotel offers appropriate training and promotes diversity in the workplace, maintaining a strong focus on employees’ well-being, which is a key component of CSR.</w:t>
      </w:r>
    </w:p>
    <w:p w14:paraId="2E487D0A" w14:textId="77777777" w:rsidR="00684381" w:rsidRPr="00684381" w:rsidRDefault="00684381" w:rsidP="00684381">
      <w:pPr>
        <w:spacing w:before="100" w:beforeAutospacing="1" w:after="100" w:afterAutospacing="1" w:line="360" w:lineRule="auto"/>
        <w:jc w:val="both"/>
        <w:rPr>
          <w:rFonts w:ascii="Arial" w:hAnsi="Arial" w:cs="Arial"/>
        </w:rPr>
      </w:pPr>
      <w:r w:rsidRPr="00684381">
        <w:rPr>
          <w:rFonts w:ascii="Arial" w:hAnsi="Arial" w:cs="Arial"/>
        </w:rPr>
        <w:t>As mentioned earlier, The Ritz Paris has made significant advancements in adopting CSR activities. However, it still faces some challenges. One of the main challenges is balancing sustainability with meeting the high demands of customers who expect premium services. These services typically include 24-hour room service, daily linen changes, and luxurious amenities, all of which involve higher water and energy usage. Despite the hotel’s efforts, it remains challenging to manage guests’ expectations, particularly given the premium prices the hotel charges (</w:t>
      </w:r>
      <w:proofErr w:type="spellStart"/>
      <w:r w:rsidRPr="00684381">
        <w:rPr>
          <w:rFonts w:ascii="Arial" w:hAnsi="Arial" w:cs="Arial"/>
        </w:rPr>
        <w:t>Moscardo</w:t>
      </w:r>
      <w:proofErr w:type="spellEnd"/>
      <w:r w:rsidRPr="00684381">
        <w:rPr>
          <w:rFonts w:ascii="Arial" w:hAnsi="Arial" w:cs="Arial"/>
        </w:rPr>
        <w:t>, 2017). The hotel should continue to explore and adopt new technologies to minimise its environmental impact while maintaining the same level of quality. However, another challenge the hotel faces is the high investment required to adopt these technologies, especially given its historic building. Although these investments could potentially save the hotel money in the long run, they require a significant initial outlay. Global events in recent years, such as COVID-19 and subsequent high inflation, have also made it harder for the hotel to make these investments, as revenue plummeted by more than 70% (Simmons, 2020). Nonetheless, as the hotel recovers post-pandemic, it should prioritise modernising its premises to reduce costs and maintain its CSR activities.</w:t>
      </w:r>
    </w:p>
    <w:p w14:paraId="2DF1BFDA" w14:textId="77777777" w:rsidR="00684381" w:rsidRPr="00684381" w:rsidRDefault="00684381" w:rsidP="00684381">
      <w:pPr>
        <w:spacing w:before="100" w:beforeAutospacing="1" w:after="100" w:afterAutospacing="1" w:line="360" w:lineRule="auto"/>
        <w:jc w:val="both"/>
        <w:rPr>
          <w:rFonts w:ascii="Arial" w:hAnsi="Arial" w:cs="Arial"/>
        </w:rPr>
      </w:pPr>
      <w:r w:rsidRPr="00684381">
        <w:rPr>
          <w:rFonts w:ascii="Arial" w:hAnsi="Arial" w:cs="Arial"/>
        </w:rPr>
        <w:t xml:space="preserve">In terms of benefits, CSR activities have brought </w:t>
      </w:r>
      <w:proofErr w:type="gramStart"/>
      <w:r w:rsidRPr="00684381">
        <w:rPr>
          <w:rFonts w:ascii="Arial" w:hAnsi="Arial" w:cs="Arial"/>
        </w:rPr>
        <w:t>a number of</w:t>
      </w:r>
      <w:proofErr w:type="gramEnd"/>
      <w:r w:rsidRPr="00684381">
        <w:rPr>
          <w:rFonts w:ascii="Arial" w:hAnsi="Arial" w:cs="Arial"/>
        </w:rPr>
        <w:t xml:space="preserve"> advantages for The Ritz Paris. Firstly, committing to CSR enhances brand reputation. For instance, </w:t>
      </w:r>
      <w:proofErr w:type="spellStart"/>
      <w:r w:rsidRPr="00684381">
        <w:rPr>
          <w:rFonts w:ascii="Arial" w:hAnsi="Arial" w:cs="Arial"/>
        </w:rPr>
        <w:t>Mobin</w:t>
      </w:r>
      <w:proofErr w:type="spellEnd"/>
      <w:r w:rsidRPr="00684381">
        <w:rPr>
          <w:rFonts w:ascii="Arial" w:hAnsi="Arial" w:cs="Arial"/>
        </w:rPr>
        <w:t xml:space="preserve"> Fatma and Khan (2024) analysed four five-star hotels in Delhi and showed that CSR activities have a positive impact on brand image, both through direct actions implemented by the hotel and indirectly through word-of-mouth spread by customers. </w:t>
      </w:r>
      <w:r w:rsidRPr="00684381">
        <w:rPr>
          <w:rFonts w:ascii="Arial" w:hAnsi="Arial" w:cs="Arial"/>
        </w:rPr>
        <w:lastRenderedPageBreak/>
        <w:t xml:space="preserve">As more customers become eco-conscious, adhering to CSR activities can help hotels increase customer loyalty and differentiate themselves from competitors. Another significant opportunity is cost savings associated with energy efficiency and waste reduction initiatives. By adopting new technologies, hotels can decrease their operational costs and improve profitability. </w:t>
      </w:r>
      <w:proofErr w:type="spellStart"/>
      <w:r w:rsidRPr="00684381">
        <w:rPr>
          <w:rFonts w:ascii="Arial" w:hAnsi="Arial" w:cs="Arial"/>
        </w:rPr>
        <w:t>Teanpitthayamas</w:t>
      </w:r>
      <w:proofErr w:type="spellEnd"/>
      <w:r w:rsidRPr="00684381">
        <w:rPr>
          <w:rFonts w:ascii="Arial" w:hAnsi="Arial" w:cs="Arial"/>
        </w:rPr>
        <w:t xml:space="preserve">, </w:t>
      </w:r>
      <w:proofErr w:type="spellStart"/>
      <w:r w:rsidRPr="00684381">
        <w:rPr>
          <w:rFonts w:ascii="Arial" w:hAnsi="Arial" w:cs="Arial"/>
        </w:rPr>
        <w:t>Suttipun</w:t>
      </w:r>
      <w:proofErr w:type="spellEnd"/>
      <w:r w:rsidRPr="00684381">
        <w:rPr>
          <w:rFonts w:ascii="Arial" w:hAnsi="Arial" w:cs="Arial"/>
        </w:rPr>
        <w:t xml:space="preserve"> and </w:t>
      </w:r>
      <w:proofErr w:type="spellStart"/>
      <w:r w:rsidRPr="00684381">
        <w:rPr>
          <w:rFonts w:ascii="Arial" w:hAnsi="Arial" w:cs="Arial"/>
        </w:rPr>
        <w:t>Lakkanwanit</w:t>
      </w:r>
      <w:proofErr w:type="spellEnd"/>
      <w:r w:rsidRPr="00684381">
        <w:rPr>
          <w:rFonts w:ascii="Arial" w:hAnsi="Arial" w:cs="Arial"/>
        </w:rPr>
        <w:t xml:space="preserve"> (2021) collected data from more than 400 hotels in Thailand and demonstrated that CSR activities have a positive impact on lowering costs. Finally, CSR can strengthen the local economy by building relationships between hotels and other local organisations, such as farms and charities (</w:t>
      </w:r>
      <w:proofErr w:type="spellStart"/>
      <w:r w:rsidRPr="00684381">
        <w:rPr>
          <w:rFonts w:ascii="Arial" w:hAnsi="Arial" w:cs="Arial"/>
        </w:rPr>
        <w:t>Ertuna</w:t>
      </w:r>
      <w:proofErr w:type="spellEnd"/>
      <w:r w:rsidRPr="00684381">
        <w:rPr>
          <w:rFonts w:ascii="Arial" w:hAnsi="Arial" w:cs="Arial"/>
        </w:rPr>
        <w:t xml:space="preserve">, </w:t>
      </w:r>
      <w:proofErr w:type="spellStart"/>
      <w:r w:rsidRPr="00684381">
        <w:rPr>
          <w:rFonts w:ascii="Arial" w:hAnsi="Arial" w:cs="Arial"/>
        </w:rPr>
        <w:t>Karatas-Ozkan</w:t>
      </w:r>
      <w:proofErr w:type="spellEnd"/>
      <w:r w:rsidRPr="00684381">
        <w:rPr>
          <w:rFonts w:ascii="Arial" w:hAnsi="Arial" w:cs="Arial"/>
        </w:rPr>
        <w:t xml:space="preserve"> and </w:t>
      </w:r>
      <w:proofErr w:type="spellStart"/>
      <w:r w:rsidRPr="00684381">
        <w:rPr>
          <w:rFonts w:ascii="Arial" w:hAnsi="Arial" w:cs="Arial"/>
        </w:rPr>
        <w:t>Yamak</w:t>
      </w:r>
      <w:proofErr w:type="spellEnd"/>
      <w:r w:rsidRPr="00684381">
        <w:rPr>
          <w:rFonts w:ascii="Arial" w:hAnsi="Arial" w:cs="Arial"/>
        </w:rPr>
        <w:t>, 2019). As seen before, The Ritz Paris has made considerable efforts in this direction by sourcing local products for its restaurants and donating food to charities. Through these opportunities, CSR initiatives at The Ritz Paris contribute to the hotel’s success and its lasting impact on sustainability.</w:t>
      </w:r>
    </w:p>
    <w:p w14:paraId="3A75A853"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In conclusion, CSR has played an important role in promoting sustainability and having a positive impact on people in the luxury hotel sector, as demonstrated by The Ritz Paris. The hotel has committed to reducing its environmental impact through energy and water conservation, reducing food waste, and promoting fair labour conditions. French legislation has encouraged the hotel to incorporate CSR activities into its business model to ensure compliance with the law.</w:t>
      </w:r>
    </w:p>
    <w:p w14:paraId="4EC751EA" w14:textId="77777777" w:rsidR="00684381" w:rsidRDefault="00684381" w:rsidP="00684381">
      <w:pPr>
        <w:pStyle w:val="NormalWeb"/>
        <w:spacing w:line="360" w:lineRule="auto"/>
        <w:jc w:val="both"/>
        <w:rPr>
          <w:rFonts w:ascii="Arial" w:hAnsi="Arial" w:cs="Arial"/>
        </w:rPr>
      </w:pPr>
      <w:r w:rsidRPr="00684381">
        <w:rPr>
          <w:rFonts w:ascii="Arial" w:hAnsi="Arial" w:cs="Arial"/>
        </w:rPr>
        <w:t>Although implementing CSR activities comes with challenges, such as managing high customer expectations and the significant initial financial costs, these are outweighed by the numerous advantages. By embracing CSR, the hotel can enhance its brand reputation, build strong relationships with local organisations, and decrease costs in the long run. Overall, The Ritz Paris has demonstrated that it is possible to offer luxury services while caring for the environment and wider society. Its early adoption of CSR activities and ongoing efforts have set a standard in the luxury hotel industry.</w:t>
      </w:r>
    </w:p>
    <w:p w14:paraId="2B2A99B3" w14:textId="77777777" w:rsidR="00684381" w:rsidRDefault="00684381" w:rsidP="00684381">
      <w:pPr>
        <w:pStyle w:val="NormalWeb"/>
        <w:spacing w:line="360" w:lineRule="auto"/>
        <w:jc w:val="both"/>
        <w:rPr>
          <w:rFonts w:ascii="Arial" w:hAnsi="Arial" w:cs="Arial"/>
        </w:rPr>
      </w:pPr>
    </w:p>
    <w:p w14:paraId="55C9A9E5" w14:textId="77777777" w:rsidR="00684381" w:rsidRDefault="00684381" w:rsidP="00684381">
      <w:pPr>
        <w:pStyle w:val="NormalWeb"/>
        <w:spacing w:line="360" w:lineRule="auto"/>
        <w:jc w:val="both"/>
        <w:rPr>
          <w:rFonts w:ascii="Arial" w:hAnsi="Arial" w:cs="Arial"/>
        </w:rPr>
      </w:pPr>
    </w:p>
    <w:p w14:paraId="5184BF5E" w14:textId="77777777" w:rsidR="00684381" w:rsidRDefault="00684381" w:rsidP="00684381">
      <w:pPr>
        <w:pStyle w:val="NormalWeb"/>
        <w:spacing w:line="360" w:lineRule="auto"/>
        <w:jc w:val="both"/>
        <w:rPr>
          <w:rFonts w:ascii="Arial" w:hAnsi="Arial" w:cs="Arial"/>
        </w:rPr>
      </w:pPr>
    </w:p>
    <w:p w14:paraId="78D4AD02" w14:textId="7A159D02" w:rsidR="00684381" w:rsidRDefault="00684381" w:rsidP="00684381">
      <w:pPr>
        <w:pStyle w:val="NormalWeb"/>
        <w:spacing w:line="360" w:lineRule="auto"/>
        <w:jc w:val="center"/>
        <w:rPr>
          <w:rFonts w:ascii="Arial" w:hAnsi="Arial" w:cs="Arial"/>
          <w:b/>
          <w:bCs/>
          <w:sz w:val="28"/>
          <w:szCs w:val="28"/>
        </w:rPr>
      </w:pPr>
      <w:r w:rsidRPr="00684381">
        <w:rPr>
          <w:rFonts w:ascii="Arial" w:hAnsi="Arial" w:cs="Arial"/>
          <w:b/>
          <w:bCs/>
          <w:sz w:val="28"/>
          <w:szCs w:val="28"/>
        </w:rPr>
        <w:lastRenderedPageBreak/>
        <w:t>Reference List</w:t>
      </w:r>
    </w:p>
    <w:p w14:paraId="10FE90FB"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Agudelo</w:t>
      </w:r>
      <w:proofErr w:type="spellEnd"/>
      <w:r w:rsidRPr="00684381">
        <w:rPr>
          <w:rFonts w:ascii="Arial" w:hAnsi="Arial" w:cs="Arial"/>
        </w:rPr>
        <w:t xml:space="preserve">, M.A.L., </w:t>
      </w:r>
      <w:proofErr w:type="spellStart"/>
      <w:r w:rsidRPr="00684381">
        <w:rPr>
          <w:rFonts w:ascii="Arial" w:hAnsi="Arial" w:cs="Arial"/>
        </w:rPr>
        <w:t>Jóhannsdóttir</w:t>
      </w:r>
      <w:proofErr w:type="spellEnd"/>
      <w:r w:rsidRPr="00684381">
        <w:rPr>
          <w:rFonts w:ascii="Arial" w:hAnsi="Arial" w:cs="Arial"/>
        </w:rPr>
        <w:t xml:space="preserve">, L. and </w:t>
      </w:r>
      <w:proofErr w:type="spellStart"/>
      <w:r w:rsidRPr="00684381">
        <w:rPr>
          <w:rFonts w:ascii="Arial" w:hAnsi="Arial" w:cs="Arial"/>
        </w:rPr>
        <w:t>Davídsdóttir</w:t>
      </w:r>
      <w:proofErr w:type="spellEnd"/>
      <w:r w:rsidRPr="00684381">
        <w:rPr>
          <w:rFonts w:ascii="Arial" w:hAnsi="Arial" w:cs="Arial"/>
        </w:rPr>
        <w:t xml:space="preserve">, B. (2019). A Literature Review of the History and Evolution of Corporate Social Responsibility. </w:t>
      </w:r>
      <w:r w:rsidRPr="00684381">
        <w:rPr>
          <w:rFonts w:ascii="Arial" w:hAnsi="Arial" w:cs="Arial"/>
          <w:i/>
          <w:iCs/>
        </w:rPr>
        <w:t>International Journal of Corporate Social Responsibility</w:t>
      </w:r>
      <w:r w:rsidRPr="00684381">
        <w:rPr>
          <w:rFonts w:ascii="Arial" w:hAnsi="Arial" w:cs="Arial"/>
        </w:rPr>
        <w:t xml:space="preserve">, 4(1), pp.1–23. </w:t>
      </w:r>
      <w:proofErr w:type="spellStart"/>
      <w:proofErr w:type="gramStart"/>
      <w:r w:rsidRPr="00684381">
        <w:rPr>
          <w:rFonts w:ascii="Arial" w:hAnsi="Arial" w:cs="Arial"/>
        </w:rPr>
        <w:t>doi:https</w:t>
      </w:r>
      <w:proofErr w:type="spellEnd"/>
      <w:r w:rsidRPr="00684381">
        <w:rPr>
          <w:rFonts w:ascii="Arial" w:hAnsi="Arial" w:cs="Arial"/>
        </w:rPr>
        <w:t>://doi.org/10.1186/s40991-018-0039-y</w:t>
      </w:r>
      <w:proofErr w:type="gramEnd"/>
      <w:r w:rsidRPr="00684381">
        <w:rPr>
          <w:rFonts w:ascii="Arial" w:hAnsi="Arial" w:cs="Arial"/>
        </w:rPr>
        <w:t>.</w:t>
      </w:r>
    </w:p>
    <w:p w14:paraId="110CB99D"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Amaral, R.E.C., Brito, J., Buckman, M., Drake, E., </w:t>
      </w:r>
      <w:proofErr w:type="spellStart"/>
      <w:r w:rsidRPr="00684381">
        <w:rPr>
          <w:rFonts w:ascii="Arial" w:hAnsi="Arial" w:cs="Arial"/>
        </w:rPr>
        <w:t>Ilatova</w:t>
      </w:r>
      <w:proofErr w:type="spellEnd"/>
      <w:r w:rsidRPr="00684381">
        <w:rPr>
          <w:rFonts w:ascii="Arial" w:hAnsi="Arial" w:cs="Arial"/>
        </w:rPr>
        <w:t xml:space="preserve">, E., Rice, P., Sabbagh, C., </w:t>
      </w:r>
      <w:proofErr w:type="spellStart"/>
      <w:r w:rsidRPr="00684381">
        <w:rPr>
          <w:rFonts w:ascii="Arial" w:hAnsi="Arial" w:cs="Arial"/>
        </w:rPr>
        <w:t>Voronkin</w:t>
      </w:r>
      <w:proofErr w:type="spellEnd"/>
      <w:r w:rsidRPr="00684381">
        <w:rPr>
          <w:rFonts w:ascii="Arial" w:hAnsi="Arial" w:cs="Arial"/>
        </w:rPr>
        <w:t xml:space="preserve">, S. and Abraham, Y.S. (2020). Waste Management and Operational Energy for Sustainable Buildings: A Review. </w:t>
      </w:r>
      <w:r w:rsidRPr="00684381">
        <w:rPr>
          <w:rFonts w:ascii="Arial" w:hAnsi="Arial" w:cs="Arial"/>
          <w:i/>
          <w:iCs/>
        </w:rPr>
        <w:t>Sustainability</w:t>
      </w:r>
      <w:r w:rsidRPr="00684381">
        <w:rPr>
          <w:rFonts w:ascii="Arial" w:hAnsi="Arial" w:cs="Arial"/>
        </w:rPr>
        <w:t xml:space="preserve">, [online] 12(13), p.5337. </w:t>
      </w:r>
      <w:proofErr w:type="spellStart"/>
      <w:proofErr w:type="gramStart"/>
      <w:r w:rsidRPr="00684381">
        <w:rPr>
          <w:rFonts w:ascii="Arial" w:hAnsi="Arial" w:cs="Arial"/>
        </w:rPr>
        <w:t>doi:https</w:t>
      </w:r>
      <w:proofErr w:type="spellEnd"/>
      <w:r w:rsidRPr="00684381">
        <w:rPr>
          <w:rFonts w:ascii="Arial" w:hAnsi="Arial" w:cs="Arial"/>
        </w:rPr>
        <w:t>://doi.org/10.3390/su12135337</w:t>
      </w:r>
      <w:proofErr w:type="gramEnd"/>
      <w:r w:rsidRPr="00684381">
        <w:rPr>
          <w:rFonts w:ascii="Arial" w:hAnsi="Arial" w:cs="Arial"/>
        </w:rPr>
        <w:t>.</w:t>
      </w:r>
    </w:p>
    <w:p w14:paraId="30397A01"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Amicarelli</w:t>
      </w:r>
      <w:proofErr w:type="spellEnd"/>
      <w:r w:rsidRPr="00684381">
        <w:rPr>
          <w:rFonts w:ascii="Arial" w:hAnsi="Arial" w:cs="Arial"/>
        </w:rPr>
        <w:t xml:space="preserve">, V., </w:t>
      </w:r>
      <w:proofErr w:type="spellStart"/>
      <w:r w:rsidRPr="00684381">
        <w:rPr>
          <w:rFonts w:ascii="Arial" w:hAnsi="Arial" w:cs="Arial"/>
        </w:rPr>
        <w:t>Aluculesei</w:t>
      </w:r>
      <w:proofErr w:type="spellEnd"/>
      <w:r w:rsidRPr="00684381">
        <w:rPr>
          <w:rFonts w:ascii="Arial" w:hAnsi="Arial" w:cs="Arial"/>
        </w:rPr>
        <w:t xml:space="preserve">, A.-C., </w:t>
      </w:r>
      <w:proofErr w:type="spellStart"/>
      <w:r w:rsidRPr="00684381">
        <w:rPr>
          <w:rFonts w:ascii="Arial" w:hAnsi="Arial" w:cs="Arial"/>
        </w:rPr>
        <w:t>Lagioia</w:t>
      </w:r>
      <w:proofErr w:type="spellEnd"/>
      <w:r w:rsidRPr="00684381">
        <w:rPr>
          <w:rFonts w:ascii="Arial" w:hAnsi="Arial" w:cs="Arial"/>
        </w:rPr>
        <w:t xml:space="preserve">, G., </w:t>
      </w:r>
      <w:proofErr w:type="spellStart"/>
      <w:r w:rsidRPr="00684381">
        <w:rPr>
          <w:rFonts w:ascii="Arial" w:hAnsi="Arial" w:cs="Arial"/>
        </w:rPr>
        <w:t>Pamfilie</w:t>
      </w:r>
      <w:proofErr w:type="spellEnd"/>
      <w:r w:rsidRPr="00684381">
        <w:rPr>
          <w:rFonts w:ascii="Arial" w:hAnsi="Arial" w:cs="Arial"/>
        </w:rPr>
        <w:t xml:space="preserve">, R. and </w:t>
      </w:r>
      <w:proofErr w:type="spellStart"/>
      <w:r w:rsidRPr="00684381">
        <w:rPr>
          <w:rFonts w:ascii="Arial" w:hAnsi="Arial" w:cs="Arial"/>
        </w:rPr>
        <w:t>Bux</w:t>
      </w:r>
      <w:proofErr w:type="spellEnd"/>
      <w:r w:rsidRPr="00684381">
        <w:rPr>
          <w:rFonts w:ascii="Arial" w:hAnsi="Arial" w:cs="Arial"/>
        </w:rPr>
        <w:t xml:space="preserve">, C. (2021). How to manage and minimize food waste in the hotel industry: </w:t>
      </w:r>
      <w:proofErr w:type="gramStart"/>
      <w:r w:rsidRPr="00684381">
        <w:rPr>
          <w:rFonts w:ascii="Arial" w:hAnsi="Arial" w:cs="Arial"/>
        </w:rPr>
        <w:t>an exploratory research</w:t>
      </w:r>
      <w:proofErr w:type="gramEnd"/>
      <w:r w:rsidRPr="00684381">
        <w:rPr>
          <w:rFonts w:ascii="Arial" w:hAnsi="Arial" w:cs="Arial"/>
        </w:rPr>
        <w:t xml:space="preserve">. </w:t>
      </w:r>
      <w:r w:rsidRPr="00684381">
        <w:rPr>
          <w:rFonts w:ascii="Arial" w:hAnsi="Arial" w:cs="Arial"/>
          <w:i/>
          <w:iCs/>
        </w:rPr>
        <w:t>International Journal of Culture, Tourism and Hospitality Research</w:t>
      </w:r>
      <w:r w:rsidRPr="00684381">
        <w:rPr>
          <w:rFonts w:ascii="Arial" w:hAnsi="Arial" w:cs="Arial"/>
        </w:rPr>
        <w:t xml:space="preserve">, 16(1), pp.152–167. </w:t>
      </w:r>
      <w:proofErr w:type="spellStart"/>
      <w:proofErr w:type="gramStart"/>
      <w:r w:rsidRPr="00684381">
        <w:rPr>
          <w:rFonts w:ascii="Arial" w:hAnsi="Arial" w:cs="Arial"/>
        </w:rPr>
        <w:t>doi:https</w:t>
      </w:r>
      <w:proofErr w:type="spellEnd"/>
      <w:r w:rsidRPr="00684381">
        <w:rPr>
          <w:rFonts w:ascii="Arial" w:hAnsi="Arial" w:cs="Arial"/>
        </w:rPr>
        <w:t>://doi.org/10.1108/ijcthr-01-2021-0019</w:t>
      </w:r>
      <w:proofErr w:type="gramEnd"/>
      <w:r w:rsidRPr="00684381">
        <w:rPr>
          <w:rFonts w:ascii="Arial" w:hAnsi="Arial" w:cs="Arial"/>
        </w:rPr>
        <w:t>.</w:t>
      </w:r>
    </w:p>
    <w:p w14:paraId="280A3428"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Butcher, K. and </w:t>
      </w:r>
      <w:proofErr w:type="spellStart"/>
      <w:r w:rsidRPr="00684381">
        <w:rPr>
          <w:rFonts w:ascii="Arial" w:hAnsi="Arial" w:cs="Arial"/>
        </w:rPr>
        <w:t>Chomvilailuk</w:t>
      </w:r>
      <w:proofErr w:type="spellEnd"/>
      <w:r w:rsidRPr="00684381">
        <w:rPr>
          <w:rFonts w:ascii="Arial" w:hAnsi="Arial" w:cs="Arial"/>
        </w:rPr>
        <w:t xml:space="preserve">, R. (2021). Guest benefits of hedonic value and perceived community value drive hotel CSR participation. </w:t>
      </w:r>
      <w:r w:rsidRPr="00684381">
        <w:rPr>
          <w:rFonts w:ascii="Arial" w:hAnsi="Arial" w:cs="Arial"/>
          <w:i/>
          <w:iCs/>
        </w:rPr>
        <w:t>Journal of Sustainable Tourism</w:t>
      </w:r>
      <w:r w:rsidRPr="00684381">
        <w:rPr>
          <w:rFonts w:ascii="Arial" w:hAnsi="Arial" w:cs="Arial"/>
        </w:rPr>
        <w:t xml:space="preserve">, pp.1–18. </w:t>
      </w:r>
      <w:proofErr w:type="spellStart"/>
      <w:proofErr w:type="gramStart"/>
      <w:r w:rsidRPr="00684381">
        <w:rPr>
          <w:rFonts w:ascii="Arial" w:hAnsi="Arial" w:cs="Arial"/>
        </w:rPr>
        <w:t>doi:https</w:t>
      </w:r>
      <w:proofErr w:type="spellEnd"/>
      <w:r w:rsidRPr="00684381">
        <w:rPr>
          <w:rFonts w:ascii="Arial" w:hAnsi="Arial" w:cs="Arial"/>
        </w:rPr>
        <w:t>://doi.org/10.1080/09669582.2021.1931255</w:t>
      </w:r>
      <w:proofErr w:type="gramEnd"/>
      <w:r w:rsidRPr="00684381">
        <w:rPr>
          <w:rFonts w:ascii="Arial" w:hAnsi="Arial" w:cs="Arial"/>
        </w:rPr>
        <w:t>.</w:t>
      </w:r>
    </w:p>
    <w:p w14:paraId="2A7FBA6C"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Dewi, N.W.B.P., </w:t>
      </w:r>
      <w:proofErr w:type="spellStart"/>
      <w:r w:rsidRPr="00684381">
        <w:rPr>
          <w:rFonts w:ascii="Arial" w:hAnsi="Arial" w:cs="Arial"/>
        </w:rPr>
        <w:t>Ernawati</w:t>
      </w:r>
      <w:proofErr w:type="spellEnd"/>
      <w:r w:rsidRPr="00684381">
        <w:rPr>
          <w:rFonts w:ascii="Arial" w:hAnsi="Arial" w:cs="Arial"/>
        </w:rPr>
        <w:t xml:space="preserve">, N.M., </w:t>
      </w:r>
      <w:proofErr w:type="spellStart"/>
      <w:r w:rsidRPr="00684381">
        <w:rPr>
          <w:rFonts w:ascii="Arial" w:hAnsi="Arial" w:cs="Arial"/>
        </w:rPr>
        <w:t>Mudana</w:t>
      </w:r>
      <w:proofErr w:type="spellEnd"/>
      <w:r w:rsidRPr="00684381">
        <w:rPr>
          <w:rFonts w:ascii="Arial" w:hAnsi="Arial" w:cs="Arial"/>
        </w:rPr>
        <w:t xml:space="preserve">, I.G., </w:t>
      </w:r>
      <w:proofErr w:type="spellStart"/>
      <w:r w:rsidRPr="00684381">
        <w:rPr>
          <w:rFonts w:ascii="Arial" w:hAnsi="Arial" w:cs="Arial"/>
        </w:rPr>
        <w:t>Harmini</w:t>
      </w:r>
      <w:proofErr w:type="spellEnd"/>
      <w:r w:rsidRPr="00684381">
        <w:rPr>
          <w:rFonts w:ascii="Arial" w:hAnsi="Arial" w:cs="Arial"/>
        </w:rPr>
        <w:t xml:space="preserve">, A.A.A.N. and </w:t>
      </w:r>
      <w:proofErr w:type="spellStart"/>
      <w:r w:rsidRPr="00684381">
        <w:rPr>
          <w:rFonts w:ascii="Arial" w:hAnsi="Arial" w:cs="Arial"/>
        </w:rPr>
        <w:t>Somawati</w:t>
      </w:r>
      <w:proofErr w:type="spellEnd"/>
      <w:r w:rsidRPr="00684381">
        <w:rPr>
          <w:rFonts w:ascii="Arial" w:hAnsi="Arial" w:cs="Arial"/>
        </w:rPr>
        <w:t xml:space="preserve">, N.P. (2022). Tri </w:t>
      </w:r>
      <w:proofErr w:type="spellStart"/>
      <w:r w:rsidRPr="00684381">
        <w:rPr>
          <w:rFonts w:ascii="Arial" w:hAnsi="Arial" w:cs="Arial"/>
        </w:rPr>
        <w:t>Hita</w:t>
      </w:r>
      <w:proofErr w:type="spellEnd"/>
      <w:r w:rsidRPr="00684381">
        <w:rPr>
          <w:rFonts w:ascii="Arial" w:hAnsi="Arial" w:cs="Arial"/>
        </w:rPr>
        <w:t xml:space="preserve"> Karana-Based CSR: How Hotel Relates to Community during the Covid-19 Pandemic. </w:t>
      </w:r>
      <w:r w:rsidRPr="00684381">
        <w:rPr>
          <w:rFonts w:ascii="Arial" w:hAnsi="Arial" w:cs="Arial"/>
          <w:i/>
          <w:iCs/>
        </w:rPr>
        <w:t xml:space="preserve">International Journal of </w:t>
      </w:r>
      <w:proofErr w:type="spellStart"/>
      <w:r w:rsidRPr="00684381">
        <w:rPr>
          <w:rFonts w:ascii="Arial" w:hAnsi="Arial" w:cs="Arial"/>
          <w:i/>
          <w:iCs/>
        </w:rPr>
        <w:t>Glocal</w:t>
      </w:r>
      <w:proofErr w:type="spellEnd"/>
      <w:r w:rsidRPr="00684381">
        <w:rPr>
          <w:rFonts w:ascii="Arial" w:hAnsi="Arial" w:cs="Arial"/>
          <w:i/>
          <w:iCs/>
        </w:rPr>
        <w:t xml:space="preserve"> Tourism</w:t>
      </w:r>
      <w:r w:rsidRPr="00684381">
        <w:rPr>
          <w:rFonts w:ascii="Arial" w:hAnsi="Arial" w:cs="Arial"/>
        </w:rPr>
        <w:t xml:space="preserve">, [online] 3(2), pp.121–130. </w:t>
      </w:r>
      <w:proofErr w:type="spellStart"/>
      <w:proofErr w:type="gramStart"/>
      <w:r w:rsidRPr="00684381">
        <w:rPr>
          <w:rFonts w:ascii="Arial" w:hAnsi="Arial" w:cs="Arial"/>
        </w:rPr>
        <w:t>doi:https</w:t>
      </w:r>
      <w:proofErr w:type="spellEnd"/>
      <w:r w:rsidRPr="00684381">
        <w:rPr>
          <w:rFonts w:ascii="Arial" w:hAnsi="Arial" w:cs="Arial"/>
        </w:rPr>
        <w:t>://doi.org/10.58982/injogt.v3i2.213</w:t>
      </w:r>
      <w:proofErr w:type="gramEnd"/>
      <w:r w:rsidRPr="00684381">
        <w:rPr>
          <w:rFonts w:ascii="Arial" w:hAnsi="Arial" w:cs="Arial"/>
        </w:rPr>
        <w:t>.</w:t>
      </w:r>
    </w:p>
    <w:p w14:paraId="011F9D8D"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Dreyfus, M. and </w:t>
      </w:r>
      <w:proofErr w:type="spellStart"/>
      <w:r w:rsidRPr="00684381">
        <w:rPr>
          <w:rFonts w:ascii="Arial" w:hAnsi="Arial" w:cs="Arial"/>
        </w:rPr>
        <w:t>Allemand</w:t>
      </w:r>
      <w:proofErr w:type="spellEnd"/>
      <w:r w:rsidRPr="00684381">
        <w:rPr>
          <w:rFonts w:ascii="Arial" w:hAnsi="Arial" w:cs="Arial"/>
        </w:rPr>
        <w:t xml:space="preserve">, R. (2017). Three Years After the French Energy Transition for Green Growth Law: Has the ‘Energy Transition’ Actually Started at the Local </w:t>
      </w:r>
      <w:proofErr w:type="gramStart"/>
      <w:r w:rsidRPr="00684381">
        <w:rPr>
          <w:rFonts w:ascii="Arial" w:hAnsi="Arial" w:cs="Arial"/>
        </w:rPr>
        <w:t>Level?.</w:t>
      </w:r>
      <w:proofErr w:type="gramEnd"/>
      <w:r w:rsidRPr="00684381">
        <w:rPr>
          <w:rFonts w:ascii="Arial" w:hAnsi="Arial" w:cs="Arial"/>
        </w:rPr>
        <w:t xml:space="preserve"> </w:t>
      </w:r>
      <w:r w:rsidRPr="00684381">
        <w:rPr>
          <w:rFonts w:ascii="Arial" w:hAnsi="Arial" w:cs="Arial"/>
          <w:i/>
          <w:iCs/>
        </w:rPr>
        <w:t>Journal of Environmental Law</w:t>
      </w:r>
      <w:r w:rsidRPr="00684381">
        <w:rPr>
          <w:rFonts w:ascii="Arial" w:hAnsi="Arial" w:cs="Arial"/>
        </w:rPr>
        <w:t xml:space="preserve">, 30(1), pp.109–133. </w:t>
      </w:r>
      <w:proofErr w:type="spellStart"/>
      <w:proofErr w:type="gramStart"/>
      <w:r w:rsidRPr="00684381">
        <w:rPr>
          <w:rFonts w:ascii="Arial" w:hAnsi="Arial" w:cs="Arial"/>
        </w:rPr>
        <w:t>doi:https</w:t>
      </w:r>
      <w:proofErr w:type="spellEnd"/>
      <w:r w:rsidRPr="00684381">
        <w:rPr>
          <w:rFonts w:ascii="Arial" w:hAnsi="Arial" w:cs="Arial"/>
        </w:rPr>
        <w:t>://doi.org/10.1093/</w:t>
      </w:r>
      <w:proofErr w:type="spellStart"/>
      <w:r w:rsidRPr="00684381">
        <w:rPr>
          <w:rFonts w:ascii="Arial" w:hAnsi="Arial" w:cs="Arial"/>
        </w:rPr>
        <w:t>jel</w:t>
      </w:r>
      <w:proofErr w:type="spellEnd"/>
      <w:r w:rsidRPr="00684381">
        <w:rPr>
          <w:rFonts w:ascii="Arial" w:hAnsi="Arial" w:cs="Arial"/>
        </w:rPr>
        <w:t>/eqx031</w:t>
      </w:r>
      <w:proofErr w:type="gramEnd"/>
      <w:r w:rsidRPr="00684381">
        <w:rPr>
          <w:rFonts w:ascii="Arial" w:hAnsi="Arial" w:cs="Arial"/>
        </w:rPr>
        <w:t>.</w:t>
      </w:r>
    </w:p>
    <w:p w14:paraId="34EBD54F"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Ertuna</w:t>
      </w:r>
      <w:proofErr w:type="spellEnd"/>
      <w:r w:rsidRPr="00684381">
        <w:rPr>
          <w:rFonts w:ascii="Arial" w:hAnsi="Arial" w:cs="Arial"/>
        </w:rPr>
        <w:t xml:space="preserve">, B., </w:t>
      </w:r>
      <w:proofErr w:type="spellStart"/>
      <w:r w:rsidRPr="00684381">
        <w:rPr>
          <w:rFonts w:ascii="Arial" w:hAnsi="Arial" w:cs="Arial"/>
        </w:rPr>
        <w:t>Karatas-Ozkan</w:t>
      </w:r>
      <w:proofErr w:type="spellEnd"/>
      <w:r w:rsidRPr="00684381">
        <w:rPr>
          <w:rFonts w:ascii="Arial" w:hAnsi="Arial" w:cs="Arial"/>
        </w:rPr>
        <w:t xml:space="preserve">, M. and </w:t>
      </w:r>
      <w:proofErr w:type="spellStart"/>
      <w:r w:rsidRPr="00684381">
        <w:rPr>
          <w:rFonts w:ascii="Arial" w:hAnsi="Arial" w:cs="Arial"/>
        </w:rPr>
        <w:t>Yamak</w:t>
      </w:r>
      <w:proofErr w:type="spellEnd"/>
      <w:r w:rsidRPr="00684381">
        <w:rPr>
          <w:rFonts w:ascii="Arial" w:hAnsi="Arial" w:cs="Arial"/>
        </w:rPr>
        <w:t xml:space="preserve">, S. (2019). Diffusion of sustainability and CSR discourse in hospitality industry. </w:t>
      </w:r>
      <w:r w:rsidRPr="00684381">
        <w:rPr>
          <w:rFonts w:ascii="Arial" w:hAnsi="Arial" w:cs="Arial"/>
          <w:i/>
          <w:iCs/>
        </w:rPr>
        <w:t>International Journal of Contemporary Hospitality Management</w:t>
      </w:r>
      <w:r w:rsidRPr="00684381">
        <w:rPr>
          <w:rFonts w:ascii="Arial" w:hAnsi="Arial" w:cs="Arial"/>
        </w:rPr>
        <w:t xml:space="preserve">, 31(6). </w:t>
      </w:r>
      <w:proofErr w:type="spellStart"/>
      <w:proofErr w:type="gramStart"/>
      <w:r w:rsidRPr="00684381">
        <w:rPr>
          <w:rFonts w:ascii="Arial" w:hAnsi="Arial" w:cs="Arial"/>
        </w:rPr>
        <w:t>doi:https</w:t>
      </w:r>
      <w:proofErr w:type="spellEnd"/>
      <w:r w:rsidRPr="00684381">
        <w:rPr>
          <w:rFonts w:ascii="Arial" w:hAnsi="Arial" w:cs="Arial"/>
        </w:rPr>
        <w:t>://doi.org/10.1108/ijchm-06-2018-0464</w:t>
      </w:r>
      <w:proofErr w:type="gramEnd"/>
      <w:r w:rsidRPr="00684381">
        <w:rPr>
          <w:rFonts w:ascii="Arial" w:hAnsi="Arial" w:cs="Arial"/>
        </w:rPr>
        <w:t>.</w:t>
      </w:r>
    </w:p>
    <w:p w14:paraId="5662FC2F"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lastRenderedPageBreak/>
        <w:t>Fidar</w:t>
      </w:r>
      <w:proofErr w:type="spellEnd"/>
      <w:r w:rsidRPr="00684381">
        <w:rPr>
          <w:rFonts w:ascii="Arial" w:hAnsi="Arial" w:cs="Arial"/>
        </w:rPr>
        <w:t xml:space="preserve">, A.M., </w:t>
      </w:r>
      <w:proofErr w:type="spellStart"/>
      <w:r w:rsidRPr="00684381">
        <w:rPr>
          <w:rFonts w:ascii="Arial" w:hAnsi="Arial" w:cs="Arial"/>
        </w:rPr>
        <w:t>Memom</w:t>
      </w:r>
      <w:proofErr w:type="spellEnd"/>
      <w:r w:rsidRPr="00684381">
        <w:rPr>
          <w:rFonts w:ascii="Arial" w:hAnsi="Arial" w:cs="Arial"/>
        </w:rPr>
        <w:t xml:space="preserve">, F.A. and Butler, D. (2016). Performance evaluation of conventional and water saving taps. </w:t>
      </w:r>
      <w:r w:rsidRPr="00684381">
        <w:rPr>
          <w:rFonts w:ascii="Arial" w:hAnsi="Arial" w:cs="Arial"/>
          <w:i/>
          <w:iCs/>
        </w:rPr>
        <w:t>Science of The Total Environment</w:t>
      </w:r>
      <w:r w:rsidRPr="00684381">
        <w:rPr>
          <w:rFonts w:ascii="Arial" w:hAnsi="Arial" w:cs="Arial"/>
        </w:rPr>
        <w:t xml:space="preserve">, [online] 541, pp.815–824. </w:t>
      </w:r>
      <w:proofErr w:type="spellStart"/>
      <w:proofErr w:type="gramStart"/>
      <w:r w:rsidRPr="00684381">
        <w:rPr>
          <w:rFonts w:ascii="Arial" w:hAnsi="Arial" w:cs="Arial"/>
        </w:rPr>
        <w:t>doi:https</w:t>
      </w:r>
      <w:proofErr w:type="spellEnd"/>
      <w:r w:rsidRPr="00684381">
        <w:rPr>
          <w:rFonts w:ascii="Arial" w:hAnsi="Arial" w:cs="Arial"/>
        </w:rPr>
        <w:t>://doi.org/10.1016/j.scitotenv.2015.08.024</w:t>
      </w:r>
      <w:proofErr w:type="gramEnd"/>
      <w:r w:rsidRPr="00684381">
        <w:rPr>
          <w:rFonts w:ascii="Arial" w:hAnsi="Arial" w:cs="Arial"/>
        </w:rPr>
        <w:t>.</w:t>
      </w:r>
    </w:p>
    <w:p w14:paraId="2E717D2A"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Fordham, A.E. and Robinson, G.M. (2018). Mapping meanings of corporate social responsibility – an Australian case study. </w:t>
      </w:r>
      <w:r w:rsidRPr="00684381">
        <w:rPr>
          <w:rFonts w:ascii="Arial" w:hAnsi="Arial" w:cs="Arial"/>
          <w:i/>
          <w:iCs/>
        </w:rPr>
        <w:t>International Journal of Corporate Social Responsibility</w:t>
      </w:r>
      <w:r w:rsidRPr="00684381">
        <w:rPr>
          <w:rFonts w:ascii="Arial" w:hAnsi="Arial" w:cs="Arial"/>
        </w:rPr>
        <w:t xml:space="preserve">, [online] 3(1), pp.1–20. </w:t>
      </w:r>
      <w:proofErr w:type="spellStart"/>
      <w:proofErr w:type="gramStart"/>
      <w:r w:rsidRPr="00684381">
        <w:rPr>
          <w:rFonts w:ascii="Arial" w:hAnsi="Arial" w:cs="Arial"/>
        </w:rPr>
        <w:t>doi:https</w:t>
      </w:r>
      <w:proofErr w:type="spellEnd"/>
      <w:r w:rsidRPr="00684381">
        <w:rPr>
          <w:rFonts w:ascii="Arial" w:hAnsi="Arial" w:cs="Arial"/>
        </w:rPr>
        <w:t>://doi.org/10.1186/s40991-018-0036-1</w:t>
      </w:r>
      <w:proofErr w:type="gramEnd"/>
      <w:r w:rsidRPr="00684381">
        <w:rPr>
          <w:rFonts w:ascii="Arial" w:hAnsi="Arial" w:cs="Arial"/>
        </w:rPr>
        <w:t>.</w:t>
      </w:r>
    </w:p>
    <w:p w14:paraId="52DB8D92"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Hajek, I. (2023). Engaging in reuse, gleaning and zero waste in France: a civic ecology of matter. </w:t>
      </w:r>
      <w:r w:rsidRPr="00684381">
        <w:rPr>
          <w:rFonts w:ascii="Arial" w:hAnsi="Arial" w:cs="Arial"/>
          <w:i/>
          <w:iCs/>
        </w:rPr>
        <w:t>Environmental Sociology</w:t>
      </w:r>
      <w:r w:rsidRPr="00684381">
        <w:rPr>
          <w:rFonts w:ascii="Arial" w:hAnsi="Arial" w:cs="Arial"/>
        </w:rPr>
        <w:t xml:space="preserve">, 9(4), pp.386–397. </w:t>
      </w:r>
      <w:proofErr w:type="spellStart"/>
      <w:proofErr w:type="gramStart"/>
      <w:r w:rsidRPr="00684381">
        <w:rPr>
          <w:rFonts w:ascii="Arial" w:hAnsi="Arial" w:cs="Arial"/>
        </w:rPr>
        <w:t>doi:https</w:t>
      </w:r>
      <w:proofErr w:type="spellEnd"/>
      <w:r w:rsidRPr="00684381">
        <w:rPr>
          <w:rFonts w:ascii="Arial" w:hAnsi="Arial" w:cs="Arial"/>
        </w:rPr>
        <w:t>://doi.org/10.1080/23251042.2023.2240080</w:t>
      </w:r>
      <w:proofErr w:type="gramEnd"/>
      <w:r w:rsidRPr="00684381">
        <w:rPr>
          <w:rFonts w:ascii="Arial" w:hAnsi="Arial" w:cs="Arial"/>
        </w:rPr>
        <w:t>.</w:t>
      </w:r>
    </w:p>
    <w:p w14:paraId="4BD307A9"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Kolobkova</w:t>
      </w:r>
      <w:proofErr w:type="spellEnd"/>
      <w:r w:rsidRPr="00684381">
        <w:rPr>
          <w:rFonts w:ascii="Arial" w:hAnsi="Arial" w:cs="Arial"/>
        </w:rPr>
        <w:t xml:space="preserve">, V.A., Romanov, A.A. and Frolova, E.A. (2021). Digital Technologies in the Hotel Industry: New Prospects for Sustainable Development. </w:t>
      </w:r>
      <w:r w:rsidRPr="00684381">
        <w:rPr>
          <w:rFonts w:ascii="Arial" w:hAnsi="Arial" w:cs="Arial"/>
          <w:i/>
          <w:iCs/>
        </w:rPr>
        <w:t>Studies in Systems, Decision and Control</w:t>
      </w:r>
      <w:r w:rsidRPr="00684381">
        <w:rPr>
          <w:rFonts w:ascii="Arial" w:hAnsi="Arial" w:cs="Arial"/>
        </w:rPr>
        <w:t xml:space="preserve">, 314, pp.387–394. </w:t>
      </w:r>
      <w:proofErr w:type="spellStart"/>
      <w:proofErr w:type="gramStart"/>
      <w:r w:rsidRPr="00684381">
        <w:rPr>
          <w:rFonts w:ascii="Arial" w:hAnsi="Arial" w:cs="Arial"/>
        </w:rPr>
        <w:t>doi:https</w:t>
      </w:r>
      <w:proofErr w:type="spellEnd"/>
      <w:r w:rsidRPr="00684381">
        <w:rPr>
          <w:rFonts w:ascii="Arial" w:hAnsi="Arial" w:cs="Arial"/>
        </w:rPr>
        <w:t>://doi.org/10.1007/978-3-030-56433-9_41</w:t>
      </w:r>
      <w:proofErr w:type="gramEnd"/>
      <w:r w:rsidRPr="00684381">
        <w:rPr>
          <w:rFonts w:ascii="Arial" w:hAnsi="Arial" w:cs="Arial"/>
        </w:rPr>
        <w:t>.</w:t>
      </w:r>
    </w:p>
    <w:p w14:paraId="79D9AE44" w14:textId="23B39801" w:rsidR="00684381" w:rsidRPr="00684381" w:rsidRDefault="00684381" w:rsidP="00684381">
      <w:pPr>
        <w:pStyle w:val="NormalWeb"/>
        <w:spacing w:line="360" w:lineRule="auto"/>
        <w:jc w:val="both"/>
        <w:rPr>
          <w:rFonts w:ascii="Arial" w:hAnsi="Arial" w:cs="Arial"/>
        </w:rPr>
      </w:pPr>
      <w:r w:rsidRPr="00684381">
        <w:rPr>
          <w:rFonts w:ascii="Arial" w:hAnsi="Arial" w:cs="Arial"/>
        </w:rPr>
        <w:t>Levy, S.E. and Park, S.-Y. (201</w:t>
      </w:r>
      <w:r>
        <w:rPr>
          <w:rFonts w:ascii="Arial" w:hAnsi="Arial" w:cs="Arial"/>
        </w:rPr>
        <w:t>4</w:t>
      </w:r>
      <w:r w:rsidRPr="00684381">
        <w:rPr>
          <w:rFonts w:ascii="Arial" w:hAnsi="Arial" w:cs="Arial"/>
        </w:rPr>
        <w:t xml:space="preserve">). An Analysis of CSR Activities in the Lodging Industry. </w:t>
      </w:r>
      <w:r w:rsidRPr="00684381">
        <w:rPr>
          <w:rFonts w:ascii="Arial" w:hAnsi="Arial" w:cs="Arial"/>
          <w:i/>
          <w:iCs/>
        </w:rPr>
        <w:t>Journal of Hospitality and Tourism Management</w:t>
      </w:r>
      <w:r w:rsidRPr="00684381">
        <w:rPr>
          <w:rFonts w:ascii="Arial" w:hAnsi="Arial" w:cs="Arial"/>
        </w:rPr>
        <w:t xml:space="preserve">, 18(1), pp.147–154. </w:t>
      </w:r>
      <w:proofErr w:type="spellStart"/>
      <w:proofErr w:type="gramStart"/>
      <w:r w:rsidRPr="00684381">
        <w:rPr>
          <w:rFonts w:ascii="Arial" w:hAnsi="Arial" w:cs="Arial"/>
        </w:rPr>
        <w:t>doi:https</w:t>
      </w:r>
      <w:proofErr w:type="spellEnd"/>
      <w:r w:rsidRPr="00684381">
        <w:rPr>
          <w:rFonts w:ascii="Arial" w:hAnsi="Arial" w:cs="Arial"/>
        </w:rPr>
        <w:t>://doi.org/10.1375/jhtm.18.1.147</w:t>
      </w:r>
      <w:proofErr w:type="gramEnd"/>
      <w:r w:rsidRPr="00684381">
        <w:rPr>
          <w:rFonts w:ascii="Arial" w:hAnsi="Arial" w:cs="Arial"/>
        </w:rPr>
        <w:t>.</w:t>
      </w:r>
    </w:p>
    <w:p w14:paraId="2EFF58AC"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Mobin</w:t>
      </w:r>
      <w:proofErr w:type="spellEnd"/>
      <w:r w:rsidRPr="00684381">
        <w:rPr>
          <w:rFonts w:ascii="Arial" w:hAnsi="Arial" w:cs="Arial"/>
        </w:rPr>
        <w:t xml:space="preserve"> Fatma and Khan, I. (2024). CSR, brand image and WOM: a multiple mediation analysis. </w:t>
      </w:r>
      <w:r w:rsidRPr="00684381">
        <w:rPr>
          <w:rFonts w:ascii="Arial" w:hAnsi="Arial" w:cs="Arial"/>
          <w:i/>
          <w:iCs/>
        </w:rPr>
        <w:t>The international journal of organizational analysis</w:t>
      </w:r>
      <w:r w:rsidRPr="00684381">
        <w:rPr>
          <w:rFonts w:ascii="Arial" w:hAnsi="Arial" w:cs="Arial"/>
        </w:rPr>
        <w:t xml:space="preserve">. </w:t>
      </w:r>
      <w:proofErr w:type="spellStart"/>
      <w:proofErr w:type="gramStart"/>
      <w:r w:rsidRPr="00684381">
        <w:rPr>
          <w:rFonts w:ascii="Arial" w:hAnsi="Arial" w:cs="Arial"/>
        </w:rPr>
        <w:t>doi:https</w:t>
      </w:r>
      <w:proofErr w:type="spellEnd"/>
      <w:r w:rsidRPr="00684381">
        <w:rPr>
          <w:rFonts w:ascii="Arial" w:hAnsi="Arial" w:cs="Arial"/>
        </w:rPr>
        <w:t>://doi.org/10.1108/ijoa-09-2023-3991</w:t>
      </w:r>
      <w:proofErr w:type="gramEnd"/>
      <w:r w:rsidRPr="00684381">
        <w:rPr>
          <w:rFonts w:ascii="Arial" w:hAnsi="Arial" w:cs="Arial"/>
        </w:rPr>
        <w:t>.</w:t>
      </w:r>
    </w:p>
    <w:p w14:paraId="14F97C9A"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Moscardo</w:t>
      </w:r>
      <w:proofErr w:type="spellEnd"/>
      <w:r w:rsidRPr="00684381">
        <w:rPr>
          <w:rFonts w:ascii="Arial" w:hAnsi="Arial" w:cs="Arial"/>
        </w:rPr>
        <w:t xml:space="preserve">, G. (2017). Sustainable Luxury in Hotels and Resorts: Is It Possible? </w:t>
      </w:r>
      <w:r w:rsidRPr="00684381">
        <w:rPr>
          <w:rFonts w:ascii="Arial" w:hAnsi="Arial" w:cs="Arial"/>
          <w:i/>
          <w:iCs/>
        </w:rPr>
        <w:t>Sustainable Management of Luxury</w:t>
      </w:r>
      <w:r w:rsidRPr="00684381">
        <w:rPr>
          <w:rFonts w:ascii="Arial" w:hAnsi="Arial" w:cs="Arial"/>
        </w:rPr>
        <w:t xml:space="preserve">, pp.163–189. </w:t>
      </w:r>
      <w:proofErr w:type="spellStart"/>
      <w:proofErr w:type="gramStart"/>
      <w:r w:rsidRPr="00684381">
        <w:rPr>
          <w:rFonts w:ascii="Arial" w:hAnsi="Arial" w:cs="Arial"/>
        </w:rPr>
        <w:t>doi:https</w:t>
      </w:r>
      <w:proofErr w:type="spellEnd"/>
      <w:r w:rsidRPr="00684381">
        <w:rPr>
          <w:rFonts w:ascii="Arial" w:hAnsi="Arial" w:cs="Arial"/>
        </w:rPr>
        <w:t>://doi.org/10.1007/978-981-10-2917-2_8</w:t>
      </w:r>
      <w:proofErr w:type="gramEnd"/>
      <w:r w:rsidRPr="00684381">
        <w:rPr>
          <w:rFonts w:ascii="Arial" w:hAnsi="Arial" w:cs="Arial"/>
        </w:rPr>
        <w:t>.</w:t>
      </w:r>
    </w:p>
    <w:p w14:paraId="422DE9AD"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Pirani, S.I. and Arafat, H.A. (2016). Reduction of food waste generation in the hospitality industry. </w:t>
      </w:r>
      <w:r w:rsidRPr="00684381">
        <w:rPr>
          <w:rFonts w:ascii="Arial" w:hAnsi="Arial" w:cs="Arial"/>
          <w:i/>
          <w:iCs/>
        </w:rPr>
        <w:t>Journal of Cleaner Production</w:t>
      </w:r>
      <w:r w:rsidRPr="00684381">
        <w:rPr>
          <w:rFonts w:ascii="Arial" w:hAnsi="Arial" w:cs="Arial"/>
        </w:rPr>
        <w:t xml:space="preserve">, 132, pp.129–145. </w:t>
      </w:r>
      <w:proofErr w:type="spellStart"/>
      <w:proofErr w:type="gramStart"/>
      <w:r w:rsidRPr="00684381">
        <w:rPr>
          <w:rFonts w:ascii="Arial" w:hAnsi="Arial" w:cs="Arial"/>
        </w:rPr>
        <w:t>doi:https</w:t>
      </w:r>
      <w:proofErr w:type="spellEnd"/>
      <w:r w:rsidRPr="00684381">
        <w:rPr>
          <w:rFonts w:ascii="Arial" w:hAnsi="Arial" w:cs="Arial"/>
        </w:rPr>
        <w:t>://doi.org/10.1016/j.jclepro.2015.07.146</w:t>
      </w:r>
      <w:proofErr w:type="gramEnd"/>
      <w:r w:rsidRPr="00684381">
        <w:rPr>
          <w:rFonts w:ascii="Arial" w:hAnsi="Arial" w:cs="Arial"/>
        </w:rPr>
        <w:t>.</w:t>
      </w:r>
    </w:p>
    <w:p w14:paraId="766A617E" w14:textId="7FAAB266"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Simmons, A. (2020). </w:t>
      </w:r>
      <w:r w:rsidRPr="00684381">
        <w:rPr>
          <w:rFonts w:ascii="Arial" w:hAnsi="Arial" w:cs="Arial"/>
          <w:i/>
          <w:iCs/>
        </w:rPr>
        <w:t>Cinema has seen 70 per cent drop in revenue due to Covid-19 but owners are determined to stay open</w:t>
      </w:r>
      <w:r w:rsidRPr="00684381">
        <w:rPr>
          <w:rFonts w:ascii="Arial" w:hAnsi="Arial" w:cs="Arial"/>
        </w:rPr>
        <w:t xml:space="preserve">. [online] Burnham and Highbridge Weekly News. Available at: </w:t>
      </w:r>
      <w:r w:rsidRPr="00684381">
        <w:rPr>
          <w:rFonts w:ascii="Arial" w:hAnsi="Arial" w:cs="Arial"/>
        </w:rPr>
        <w:lastRenderedPageBreak/>
        <w:t>https://www.burnhamandhighbridgeweeklynews.co.uk/news/18735170.cinema-seen-70-per-cent-drop-revenue-due-covid-19-owners-determined-stay-open/</w:t>
      </w:r>
      <w:r>
        <w:rPr>
          <w:rFonts w:ascii="Arial" w:hAnsi="Arial" w:cs="Arial"/>
        </w:rPr>
        <w:t>.</w:t>
      </w:r>
    </w:p>
    <w:p w14:paraId="6A2B2232" w14:textId="528AF2E2"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Sustainable Hospitality Alliance (2023). </w:t>
      </w:r>
      <w:r w:rsidRPr="00684381">
        <w:rPr>
          <w:rFonts w:ascii="Arial" w:hAnsi="Arial" w:cs="Arial"/>
          <w:i/>
          <w:iCs/>
        </w:rPr>
        <w:t>Water stewardship - addressing hospitality’s impact on water scarcity</w:t>
      </w:r>
      <w:r w:rsidRPr="00684381">
        <w:rPr>
          <w:rFonts w:ascii="Arial" w:hAnsi="Arial" w:cs="Arial"/>
        </w:rPr>
        <w:t>. Sustainable Hospitality Alliance. Available at: https://sustainablehospitalityalliance.org/our-work/water-stewardship/.</w:t>
      </w:r>
    </w:p>
    <w:p w14:paraId="13CBC8EF"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Syrovatka</w:t>
      </w:r>
      <w:proofErr w:type="spellEnd"/>
      <w:r w:rsidRPr="00684381">
        <w:rPr>
          <w:rFonts w:ascii="Arial" w:hAnsi="Arial" w:cs="Arial"/>
        </w:rPr>
        <w:t xml:space="preserve">, F. (2020). Labour market policy under the new European economic governance: France in the focus of the new European labour market policy. </w:t>
      </w:r>
      <w:r w:rsidRPr="00684381">
        <w:rPr>
          <w:rFonts w:ascii="Arial" w:hAnsi="Arial" w:cs="Arial"/>
          <w:i/>
          <w:iCs/>
        </w:rPr>
        <w:t>Capital &amp; Class</w:t>
      </w:r>
      <w:r w:rsidRPr="00684381">
        <w:rPr>
          <w:rFonts w:ascii="Arial" w:hAnsi="Arial" w:cs="Arial"/>
        </w:rPr>
        <w:t xml:space="preserve">, p.030981682094317. </w:t>
      </w:r>
      <w:proofErr w:type="spellStart"/>
      <w:proofErr w:type="gramStart"/>
      <w:r w:rsidRPr="00684381">
        <w:rPr>
          <w:rFonts w:ascii="Arial" w:hAnsi="Arial" w:cs="Arial"/>
        </w:rPr>
        <w:t>doi:https</w:t>
      </w:r>
      <w:proofErr w:type="spellEnd"/>
      <w:r w:rsidRPr="00684381">
        <w:rPr>
          <w:rFonts w:ascii="Arial" w:hAnsi="Arial" w:cs="Arial"/>
        </w:rPr>
        <w:t>://doi.org/10.1177/0309816820943177</w:t>
      </w:r>
      <w:proofErr w:type="gramEnd"/>
      <w:r w:rsidRPr="00684381">
        <w:rPr>
          <w:rFonts w:ascii="Arial" w:hAnsi="Arial" w:cs="Arial"/>
        </w:rPr>
        <w:t>.</w:t>
      </w:r>
    </w:p>
    <w:p w14:paraId="0BE83A77" w14:textId="77777777" w:rsidR="00684381" w:rsidRPr="00684381" w:rsidRDefault="00684381" w:rsidP="00684381">
      <w:pPr>
        <w:pStyle w:val="NormalWeb"/>
        <w:spacing w:line="360" w:lineRule="auto"/>
        <w:jc w:val="both"/>
        <w:rPr>
          <w:rFonts w:ascii="Arial" w:hAnsi="Arial" w:cs="Arial"/>
        </w:rPr>
      </w:pPr>
      <w:proofErr w:type="spellStart"/>
      <w:r w:rsidRPr="00684381">
        <w:rPr>
          <w:rFonts w:ascii="Arial" w:hAnsi="Arial" w:cs="Arial"/>
        </w:rPr>
        <w:t>Teanpitthayamas</w:t>
      </w:r>
      <w:proofErr w:type="spellEnd"/>
      <w:r w:rsidRPr="00684381">
        <w:rPr>
          <w:rFonts w:ascii="Arial" w:hAnsi="Arial" w:cs="Arial"/>
        </w:rPr>
        <w:t xml:space="preserve">, A., </w:t>
      </w:r>
      <w:proofErr w:type="spellStart"/>
      <w:r w:rsidRPr="00684381">
        <w:rPr>
          <w:rFonts w:ascii="Arial" w:hAnsi="Arial" w:cs="Arial"/>
        </w:rPr>
        <w:t>Suttipun</w:t>
      </w:r>
      <w:proofErr w:type="spellEnd"/>
      <w:r w:rsidRPr="00684381">
        <w:rPr>
          <w:rFonts w:ascii="Arial" w:hAnsi="Arial" w:cs="Arial"/>
        </w:rPr>
        <w:t xml:space="preserve">, M. and </w:t>
      </w:r>
      <w:proofErr w:type="spellStart"/>
      <w:r w:rsidRPr="00684381">
        <w:rPr>
          <w:rFonts w:ascii="Arial" w:hAnsi="Arial" w:cs="Arial"/>
        </w:rPr>
        <w:t>Lakkanwanit</w:t>
      </w:r>
      <w:proofErr w:type="spellEnd"/>
      <w:r w:rsidRPr="00684381">
        <w:rPr>
          <w:rFonts w:ascii="Arial" w:hAnsi="Arial" w:cs="Arial"/>
        </w:rPr>
        <w:t xml:space="preserve">, P. (2021). Corporate Social Responsibility (CSR) Practices and Firm Performance: Empirical Evidence from Hotel Industry in Thailand. </w:t>
      </w:r>
      <w:r w:rsidRPr="00684381">
        <w:rPr>
          <w:rFonts w:ascii="Arial" w:hAnsi="Arial" w:cs="Arial"/>
          <w:i/>
          <w:iCs/>
        </w:rPr>
        <w:t>The Journal of Asian Finance, Economics and Business</w:t>
      </w:r>
      <w:r w:rsidRPr="00684381">
        <w:rPr>
          <w:rFonts w:ascii="Arial" w:hAnsi="Arial" w:cs="Arial"/>
        </w:rPr>
        <w:t xml:space="preserve">, [online] 8(4), pp.777–786. </w:t>
      </w:r>
      <w:proofErr w:type="spellStart"/>
      <w:proofErr w:type="gramStart"/>
      <w:r w:rsidRPr="00684381">
        <w:rPr>
          <w:rFonts w:ascii="Arial" w:hAnsi="Arial" w:cs="Arial"/>
        </w:rPr>
        <w:t>doi:https</w:t>
      </w:r>
      <w:proofErr w:type="spellEnd"/>
      <w:r w:rsidRPr="00684381">
        <w:rPr>
          <w:rFonts w:ascii="Arial" w:hAnsi="Arial" w:cs="Arial"/>
        </w:rPr>
        <w:t>://doi.org/10.13106/jafeb.2021.vol8.no4.0777</w:t>
      </w:r>
      <w:proofErr w:type="gramEnd"/>
      <w:r w:rsidRPr="00684381">
        <w:rPr>
          <w:rFonts w:ascii="Arial" w:hAnsi="Arial" w:cs="Arial"/>
        </w:rPr>
        <w:t>.</w:t>
      </w:r>
    </w:p>
    <w:p w14:paraId="67179F33" w14:textId="77777777" w:rsidR="00684381" w:rsidRPr="00684381" w:rsidRDefault="00684381" w:rsidP="00684381">
      <w:pPr>
        <w:pStyle w:val="NormalWeb"/>
        <w:spacing w:line="360" w:lineRule="auto"/>
        <w:jc w:val="both"/>
        <w:rPr>
          <w:rFonts w:ascii="Arial" w:hAnsi="Arial" w:cs="Arial"/>
        </w:rPr>
      </w:pPr>
      <w:r w:rsidRPr="00684381">
        <w:rPr>
          <w:rFonts w:ascii="Arial" w:hAnsi="Arial" w:cs="Arial"/>
        </w:rPr>
        <w:t xml:space="preserve">The Ritz-Carlton (2023). </w:t>
      </w:r>
      <w:r w:rsidRPr="00684381">
        <w:rPr>
          <w:rFonts w:ascii="Arial" w:hAnsi="Arial" w:cs="Arial"/>
          <w:i/>
          <w:iCs/>
        </w:rPr>
        <w:t>Sustainability</w:t>
      </w:r>
      <w:r w:rsidRPr="00684381">
        <w:rPr>
          <w:rFonts w:ascii="Arial" w:hAnsi="Arial" w:cs="Arial"/>
        </w:rPr>
        <w:t>. [online] www.ritzcarlton.com. Available at: https://www.ritzcarlton.com/en/about-the-ritz-carlton/sustainability/.</w:t>
      </w:r>
    </w:p>
    <w:p w14:paraId="4D22FF4C" w14:textId="77777777" w:rsidR="00684381" w:rsidRPr="00684381" w:rsidRDefault="00684381" w:rsidP="00684381">
      <w:pPr>
        <w:pStyle w:val="NormalWeb"/>
        <w:spacing w:line="360" w:lineRule="auto"/>
        <w:jc w:val="both"/>
        <w:rPr>
          <w:rFonts w:ascii="Arial" w:hAnsi="Arial" w:cs="Arial"/>
        </w:rPr>
      </w:pPr>
    </w:p>
    <w:p w14:paraId="3C018316" w14:textId="77777777" w:rsidR="00684381" w:rsidRPr="00071201" w:rsidRDefault="00684381" w:rsidP="005F38A8">
      <w:pPr>
        <w:pStyle w:val="NormalWeb"/>
        <w:spacing w:line="360" w:lineRule="auto"/>
        <w:jc w:val="both"/>
        <w:rPr>
          <w:rFonts w:ascii="Arial" w:hAnsi="Arial" w:cs="Arial"/>
        </w:rPr>
      </w:pPr>
    </w:p>
    <w:p w14:paraId="11FDDF93" w14:textId="77777777" w:rsidR="002D6201" w:rsidRPr="00071201" w:rsidRDefault="002D6201" w:rsidP="009E2051">
      <w:pPr>
        <w:spacing w:line="360" w:lineRule="auto"/>
        <w:jc w:val="both"/>
        <w:rPr>
          <w:rFonts w:ascii="Arial" w:hAnsi="Arial" w:cs="Arial"/>
        </w:rPr>
      </w:pPr>
    </w:p>
    <w:sectPr w:rsidR="002D6201" w:rsidRPr="00071201" w:rsidSect="00684381">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E3391" w14:textId="77777777" w:rsidR="00A25247" w:rsidRDefault="00A25247" w:rsidP="00684381">
      <w:r>
        <w:separator/>
      </w:r>
    </w:p>
  </w:endnote>
  <w:endnote w:type="continuationSeparator" w:id="0">
    <w:p w14:paraId="4D814DEE" w14:textId="77777777" w:rsidR="00A25247" w:rsidRDefault="00A25247" w:rsidP="00684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1148245"/>
      <w:docPartObj>
        <w:docPartGallery w:val="Page Numbers (Bottom of Page)"/>
        <w:docPartUnique/>
      </w:docPartObj>
    </w:sdtPr>
    <w:sdtContent>
      <w:p w14:paraId="576E9EBA" w14:textId="367095BB" w:rsidR="00684381" w:rsidRDefault="00684381" w:rsidP="00D44A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62819703"/>
      <w:docPartObj>
        <w:docPartGallery w:val="Page Numbers (Bottom of Page)"/>
        <w:docPartUnique/>
      </w:docPartObj>
    </w:sdtPr>
    <w:sdtContent>
      <w:p w14:paraId="41DDC57C" w14:textId="096ADC93" w:rsidR="00684381" w:rsidRDefault="00684381" w:rsidP="00D44A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5BABE1" w14:textId="77777777" w:rsidR="00684381" w:rsidRDefault="00684381" w:rsidP="006843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AE555" w14:textId="49CED67F" w:rsidR="00684381" w:rsidRDefault="00684381" w:rsidP="00D44A10">
    <w:pPr>
      <w:pStyle w:val="Footer"/>
      <w:framePr w:wrap="none" w:vAnchor="text" w:hAnchor="margin" w:xAlign="right" w:y="1"/>
      <w:rPr>
        <w:rStyle w:val="PageNumber"/>
      </w:rPr>
    </w:pPr>
  </w:p>
  <w:p w14:paraId="3F5D1C13" w14:textId="77777777" w:rsidR="00684381" w:rsidRDefault="00684381" w:rsidP="0068438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2163803"/>
      <w:docPartObj>
        <w:docPartGallery w:val="Page Numbers (Bottom of Page)"/>
        <w:docPartUnique/>
      </w:docPartObj>
    </w:sdtPr>
    <w:sdtContent>
      <w:p w14:paraId="48EC49DD" w14:textId="77777777" w:rsidR="00684381" w:rsidRDefault="00684381" w:rsidP="006843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DA7436" w14:textId="77777777" w:rsidR="00684381" w:rsidRDefault="00684381" w:rsidP="006843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D31FB" w14:textId="77777777" w:rsidR="00A25247" w:rsidRDefault="00A25247" w:rsidP="00684381">
      <w:r>
        <w:separator/>
      </w:r>
    </w:p>
  </w:footnote>
  <w:footnote w:type="continuationSeparator" w:id="0">
    <w:p w14:paraId="060C0966" w14:textId="77777777" w:rsidR="00A25247" w:rsidRDefault="00A25247" w:rsidP="006843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201"/>
    <w:rsid w:val="0000041F"/>
    <w:rsid w:val="00071201"/>
    <w:rsid w:val="0007442D"/>
    <w:rsid w:val="001F5ABD"/>
    <w:rsid w:val="00204BDC"/>
    <w:rsid w:val="00246B3C"/>
    <w:rsid w:val="002D6201"/>
    <w:rsid w:val="004A555D"/>
    <w:rsid w:val="005659FB"/>
    <w:rsid w:val="00583B5F"/>
    <w:rsid w:val="0058621F"/>
    <w:rsid w:val="005F38A8"/>
    <w:rsid w:val="00684381"/>
    <w:rsid w:val="006A4065"/>
    <w:rsid w:val="006B7A80"/>
    <w:rsid w:val="00752716"/>
    <w:rsid w:val="009B300F"/>
    <w:rsid w:val="009E2051"/>
    <w:rsid w:val="00A25247"/>
    <w:rsid w:val="00A3576E"/>
    <w:rsid w:val="00AA4CEC"/>
    <w:rsid w:val="00B14201"/>
    <w:rsid w:val="00B7194C"/>
    <w:rsid w:val="00B85808"/>
    <w:rsid w:val="00C54F46"/>
    <w:rsid w:val="00C82002"/>
    <w:rsid w:val="00C83EA3"/>
    <w:rsid w:val="00D13AD2"/>
    <w:rsid w:val="00F81A3F"/>
    <w:rsid w:val="00FC2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ED6CA"/>
  <w15:chartTrackingRefBased/>
  <w15:docId w15:val="{B5814CDD-F4C2-8B41-85A6-1B334F666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2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62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2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2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2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2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2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2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2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2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62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2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2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2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201"/>
    <w:rPr>
      <w:rFonts w:eastAsiaTheme="majorEastAsia" w:cstheme="majorBidi"/>
      <w:color w:val="272727" w:themeColor="text1" w:themeTint="D8"/>
    </w:rPr>
  </w:style>
  <w:style w:type="paragraph" w:styleId="Title">
    <w:name w:val="Title"/>
    <w:basedOn w:val="Normal"/>
    <w:next w:val="Normal"/>
    <w:link w:val="TitleChar"/>
    <w:uiPriority w:val="10"/>
    <w:qFormat/>
    <w:rsid w:val="002D62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2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2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6201"/>
    <w:rPr>
      <w:i/>
      <w:iCs/>
      <w:color w:val="404040" w:themeColor="text1" w:themeTint="BF"/>
    </w:rPr>
  </w:style>
  <w:style w:type="paragraph" w:styleId="ListParagraph">
    <w:name w:val="List Paragraph"/>
    <w:basedOn w:val="Normal"/>
    <w:uiPriority w:val="34"/>
    <w:qFormat/>
    <w:rsid w:val="002D6201"/>
    <w:pPr>
      <w:ind w:left="720"/>
      <w:contextualSpacing/>
    </w:pPr>
  </w:style>
  <w:style w:type="character" w:styleId="IntenseEmphasis">
    <w:name w:val="Intense Emphasis"/>
    <w:basedOn w:val="DefaultParagraphFont"/>
    <w:uiPriority w:val="21"/>
    <w:qFormat/>
    <w:rsid w:val="002D6201"/>
    <w:rPr>
      <w:i/>
      <w:iCs/>
      <w:color w:val="0F4761" w:themeColor="accent1" w:themeShade="BF"/>
    </w:rPr>
  </w:style>
  <w:style w:type="paragraph" w:styleId="IntenseQuote">
    <w:name w:val="Intense Quote"/>
    <w:basedOn w:val="Normal"/>
    <w:next w:val="Normal"/>
    <w:link w:val="IntenseQuoteChar"/>
    <w:uiPriority w:val="30"/>
    <w:qFormat/>
    <w:rsid w:val="002D62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201"/>
    <w:rPr>
      <w:i/>
      <w:iCs/>
      <w:color w:val="0F4761" w:themeColor="accent1" w:themeShade="BF"/>
    </w:rPr>
  </w:style>
  <w:style w:type="character" w:styleId="IntenseReference">
    <w:name w:val="Intense Reference"/>
    <w:basedOn w:val="DefaultParagraphFont"/>
    <w:uiPriority w:val="32"/>
    <w:qFormat/>
    <w:rsid w:val="002D6201"/>
    <w:rPr>
      <w:b/>
      <w:bCs/>
      <w:smallCaps/>
      <w:color w:val="0F4761" w:themeColor="accent1" w:themeShade="BF"/>
      <w:spacing w:val="5"/>
    </w:rPr>
  </w:style>
  <w:style w:type="paragraph" w:styleId="NormalWeb">
    <w:name w:val="Normal (Web)"/>
    <w:basedOn w:val="Normal"/>
    <w:uiPriority w:val="99"/>
    <w:unhideWhenUsed/>
    <w:rsid w:val="002D620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84381"/>
    <w:pPr>
      <w:tabs>
        <w:tab w:val="center" w:pos="4513"/>
        <w:tab w:val="right" w:pos="9026"/>
      </w:tabs>
    </w:pPr>
  </w:style>
  <w:style w:type="character" w:customStyle="1" w:styleId="FooterChar">
    <w:name w:val="Footer Char"/>
    <w:basedOn w:val="DefaultParagraphFont"/>
    <w:link w:val="Footer"/>
    <w:uiPriority w:val="99"/>
    <w:rsid w:val="00684381"/>
  </w:style>
  <w:style w:type="character" w:styleId="PageNumber">
    <w:name w:val="page number"/>
    <w:basedOn w:val="DefaultParagraphFont"/>
    <w:uiPriority w:val="99"/>
    <w:semiHidden/>
    <w:unhideWhenUsed/>
    <w:rsid w:val="00684381"/>
  </w:style>
  <w:style w:type="paragraph" w:styleId="Header">
    <w:name w:val="header"/>
    <w:basedOn w:val="Normal"/>
    <w:link w:val="HeaderChar"/>
    <w:uiPriority w:val="99"/>
    <w:unhideWhenUsed/>
    <w:rsid w:val="00684381"/>
    <w:pPr>
      <w:tabs>
        <w:tab w:val="center" w:pos="4513"/>
        <w:tab w:val="right" w:pos="9026"/>
      </w:tabs>
    </w:pPr>
  </w:style>
  <w:style w:type="character" w:customStyle="1" w:styleId="HeaderChar">
    <w:name w:val="Header Char"/>
    <w:basedOn w:val="DefaultParagraphFont"/>
    <w:link w:val="Header"/>
    <w:uiPriority w:val="99"/>
    <w:rsid w:val="0068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7381">
      <w:bodyDiv w:val="1"/>
      <w:marLeft w:val="0"/>
      <w:marRight w:val="0"/>
      <w:marTop w:val="0"/>
      <w:marBottom w:val="0"/>
      <w:divBdr>
        <w:top w:val="none" w:sz="0" w:space="0" w:color="auto"/>
        <w:left w:val="none" w:sz="0" w:space="0" w:color="auto"/>
        <w:bottom w:val="none" w:sz="0" w:space="0" w:color="auto"/>
        <w:right w:val="none" w:sz="0" w:space="0" w:color="auto"/>
      </w:divBdr>
    </w:div>
    <w:div w:id="166990611">
      <w:bodyDiv w:val="1"/>
      <w:marLeft w:val="0"/>
      <w:marRight w:val="0"/>
      <w:marTop w:val="0"/>
      <w:marBottom w:val="0"/>
      <w:divBdr>
        <w:top w:val="none" w:sz="0" w:space="0" w:color="auto"/>
        <w:left w:val="none" w:sz="0" w:space="0" w:color="auto"/>
        <w:bottom w:val="none" w:sz="0" w:space="0" w:color="auto"/>
        <w:right w:val="none" w:sz="0" w:space="0" w:color="auto"/>
      </w:divBdr>
    </w:div>
    <w:div w:id="248739540">
      <w:bodyDiv w:val="1"/>
      <w:marLeft w:val="0"/>
      <w:marRight w:val="0"/>
      <w:marTop w:val="0"/>
      <w:marBottom w:val="0"/>
      <w:divBdr>
        <w:top w:val="none" w:sz="0" w:space="0" w:color="auto"/>
        <w:left w:val="none" w:sz="0" w:space="0" w:color="auto"/>
        <w:bottom w:val="none" w:sz="0" w:space="0" w:color="auto"/>
        <w:right w:val="none" w:sz="0" w:space="0" w:color="auto"/>
      </w:divBdr>
    </w:div>
    <w:div w:id="287248295">
      <w:bodyDiv w:val="1"/>
      <w:marLeft w:val="0"/>
      <w:marRight w:val="0"/>
      <w:marTop w:val="0"/>
      <w:marBottom w:val="0"/>
      <w:divBdr>
        <w:top w:val="none" w:sz="0" w:space="0" w:color="auto"/>
        <w:left w:val="none" w:sz="0" w:space="0" w:color="auto"/>
        <w:bottom w:val="none" w:sz="0" w:space="0" w:color="auto"/>
        <w:right w:val="none" w:sz="0" w:space="0" w:color="auto"/>
      </w:divBdr>
    </w:div>
    <w:div w:id="482433097">
      <w:bodyDiv w:val="1"/>
      <w:marLeft w:val="0"/>
      <w:marRight w:val="0"/>
      <w:marTop w:val="0"/>
      <w:marBottom w:val="0"/>
      <w:divBdr>
        <w:top w:val="none" w:sz="0" w:space="0" w:color="auto"/>
        <w:left w:val="none" w:sz="0" w:space="0" w:color="auto"/>
        <w:bottom w:val="none" w:sz="0" w:space="0" w:color="auto"/>
        <w:right w:val="none" w:sz="0" w:space="0" w:color="auto"/>
      </w:divBdr>
    </w:div>
    <w:div w:id="653223492">
      <w:bodyDiv w:val="1"/>
      <w:marLeft w:val="0"/>
      <w:marRight w:val="0"/>
      <w:marTop w:val="0"/>
      <w:marBottom w:val="0"/>
      <w:divBdr>
        <w:top w:val="none" w:sz="0" w:space="0" w:color="auto"/>
        <w:left w:val="none" w:sz="0" w:space="0" w:color="auto"/>
        <w:bottom w:val="none" w:sz="0" w:space="0" w:color="auto"/>
        <w:right w:val="none" w:sz="0" w:space="0" w:color="auto"/>
      </w:divBdr>
    </w:div>
    <w:div w:id="849369887">
      <w:bodyDiv w:val="1"/>
      <w:marLeft w:val="0"/>
      <w:marRight w:val="0"/>
      <w:marTop w:val="0"/>
      <w:marBottom w:val="0"/>
      <w:divBdr>
        <w:top w:val="none" w:sz="0" w:space="0" w:color="auto"/>
        <w:left w:val="none" w:sz="0" w:space="0" w:color="auto"/>
        <w:bottom w:val="none" w:sz="0" w:space="0" w:color="auto"/>
        <w:right w:val="none" w:sz="0" w:space="0" w:color="auto"/>
      </w:divBdr>
    </w:div>
    <w:div w:id="911504666">
      <w:bodyDiv w:val="1"/>
      <w:marLeft w:val="0"/>
      <w:marRight w:val="0"/>
      <w:marTop w:val="0"/>
      <w:marBottom w:val="0"/>
      <w:divBdr>
        <w:top w:val="none" w:sz="0" w:space="0" w:color="auto"/>
        <w:left w:val="none" w:sz="0" w:space="0" w:color="auto"/>
        <w:bottom w:val="none" w:sz="0" w:space="0" w:color="auto"/>
        <w:right w:val="none" w:sz="0" w:space="0" w:color="auto"/>
      </w:divBdr>
      <w:divsChild>
        <w:div w:id="3554463">
          <w:marLeft w:val="0"/>
          <w:marRight w:val="0"/>
          <w:marTop w:val="0"/>
          <w:marBottom w:val="0"/>
          <w:divBdr>
            <w:top w:val="none" w:sz="0" w:space="0" w:color="auto"/>
            <w:left w:val="none" w:sz="0" w:space="0" w:color="auto"/>
            <w:bottom w:val="none" w:sz="0" w:space="0" w:color="auto"/>
            <w:right w:val="none" w:sz="0" w:space="0" w:color="auto"/>
          </w:divBdr>
        </w:div>
      </w:divsChild>
    </w:div>
    <w:div w:id="922375464">
      <w:bodyDiv w:val="1"/>
      <w:marLeft w:val="0"/>
      <w:marRight w:val="0"/>
      <w:marTop w:val="0"/>
      <w:marBottom w:val="0"/>
      <w:divBdr>
        <w:top w:val="none" w:sz="0" w:space="0" w:color="auto"/>
        <w:left w:val="none" w:sz="0" w:space="0" w:color="auto"/>
        <w:bottom w:val="none" w:sz="0" w:space="0" w:color="auto"/>
        <w:right w:val="none" w:sz="0" w:space="0" w:color="auto"/>
      </w:divBdr>
    </w:div>
    <w:div w:id="1165318721">
      <w:bodyDiv w:val="1"/>
      <w:marLeft w:val="0"/>
      <w:marRight w:val="0"/>
      <w:marTop w:val="0"/>
      <w:marBottom w:val="0"/>
      <w:divBdr>
        <w:top w:val="none" w:sz="0" w:space="0" w:color="auto"/>
        <w:left w:val="none" w:sz="0" w:space="0" w:color="auto"/>
        <w:bottom w:val="none" w:sz="0" w:space="0" w:color="auto"/>
        <w:right w:val="none" w:sz="0" w:space="0" w:color="auto"/>
      </w:divBdr>
    </w:div>
    <w:div w:id="1282110032">
      <w:bodyDiv w:val="1"/>
      <w:marLeft w:val="0"/>
      <w:marRight w:val="0"/>
      <w:marTop w:val="0"/>
      <w:marBottom w:val="0"/>
      <w:divBdr>
        <w:top w:val="none" w:sz="0" w:space="0" w:color="auto"/>
        <w:left w:val="none" w:sz="0" w:space="0" w:color="auto"/>
        <w:bottom w:val="none" w:sz="0" w:space="0" w:color="auto"/>
        <w:right w:val="none" w:sz="0" w:space="0" w:color="auto"/>
      </w:divBdr>
    </w:div>
    <w:div w:id="1317683499">
      <w:bodyDiv w:val="1"/>
      <w:marLeft w:val="0"/>
      <w:marRight w:val="0"/>
      <w:marTop w:val="0"/>
      <w:marBottom w:val="0"/>
      <w:divBdr>
        <w:top w:val="none" w:sz="0" w:space="0" w:color="auto"/>
        <w:left w:val="none" w:sz="0" w:space="0" w:color="auto"/>
        <w:bottom w:val="none" w:sz="0" w:space="0" w:color="auto"/>
        <w:right w:val="none" w:sz="0" w:space="0" w:color="auto"/>
      </w:divBdr>
      <w:divsChild>
        <w:div w:id="313219547">
          <w:marLeft w:val="0"/>
          <w:marRight w:val="0"/>
          <w:marTop w:val="0"/>
          <w:marBottom w:val="0"/>
          <w:divBdr>
            <w:top w:val="none" w:sz="0" w:space="0" w:color="auto"/>
            <w:left w:val="none" w:sz="0" w:space="0" w:color="auto"/>
            <w:bottom w:val="none" w:sz="0" w:space="0" w:color="auto"/>
            <w:right w:val="none" w:sz="0" w:space="0" w:color="auto"/>
          </w:divBdr>
        </w:div>
      </w:divsChild>
    </w:div>
    <w:div w:id="1377706186">
      <w:bodyDiv w:val="1"/>
      <w:marLeft w:val="0"/>
      <w:marRight w:val="0"/>
      <w:marTop w:val="0"/>
      <w:marBottom w:val="0"/>
      <w:divBdr>
        <w:top w:val="none" w:sz="0" w:space="0" w:color="auto"/>
        <w:left w:val="none" w:sz="0" w:space="0" w:color="auto"/>
        <w:bottom w:val="none" w:sz="0" w:space="0" w:color="auto"/>
        <w:right w:val="none" w:sz="0" w:space="0" w:color="auto"/>
      </w:divBdr>
    </w:div>
    <w:div w:id="1417558217">
      <w:bodyDiv w:val="1"/>
      <w:marLeft w:val="0"/>
      <w:marRight w:val="0"/>
      <w:marTop w:val="0"/>
      <w:marBottom w:val="0"/>
      <w:divBdr>
        <w:top w:val="none" w:sz="0" w:space="0" w:color="auto"/>
        <w:left w:val="none" w:sz="0" w:space="0" w:color="auto"/>
        <w:bottom w:val="none" w:sz="0" w:space="0" w:color="auto"/>
        <w:right w:val="none" w:sz="0" w:space="0" w:color="auto"/>
      </w:divBdr>
      <w:divsChild>
        <w:div w:id="468206002">
          <w:marLeft w:val="0"/>
          <w:marRight w:val="0"/>
          <w:marTop w:val="0"/>
          <w:marBottom w:val="0"/>
          <w:divBdr>
            <w:top w:val="none" w:sz="0" w:space="0" w:color="auto"/>
            <w:left w:val="none" w:sz="0" w:space="0" w:color="auto"/>
            <w:bottom w:val="none" w:sz="0" w:space="0" w:color="auto"/>
            <w:right w:val="none" w:sz="0" w:space="0" w:color="auto"/>
          </w:divBdr>
          <w:divsChild>
            <w:div w:id="1530021063">
              <w:marLeft w:val="0"/>
              <w:marRight w:val="0"/>
              <w:marTop w:val="0"/>
              <w:marBottom w:val="0"/>
              <w:divBdr>
                <w:top w:val="none" w:sz="0" w:space="0" w:color="auto"/>
                <w:left w:val="none" w:sz="0" w:space="0" w:color="auto"/>
                <w:bottom w:val="none" w:sz="0" w:space="0" w:color="auto"/>
                <w:right w:val="none" w:sz="0" w:space="0" w:color="auto"/>
              </w:divBdr>
              <w:divsChild>
                <w:div w:id="833766504">
                  <w:marLeft w:val="0"/>
                  <w:marRight w:val="0"/>
                  <w:marTop w:val="0"/>
                  <w:marBottom w:val="0"/>
                  <w:divBdr>
                    <w:top w:val="none" w:sz="0" w:space="0" w:color="auto"/>
                    <w:left w:val="none" w:sz="0" w:space="0" w:color="auto"/>
                    <w:bottom w:val="none" w:sz="0" w:space="0" w:color="auto"/>
                    <w:right w:val="none" w:sz="0" w:space="0" w:color="auto"/>
                  </w:divBdr>
                  <w:divsChild>
                    <w:div w:id="9465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82612">
      <w:bodyDiv w:val="1"/>
      <w:marLeft w:val="0"/>
      <w:marRight w:val="0"/>
      <w:marTop w:val="0"/>
      <w:marBottom w:val="0"/>
      <w:divBdr>
        <w:top w:val="none" w:sz="0" w:space="0" w:color="auto"/>
        <w:left w:val="none" w:sz="0" w:space="0" w:color="auto"/>
        <w:bottom w:val="none" w:sz="0" w:space="0" w:color="auto"/>
        <w:right w:val="none" w:sz="0" w:space="0" w:color="auto"/>
      </w:divBdr>
    </w:div>
    <w:div w:id="1527711165">
      <w:bodyDiv w:val="1"/>
      <w:marLeft w:val="0"/>
      <w:marRight w:val="0"/>
      <w:marTop w:val="0"/>
      <w:marBottom w:val="0"/>
      <w:divBdr>
        <w:top w:val="none" w:sz="0" w:space="0" w:color="auto"/>
        <w:left w:val="none" w:sz="0" w:space="0" w:color="auto"/>
        <w:bottom w:val="none" w:sz="0" w:space="0" w:color="auto"/>
        <w:right w:val="none" w:sz="0" w:space="0" w:color="auto"/>
      </w:divBdr>
    </w:div>
    <w:div w:id="1601645545">
      <w:bodyDiv w:val="1"/>
      <w:marLeft w:val="0"/>
      <w:marRight w:val="0"/>
      <w:marTop w:val="0"/>
      <w:marBottom w:val="0"/>
      <w:divBdr>
        <w:top w:val="none" w:sz="0" w:space="0" w:color="auto"/>
        <w:left w:val="none" w:sz="0" w:space="0" w:color="auto"/>
        <w:bottom w:val="none" w:sz="0" w:space="0" w:color="auto"/>
        <w:right w:val="none" w:sz="0" w:space="0" w:color="auto"/>
      </w:divBdr>
    </w:div>
    <w:div w:id="1672875183">
      <w:bodyDiv w:val="1"/>
      <w:marLeft w:val="0"/>
      <w:marRight w:val="0"/>
      <w:marTop w:val="0"/>
      <w:marBottom w:val="0"/>
      <w:divBdr>
        <w:top w:val="none" w:sz="0" w:space="0" w:color="auto"/>
        <w:left w:val="none" w:sz="0" w:space="0" w:color="auto"/>
        <w:bottom w:val="none" w:sz="0" w:space="0" w:color="auto"/>
        <w:right w:val="none" w:sz="0" w:space="0" w:color="auto"/>
      </w:divBdr>
    </w:div>
    <w:div w:id="1723556246">
      <w:bodyDiv w:val="1"/>
      <w:marLeft w:val="0"/>
      <w:marRight w:val="0"/>
      <w:marTop w:val="0"/>
      <w:marBottom w:val="0"/>
      <w:divBdr>
        <w:top w:val="none" w:sz="0" w:space="0" w:color="auto"/>
        <w:left w:val="none" w:sz="0" w:space="0" w:color="auto"/>
        <w:bottom w:val="none" w:sz="0" w:space="0" w:color="auto"/>
        <w:right w:val="none" w:sz="0" w:space="0" w:color="auto"/>
      </w:divBdr>
    </w:div>
    <w:div w:id="1745224052">
      <w:bodyDiv w:val="1"/>
      <w:marLeft w:val="0"/>
      <w:marRight w:val="0"/>
      <w:marTop w:val="0"/>
      <w:marBottom w:val="0"/>
      <w:divBdr>
        <w:top w:val="none" w:sz="0" w:space="0" w:color="auto"/>
        <w:left w:val="none" w:sz="0" w:space="0" w:color="auto"/>
        <w:bottom w:val="none" w:sz="0" w:space="0" w:color="auto"/>
        <w:right w:val="none" w:sz="0" w:space="0" w:color="auto"/>
      </w:divBdr>
    </w:div>
    <w:div w:id="1840726799">
      <w:bodyDiv w:val="1"/>
      <w:marLeft w:val="0"/>
      <w:marRight w:val="0"/>
      <w:marTop w:val="0"/>
      <w:marBottom w:val="0"/>
      <w:divBdr>
        <w:top w:val="none" w:sz="0" w:space="0" w:color="auto"/>
        <w:left w:val="none" w:sz="0" w:space="0" w:color="auto"/>
        <w:bottom w:val="none" w:sz="0" w:space="0" w:color="auto"/>
        <w:right w:val="none" w:sz="0" w:space="0" w:color="auto"/>
      </w:divBdr>
    </w:div>
    <w:div w:id="1851946375">
      <w:bodyDiv w:val="1"/>
      <w:marLeft w:val="0"/>
      <w:marRight w:val="0"/>
      <w:marTop w:val="0"/>
      <w:marBottom w:val="0"/>
      <w:divBdr>
        <w:top w:val="none" w:sz="0" w:space="0" w:color="auto"/>
        <w:left w:val="none" w:sz="0" w:space="0" w:color="auto"/>
        <w:bottom w:val="none" w:sz="0" w:space="0" w:color="auto"/>
        <w:right w:val="none" w:sz="0" w:space="0" w:color="auto"/>
      </w:divBdr>
      <w:divsChild>
        <w:div w:id="312150643">
          <w:marLeft w:val="0"/>
          <w:marRight w:val="0"/>
          <w:marTop w:val="0"/>
          <w:marBottom w:val="0"/>
          <w:divBdr>
            <w:top w:val="none" w:sz="0" w:space="0" w:color="auto"/>
            <w:left w:val="none" w:sz="0" w:space="0" w:color="auto"/>
            <w:bottom w:val="none" w:sz="0" w:space="0" w:color="auto"/>
            <w:right w:val="none" w:sz="0" w:space="0" w:color="auto"/>
          </w:divBdr>
          <w:divsChild>
            <w:div w:id="1589535001">
              <w:marLeft w:val="0"/>
              <w:marRight w:val="0"/>
              <w:marTop w:val="0"/>
              <w:marBottom w:val="0"/>
              <w:divBdr>
                <w:top w:val="none" w:sz="0" w:space="0" w:color="auto"/>
                <w:left w:val="none" w:sz="0" w:space="0" w:color="auto"/>
                <w:bottom w:val="none" w:sz="0" w:space="0" w:color="auto"/>
                <w:right w:val="none" w:sz="0" w:space="0" w:color="auto"/>
              </w:divBdr>
              <w:divsChild>
                <w:div w:id="868495776">
                  <w:marLeft w:val="0"/>
                  <w:marRight w:val="0"/>
                  <w:marTop w:val="0"/>
                  <w:marBottom w:val="0"/>
                  <w:divBdr>
                    <w:top w:val="none" w:sz="0" w:space="0" w:color="auto"/>
                    <w:left w:val="none" w:sz="0" w:space="0" w:color="auto"/>
                    <w:bottom w:val="none" w:sz="0" w:space="0" w:color="auto"/>
                    <w:right w:val="none" w:sz="0" w:space="0" w:color="auto"/>
                  </w:divBdr>
                  <w:divsChild>
                    <w:div w:id="122232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114869">
      <w:bodyDiv w:val="1"/>
      <w:marLeft w:val="0"/>
      <w:marRight w:val="0"/>
      <w:marTop w:val="0"/>
      <w:marBottom w:val="0"/>
      <w:divBdr>
        <w:top w:val="none" w:sz="0" w:space="0" w:color="auto"/>
        <w:left w:val="none" w:sz="0" w:space="0" w:color="auto"/>
        <w:bottom w:val="none" w:sz="0" w:space="0" w:color="auto"/>
        <w:right w:val="none" w:sz="0" w:space="0" w:color="auto"/>
      </w:divBdr>
    </w:div>
    <w:div w:id="1966692399">
      <w:bodyDiv w:val="1"/>
      <w:marLeft w:val="0"/>
      <w:marRight w:val="0"/>
      <w:marTop w:val="0"/>
      <w:marBottom w:val="0"/>
      <w:divBdr>
        <w:top w:val="none" w:sz="0" w:space="0" w:color="auto"/>
        <w:left w:val="none" w:sz="0" w:space="0" w:color="auto"/>
        <w:bottom w:val="none" w:sz="0" w:space="0" w:color="auto"/>
        <w:right w:val="none" w:sz="0" w:space="0" w:color="auto"/>
      </w:divBdr>
    </w:div>
    <w:div w:id="2086537300">
      <w:bodyDiv w:val="1"/>
      <w:marLeft w:val="0"/>
      <w:marRight w:val="0"/>
      <w:marTop w:val="0"/>
      <w:marBottom w:val="0"/>
      <w:divBdr>
        <w:top w:val="none" w:sz="0" w:space="0" w:color="auto"/>
        <w:left w:val="none" w:sz="0" w:space="0" w:color="auto"/>
        <w:bottom w:val="none" w:sz="0" w:space="0" w:color="auto"/>
        <w:right w:val="none" w:sz="0" w:space="0" w:color="auto"/>
      </w:divBdr>
      <w:divsChild>
        <w:div w:id="1709376749">
          <w:marLeft w:val="0"/>
          <w:marRight w:val="0"/>
          <w:marTop w:val="0"/>
          <w:marBottom w:val="0"/>
          <w:divBdr>
            <w:top w:val="none" w:sz="0" w:space="0" w:color="auto"/>
            <w:left w:val="none" w:sz="0" w:space="0" w:color="auto"/>
            <w:bottom w:val="none" w:sz="0" w:space="0" w:color="auto"/>
            <w:right w:val="none" w:sz="0" w:space="0" w:color="auto"/>
          </w:divBdr>
          <w:divsChild>
            <w:div w:id="327831503">
              <w:marLeft w:val="0"/>
              <w:marRight w:val="0"/>
              <w:marTop w:val="0"/>
              <w:marBottom w:val="0"/>
              <w:divBdr>
                <w:top w:val="none" w:sz="0" w:space="0" w:color="auto"/>
                <w:left w:val="none" w:sz="0" w:space="0" w:color="auto"/>
                <w:bottom w:val="none" w:sz="0" w:space="0" w:color="auto"/>
                <w:right w:val="none" w:sz="0" w:space="0" w:color="auto"/>
              </w:divBdr>
              <w:divsChild>
                <w:div w:id="136860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2602</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dc:creator>
  <cp:keywords/>
  <dc:description/>
  <cp:lastModifiedBy>Andrei Vilceanu</cp:lastModifiedBy>
  <cp:revision>2</cp:revision>
  <dcterms:created xsi:type="dcterms:W3CDTF">2024-10-21T14:08:00Z</dcterms:created>
  <dcterms:modified xsi:type="dcterms:W3CDTF">2024-10-21T14:08:00Z</dcterms:modified>
</cp:coreProperties>
</file>