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6CFBA5" w14:textId="77777777" w:rsidR="00764340" w:rsidRDefault="00764340" w:rsidP="00764340">
      <w:pPr>
        <w:jc w:val="center"/>
        <w:rPr>
          <w:rFonts w:cstheme="majorBidi"/>
          <w:b/>
          <w:bCs/>
          <w:sz w:val="48"/>
          <w:szCs w:val="180"/>
        </w:rPr>
      </w:pPr>
      <w:r>
        <w:rPr>
          <w:b/>
          <w:bCs/>
          <w:sz w:val="48"/>
          <w:szCs w:val="180"/>
        </w:rPr>
        <w:t>Module: Community Engagement</w:t>
      </w:r>
    </w:p>
    <w:p w14:paraId="6EFE9C1D" w14:textId="77777777" w:rsidR="00764340" w:rsidRDefault="00764340" w:rsidP="00764340">
      <w:pPr>
        <w:jc w:val="center"/>
        <w:rPr>
          <w:b/>
          <w:bCs/>
          <w:sz w:val="48"/>
          <w:szCs w:val="180"/>
        </w:rPr>
      </w:pPr>
      <w:r>
        <w:rPr>
          <w:b/>
          <w:bCs/>
          <w:sz w:val="48"/>
          <w:szCs w:val="180"/>
        </w:rPr>
        <w:t>Module code: LCBB4002</w:t>
      </w:r>
    </w:p>
    <w:p w14:paraId="38B80710" w14:textId="77777777" w:rsidR="00764340" w:rsidRDefault="00764340" w:rsidP="00764340">
      <w:pPr>
        <w:rPr>
          <w:szCs w:val="50"/>
        </w:rPr>
      </w:pPr>
    </w:p>
    <w:p w14:paraId="06F3B47A" w14:textId="77777777" w:rsidR="00764340" w:rsidRDefault="00764340" w:rsidP="00764340"/>
    <w:p w14:paraId="4E5F609F" w14:textId="643C2D36" w:rsidR="00764340" w:rsidRDefault="00764340" w:rsidP="00764340">
      <w:pPr>
        <w:jc w:val="center"/>
        <w:rPr>
          <w:b/>
          <w:bCs/>
          <w:sz w:val="40"/>
          <w:szCs w:val="144"/>
        </w:rPr>
      </w:pPr>
      <w:r>
        <w:rPr>
          <w:b/>
          <w:bCs/>
          <w:sz w:val="40"/>
          <w:szCs w:val="144"/>
        </w:rPr>
        <w:t>Community Engagement Assignment 2</w:t>
      </w:r>
    </w:p>
    <w:p w14:paraId="739F558B" w14:textId="42A1A909" w:rsidR="007337E7" w:rsidRDefault="007337E7" w:rsidP="00764340">
      <w:pPr>
        <w:jc w:val="center"/>
        <w:rPr>
          <w:b/>
          <w:bCs/>
          <w:sz w:val="40"/>
          <w:szCs w:val="144"/>
        </w:rPr>
      </w:pPr>
    </w:p>
    <w:p w14:paraId="02EA2346" w14:textId="77777777" w:rsidR="007337E7" w:rsidRDefault="007337E7" w:rsidP="00764340">
      <w:pPr>
        <w:jc w:val="center"/>
        <w:rPr>
          <w:b/>
          <w:bCs/>
          <w:sz w:val="40"/>
          <w:szCs w:val="144"/>
        </w:rPr>
      </w:pPr>
    </w:p>
    <w:p w14:paraId="0453F818" w14:textId="77777777" w:rsidR="00764340" w:rsidRDefault="00764340" w:rsidP="00F74D89">
      <w:pPr>
        <w:spacing w:before="0" w:after="0" w:line="240" w:lineRule="auto"/>
        <w:jc w:val="center"/>
      </w:pPr>
    </w:p>
    <w:p w14:paraId="3A960603" w14:textId="77777777" w:rsidR="007337E7" w:rsidRDefault="007337E7" w:rsidP="007337E7">
      <w:pPr>
        <w:spacing w:before="0" w:after="0" w:line="240" w:lineRule="auto"/>
        <w:jc w:val="left"/>
        <w:rPr>
          <w:sz w:val="24"/>
          <w:szCs w:val="24"/>
        </w:rPr>
      </w:pPr>
      <w:r w:rsidRPr="007337E7">
        <w:rPr>
          <w:sz w:val="24"/>
          <w:szCs w:val="24"/>
        </w:rPr>
        <w:t>Student name</w:t>
      </w:r>
      <w:r>
        <w:t xml:space="preserve"> : </w:t>
      </w:r>
      <w:r>
        <w:rPr>
          <w:sz w:val="24"/>
          <w:szCs w:val="24"/>
        </w:rPr>
        <w:t xml:space="preserve">Adriana Mihaela </w:t>
      </w:r>
      <w:proofErr w:type="spellStart"/>
      <w:r>
        <w:rPr>
          <w:sz w:val="24"/>
          <w:szCs w:val="24"/>
        </w:rPr>
        <w:t>Petcu</w:t>
      </w:r>
      <w:proofErr w:type="spellEnd"/>
    </w:p>
    <w:p w14:paraId="20F69722" w14:textId="77777777" w:rsidR="007337E7" w:rsidRDefault="007337E7" w:rsidP="007337E7">
      <w:pPr>
        <w:spacing w:before="0" w:after="0" w:line="240" w:lineRule="auto"/>
        <w:jc w:val="left"/>
        <w:rPr>
          <w:sz w:val="24"/>
          <w:szCs w:val="24"/>
        </w:rPr>
      </w:pPr>
    </w:p>
    <w:p w14:paraId="7FF80CE0" w14:textId="499B69FA" w:rsidR="00F74D89" w:rsidRDefault="007337E7" w:rsidP="007337E7">
      <w:pPr>
        <w:spacing w:before="0" w:after="0" w:line="240" w:lineRule="auto"/>
        <w:jc w:val="left"/>
      </w:pPr>
      <w:r>
        <w:rPr>
          <w:sz w:val="24"/>
          <w:szCs w:val="24"/>
        </w:rPr>
        <w:t>Student id : 2126831</w:t>
      </w:r>
      <w:r w:rsidR="00F74D89">
        <w:br w:type="page"/>
      </w:r>
    </w:p>
    <w:sdt>
      <w:sdtPr>
        <w:rPr>
          <w:rFonts w:ascii="Arial" w:eastAsiaTheme="minorEastAsia" w:hAnsi="Arial" w:cs="Arial"/>
          <w:b w:val="0"/>
          <w:bCs w:val="0"/>
          <w:color w:val="auto"/>
          <w:sz w:val="24"/>
          <w:szCs w:val="30"/>
          <w:lang w:val="en-GB" w:eastAsia="ko-KR" w:bidi="bn-IN"/>
        </w:rPr>
        <w:id w:val="625362485"/>
        <w:docPartObj>
          <w:docPartGallery w:val="Table of Contents"/>
          <w:docPartUnique/>
        </w:docPartObj>
      </w:sdtPr>
      <w:sdtEndPr>
        <w:rPr>
          <w:noProof/>
          <w:sz w:val="22"/>
        </w:rPr>
      </w:sdtEndPr>
      <w:sdtContent>
        <w:p w14:paraId="6A12DC91" w14:textId="77777777" w:rsidR="00A10AAA" w:rsidRPr="00764340" w:rsidRDefault="00A10AAA">
          <w:pPr>
            <w:pStyle w:val="TOCHeading"/>
            <w:rPr>
              <w:rFonts w:ascii="Arial" w:hAnsi="Arial" w:cs="Arial"/>
            </w:rPr>
          </w:pPr>
          <w:r w:rsidRPr="00764340">
            <w:rPr>
              <w:rFonts w:ascii="Arial" w:hAnsi="Arial" w:cs="Arial"/>
            </w:rPr>
            <w:t>Table of Contents</w:t>
          </w:r>
        </w:p>
        <w:p w14:paraId="215C92E8" w14:textId="17E6DAA0" w:rsidR="00764340" w:rsidRPr="00764340" w:rsidRDefault="00A10AAA">
          <w:pPr>
            <w:pStyle w:val="TOC1"/>
            <w:tabs>
              <w:tab w:val="right" w:leader="dot" w:pos="9016"/>
            </w:tabs>
            <w:rPr>
              <w:rFonts w:ascii="Arial" w:hAnsi="Arial" w:cs="Arial"/>
              <w:b w:val="0"/>
              <w:bCs w:val="0"/>
              <w:i w:val="0"/>
              <w:iCs w:val="0"/>
              <w:noProof/>
              <w:szCs w:val="22"/>
              <w:lang w:eastAsia="en-GB" w:bidi="ar-SA"/>
            </w:rPr>
          </w:pPr>
          <w:r w:rsidRPr="00764340">
            <w:rPr>
              <w:rFonts w:ascii="Arial" w:hAnsi="Arial" w:cs="Arial"/>
              <w:b w:val="0"/>
              <w:bCs w:val="0"/>
            </w:rPr>
            <w:fldChar w:fldCharType="begin"/>
          </w:r>
          <w:r w:rsidRPr="00764340">
            <w:rPr>
              <w:rFonts w:ascii="Arial" w:hAnsi="Arial" w:cs="Arial"/>
            </w:rPr>
            <w:instrText xml:space="preserve"> TOC \o "1-3" \h \z \u </w:instrText>
          </w:r>
          <w:r w:rsidRPr="00764340">
            <w:rPr>
              <w:rFonts w:ascii="Arial" w:hAnsi="Arial" w:cs="Arial"/>
              <w:b w:val="0"/>
              <w:bCs w:val="0"/>
            </w:rPr>
            <w:fldChar w:fldCharType="separate"/>
          </w:r>
          <w:hyperlink w:anchor="_Toc116518190" w:history="1">
            <w:r w:rsidR="00764340" w:rsidRPr="00764340">
              <w:rPr>
                <w:rStyle w:val="Hyperlink"/>
                <w:rFonts w:ascii="Arial" w:hAnsi="Arial" w:cs="Arial"/>
                <w:noProof/>
              </w:rPr>
              <w:t>Introduction</w:t>
            </w:r>
            <w:r w:rsidR="00764340" w:rsidRPr="00764340">
              <w:rPr>
                <w:rFonts w:ascii="Arial" w:hAnsi="Arial" w:cs="Arial"/>
                <w:noProof/>
                <w:webHidden/>
              </w:rPr>
              <w:tab/>
            </w:r>
            <w:r w:rsidR="00764340" w:rsidRPr="00764340">
              <w:rPr>
                <w:rFonts w:ascii="Arial" w:hAnsi="Arial" w:cs="Arial"/>
                <w:noProof/>
                <w:webHidden/>
              </w:rPr>
              <w:fldChar w:fldCharType="begin"/>
            </w:r>
            <w:r w:rsidR="00764340" w:rsidRPr="00764340">
              <w:rPr>
                <w:rFonts w:ascii="Arial" w:hAnsi="Arial" w:cs="Arial"/>
                <w:noProof/>
                <w:webHidden/>
              </w:rPr>
              <w:instrText xml:space="preserve"> PAGEREF _Toc116518190 \h </w:instrText>
            </w:r>
            <w:r w:rsidR="00764340" w:rsidRPr="00764340">
              <w:rPr>
                <w:rFonts w:ascii="Arial" w:hAnsi="Arial" w:cs="Arial"/>
                <w:noProof/>
                <w:webHidden/>
              </w:rPr>
            </w:r>
            <w:r w:rsidR="00764340" w:rsidRPr="00764340">
              <w:rPr>
                <w:rFonts w:ascii="Arial" w:hAnsi="Arial" w:cs="Arial"/>
                <w:noProof/>
                <w:webHidden/>
              </w:rPr>
              <w:fldChar w:fldCharType="separate"/>
            </w:r>
            <w:r w:rsidR="00764340" w:rsidRPr="00764340">
              <w:rPr>
                <w:rFonts w:ascii="Arial" w:hAnsi="Arial" w:cs="Arial"/>
                <w:noProof/>
                <w:webHidden/>
              </w:rPr>
              <w:t>3</w:t>
            </w:r>
            <w:r w:rsidR="00764340" w:rsidRPr="00764340">
              <w:rPr>
                <w:rFonts w:ascii="Arial" w:hAnsi="Arial" w:cs="Arial"/>
                <w:noProof/>
                <w:webHidden/>
              </w:rPr>
              <w:fldChar w:fldCharType="end"/>
            </w:r>
          </w:hyperlink>
        </w:p>
        <w:p w14:paraId="777CA45F" w14:textId="1FDCDEE0" w:rsidR="00764340" w:rsidRPr="00764340" w:rsidRDefault="00000000">
          <w:pPr>
            <w:pStyle w:val="TOC1"/>
            <w:tabs>
              <w:tab w:val="right" w:leader="dot" w:pos="9016"/>
            </w:tabs>
            <w:rPr>
              <w:rFonts w:ascii="Arial" w:hAnsi="Arial" w:cs="Arial"/>
              <w:b w:val="0"/>
              <w:bCs w:val="0"/>
              <w:i w:val="0"/>
              <w:iCs w:val="0"/>
              <w:noProof/>
              <w:szCs w:val="22"/>
              <w:lang w:eastAsia="en-GB" w:bidi="ar-SA"/>
            </w:rPr>
          </w:pPr>
          <w:hyperlink w:anchor="_Toc116518191" w:history="1">
            <w:r w:rsidR="00764340" w:rsidRPr="00764340">
              <w:rPr>
                <w:rStyle w:val="Hyperlink"/>
                <w:rFonts w:ascii="Arial" w:hAnsi="Arial" w:cs="Arial"/>
                <w:noProof/>
              </w:rPr>
              <w:t>Reflective Practice</w:t>
            </w:r>
            <w:r w:rsidR="00764340" w:rsidRPr="00764340">
              <w:rPr>
                <w:rFonts w:ascii="Arial" w:hAnsi="Arial" w:cs="Arial"/>
                <w:noProof/>
                <w:webHidden/>
              </w:rPr>
              <w:tab/>
            </w:r>
            <w:r w:rsidR="00764340" w:rsidRPr="00764340">
              <w:rPr>
                <w:rFonts w:ascii="Arial" w:hAnsi="Arial" w:cs="Arial"/>
                <w:noProof/>
                <w:webHidden/>
              </w:rPr>
              <w:fldChar w:fldCharType="begin"/>
            </w:r>
            <w:r w:rsidR="00764340" w:rsidRPr="00764340">
              <w:rPr>
                <w:rFonts w:ascii="Arial" w:hAnsi="Arial" w:cs="Arial"/>
                <w:noProof/>
                <w:webHidden/>
              </w:rPr>
              <w:instrText xml:space="preserve"> PAGEREF _Toc116518191 \h </w:instrText>
            </w:r>
            <w:r w:rsidR="00764340" w:rsidRPr="00764340">
              <w:rPr>
                <w:rFonts w:ascii="Arial" w:hAnsi="Arial" w:cs="Arial"/>
                <w:noProof/>
                <w:webHidden/>
              </w:rPr>
            </w:r>
            <w:r w:rsidR="00764340" w:rsidRPr="00764340">
              <w:rPr>
                <w:rFonts w:ascii="Arial" w:hAnsi="Arial" w:cs="Arial"/>
                <w:noProof/>
                <w:webHidden/>
              </w:rPr>
              <w:fldChar w:fldCharType="separate"/>
            </w:r>
            <w:r w:rsidR="00764340" w:rsidRPr="00764340">
              <w:rPr>
                <w:rFonts w:ascii="Arial" w:hAnsi="Arial" w:cs="Arial"/>
                <w:noProof/>
                <w:webHidden/>
              </w:rPr>
              <w:t>3</w:t>
            </w:r>
            <w:r w:rsidR="00764340" w:rsidRPr="00764340">
              <w:rPr>
                <w:rFonts w:ascii="Arial" w:hAnsi="Arial" w:cs="Arial"/>
                <w:noProof/>
                <w:webHidden/>
              </w:rPr>
              <w:fldChar w:fldCharType="end"/>
            </w:r>
          </w:hyperlink>
        </w:p>
        <w:p w14:paraId="03BAC567" w14:textId="5AFE2B42" w:rsidR="00764340" w:rsidRPr="00764340" w:rsidRDefault="00000000">
          <w:pPr>
            <w:pStyle w:val="TOC1"/>
            <w:tabs>
              <w:tab w:val="right" w:leader="dot" w:pos="9016"/>
            </w:tabs>
            <w:rPr>
              <w:rFonts w:ascii="Arial" w:hAnsi="Arial" w:cs="Arial"/>
              <w:b w:val="0"/>
              <w:bCs w:val="0"/>
              <w:i w:val="0"/>
              <w:iCs w:val="0"/>
              <w:noProof/>
              <w:szCs w:val="22"/>
              <w:lang w:eastAsia="en-GB" w:bidi="ar-SA"/>
            </w:rPr>
          </w:pPr>
          <w:hyperlink w:anchor="_Toc116518192" w:history="1">
            <w:r w:rsidR="00764340" w:rsidRPr="00764340">
              <w:rPr>
                <w:rStyle w:val="Hyperlink"/>
                <w:rFonts w:ascii="Arial" w:hAnsi="Arial" w:cs="Arial"/>
                <w:noProof/>
              </w:rPr>
              <w:t>Reflective practice for self-management, communication, and interpersonal skills.</w:t>
            </w:r>
            <w:r w:rsidR="00764340" w:rsidRPr="00764340">
              <w:rPr>
                <w:rFonts w:ascii="Arial" w:hAnsi="Arial" w:cs="Arial"/>
                <w:noProof/>
                <w:webHidden/>
              </w:rPr>
              <w:tab/>
            </w:r>
            <w:r w:rsidR="00764340" w:rsidRPr="00764340">
              <w:rPr>
                <w:rFonts w:ascii="Arial" w:hAnsi="Arial" w:cs="Arial"/>
                <w:noProof/>
                <w:webHidden/>
              </w:rPr>
              <w:fldChar w:fldCharType="begin"/>
            </w:r>
            <w:r w:rsidR="00764340" w:rsidRPr="00764340">
              <w:rPr>
                <w:rFonts w:ascii="Arial" w:hAnsi="Arial" w:cs="Arial"/>
                <w:noProof/>
                <w:webHidden/>
              </w:rPr>
              <w:instrText xml:space="preserve"> PAGEREF _Toc116518192 \h </w:instrText>
            </w:r>
            <w:r w:rsidR="00764340" w:rsidRPr="00764340">
              <w:rPr>
                <w:rFonts w:ascii="Arial" w:hAnsi="Arial" w:cs="Arial"/>
                <w:noProof/>
                <w:webHidden/>
              </w:rPr>
            </w:r>
            <w:r w:rsidR="00764340" w:rsidRPr="00764340">
              <w:rPr>
                <w:rFonts w:ascii="Arial" w:hAnsi="Arial" w:cs="Arial"/>
                <w:noProof/>
                <w:webHidden/>
              </w:rPr>
              <w:fldChar w:fldCharType="separate"/>
            </w:r>
            <w:r w:rsidR="00764340" w:rsidRPr="00764340">
              <w:rPr>
                <w:rFonts w:ascii="Arial" w:hAnsi="Arial" w:cs="Arial"/>
                <w:noProof/>
                <w:webHidden/>
              </w:rPr>
              <w:t>4</w:t>
            </w:r>
            <w:r w:rsidR="00764340" w:rsidRPr="00764340">
              <w:rPr>
                <w:rFonts w:ascii="Arial" w:hAnsi="Arial" w:cs="Arial"/>
                <w:noProof/>
                <w:webHidden/>
              </w:rPr>
              <w:fldChar w:fldCharType="end"/>
            </w:r>
          </w:hyperlink>
        </w:p>
        <w:p w14:paraId="2F33C1AF" w14:textId="6D7E7D94" w:rsidR="00764340" w:rsidRPr="00764340" w:rsidRDefault="00000000">
          <w:pPr>
            <w:pStyle w:val="TOC1"/>
            <w:tabs>
              <w:tab w:val="right" w:leader="dot" w:pos="9016"/>
            </w:tabs>
            <w:rPr>
              <w:rFonts w:ascii="Arial" w:hAnsi="Arial" w:cs="Arial"/>
              <w:b w:val="0"/>
              <w:bCs w:val="0"/>
              <w:i w:val="0"/>
              <w:iCs w:val="0"/>
              <w:noProof/>
              <w:szCs w:val="22"/>
              <w:lang w:eastAsia="en-GB" w:bidi="ar-SA"/>
            </w:rPr>
          </w:pPr>
          <w:hyperlink w:anchor="_Toc116518193" w:history="1">
            <w:r w:rsidR="00764340" w:rsidRPr="00764340">
              <w:rPr>
                <w:rStyle w:val="Hyperlink"/>
                <w:rFonts w:ascii="Arial" w:hAnsi="Arial" w:cs="Arial"/>
                <w:noProof/>
              </w:rPr>
              <w:t>A report reflecting model analysis</w:t>
            </w:r>
            <w:r w:rsidR="00764340" w:rsidRPr="00764340">
              <w:rPr>
                <w:rFonts w:ascii="Arial" w:hAnsi="Arial" w:cs="Arial"/>
                <w:noProof/>
                <w:webHidden/>
              </w:rPr>
              <w:tab/>
            </w:r>
            <w:r w:rsidR="00764340" w:rsidRPr="00764340">
              <w:rPr>
                <w:rFonts w:ascii="Arial" w:hAnsi="Arial" w:cs="Arial"/>
                <w:noProof/>
                <w:webHidden/>
              </w:rPr>
              <w:fldChar w:fldCharType="begin"/>
            </w:r>
            <w:r w:rsidR="00764340" w:rsidRPr="00764340">
              <w:rPr>
                <w:rFonts w:ascii="Arial" w:hAnsi="Arial" w:cs="Arial"/>
                <w:noProof/>
                <w:webHidden/>
              </w:rPr>
              <w:instrText xml:space="preserve"> PAGEREF _Toc116518193 \h </w:instrText>
            </w:r>
            <w:r w:rsidR="00764340" w:rsidRPr="00764340">
              <w:rPr>
                <w:rFonts w:ascii="Arial" w:hAnsi="Arial" w:cs="Arial"/>
                <w:noProof/>
                <w:webHidden/>
              </w:rPr>
            </w:r>
            <w:r w:rsidR="00764340" w:rsidRPr="00764340">
              <w:rPr>
                <w:rFonts w:ascii="Arial" w:hAnsi="Arial" w:cs="Arial"/>
                <w:noProof/>
                <w:webHidden/>
              </w:rPr>
              <w:fldChar w:fldCharType="separate"/>
            </w:r>
            <w:r w:rsidR="00764340" w:rsidRPr="00764340">
              <w:rPr>
                <w:rFonts w:ascii="Arial" w:hAnsi="Arial" w:cs="Arial"/>
                <w:noProof/>
                <w:webHidden/>
              </w:rPr>
              <w:t>5</w:t>
            </w:r>
            <w:r w:rsidR="00764340" w:rsidRPr="00764340">
              <w:rPr>
                <w:rFonts w:ascii="Arial" w:hAnsi="Arial" w:cs="Arial"/>
                <w:noProof/>
                <w:webHidden/>
              </w:rPr>
              <w:fldChar w:fldCharType="end"/>
            </w:r>
          </w:hyperlink>
        </w:p>
        <w:p w14:paraId="6F9A1211" w14:textId="333E4D76" w:rsidR="00764340" w:rsidRPr="00764340" w:rsidRDefault="00000000">
          <w:pPr>
            <w:pStyle w:val="TOC1"/>
            <w:tabs>
              <w:tab w:val="right" w:leader="dot" w:pos="9016"/>
            </w:tabs>
            <w:rPr>
              <w:rFonts w:ascii="Arial" w:hAnsi="Arial" w:cs="Arial"/>
              <w:b w:val="0"/>
              <w:bCs w:val="0"/>
              <w:i w:val="0"/>
              <w:iCs w:val="0"/>
              <w:noProof/>
              <w:szCs w:val="22"/>
              <w:lang w:eastAsia="en-GB" w:bidi="ar-SA"/>
            </w:rPr>
          </w:pPr>
          <w:hyperlink w:anchor="_Toc116518194" w:history="1">
            <w:r w:rsidR="00764340" w:rsidRPr="00764340">
              <w:rPr>
                <w:rStyle w:val="Hyperlink"/>
                <w:rFonts w:ascii="Arial" w:hAnsi="Arial" w:cs="Arial"/>
                <w:noProof/>
              </w:rPr>
              <w:t>The relationship between academic theories and experience.</w:t>
            </w:r>
            <w:r w:rsidR="00764340" w:rsidRPr="00764340">
              <w:rPr>
                <w:rFonts w:ascii="Arial" w:hAnsi="Arial" w:cs="Arial"/>
                <w:noProof/>
                <w:webHidden/>
              </w:rPr>
              <w:tab/>
            </w:r>
            <w:r w:rsidR="00764340" w:rsidRPr="00764340">
              <w:rPr>
                <w:rFonts w:ascii="Arial" w:hAnsi="Arial" w:cs="Arial"/>
                <w:noProof/>
                <w:webHidden/>
              </w:rPr>
              <w:fldChar w:fldCharType="begin"/>
            </w:r>
            <w:r w:rsidR="00764340" w:rsidRPr="00764340">
              <w:rPr>
                <w:rFonts w:ascii="Arial" w:hAnsi="Arial" w:cs="Arial"/>
                <w:noProof/>
                <w:webHidden/>
              </w:rPr>
              <w:instrText xml:space="preserve"> PAGEREF _Toc116518194 \h </w:instrText>
            </w:r>
            <w:r w:rsidR="00764340" w:rsidRPr="00764340">
              <w:rPr>
                <w:rFonts w:ascii="Arial" w:hAnsi="Arial" w:cs="Arial"/>
                <w:noProof/>
                <w:webHidden/>
              </w:rPr>
            </w:r>
            <w:r w:rsidR="00764340" w:rsidRPr="00764340">
              <w:rPr>
                <w:rFonts w:ascii="Arial" w:hAnsi="Arial" w:cs="Arial"/>
                <w:noProof/>
                <w:webHidden/>
              </w:rPr>
              <w:fldChar w:fldCharType="separate"/>
            </w:r>
            <w:r w:rsidR="00764340" w:rsidRPr="00764340">
              <w:rPr>
                <w:rFonts w:ascii="Arial" w:hAnsi="Arial" w:cs="Arial"/>
                <w:noProof/>
                <w:webHidden/>
              </w:rPr>
              <w:t>7</w:t>
            </w:r>
            <w:r w:rsidR="00764340" w:rsidRPr="00764340">
              <w:rPr>
                <w:rFonts w:ascii="Arial" w:hAnsi="Arial" w:cs="Arial"/>
                <w:noProof/>
                <w:webHidden/>
              </w:rPr>
              <w:fldChar w:fldCharType="end"/>
            </w:r>
          </w:hyperlink>
        </w:p>
        <w:p w14:paraId="04B3F890" w14:textId="18513BF7" w:rsidR="00764340" w:rsidRPr="00764340" w:rsidRDefault="00000000">
          <w:pPr>
            <w:pStyle w:val="TOC1"/>
            <w:tabs>
              <w:tab w:val="right" w:leader="dot" w:pos="9016"/>
            </w:tabs>
            <w:rPr>
              <w:rFonts w:ascii="Arial" w:hAnsi="Arial" w:cs="Arial"/>
              <w:b w:val="0"/>
              <w:bCs w:val="0"/>
              <w:i w:val="0"/>
              <w:iCs w:val="0"/>
              <w:noProof/>
              <w:szCs w:val="22"/>
              <w:lang w:eastAsia="en-GB" w:bidi="ar-SA"/>
            </w:rPr>
          </w:pPr>
          <w:hyperlink w:anchor="_Toc116518195" w:history="1">
            <w:r w:rsidR="00764340" w:rsidRPr="00764340">
              <w:rPr>
                <w:rStyle w:val="Hyperlink"/>
                <w:rFonts w:ascii="Arial" w:hAnsi="Arial" w:cs="Arial"/>
                <w:noProof/>
              </w:rPr>
              <w:t>Conclusion</w:t>
            </w:r>
            <w:r w:rsidR="00764340" w:rsidRPr="00764340">
              <w:rPr>
                <w:rFonts w:ascii="Arial" w:hAnsi="Arial" w:cs="Arial"/>
                <w:noProof/>
                <w:webHidden/>
              </w:rPr>
              <w:tab/>
            </w:r>
            <w:r w:rsidR="00764340" w:rsidRPr="00764340">
              <w:rPr>
                <w:rFonts w:ascii="Arial" w:hAnsi="Arial" w:cs="Arial"/>
                <w:noProof/>
                <w:webHidden/>
              </w:rPr>
              <w:fldChar w:fldCharType="begin"/>
            </w:r>
            <w:r w:rsidR="00764340" w:rsidRPr="00764340">
              <w:rPr>
                <w:rFonts w:ascii="Arial" w:hAnsi="Arial" w:cs="Arial"/>
                <w:noProof/>
                <w:webHidden/>
              </w:rPr>
              <w:instrText xml:space="preserve"> PAGEREF _Toc116518195 \h </w:instrText>
            </w:r>
            <w:r w:rsidR="00764340" w:rsidRPr="00764340">
              <w:rPr>
                <w:rFonts w:ascii="Arial" w:hAnsi="Arial" w:cs="Arial"/>
                <w:noProof/>
                <w:webHidden/>
              </w:rPr>
            </w:r>
            <w:r w:rsidR="00764340" w:rsidRPr="00764340">
              <w:rPr>
                <w:rFonts w:ascii="Arial" w:hAnsi="Arial" w:cs="Arial"/>
                <w:noProof/>
                <w:webHidden/>
              </w:rPr>
              <w:fldChar w:fldCharType="separate"/>
            </w:r>
            <w:r w:rsidR="00764340" w:rsidRPr="00764340">
              <w:rPr>
                <w:rFonts w:ascii="Arial" w:hAnsi="Arial" w:cs="Arial"/>
                <w:noProof/>
                <w:webHidden/>
              </w:rPr>
              <w:t>8</w:t>
            </w:r>
            <w:r w:rsidR="00764340" w:rsidRPr="00764340">
              <w:rPr>
                <w:rFonts w:ascii="Arial" w:hAnsi="Arial" w:cs="Arial"/>
                <w:noProof/>
                <w:webHidden/>
              </w:rPr>
              <w:fldChar w:fldCharType="end"/>
            </w:r>
          </w:hyperlink>
        </w:p>
        <w:p w14:paraId="07534C76" w14:textId="5EFD1C7B" w:rsidR="00764340" w:rsidRPr="00764340" w:rsidRDefault="00000000">
          <w:pPr>
            <w:pStyle w:val="TOC1"/>
            <w:tabs>
              <w:tab w:val="right" w:leader="dot" w:pos="9016"/>
            </w:tabs>
            <w:rPr>
              <w:rFonts w:ascii="Arial" w:hAnsi="Arial" w:cs="Arial"/>
              <w:b w:val="0"/>
              <w:bCs w:val="0"/>
              <w:i w:val="0"/>
              <w:iCs w:val="0"/>
              <w:noProof/>
              <w:szCs w:val="22"/>
              <w:lang w:eastAsia="en-GB" w:bidi="ar-SA"/>
            </w:rPr>
          </w:pPr>
          <w:hyperlink w:anchor="_Toc116518196" w:history="1">
            <w:r w:rsidR="00764340" w:rsidRPr="00764340">
              <w:rPr>
                <w:rStyle w:val="Hyperlink"/>
                <w:rFonts w:ascii="Arial" w:hAnsi="Arial" w:cs="Arial"/>
                <w:noProof/>
              </w:rPr>
              <w:t>Reference</w:t>
            </w:r>
            <w:r w:rsidR="00764340" w:rsidRPr="00764340">
              <w:rPr>
                <w:rFonts w:ascii="Arial" w:hAnsi="Arial" w:cs="Arial"/>
                <w:noProof/>
                <w:webHidden/>
              </w:rPr>
              <w:tab/>
            </w:r>
            <w:r w:rsidR="00764340" w:rsidRPr="00764340">
              <w:rPr>
                <w:rFonts w:ascii="Arial" w:hAnsi="Arial" w:cs="Arial"/>
                <w:noProof/>
                <w:webHidden/>
              </w:rPr>
              <w:fldChar w:fldCharType="begin"/>
            </w:r>
            <w:r w:rsidR="00764340" w:rsidRPr="00764340">
              <w:rPr>
                <w:rFonts w:ascii="Arial" w:hAnsi="Arial" w:cs="Arial"/>
                <w:noProof/>
                <w:webHidden/>
              </w:rPr>
              <w:instrText xml:space="preserve"> PAGEREF _Toc116518196 \h </w:instrText>
            </w:r>
            <w:r w:rsidR="00764340" w:rsidRPr="00764340">
              <w:rPr>
                <w:rFonts w:ascii="Arial" w:hAnsi="Arial" w:cs="Arial"/>
                <w:noProof/>
                <w:webHidden/>
              </w:rPr>
            </w:r>
            <w:r w:rsidR="00764340" w:rsidRPr="00764340">
              <w:rPr>
                <w:rFonts w:ascii="Arial" w:hAnsi="Arial" w:cs="Arial"/>
                <w:noProof/>
                <w:webHidden/>
              </w:rPr>
              <w:fldChar w:fldCharType="separate"/>
            </w:r>
            <w:r w:rsidR="00764340" w:rsidRPr="00764340">
              <w:rPr>
                <w:rFonts w:ascii="Arial" w:hAnsi="Arial" w:cs="Arial"/>
                <w:noProof/>
                <w:webHidden/>
              </w:rPr>
              <w:t>8</w:t>
            </w:r>
            <w:r w:rsidR="00764340" w:rsidRPr="00764340">
              <w:rPr>
                <w:rFonts w:ascii="Arial" w:hAnsi="Arial" w:cs="Arial"/>
                <w:noProof/>
                <w:webHidden/>
              </w:rPr>
              <w:fldChar w:fldCharType="end"/>
            </w:r>
          </w:hyperlink>
        </w:p>
        <w:p w14:paraId="1DE8A794" w14:textId="21A8FB6C" w:rsidR="00A10AAA" w:rsidRDefault="00A10AAA">
          <w:r w:rsidRPr="00764340">
            <w:rPr>
              <w:rFonts w:cs="Arial"/>
              <w:b/>
              <w:bCs/>
              <w:noProof/>
            </w:rPr>
            <w:fldChar w:fldCharType="end"/>
          </w:r>
        </w:p>
      </w:sdtContent>
    </w:sdt>
    <w:p w14:paraId="0171A93E" w14:textId="77777777" w:rsidR="00F74D89" w:rsidRDefault="00F74D89">
      <w:pPr>
        <w:spacing w:before="0" w:after="0" w:line="240" w:lineRule="auto"/>
        <w:jc w:val="left"/>
      </w:pPr>
      <w:r>
        <w:br w:type="page"/>
      </w:r>
    </w:p>
    <w:p w14:paraId="00766626" w14:textId="77777777" w:rsidR="00EA41E3" w:rsidRDefault="001A2CB2" w:rsidP="00F74D89">
      <w:pPr>
        <w:pStyle w:val="Heading1"/>
      </w:pPr>
      <w:bookmarkStart w:id="0" w:name="_Toc116518190"/>
      <w:r>
        <w:lastRenderedPageBreak/>
        <w:t>Introduction</w:t>
      </w:r>
      <w:bookmarkEnd w:id="0"/>
      <w:r>
        <w:t xml:space="preserve"> </w:t>
      </w:r>
    </w:p>
    <w:p w14:paraId="5939833D" w14:textId="6FE0A7D3" w:rsidR="001A2CB2" w:rsidRDefault="001A2CB2">
      <w:r>
        <w:t xml:space="preserve">This reflective report will adapt and establish two different learning outcomes. The first learning outcome will be attended in the form of demonstrating an understanding and evaluation of the concept of transferable skills and how the learner can adapt himself to the requirement of an organisational setting, including the analysis of the organisation and the reflective evaluation. In the form of the second learning outcome, the learner would evaluate the concepts of community and of personal development to identify the different ways of reviewing and extending interpersonal skills. These would be supplemented by the application of theoretical concepts and creative problem-solving to real situations. In this reflective report, the community organisation that has been chosen is known as </w:t>
      </w:r>
      <w:r w:rsidR="00861302">
        <w:t>Mark and Spencer</w:t>
      </w:r>
      <w:r>
        <w:t xml:space="preserve"> which is a </w:t>
      </w:r>
      <w:r w:rsidR="00861302">
        <w:t xml:space="preserve">retail and </w:t>
      </w:r>
      <w:r w:rsidR="00764340">
        <w:t>food-based</w:t>
      </w:r>
      <w:r w:rsidR="00861302">
        <w:t xml:space="preserve"> organisation</w:t>
      </w:r>
      <w:r>
        <w:t xml:space="preserve"> that represents the common interests and values of the </w:t>
      </w:r>
      <w:r w:rsidR="00861302">
        <w:t xml:space="preserve">wider community of consumer groups all over the UK. </w:t>
      </w:r>
      <w:r>
        <w:t xml:space="preserve">Reflective Practice: Knowledge and Understanding </w:t>
      </w:r>
    </w:p>
    <w:p w14:paraId="0E6CB2C9" w14:textId="77777777" w:rsidR="00F74D89" w:rsidRDefault="00F74D89" w:rsidP="00F74D89">
      <w:pPr>
        <w:pStyle w:val="Heading1"/>
      </w:pPr>
      <w:bookmarkStart w:id="1" w:name="_Toc116518191"/>
      <w:r>
        <w:t>Reflective Practice</w:t>
      </w:r>
      <w:bookmarkEnd w:id="1"/>
      <w:r>
        <w:t xml:space="preserve"> </w:t>
      </w:r>
    </w:p>
    <w:p w14:paraId="7B13784C" w14:textId="77777777" w:rsidR="001A2CB2" w:rsidRDefault="001A2CB2">
      <w:r>
        <w:t>Reflective practice can be identified as a cycle of ongoing and continued learning which occurs during the early stages of professional activities where individuals take a fixed period of time to stop, ponder over, challenge and even change their practices with a view to incorporating the new knowledge, observations, understandings in order to advance their learning and development. Examining and understanding how their own individuality flourishes and grows over a period of time helps an individual to understand his own needs. In this way, he can make an assessment of the existing programs and courses to set his own approaches and practices to align with reflective learning.</w:t>
      </w:r>
    </w:p>
    <w:p w14:paraId="34FAED0D" w14:textId="77777777" w:rsidR="001A2CB2" w:rsidRDefault="00F74D89">
      <w:r w:rsidRPr="00F74D89">
        <w:t xml:space="preserve">However, it is important to keep in mind that the efficacy of reflective </w:t>
      </w:r>
      <w:r w:rsidR="00A10AAA">
        <w:t>practice</w:t>
      </w:r>
      <w:r w:rsidRPr="00F74D89">
        <w:t xml:space="preserve"> is only successful up to a certain length as long as the ability of the individual and the teams </w:t>
      </w:r>
      <w:r w:rsidR="00A10AAA">
        <w:t>are</w:t>
      </w:r>
      <w:r w:rsidRPr="00F74D89">
        <w:t xml:space="preserve"> open to change and adapt at any moment with the goal of gathering pertinent pieces of evidence to inform decision-making and to challenge the existing norms</w:t>
      </w:r>
      <w:r w:rsidR="00A10AAA">
        <w:t xml:space="preserve"> (</w:t>
      </w:r>
      <w:proofErr w:type="spellStart"/>
      <w:r w:rsidR="00A10AAA">
        <w:t>Mamede</w:t>
      </w:r>
      <w:proofErr w:type="spellEnd"/>
      <w:r w:rsidR="00A10AAA">
        <w:t xml:space="preserve"> and Schmidt, 2004)</w:t>
      </w:r>
      <w:r w:rsidRPr="00F74D89">
        <w:t xml:space="preserve">. This success is only limited to a certain length. The collaboration of these concepts allows for the identification of </w:t>
      </w:r>
      <w:r w:rsidR="00A10AAA">
        <w:t xml:space="preserve">the </w:t>
      </w:r>
      <w:r w:rsidRPr="00F74D89">
        <w:t xml:space="preserve">current potential for modifications that may be implemented into the reflective </w:t>
      </w:r>
      <w:r w:rsidR="00A10AAA">
        <w:t>practice</w:t>
      </w:r>
      <w:r w:rsidR="001A2CB2">
        <w:t xml:space="preserve">. </w:t>
      </w:r>
    </w:p>
    <w:p w14:paraId="1964E5DD" w14:textId="77777777" w:rsidR="001A2CB2" w:rsidRDefault="00F74D89">
      <w:r w:rsidRPr="00F74D89">
        <w:t xml:space="preserve">Individuals and organisations both benefit greatly from the many possibilities provided by reflective practises to contemplate and examine the </w:t>
      </w:r>
      <w:r w:rsidR="00A10AAA">
        <w:t>practices</w:t>
      </w:r>
      <w:r w:rsidRPr="00F74D89">
        <w:t xml:space="preserve"> in question from a variety of points of view. They are also concerned with future actions and strategies, and they enable users to enhance such strategies and actions by applying appropriate course correction </w:t>
      </w:r>
      <w:r w:rsidRPr="00F74D89">
        <w:lastRenderedPageBreak/>
        <w:t>models</w:t>
      </w:r>
      <w:r w:rsidR="00A10AAA">
        <w:t xml:space="preserve"> (</w:t>
      </w:r>
      <w:proofErr w:type="spellStart"/>
      <w:r w:rsidR="00A10AAA">
        <w:t>Amulya</w:t>
      </w:r>
      <w:proofErr w:type="spellEnd"/>
      <w:r w:rsidR="00A10AAA">
        <w:t>, 2004)</w:t>
      </w:r>
      <w:r w:rsidR="001A2CB2">
        <w:t xml:space="preserve">. Reflective </w:t>
      </w:r>
      <w:r w:rsidR="00344AB7">
        <w:t>practitioners</w:t>
      </w:r>
      <w:r w:rsidR="001A2CB2">
        <w:t xml:space="preserve"> and professionals who are at </w:t>
      </w:r>
      <w:r w:rsidR="00344AB7">
        <w:t>an</w:t>
      </w:r>
      <w:r w:rsidR="001A2CB2">
        <w:t xml:space="preserve"> early stage in their </w:t>
      </w:r>
      <w:r w:rsidR="00344AB7">
        <w:t>careers</w:t>
      </w:r>
      <w:r w:rsidR="001A2CB2">
        <w:t xml:space="preserve"> may:</w:t>
      </w:r>
    </w:p>
    <w:p w14:paraId="4ED31677" w14:textId="77777777" w:rsidR="00344AB7" w:rsidRDefault="00344AB7" w:rsidP="00344AB7">
      <w:pPr>
        <w:pStyle w:val="ListParagraph"/>
        <w:numPr>
          <w:ilvl w:val="0"/>
          <w:numId w:val="1"/>
        </w:numPr>
      </w:pPr>
      <w:r>
        <w:t xml:space="preserve">Take an unusually long time to assess the effectiveness and impact of their current practices in the given environmental setting. </w:t>
      </w:r>
    </w:p>
    <w:p w14:paraId="1311C281" w14:textId="77777777" w:rsidR="00344AB7" w:rsidRDefault="00344AB7" w:rsidP="00344AB7">
      <w:pPr>
        <w:pStyle w:val="ListParagraph"/>
        <w:numPr>
          <w:ilvl w:val="0"/>
          <w:numId w:val="1"/>
        </w:numPr>
      </w:pPr>
      <w:r>
        <w:t xml:space="preserve">Are more likely to go through external reviews of everyday practices to identify growth opportunities. </w:t>
      </w:r>
    </w:p>
    <w:p w14:paraId="2B5F783A" w14:textId="77777777" w:rsidR="00344AB7" w:rsidRDefault="00344AB7" w:rsidP="00344AB7">
      <w:pPr>
        <w:pStyle w:val="ListParagraph"/>
        <w:numPr>
          <w:ilvl w:val="0"/>
          <w:numId w:val="1"/>
        </w:numPr>
      </w:pPr>
      <w:r>
        <w:t xml:space="preserve">Are more open to engaging themselves in the transferring and exchange of ideas with individuals who share a similar type of beliefs and attitudes system when it comes down to positive decision-making and nurturing fruitful partnerships. </w:t>
      </w:r>
    </w:p>
    <w:p w14:paraId="089406BD" w14:textId="77777777" w:rsidR="001A2CB2" w:rsidRDefault="00344AB7" w:rsidP="00344AB7">
      <w:pPr>
        <w:pStyle w:val="ListParagraph"/>
        <w:numPr>
          <w:ilvl w:val="0"/>
          <w:numId w:val="1"/>
        </w:numPr>
      </w:pPr>
      <w:r>
        <w:t>Are more likely to grow, collaborate together and strengthen their competency as a team.</w:t>
      </w:r>
    </w:p>
    <w:p w14:paraId="31D346F2" w14:textId="77777777" w:rsidR="00344AB7" w:rsidRDefault="00F74D89" w:rsidP="00344AB7">
      <w:r w:rsidRPr="00F74D89">
        <w:t xml:space="preserve">The translation of these possibilities and objective objectives is very important for collective professional gold in order for the individual and the team to be able to go to the next phase of reflective </w:t>
      </w:r>
      <w:r w:rsidR="00A10AAA">
        <w:t>practice</w:t>
      </w:r>
      <w:r w:rsidRPr="00F74D89">
        <w:t>. In the end, number eight boils down to the capacity to recognise many options and participate in a test run of these various options, which may be seen as the thinking component of reflection. The important thing is for the person to turn each of these aspects into a part that actively participates in introspection</w:t>
      </w:r>
      <w:r w:rsidR="00A10AAA">
        <w:t xml:space="preserve"> (Finlay, 2008)</w:t>
      </w:r>
      <w:r w:rsidRPr="00F74D89">
        <w:t>. The culture of reflection must serve as the foundation for the development and discovery of a specific spectrum of evidence-based tactics. Pedagogical dialogues, mentors as critical friends, professional inquiry, professional learning programmes, reflective diaries, and so on might make up a significant portion of the list</w:t>
      </w:r>
      <w:r w:rsidR="00344AB7">
        <w:t xml:space="preserve">. </w:t>
      </w:r>
    </w:p>
    <w:p w14:paraId="115573EE" w14:textId="77777777" w:rsidR="00861302" w:rsidRDefault="00861302" w:rsidP="00861302">
      <w:pPr>
        <w:pStyle w:val="Heading1"/>
      </w:pPr>
      <w:bookmarkStart w:id="2" w:name="_Toc116487622"/>
      <w:bookmarkStart w:id="3" w:name="_Toc116518192"/>
      <w:r>
        <w:t>Reflective practice for self-management, communication, and interpersonal skills.</w:t>
      </w:r>
      <w:bookmarkEnd w:id="2"/>
      <w:bookmarkEnd w:id="3"/>
    </w:p>
    <w:p w14:paraId="164D25EA" w14:textId="77777777" w:rsidR="00861302" w:rsidRPr="00C43A9D" w:rsidRDefault="00F74D89" w:rsidP="00861302">
      <w:r w:rsidRPr="00F74D89">
        <w:t xml:space="preserve">Reflective </w:t>
      </w:r>
      <w:r>
        <w:t>practice</w:t>
      </w:r>
      <w:r w:rsidRPr="00F74D89">
        <w:t xml:space="preserve"> is the process of thinking back on one's previous experiences and taking those memories into consideration (</w:t>
      </w:r>
      <w:proofErr w:type="spellStart"/>
      <w:r w:rsidRPr="00F74D89">
        <w:t>Bassot</w:t>
      </w:r>
      <w:proofErr w:type="spellEnd"/>
      <w:r w:rsidRPr="00F74D89">
        <w:t>, 2015). It entails having the ability to thoughtfully review a past situation, analyse what went wrong, and figure out what one would do differently the next time to attain an outcome that is more favourable. The concept of "learning by doing" places more of a focus on acquiring knowledge via the use of practical experience as opposed to the transfer of theoretical information. This competency, which involves combining theoretical understanding with practical experience gained on the job, has the potential to facilitate both personal and professional development</w:t>
      </w:r>
      <w:r w:rsidR="00861302" w:rsidRPr="00C43A9D">
        <w:t>.</w:t>
      </w:r>
    </w:p>
    <w:p w14:paraId="28B43B2E" w14:textId="77777777" w:rsidR="00F74D89" w:rsidRDefault="00F74D89" w:rsidP="00F74D89">
      <w:r>
        <w:t xml:space="preserve">Those who take the time to reflect on their work throughout the course of their careers do more than simply rehash the events of their past; they also examine how they felt, what they did, </w:t>
      </w:r>
      <w:r>
        <w:lastRenderedPageBreak/>
        <w:t>and how they responded. Those who do not take the time to reflect on their work throughout their careers do not simply rehash the events of their past (Bolton, 2014). One of the most important steps in increasing one's knowledge and forming a viewpoint with greater subtlety is coming to terms with and embracing one's own sentiments. This improved understanding ought to make it possible for the individual to more effectively navigate through similar situations and influence others in the future, resulting in outcomes that are more to their liking.</w:t>
      </w:r>
    </w:p>
    <w:p w14:paraId="254F1DE4" w14:textId="77777777" w:rsidR="00861302" w:rsidRPr="00C43A9D" w:rsidRDefault="00F74D89" w:rsidP="00F74D89">
      <w:r>
        <w:t>Reflective practice is a vital component of interpersonal development, serving both the individual and the organisation as a whole (Hargreaves and Page, 2013). One strategy for enhancing one's emotional intelligence is to reflect on past experiences in which they dealt with others in higher or lower ranks in their organisation. Not only does the ability to think back on past decisions and adjust them so as to avoid making the same mistakes, again and again, boost one's chances of being successful, but it also boosts one's own and others' feelings of self-assurance.</w:t>
      </w:r>
    </w:p>
    <w:p w14:paraId="673A86EC" w14:textId="18932A76" w:rsidR="00861302" w:rsidRPr="00C43A9D" w:rsidRDefault="00F74D89" w:rsidP="00861302">
      <w:r w:rsidRPr="00F74D89">
        <w:t>If a person wishes to develop in a manner that is beneficial to both themselves and the organisation they work for, it is essential for them to make self-reflection an integral aspect of their overall personal management (</w:t>
      </w:r>
      <w:proofErr w:type="spellStart"/>
      <w:r w:rsidRPr="00F74D89">
        <w:t>Lillyman</w:t>
      </w:r>
      <w:proofErr w:type="spellEnd"/>
      <w:r w:rsidRPr="00F74D89">
        <w:t>, 2017). One strategy for enhancing one's ability to communicate is to reflect on past experiences in which they engaged in conversations with people in higher or lower ranks in their organisation. It is crucial to reflect on one's activities and make any required modifications in order to increase one's chances of success as well as raise one's own confidence as well as the confidence of others.</w:t>
      </w:r>
    </w:p>
    <w:p w14:paraId="4B56F66F" w14:textId="77777777" w:rsidR="00861302" w:rsidRDefault="00861302" w:rsidP="00861302">
      <w:pPr>
        <w:pStyle w:val="Heading1"/>
      </w:pPr>
      <w:bookmarkStart w:id="4" w:name="_Toc116487623"/>
      <w:bookmarkStart w:id="5" w:name="_Toc116518193"/>
      <w:r>
        <w:t>A report reflecting model analysis</w:t>
      </w:r>
      <w:bookmarkEnd w:id="4"/>
      <w:bookmarkEnd w:id="5"/>
    </w:p>
    <w:p w14:paraId="6238CCF9" w14:textId="77777777" w:rsidR="00861302" w:rsidRPr="00F74D89" w:rsidRDefault="00861302" w:rsidP="00861302">
      <w:pPr>
        <w:rPr>
          <w:b/>
          <w:bCs/>
        </w:rPr>
      </w:pPr>
      <w:r w:rsidRPr="00F74D89">
        <w:rPr>
          <w:b/>
          <w:bCs/>
        </w:rPr>
        <w:t>Gibbs's model of reflection</w:t>
      </w:r>
    </w:p>
    <w:p w14:paraId="381C65B1" w14:textId="77777777" w:rsidR="00861302" w:rsidRPr="00C43A9D" w:rsidRDefault="00861302" w:rsidP="00861302">
      <w:r w:rsidRPr="00C43A9D">
        <w:t xml:space="preserve">For the thoughts to be as thorough as possible, Gibbs suggests breaking them up into phases in which </w:t>
      </w:r>
      <w:r>
        <w:t>individuals</w:t>
      </w:r>
      <w:r w:rsidRPr="00C43A9D">
        <w:t> answer a series of questions. Gibbs proposes the following steps:</w:t>
      </w:r>
    </w:p>
    <w:p w14:paraId="34760D18" w14:textId="77777777" w:rsidR="00861302" w:rsidRPr="00793975" w:rsidRDefault="00861302" w:rsidP="00861302">
      <w:pPr>
        <w:rPr>
          <w:b/>
          <w:bCs/>
        </w:rPr>
      </w:pPr>
      <w:r w:rsidRPr="00793975">
        <w:rPr>
          <w:b/>
          <w:bCs/>
        </w:rPr>
        <w:t>Description:</w:t>
      </w:r>
    </w:p>
    <w:p w14:paraId="2FE12ABC" w14:textId="77777777" w:rsidR="00861302" w:rsidRPr="00C43A9D" w:rsidRDefault="00F74D89" w:rsidP="00861302">
      <w:r w:rsidRPr="00F74D89">
        <w:t xml:space="preserve">It is not necessary to pass judgement or make any judgements at this time; rather, the emphasis should be on elucidating the existing circumstances. You should be as descriptive as you can while still painting an accurate picture of the scenario. Give as many examples as you can. After conducting independent research on the available, community, and engagement activities of Mark and Spencer, I came to the conclusion that the organisation places a premium on a variety of values, including trust, creativity, quality, and service. This was my conclusion after coming to this conclusion after conducting independent research on the available, community, and engagement activities of Mark and Spencer. In the form of </w:t>
      </w:r>
      <w:r w:rsidRPr="00F74D89">
        <w:lastRenderedPageBreak/>
        <w:t>engagements with the local community, they make charitable contributions and financial contributions to the community. These engagements include things like providing clothes and equipment, food, fundraisers, and actions related to climate change, pollution, waste management, and significant disasters. In addition, they send Christmas cards to those in need</w:t>
      </w:r>
      <w:r w:rsidR="0044443E" w:rsidRPr="0044443E">
        <w:t>.</w:t>
      </w:r>
    </w:p>
    <w:p w14:paraId="6C31400B" w14:textId="77777777" w:rsidR="00861302" w:rsidRPr="00793975" w:rsidRDefault="00861302" w:rsidP="00861302">
      <w:pPr>
        <w:rPr>
          <w:b/>
          <w:bCs/>
        </w:rPr>
      </w:pPr>
      <w:r w:rsidRPr="00793975">
        <w:rPr>
          <w:b/>
          <w:bCs/>
        </w:rPr>
        <w:t>Feelings:</w:t>
      </w:r>
    </w:p>
    <w:p w14:paraId="3872C65B" w14:textId="77777777" w:rsidR="00861302" w:rsidRPr="00C43A9D" w:rsidRDefault="00F74D89" w:rsidP="00861302">
      <w:r w:rsidRPr="00F74D89">
        <w:t>To reiterate, it is much too early to develop any views on the current predicament. It is requested that a description be given of the emotional reaction that is experienced as a result of the circumstance that is encountered (</w:t>
      </w:r>
      <w:proofErr w:type="spellStart"/>
      <w:r w:rsidRPr="00F74D89">
        <w:t>Adeani</w:t>
      </w:r>
      <w:proofErr w:type="spellEnd"/>
      <w:r w:rsidRPr="00F74D89">
        <w:t xml:space="preserve">, </w:t>
      </w:r>
      <w:proofErr w:type="spellStart"/>
      <w:r w:rsidRPr="00F74D89">
        <w:t>Febriani</w:t>
      </w:r>
      <w:proofErr w:type="spellEnd"/>
      <w:r w:rsidRPr="00F74D89">
        <w:t xml:space="preserve"> and </w:t>
      </w:r>
      <w:proofErr w:type="spellStart"/>
      <w:r w:rsidRPr="00F74D89">
        <w:t>Syafryadin</w:t>
      </w:r>
      <w:proofErr w:type="spellEnd"/>
      <w:r w:rsidRPr="00F74D89">
        <w:t>, 2020). Think about how it felt, how the body felt, what the individual did, and the feelings of the others who were around him at the time. Consider what it was like to be in that predicament and how you felt. In the more economically deprived parts of the population of the broader United Kingdom, I get the idea that Mark and Spencer are doing an excellent job of maintaining a sense of community. This is my perception. I feel that one of the things that consumers find attractive is a view that is really upbeat and has as its primary objective the improvement of the world. In addition to this, there is the possibility that it may inspire other organisations to participate in the same sort of activity</w:t>
      </w:r>
      <w:r w:rsidR="0044443E" w:rsidRPr="0044443E">
        <w:t>.</w:t>
      </w:r>
    </w:p>
    <w:p w14:paraId="26305B50" w14:textId="77777777" w:rsidR="00861302" w:rsidRPr="00793975" w:rsidRDefault="00861302" w:rsidP="00861302">
      <w:pPr>
        <w:rPr>
          <w:b/>
          <w:bCs/>
        </w:rPr>
      </w:pPr>
      <w:r w:rsidRPr="00793975">
        <w:rPr>
          <w:b/>
          <w:bCs/>
        </w:rPr>
        <w:t>Evaluation:</w:t>
      </w:r>
    </w:p>
    <w:p w14:paraId="282BE621" w14:textId="77777777" w:rsidR="00861302" w:rsidRPr="00C43A9D" w:rsidRDefault="00F74D89" w:rsidP="00861302">
      <w:r w:rsidRPr="00F74D89">
        <w:t>When individuals take a step back and evaluate the situation and the emotions with greater objectivity, that is when they make their first value judgements. Consider the incident not just from your own point of view, but also from the perspectives of others who were present and saw it. The responses to these questions will provide insight on whether or not the adverse reaction to the situation was an isolated incident or not. There are certain aspects of my personal assessment that I feel went well, while other aspects fell short. To begin, I referred to my own opinion, which was formed by consulting a number of reliable publications on the CSR activities and community involvement activities that Mark and Spencer have been involved in. Despite this, I was quick to recognise the organization's generosity by allowing myself to be coaxed into reading the public relations materials that were available on its websites</w:t>
      </w:r>
      <w:r>
        <w:rPr>
          <w:rFonts w:cs="Arial"/>
          <w:color w:val="000000"/>
          <w:szCs w:val="22"/>
        </w:rPr>
        <w:t>.</w:t>
      </w:r>
    </w:p>
    <w:p w14:paraId="37284034" w14:textId="77777777" w:rsidR="00861302" w:rsidRPr="00793975" w:rsidRDefault="00861302" w:rsidP="00861302">
      <w:pPr>
        <w:rPr>
          <w:b/>
          <w:bCs/>
        </w:rPr>
      </w:pPr>
      <w:r w:rsidRPr="00793975">
        <w:rPr>
          <w:b/>
          <w:bCs/>
        </w:rPr>
        <w:t>Analysis:</w:t>
      </w:r>
    </w:p>
    <w:p w14:paraId="1E33D7EB" w14:textId="77777777" w:rsidR="00861302" w:rsidRPr="00C43A9D" w:rsidRDefault="00F74D89" w:rsidP="00861302">
      <w:r w:rsidRPr="00F74D89">
        <w:t xml:space="preserve">After giving the matter some thought from an analytical standpoint, one may go to a more in-depth examination by using the questions that were mentioned above. This may be done after first giving the matter some attention from an analytical point of view. Right now is the time to start looking for inspiration and motivation in other areas other </w:t>
      </w:r>
      <w:r>
        <w:t xml:space="preserve">than </w:t>
      </w:r>
      <w:r w:rsidRPr="00F74D89">
        <w:t xml:space="preserve">just your head. There are a number of possible methods to aid in the process of acquiring perspective. Two of these </w:t>
      </w:r>
      <w:r w:rsidRPr="00F74D89">
        <w:lastRenderedPageBreak/>
        <w:t>approaches include examining pertinent literature and ideas, as well as including other people in the thinking process. As a result of carrying out the analysis, I have arrived at the realisation that it is of the utmost importance for me to guarantee that the credibility of the activities involving community participation is maintained in such a way that they are verified with the source from which they originated. This realisation came about as a direct result of the fact that I carried out the analysis.</w:t>
      </w:r>
    </w:p>
    <w:p w14:paraId="45EF21B8" w14:textId="77777777" w:rsidR="00861302" w:rsidRPr="00793975" w:rsidRDefault="00861302" w:rsidP="00861302">
      <w:pPr>
        <w:rPr>
          <w:b/>
          <w:bCs/>
        </w:rPr>
      </w:pPr>
      <w:r w:rsidRPr="00793975">
        <w:rPr>
          <w:b/>
          <w:bCs/>
        </w:rPr>
        <w:t>Conclusions:</w:t>
      </w:r>
    </w:p>
    <w:p w14:paraId="01ED7766" w14:textId="77777777" w:rsidR="00861302" w:rsidRPr="00C43A9D" w:rsidRDefault="00F74D89" w:rsidP="00861302">
      <w:r w:rsidRPr="00F74D89">
        <w:t xml:space="preserve">It is vital, before to </w:t>
      </w:r>
      <w:r>
        <w:t>arrive</w:t>
      </w:r>
      <w:r w:rsidRPr="00F74D89">
        <w:t xml:space="preserve"> at a decision, to take into account not only the particulars but also the overall context of the situation (Williams, </w:t>
      </w:r>
      <w:proofErr w:type="spellStart"/>
      <w:r w:rsidRPr="00F74D89">
        <w:t>Woolliams</w:t>
      </w:r>
      <w:proofErr w:type="spellEnd"/>
      <w:r w:rsidRPr="00F74D89">
        <w:t xml:space="preserve"> and Spiro, 2012). Find out what the repercussions of the results are going to be for you individually, as well as for the local region you live in and the larger community as a whole. In conclusion, it has been shown that the amount of community service that Mark and Spencer have been performing is highly respectable and must be continued going ahead in order to accomplish the goals that have been set for them.</w:t>
      </w:r>
    </w:p>
    <w:p w14:paraId="0E0A3895" w14:textId="77777777" w:rsidR="00861302" w:rsidRPr="00793975" w:rsidRDefault="00861302" w:rsidP="00861302">
      <w:pPr>
        <w:rPr>
          <w:b/>
          <w:bCs/>
        </w:rPr>
      </w:pPr>
      <w:r w:rsidRPr="00793975">
        <w:rPr>
          <w:b/>
          <w:bCs/>
        </w:rPr>
        <w:t>Personal action plan:</w:t>
      </w:r>
    </w:p>
    <w:p w14:paraId="39296C45" w14:textId="77777777" w:rsidR="00861302" w:rsidRDefault="00F74D89" w:rsidP="00861302">
      <w:r w:rsidRPr="00F74D89">
        <w:t xml:space="preserve">Spending time and energy at this stage will be fruitful in the long run as it allows people to hone their abilities and get perspective through experiences that are based on the real world. Consider the items that one may alter and how doing so would contribute to the improvement of the </w:t>
      </w:r>
      <w:r>
        <w:t>practice</w:t>
      </w:r>
      <w:r w:rsidRPr="00F74D89">
        <w:t xml:space="preserve">. Carry out a basic action plan that outlines the activities that are planned to be taken and the criteria that they will use to assess the effectiveness of these steps in enhancing the </w:t>
      </w:r>
      <w:r>
        <w:t>practice</w:t>
      </w:r>
      <w:r w:rsidR="00861302" w:rsidRPr="00C43A9D">
        <w:t>.</w:t>
      </w:r>
    </w:p>
    <w:p w14:paraId="052B7022" w14:textId="77777777" w:rsidR="00861302" w:rsidRPr="00C43A9D" w:rsidRDefault="00861302" w:rsidP="00861302">
      <w:pPr>
        <w:pStyle w:val="Heading1"/>
      </w:pPr>
      <w:bookmarkStart w:id="6" w:name="_Toc116487624"/>
      <w:bookmarkStart w:id="7" w:name="_Toc116518194"/>
      <w:r>
        <w:t>The relationship between academic theories and experience.</w:t>
      </w:r>
      <w:bookmarkEnd w:id="6"/>
      <w:bookmarkEnd w:id="7"/>
    </w:p>
    <w:p w14:paraId="6E796C64" w14:textId="77777777" w:rsidR="00861302" w:rsidRDefault="00F74D89" w:rsidP="00861302">
      <w:r w:rsidRPr="00F74D89">
        <w:t xml:space="preserve">Theories are academic models or frameworks that are built to explain or anticipate certain phenomena. They tend to be topic-specific, build on top of one another, and even sometimes dispute with one another. When someone talks about their "experience," they are referring to the process of putting their skills and knowledge to use in an actual setting. It's likely that when you tell a narrative, you'll be retelling an event, describing how something was built or constructed, or making a prediction about what could happen next. When theory and </w:t>
      </w:r>
      <w:r>
        <w:t>practice</w:t>
      </w:r>
      <w:r w:rsidRPr="00F74D89">
        <w:t xml:space="preserve"> are linked, it shows that one has the ability to make use of evidence in order to improve one's general understanding of core concepts, offer </w:t>
      </w:r>
      <w:r>
        <w:t>explanations</w:t>
      </w:r>
      <w:r w:rsidRPr="00F74D89">
        <w:t xml:space="preserve"> for judgments made, and direct future work (</w:t>
      </w:r>
      <w:proofErr w:type="spellStart"/>
      <w:r w:rsidRPr="00F74D89">
        <w:t>Dange</w:t>
      </w:r>
      <w:proofErr w:type="spellEnd"/>
      <w:r w:rsidRPr="00F74D89">
        <w:t xml:space="preserve"> Jagannath, 2014). The robustness of this relationship between theory and </w:t>
      </w:r>
      <w:r>
        <w:t>practice</w:t>
      </w:r>
      <w:r w:rsidRPr="00F74D89">
        <w:t xml:space="preserve"> provides more evidence of critical thinking and growth. My ability to draw connections between the things I learn in school and the things I do in my work life is a significant measure of how well I understand the material</w:t>
      </w:r>
      <w:r w:rsidR="00861302" w:rsidRPr="00C43A9D">
        <w:t>.</w:t>
      </w:r>
    </w:p>
    <w:p w14:paraId="43402054" w14:textId="77777777" w:rsidR="00F74D89" w:rsidRDefault="00F74D89" w:rsidP="00F74D89">
      <w:pPr>
        <w:pStyle w:val="Heading1"/>
      </w:pPr>
      <w:bookmarkStart w:id="8" w:name="_Toc116518195"/>
      <w:r>
        <w:lastRenderedPageBreak/>
        <w:t>Conclusion</w:t>
      </w:r>
      <w:bookmarkEnd w:id="8"/>
      <w:r>
        <w:tab/>
      </w:r>
    </w:p>
    <w:p w14:paraId="0E2514DB" w14:textId="60D0BE6B" w:rsidR="00F74D89" w:rsidRDefault="00A10AAA" w:rsidP="00861302">
      <w:r w:rsidRPr="00A10AAA">
        <w:t>It is possible to emphasise that reflective practise is an essential tool for analysing the learning experience that was obtained as a result of the work that an organisation did in the community. This may be done in a number of different ways. With the support of a reflective practise model such as the Gibbs framework, it is feasible to exaggerate the efficiency of a model such as this one</w:t>
      </w:r>
      <w:r w:rsidR="00F74D89">
        <w:t xml:space="preserve">. </w:t>
      </w:r>
    </w:p>
    <w:p w14:paraId="4325E8A3" w14:textId="77777777" w:rsidR="00764340" w:rsidRDefault="00764340" w:rsidP="00861302"/>
    <w:p w14:paraId="3F9DBCF9" w14:textId="77777777" w:rsidR="00344AB7" w:rsidRDefault="00A10AAA" w:rsidP="00A10AAA">
      <w:pPr>
        <w:pStyle w:val="Heading1"/>
      </w:pPr>
      <w:bookmarkStart w:id="9" w:name="_Toc116518196"/>
      <w:r>
        <w:t>Reference</w:t>
      </w:r>
      <w:bookmarkEnd w:id="9"/>
    </w:p>
    <w:p w14:paraId="216764C4" w14:textId="77777777" w:rsidR="00A10AAA" w:rsidRPr="00F35497" w:rsidRDefault="00A10AAA" w:rsidP="00A10AAA">
      <w:r>
        <w:t>Adani</w:t>
      </w:r>
      <w:r w:rsidRPr="00F35497">
        <w:t xml:space="preserve">, I. S., </w:t>
      </w:r>
      <w:proofErr w:type="spellStart"/>
      <w:r w:rsidRPr="00F35497">
        <w:t>Febriani</w:t>
      </w:r>
      <w:proofErr w:type="spellEnd"/>
      <w:r w:rsidRPr="00F35497">
        <w:t xml:space="preserve">, R. B. and </w:t>
      </w:r>
      <w:proofErr w:type="spellStart"/>
      <w:r w:rsidRPr="00F35497">
        <w:t>Syafryadin</w:t>
      </w:r>
      <w:proofErr w:type="spellEnd"/>
      <w:r w:rsidRPr="00F35497">
        <w:t>, S. (2020) “Using Gibbs</w:t>
      </w:r>
      <w:r w:rsidRPr="00F35497">
        <w:rPr>
          <w:rFonts w:ascii="Tahoma" w:hAnsi="Tahoma" w:cs="Tahoma"/>
        </w:rPr>
        <w:t>�</w:t>
      </w:r>
      <w:r w:rsidRPr="00F35497">
        <w:t xml:space="preserve"> reflective cycle in making reflections of literary analysis,” </w:t>
      </w:r>
      <w:r w:rsidRPr="00F35497">
        <w:rPr>
          <w:i/>
          <w:iCs/>
        </w:rPr>
        <w:t xml:space="preserve">Indonesian EFL </w:t>
      </w:r>
      <w:r>
        <w:rPr>
          <w:i/>
          <w:iCs/>
        </w:rPr>
        <w:t>Journal</w:t>
      </w:r>
      <w:r w:rsidRPr="00F35497">
        <w:t xml:space="preserve">, 6(2), p. 139. </w:t>
      </w:r>
      <w:r>
        <w:t>DOI</w:t>
      </w:r>
      <w:r w:rsidRPr="00F35497">
        <w:t>: 10.25134/ieflj.v6i2.3382.</w:t>
      </w:r>
    </w:p>
    <w:p w14:paraId="1691718C" w14:textId="77777777" w:rsidR="00A10AAA" w:rsidRDefault="00A10AAA" w:rsidP="00A10AAA">
      <w:proofErr w:type="spellStart"/>
      <w:r w:rsidRPr="00A10AAA">
        <w:t>Amulya</w:t>
      </w:r>
      <w:proofErr w:type="spellEnd"/>
      <w:r w:rsidRPr="00A10AAA">
        <w:t>, J. (2004). What is reflective practice </w:t>
      </w:r>
      <w:proofErr w:type="spellStart"/>
      <w:r w:rsidRPr="00A10AAA">
        <w:rPr>
          <w:i/>
          <w:iCs/>
        </w:rPr>
        <w:t>Center</w:t>
      </w:r>
      <w:proofErr w:type="spellEnd"/>
      <w:r w:rsidRPr="00A10AAA">
        <w:rPr>
          <w:i/>
          <w:iCs/>
        </w:rPr>
        <w:t xml:space="preserve"> for Reflective Community Practice, Massachusetts Institute of Technology, Cambridge, MA.[Online]. Available at: http://www. </w:t>
      </w:r>
      <w:proofErr w:type="spellStart"/>
      <w:r w:rsidRPr="00A10AAA">
        <w:rPr>
          <w:i/>
          <w:iCs/>
        </w:rPr>
        <w:t>itslifejimbutnotasweknowit</w:t>
      </w:r>
      <w:proofErr w:type="spellEnd"/>
      <w:r w:rsidRPr="00A10AAA">
        <w:rPr>
          <w:i/>
          <w:iCs/>
        </w:rPr>
        <w:t xml:space="preserve">. org. </w:t>
      </w:r>
      <w:proofErr w:type="spellStart"/>
      <w:r w:rsidRPr="00A10AAA">
        <w:rPr>
          <w:i/>
          <w:iCs/>
        </w:rPr>
        <w:t>uk</w:t>
      </w:r>
      <w:proofErr w:type="spellEnd"/>
      <w:r w:rsidRPr="00A10AAA">
        <w:rPr>
          <w:i/>
          <w:iCs/>
        </w:rPr>
        <w:t>/files/</w:t>
      </w:r>
      <w:proofErr w:type="spellStart"/>
      <w:r w:rsidRPr="00A10AAA">
        <w:rPr>
          <w:i/>
          <w:iCs/>
        </w:rPr>
        <w:t>whatisreflectivepractic</w:t>
      </w:r>
      <w:proofErr w:type="spellEnd"/>
      <w:r w:rsidRPr="00A10AAA">
        <w:rPr>
          <w:i/>
          <w:iCs/>
        </w:rPr>
        <w:t xml:space="preserve"> e. pdf [Accessed 15 April 2009]</w:t>
      </w:r>
      <w:r w:rsidRPr="00A10AAA">
        <w:t>.</w:t>
      </w:r>
    </w:p>
    <w:p w14:paraId="64BDC021" w14:textId="77777777" w:rsidR="00A10AAA" w:rsidRPr="00F35497" w:rsidRDefault="00A10AAA" w:rsidP="00A10AAA">
      <w:proofErr w:type="spellStart"/>
      <w:r w:rsidRPr="00F35497">
        <w:t>Bassot</w:t>
      </w:r>
      <w:proofErr w:type="spellEnd"/>
      <w:r w:rsidRPr="00F35497">
        <w:t>, B. (2015) </w:t>
      </w:r>
      <w:r w:rsidRPr="00F35497">
        <w:rPr>
          <w:i/>
          <w:iCs/>
        </w:rPr>
        <w:t>The Reflective Practice Guide: An interdisciplinary approach to critical reflection</w:t>
      </w:r>
      <w:r w:rsidRPr="00F35497">
        <w:t>. London, England: Routledge.</w:t>
      </w:r>
    </w:p>
    <w:p w14:paraId="5E809BA3" w14:textId="77777777" w:rsidR="00A10AAA" w:rsidRPr="00F35497" w:rsidRDefault="00A10AAA" w:rsidP="00A10AAA">
      <w:r w:rsidRPr="00F35497">
        <w:t>Bolton, G. E. J. (2014) </w:t>
      </w:r>
      <w:r w:rsidRPr="00F35497">
        <w:rPr>
          <w:i/>
          <w:iCs/>
        </w:rPr>
        <w:t>Reflective practice: Writing and professional development</w:t>
      </w:r>
      <w:r w:rsidRPr="00F35497">
        <w:t>. 4th ed. Christchurch, New Zealand: Sage Publications.</w:t>
      </w:r>
    </w:p>
    <w:p w14:paraId="06DF9A67" w14:textId="77777777" w:rsidR="00A10AAA" w:rsidRPr="00F35497" w:rsidRDefault="00A10AAA" w:rsidP="00A10AAA">
      <w:r>
        <w:t>Dance</w:t>
      </w:r>
      <w:r w:rsidRPr="00F35497">
        <w:t xml:space="preserve"> Jagannath, K. (2014) </w:t>
      </w:r>
      <w:r w:rsidRPr="00F35497">
        <w:rPr>
          <w:i/>
          <w:iCs/>
        </w:rPr>
        <w:t>Learning and Experiences</w:t>
      </w:r>
      <w:r w:rsidRPr="00F35497">
        <w:t>. LAP Lambert Academic Publishing.</w:t>
      </w:r>
    </w:p>
    <w:p w14:paraId="4B332142" w14:textId="77777777" w:rsidR="00A10AAA" w:rsidRDefault="00A10AAA" w:rsidP="00A10AAA">
      <w:r w:rsidRPr="00A10AAA">
        <w:t>Finlay, L. (2008). Reflecting on ‘Reflective practice’.</w:t>
      </w:r>
    </w:p>
    <w:p w14:paraId="038FB187" w14:textId="77777777" w:rsidR="00A10AAA" w:rsidRPr="00F35497" w:rsidRDefault="00A10AAA" w:rsidP="00A10AAA">
      <w:r w:rsidRPr="00F35497">
        <w:t>Hargreaves, J. and Page, L. (2013) </w:t>
      </w:r>
      <w:r w:rsidRPr="00F35497">
        <w:rPr>
          <w:i/>
          <w:iCs/>
        </w:rPr>
        <w:t>Reflective Practice</w:t>
      </w:r>
      <w:r w:rsidRPr="00F35497">
        <w:t>. 1st ed. Oxford, England: Polity Press.</w:t>
      </w:r>
    </w:p>
    <w:p w14:paraId="3A9A45A2" w14:textId="77777777" w:rsidR="00A10AAA" w:rsidRPr="00F35497" w:rsidRDefault="00A10AAA" w:rsidP="00A10AAA">
      <w:proofErr w:type="spellStart"/>
      <w:r w:rsidRPr="00F35497">
        <w:t>Lillyman</w:t>
      </w:r>
      <w:proofErr w:type="spellEnd"/>
      <w:r w:rsidRPr="00F35497">
        <w:t>, S. (2017) </w:t>
      </w:r>
      <w:r w:rsidRPr="00F35497">
        <w:rPr>
          <w:i/>
          <w:iCs/>
        </w:rPr>
        <w:t>Portfolios and reflective practice</w:t>
      </w:r>
      <w:r w:rsidRPr="00F35497">
        <w:t>. London, England: Routledge.</w:t>
      </w:r>
    </w:p>
    <w:p w14:paraId="4B6E3D87" w14:textId="77777777" w:rsidR="00A10AAA" w:rsidRDefault="00A10AAA" w:rsidP="00A10AAA">
      <w:proofErr w:type="spellStart"/>
      <w:r w:rsidRPr="00A10AAA">
        <w:t>Mamede</w:t>
      </w:r>
      <w:proofErr w:type="spellEnd"/>
      <w:r w:rsidRPr="00A10AAA">
        <w:t>, S., &amp; Schmidt, H. G. (2004). The structure of reflective practice in medicine. </w:t>
      </w:r>
      <w:r w:rsidRPr="00A10AAA">
        <w:rPr>
          <w:i/>
          <w:iCs/>
        </w:rPr>
        <w:t>Medical education</w:t>
      </w:r>
      <w:r w:rsidRPr="00A10AAA">
        <w:t>, </w:t>
      </w:r>
      <w:r w:rsidRPr="00A10AAA">
        <w:rPr>
          <w:i/>
          <w:iCs/>
        </w:rPr>
        <w:t>38</w:t>
      </w:r>
      <w:r w:rsidRPr="00A10AAA">
        <w:t>(12), 1302-1308.</w:t>
      </w:r>
    </w:p>
    <w:p w14:paraId="5F3B508A" w14:textId="77777777" w:rsidR="00A10AAA" w:rsidRPr="00F35497" w:rsidRDefault="00A10AAA" w:rsidP="00A10AAA">
      <w:r w:rsidRPr="00F35497">
        <w:t xml:space="preserve">Williams, K., </w:t>
      </w:r>
      <w:proofErr w:type="spellStart"/>
      <w:r w:rsidRPr="00F35497">
        <w:t>Woolliams</w:t>
      </w:r>
      <w:proofErr w:type="spellEnd"/>
      <w:r w:rsidRPr="00F35497">
        <w:t>, M. and Spiro, J. (2012) “Using a framework for reflection: Gibbs’ reflective cycle,” in </w:t>
      </w:r>
      <w:r w:rsidRPr="00F35497">
        <w:rPr>
          <w:i/>
          <w:iCs/>
        </w:rPr>
        <w:t>Reflective Writing</w:t>
      </w:r>
      <w:r w:rsidRPr="00F35497">
        <w:t>. London: Macmillan Education UK, pp. 90–102.</w:t>
      </w:r>
    </w:p>
    <w:p w14:paraId="018D9893" w14:textId="77777777" w:rsidR="00A10AAA" w:rsidRDefault="00A10AAA" w:rsidP="00344AB7"/>
    <w:sectPr w:rsidR="00A10A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D438FD"/>
    <w:multiLevelType w:val="hybridMultilevel"/>
    <w:tmpl w:val="E7EE2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46506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2CB2"/>
    <w:rsid w:val="001A2CB2"/>
    <w:rsid w:val="00344AB7"/>
    <w:rsid w:val="0044443E"/>
    <w:rsid w:val="00581E8F"/>
    <w:rsid w:val="007337E7"/>
    <w:rsid w:val="00764340"/>
    <w:rsid w:val="00861302"/>
    <w:rsid w:val="0088485B"/>
    <w:rsid w:val="008E45DE"/>
    <w:rsid w:val="00976797"/>
    <w:rsid w:val="00A10AAA"/>
    <w:rsid w:val="00AE42D9"/>
    <w:rsid w:val="00CE70CF"/>
    <w:rsid w:val="00EA41E3"/>
    <w:rsid w:val="00F74D89"/>
  </w:rsids>
  <m:mathPr>
    <m:mathFont m:val="Cambria Math"/>
    <m:brkBin m:val="before"/>
    <m:brkBinSub m:val="--"/>
    <m:smallFrac m:val="0"/>
    <m:dispDef/>
    <m:lMargin m:val="0"/>
    <m:rMargin m:val="0"/>
    <m:defJc m:val="centerGroup"/>
    <m:wrapIndent m:val="1440"/>
    <m:intLim m:val="subSup"/>
    <m:naryLim m:val="undOvr"/>
  </m:mathPr>
  <w:themeFontLang w:val="en-GB" w:eastAsia="ko-KR"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2E038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30"/>
        <w:lang w:val="en-GB" w:eastAsia="ko-KR" w:bidi="bn-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4340"/>
    <w:pPr>
      <w:spacing w:before="120" w:after="120" w:line="360" w:lineRule="auto"/>
      <w:jc w:val="both"/>
    </w:pPr>
    <w:rPr>
      <w:rFonts w:ascii="Arial" w:hAnsi="Arial" w:cs="Vrinda"/>
      <w:sz w:val="22"/>
    </w:rPr>
  </w:style>
  <w:style w:type="paragraph" w:styleId="Heading1">
    <w:name w:val="heading 1"/>
    <w:basedOn w:val="Normal"/>
    <w:next w:val="Normal"/>
    <w:link w:val="Heading1Char"/>
    <w:uiPriority w:val="9"/>
    <w:qFormat/>
    <w:rsid w:val="008E45DE"/>
    <w:pPr>
      <w:keepNext/>
      <w:keepLines/>
      <w:spacing w:before="360"/>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semiHidden/>
    <w:unhideWhenUsed/>
    <w:qFormat/>
    <w:rsid w:val="008E45DE"/>
    <w:pPr>
      <w:keepNext/>
      <w:keepLines/>
      <w:spacing w:before="280"/>
      <w:outlineLvl w:val="1"/>
    </w:pPr>
    <w:rPr>
      <w:rFonts w:eastAsiaTheme="majorEastAsia" w:cstheme="majorBidi"/>
      <w:b/>
      <w:color w:val="000000" w:themeColor="text1"/>
      <w:sz w:val="28"/>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45DE"/>
    <w:rPr>
      <w:rFonts w:ascii="Arial" w:eastAsiaTheme="majorEastAsia" w:hAnsi="Arial" w:cstheme="majorBidi"/>
      <w:b/>
      <w:color w:val="000000" w:themeColor="text1"/>
      <w:sz w:val="32"/>
      <w:szCs w:val="40"/>
      <w:lang w:val="en-GB"/>
    </w:rPr>
  </w:style>
  <w:style w:type="character" w:customStyle="1" w:styleId="Heading2Char">
    <w:name w:val="Heading 2 Char"/>
    <w:basedOn w:val="DefaultParagraphFont"/>
    <w:link w:val="Heading2"/>
    <w:uiPriority w:val="9"/>
    <w:semiHidden/>
    <w:rsid w:val="008E45DE"/>
    <w:rPr>
      <w:rFonts w:ascii="Arial" w:eastAsiaTheme="majorEastAsia" w:hAnsi="Arial" w:cstheme="majorBidi"/>
      <w:b/>
      <w:color w:val="000000" w:themeColor="text1"/>
      <w:sz w:val="28"/>
      <w:szCs w:val="33"/>
      <w:lang w:val="en-GB"/>
    </w:rPr>
  </w:style>
  <w:style w:type="paragraph" w:styleId="NoSpacing">
    <w:name w:val="No Spacing"/>
    <w:uiPriority w:val="1"/>
    <w:qFormat/>
    <w:rsid w:val="00CE70CF"/>
    <w:pPr>
      <w:spacing w:line="360" w:lineRule="auto"/>
      <w:jc w:val="both"/>
    </w:pPr>
    <w:rPr>
      <w:rFonts w:ascii="Times New Roman" w:eastAsiaTheme="minorHAnsi" w:hAnsi="Times New Roman"/>
      <w:b/>
      <w:sz w:val="36"/>
      <w:szCs w:val="22"/>
      <w:lang w:val="en-US" w:eastAsia="en-US" w:bidi="ar-SA"/>
    </w:rPr>
  </w:style>
  <w:style w:type="paragraph" w:styleId="Caption">
    <w:name w:val="caption"/>
    <w:basedOn w:val="Normal"/>
    <w:next w:val="Normal"/>
    <w:uiPriority w:val="35"/>
    <w:unhideWhenUsed/>
    <w:qFormat/>
    <w:rsid w:val="00AE42D9"/>
    <w:pPr>
      <w:spacing w:before="240" w:after="440" w:line="240" w:lineRule="auto"/>
      <w:jc w:val="left"/>
    </w:pPr>
    <w:rPr>
      <w:rFonts w:eastAsiaTheme="minorHAnsi" w:cstheme="minorBidi"/>
      <w:i/>
      <w:iCs/>
      <w:color w:val="000000" w:themeColor="text1"/>
      <w:szCs w:val="18"/>
      <w:lang w:eastAsia="en-US" w:bidi="ar-SA"/>
    </w:rPr>
  </w:style>
  <w:style w:type="paragraph" w:styleId="ListParagraph">
    <w:name w:val="List Paragraph"/>
    <w:basedOn w:val="Normal"/>
    <w:uiPriority w:val="34"/>
    <w:qFormat/>
    <w:rsid w:val="00344AB7"/>
    <w:pPr>
      <w:ind w:left="720"/>
      <w:contextualSpacing/>
    </w:pPr>
  </w:style>
  <w:style w:type="paragraph" w:styleId="TOCHeading">
    <w:name w:val="TOC Heading"/>
    <w:basedOn w:val="Heading1"/>
    <w:next w:val="Normal"/>
    <w:uiPriority w:val="39"/>
    <w:unhideWhenUsed/>
    <w:qFormat/>
    <w:rsid w:val="00A10AAA"/>
    <w:pPr>
      <w:spacing w:before="480" w:after="0" w:line="276" w:lineRule="auto"/>
      <w:jc w:val="left"/>
      <w:outlineLvl w:val="9"/>
    </w:pPr>
    <w:rPr>
      <w:rFonts w:asciiTheme="majorHAnsi" w:hAnsiTheme="majorHAnsi"/>
      <w:bCs/>
      <w:color w:val="2F5496" w:themeColor="accent1" w:themeShade="BF"/>
      <w:sz w:val="28"/>
      <w:szCs w:val="28"/>
      <w:lang w:val="en-US" w:eastAsia="en-US" w:bidi="ar-SA"/>
    </w:rPr>
  </w:style>
  <w:style w:type="paragraph" w:styleId="TOC1">
    <w:name w:val="toc 1"/>
    <w:basedOn w:val="Normal"/>
    <w:next w:val="Normal"/>
    <w:autoRedefine/>
    <w:uiPriority w:val="39"/>
    <w:unhideWhenUsed/>
    <w:rsid w:val="00A10AAA"/>
    <w:pPr>
      <w:spacing w:after="0"/>
      <w:jc w:val="left"/>
    </w:pPr>
    <w:rPr>
      <w:rFonts w:asciiTheme="minorHAnsi" w:hAnsiTheme="minorHAnsi"/>
      <w:b/>
      <w:bCs/>
      <w:i/>
      <w:iCs/>
      <w:szCs w:val="24"/>
    </w:rPr>
  </w:style>
  <w:style w:type="character" w:styleId="Hyperlink">
    <w:name w:val="Hyperlink"/>
    <w:basedOn w:val="DefaultParagraphFont"/>
    <w:uiPriority w:val="99"/>
    <w:unhideWhenUsed/>
    <w:rsid w:val="00A10AAA"/>
    <w:rPr>
      <w:color w:val="0563C1" w:themeColor="hyperlink"/>
      <w:u w:val="single"/>
    </w:rPr>
  </w:style>
  <w:style w:type="paragraph" w:styleId="TOC2">
    <w:name w:val="toc 2"/>
    <w:basedOn w:val="Normal"/>
    <w:next w:val="Normal"/>
    <w:autoRedefine/>
    <w:uiPriority w:val="39"/>
    <w:semiHidden/>
    <w:unhideWhenUsed/>
    <w:rsid w:val="00A10AAA"/>
    <w:pPr>
      <w:spacing w:after="0"/>
      <w:ind w:left="240"/>
      <w:jc w:val="left"/>
    </w:pPr>
    <w:rPr>
      <w:rFonts w:asciiTheme="minorHAnsi" w:hAnsiTheme="minorHAnsi"/>
      <w:b/>
      <w:bCs/>
      <w:szCs w:val="22"/>
    </w:rPr>
  </w:style>
  <w:style w:type="paragraph" w:styleId="TOC3">
    <w:name w:val="toc 3"/>
    <w:basedOn w:val="Normal"/>
    <w:next w:val="Normal"/>
    <w:autoRedefine/>
    <w:uiPriority w:val="39"/>
    <w:semiHidden/>
    <w:unhideWhenUsed/>
    <w:rsid w:val="00A10AAA"/>
    <w:pPr>
      <w:spacing w:before="0" w:after="0"/>
      <w:ind w:left="480"/>
      <w:jc w:val="left"/>
    </w:pPr>
    <w:rPr>
      <w:rFonts w:asciiTheme="minorHAnsi" w:hAnsiTheme="minorHAnsi"/>
      <w:sz w:val="20"/>
      <w:szCs w:val="20"/>
    </w:rPr>
  </w:style>
  <w:style w:type="paragraph" w:styleId="TOC4">
    <w:name w:val="toc 4"/>
    <w:basedOn w:val="Normal"/>
    <w:next w:val="Normal"/>
    <w:autoRedefine/>
    <w:uiPriority w:val="39"/>
    <w:semiHidden/>
    <w:unhideWhenUsed/>
    <w:rsid w:val="00A10AAA"/>
    <w:pPr>
      <w:spacing w:before="0" w:after="0"/>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A10AAA"/>
    <w:pPr>
      <w:spacing w:before="0" w:after="0"/>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A10AAA"/>
    <w:pPr>
      <w:spacing w:before="0" w:after="0"/>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A10AAA"/>
    <w:pPr>
      <w:spacing w:before="0" w:after="0"/>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A10AAA"/>
    <w:pPr>
      <w:spacing w:before="0" w:after="0"/>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A10AAA"/>
    <w:pPr>
      <w:spacing w:before="0" w:after="0"/>
      <w:ind w:left="1920"/>
      <w:jc w:val="left"/>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70256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BC076A-543F-CC4A-92A2-5E569C777B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2402</Words>
  <Characters>13698</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2022-10-09T17:53:00Z</dcterms:created>
  <dcterms:modified xsi:type="dcterms:W3CDTF">2022-11-21T22:33:00Z</dcterms:modified>
</cp:coreProperties>
</file>