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7EDDD1" w14:textId="1723902F" w:rsidR="0047103C" w:rsidRDefault="00BF6C86">
      <w:r>
        <w:rPr>
          <w:noProof/>
        </w:rPr>
        <w:drawing>
          <wp:inline distT="0" distB="0" distL="0" distR="0" wp14:anchorId="1CDA3530" wp14:editId="1FA9CFD5">
            <wp:extent cx="6019800" cy="2619740"/>
            <wp:effectExtent l="0" t="0" r="0" b="9525"/>
            <wp:docPr id="1511577492" name="Picture 2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1577492" name="Picture 2" descr="A close-up of a documen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7346" cy="2631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A5F2C25" wp14:editId="402D75D0">
            <wp:extent cx="3093251" cy="1135380"/>
            <wp:effectExtent l="0" t="0" r="0" b="7620"/>
            <wp:docPr id="1051296878" name="Picture 2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296878" name="Picture 2" descr="A white paper with black 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1622" cy="1142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103C">
        <w:rPr>
          <w:noProof/>
        </w:rPr>
        <w:drawing>
          <wp:inline distT="0" distB="0" distL="0" distR="0" wp14:anchorId="2AB307B5" wp14:editId="1ED72002">
            <wp:extent cx="3047609" cy="1234440"/>
            <wp:effectExtent l="0" t="0" r="635" b="3810"/>
            <wp:docPr id="198639741" name="Picture 3" descr="A close-up of a cont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639741" name="Picture 3" descr="A close-up of a conten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318" cy="1242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103C">
        <w:rPr>
          <w:noProof/>
        </w:rPr>
        <w:drawing>
          <wp:inline distT="0" distB="0" distL="0" distR="0" wp14:anchorId="717B4323" wp14:editId="15B6BF57">
            <wp:extent cx="2665691" cy="1226820"/>
            <wp:effectExtent l="0" t="0" r="1905" b="0"/>
            <wp:docPr id="687344238" name="Picture 4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344238" name="Picture 4" descr="A white paper with black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7798" cy="1241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103C">
        <w:rPr>
          <w:noProof/>
        </w:rPr>
        <w:drawing>
          <wp:inline distT="0" distB="0" distL="0" distR="0" wp14:anchorId="242E72CE" wp14:editId="4707EA5D">
            <wp:extent cx="2526049" cy="1104900"/>
            <wp:effectExtent l="0" t="0" r="7620" b="0"/>
            <wp:docPr id="1118192891" name="Picture 5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192891" name="Picture 5" descr="A close-up of a documen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028" cy="1111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103C">
        <w:rPr>
          <w:noProof/>
        </w:rPr>
        <w:drawing>
          <wp:inline distT="0" distB="0" distL="0" distR="0" wp14:anchorId="5B7DDA7C" wp14:editId="3E4DBAE6">
            <wp:extent cx="2431782" cy="1211580"/>
            <wp:effectExtent l="0" t="0" r="6985" b="7620"/>
            <wp:docPr id="534367189" name="Picture 6" descr="A close-up of a market factor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367189" name="Picture 6" descr="A close-up of a market factory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6666" cy="1218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103C">
        <w:rPr>
          <w:noProof/>
        </w:rPr>
        <w:drawing>
          <wp:inline distT="0" distB="0" distL="0" distR="0" wp14:anchorId="096FE6F8" wp14:editId="29A872ED">
            <wp:extent cx="2209994" cy="1066800"/>
            <wp:effectExtent l="0" t="0" r="0" b="0"/>
            <wp:docPr id="258742767" name="Picture 7" descr="A close 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742767" name="Picture 7" descr="A close up of a documen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0886" cy="107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103C">
        <w:rPr>
          <w:noProof/>
        </w:rPr>
        <w:drawing>
          <wp:inline distT="0" distB="0" distL="0" distR="0" wp14:anchorId="4D5EE3C2" wp14:editId="0EC15361">
            <wp:extent cx="2033854" cy="914400"/>
            <wp:effectExtent l="0" t="0" r="5080" b="0"/>
            <wp:docPr id="1414797726" name="Picture 8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797726" name="Picture 8" descr="A close-up of a documen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8406" cy="920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103C">
        <w:rPr>
          <w:noProof/>
        </w:rPr>
        <w:drawing>
          <wp:inline distT="0" distB="0" distL="0" distR="0" wp14:anchorId="493BABAF" wp14:editId="202A385F">
            <wp:extent cx="2331720" cy="1147002"/>
            <wp:effectExtent l="0" t="0" r="0" b="0"/>
            <wp:docPr id="501265346" name="Picture 9" descr="A close-up of a marketing strateg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265346" name="Picture 9" descr="A close-up of a marketing strategy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6596" cy="1159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103C">
        <w:rPr>
          <w:noProof/>
        </w:rPr>
        <w:drawing>
          <wp:inline distT="0" distB="0" distL="0" distR="0" wp14:anchorId="5C576B12" wp14:editId="731FA5D8">
            <wp:extent cx="2024721" cy="982974"/>
            <wp:effectExtent l="0" t="0" r="0" b="8255"/>
            <wp:docPr id="1212177006" name="Picture 10" descr="A close-up of a financial proje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177006" name="Picture 10" descr="A close-up of a financial projection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3443" cy="1016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BF99B" w14:textId="77777777" w:rsidR="0047103C" w:rsidRDefault="0047103C">
      <w:r>
        <w:br w:type="page"/>
      </w:r>
    </w:p>
    <w:p w14:paraId="20FEB2EF" w14:textId="77777777" w:rsidR="0047103C" w:rsidRPr="0003070C" w:rsidRDefault="0047103C" w:rsidP="0047103C">
      <w:pPr>
        <w:pStyle w:val="Heading1"/>
        <w:spacing w:line="360" w:lineRule="auto"/>
        <w:rPr>
          <w:rFonts w:eastAsia="Times New Roman" w:cs="Times New Roman"/>
          <w:szCs w:val="24"/>
          <w:lang w:eastAsia="en-GB"/>
        </w:rPr>
      </w:pPr>
      <w:r w:rsidRPr="00957155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References</w:t>
      </w:r>
    </w:p>
    <w:p w14:paraId="66233A96" w14:textId="77777777" w:rsidR="0047103C" w:rsidRPr="00957155" w:rsidRDefault="0047103C" w:rsidP="0047103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Allen, J., O'Toole, W., McDonnell, I., &amp; Harris, R. (2017). </w:t>
      </w:r>
      <w:r w:rsidRPr="0095715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>Festival and special event management</w:t>
      </w: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(6th ed.). Wiley.</w:t>
      </w:r>
    </w:p>
    <w:p w14:paraId="708B7C6F" w14:textId="77777777" w:rsidR="0047103C" w:rsidRPr="00957155" w:rsidRDefault="0047103C" w:rsidP="0047103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Anand, A., </w:t>
      </w:r>
      <w:proofErr w:type="spellStart"/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Centobelli</w:t>
      </w:r>
      <w:proofErr w:type="spellEnd"/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P., &amp; </w:t>
      </w:r>
      <w:proofErr w:type="spellStart"/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Cerchione</w:t>
      </w:r>
      <w:proofErr w:type="spellEnd"/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R. (2020). Why should I share knowledge with others? A review-based framework on events leading to knowledge hiding. </w:t>
      </w:r>
      <w:r w:rsidRPr="0095715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>Journal of Organizational Change Management, 33</w:t>
      </w: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(2), 379-399.</w:t>
      </w:r>
    </w:p>
    <w:p w14:paraId="32319667" w14:textId="77777777" w:rsidR="0047103C" w:rsidRPr="00957155" w:rsidRDefault="0047103C" w:rsidP="0047103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proofErr w:type="spellStart"/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Anufrieva</w:t>
      </w:r>
      <w:proofErr w:type="spellEnd"/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N. I., Tsarev, D. V., </w:t>
      </w:r>
      <w:proofErr w:type="spellStart"/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Gribkova</w:t>
      </w:r>
      <w:proofErr w:type="spellEnd"/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G. I., Medved, E. I., &amp; Kiseleva, O. I. (2021). Increasing university students' organizational skills during practical application of event management technologies in organizing events. </w:t>
      </w:r>
      <w:proofErr w:type="spellStart"/>
      <w:r w:rsidRPr="0095715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>Revista</w:t>
      </w:r>
      <w:proofErr w:type="spellEnd"/>
      <w:r w:rsidRPr="0095715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 xml:space="preserve"> Tempos e </w:t>
      </w:r>
      <w:proofErr w:type="spellStart"/>
      <w:r w:rsidRPr="0095715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>Espaços</w:t>
      </w:r>
      <w:proofErr w:type="spellEnd"/>
      <w:r w:rsidRPr="0095715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95715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>em</w:t>
      </w:r>
      <w:proofErr w:type="spellEnd"/>
      <w:r w:rsidRPr="0095715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95715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>Educação</w:t>
      </w:r>
      <w:proofErr w:type="spellEnd"/>
      <w:r w:rsidRPr="0095715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>, 14</w:t>
      </w: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(33), 1-12.</w:t>
      </w:r>
    </w:p>
    <w:p w14:paraId="3363AC6F" w14:textId="77777777" w:rsidR="0047103C" w:rsidRPr="00957155" w:rsidRDefault="0047103C" w:rsidP="0047103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Bladen, C., Kennell, J., Abson, E., &amp; Wilde, N. (2018). </w:t>
      </w:r>
      <w:r w:rsidRPr="0095715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>Events management: An introduction</w:t>
      </w: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(2nd ed.). Routledge.</w:t>
      </w:r>
    </w:p>
    <w:p w14:paraId="11DAEEF3" w14:textId="77777777" w:rsidR="0047103C" w:rsidRPr="00957155" w:rsidRDefault="0047103C" w:rsidP="0047103C">
      <w:pPr>
        <w:pStyle w:val="NormalWeb"/>
        <w:spacing w:before="0" w:beforeAutospacing="0" w:after="0" w:afterAutospacing="0" w:line="360" w:lineRule="auto"/>
      </w:pPr>
      <w:r w:rsidRPr="00957155">
        <w:rPr>
          <w:rFonts w:eastAsiaTheme="minorEastAsia"/>
          <w:color w:val="000000" w:themeColor="text1"/>
          <w:kern w:val="24"/>
          <w:lang w:val="en-US"/>
        </w:rPr>
        <w:t xml:space="preserve">Bladen, C., Kennell, J., Abson, E., &amp; Wilde, N. (2018). </w:t>
      </w:r>
      <w:r w:rsidRPr="00957155">
        <w:rPr>
          <w:rFonts w:eastAsiaTheme="minorEastAsia"/>
          <w:i/>
          <w:iCs/>
          <w:color w:val="000000" w:themeColor="text1"/>
          <w:kern w:val="24"/>
          <w:lang w:val="en-US"/>
        </w:rPr>
        <w:t>Events management: An introduction</w:t>
      </w:r>
      <w:r w:rsidRPr="00957155">
        <w:rPr>
          <w:rFonts w:eastAsiaTheme="minorEastAsia"/>
          <w:color w:val="000000" w:themeColor="text1"/>
          <w:kern w:val="24"/>
          <w:lang w:val="en-US"/>
        </w:rPr>
        <w:t xml:space="preserve"> (2nd ed.). Routledge.</w:t>
      </w:r>
    </w:p>
    <w:p w14:paraId="170DA4D7" w14:textId="77777777" w:rsidR="0047103C" w:rsidRPr="00957155" w:rsidRDefault="0047103C" w:rsidP="0047103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Bowdin, G. A. J., Allen, J., O'Toole, W., Harris, R., &amp; McDonnell, I. (2022). </w:t>
      </w:r>
      <w:r w:rsidRPr="0095715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>Events management</w:t>
      </w: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(5th ed.). Routledge.</w:t>
      </w:r>
    </w:p>
    <w:p w14:paraId="0179874E" w14:textId="77777777" w:rsidR="0047103C" w:rsidRPr="00957155" w:rsidRDefault="0047103C" w:rsidP="0047103C">
      <w:pPr>
        <w:pStyle w:val="NormalWeb"/>
        <w:spacing w:before="0" w:beforeAutospacing="0" w:after="0" w:afterAutospacing="0" w:line="360" w:lineRule="auto"/>
      </w:pPr>
      <w:r w:rsidRPr="00957155">
        <w:rPr>
          <w:rFonts w:eastAsiaTheme="minorEastAsia"/>
          <w:color w:val="000000" w:themeColor="text1"/>
          <w:kern w:val="24"/>
          <w:lang w:val="en-US"/>
        </w:rPr>
        <w:t xml:space="preserve">Bowdin, G. A. J., Allen, J., O'Toole, W., Harris, R., &amp; McDonnell, I. (2022). </w:t>
      </w:r>
      <w:r w:rsidRPr="00957155">
        <w:rPr>
          <w:rFonts w:eastAsiaTheme="minorEastAsia"/>
          <w:i/>
          <w:iCs/>
          <w:color w:val="000000" w:themeColor="text1"/>
          <w:kern w:val="24"/>
          <w:lang w:val="en-US"/>
        </w:rPr>
        <w:t>Events management</w:t>
      </w:r>
      <w:r w:rsidRPr="00957155">
        <w:rPr>
          <w:rFonts w:eastAsiaTheme="minorEastAsia"/>
          <w:color w:val="000000" w:themeColor="text1"/>
          <w:kern w:val="24"/>
          <w:lang w:val="en-US"/>
        </w:rPr>
        <w:t xml:space="preserve"> (5th ed.). Routledge.</w:t>
      </w:r>
    </w:p>
    <w:p w14:paraId="2E485B7B" w14:textId="77777777" w:rsidR="0047103C" w:rsidRPr="00957155" w:rsidRDefault="0047103C" w:rsidP="0047103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Getz, D., &amp; Page, S. J. (2020). </w:t>
      </w:r>
      <w:r w:rsidRPr="0095715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>Event studies: Theory, research, and policy for planned events</w:t>
      </w: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(4th ed.). Routledge.</w:t>
      </w:r>
    </w:p>
    <w:p w14:paraId="28EA549A" w14:textId="77777777" w:rsidR="0047103C" w:rsidRPr="00957155" w:rsidRDefault="0047103C" w:rsidP="0047103C">
      <w:pPr>
        <w:pStyle w:val="NormalWeb"/>
        <w:spacing w:before="0" w:beforeAutospacing="0" w:after="0" w:afterAutospacing="0" w:line="360" w:lineRule="auto"/>
      </w:pPr>
      <w:r w:rsidRPr="00957155">
        <w:rPr>
          <w:rFonts w:eastAsiaTheme="minorEastAsia"/>
          <w:color w:val="000000" w:themeColor="text1"/>
          <w:kern w:val="24"/>
          <w:lang w:val="en-US"/>
        </w:rPr>
        <w:t xml:space="preserve">Getz, D., &amp; Page, S. J. (2020). </w:t>
      </w:r>
      <w:r w:rsidRPr="00957155">
        <w:rPr>
          <w:rFonts w:eastAsiaTheme="minorEastAsia"/>
          <w:i/>
          <w:iCs/>
          <w:color w:val="000000" w:themeColor="text1"/>
          <w:kern w:val="24"/>
          <w:lang w:val="en-US"/>
        </w:rPr>
        <w:t>Event studies: Theory, research, and policy for planned events</w:t>
      </w:r>
      <w:r w:rsidRPr="00957155">
        <w:rPr>
          <w:rFonts w:eastAsiaTheme="minorEastAsia"/>
          <w:color w:val="000000" w:themeColor="text1"/>
          <w:kern w:val="24"/>
          <w:lang w:val="en-US"/>
        </w:rPr>
        <w:t xml:space="preserve"> (4th ed.). Routledge.</w:t>
      </w:r>
    </w:p>
    <w:p w14:paraId="40BC71E6" w14:textId="77777777" w:rsidR="0047103C" w:rsidRPr="00957155" w:rsidRDefault="0047103C" w:rsidP="0047103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Hickman, E., Kharouf, H., </w:t>
      </w:r>
      <w:proofErr w:type="spellStart"/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Biscaia</w:t>
      </w:r>
      <w:proofErr w:type="spellEnd"/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R., &amp; Garcia-Perez, A. (2020). Understanding online event experience: The importance of communication, engagement, and interaction. </w:t>
      </w:r>
      <w:r w:rsidRPr="0095715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>Journal of Convention &amp; Event Tourism, 21</w:t>
      </w: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(3), 202-222.</w:t>
      </w:r>
    </w:p>
    <w:p w14:paraId="186A4D80" w14:textId="77777777" w:rsidR="0047103C" w:rsidRPr="00957155" w:rsidRDefault="0047103C" w:rsidP="0047103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Lee, S., &amp; Goldblatt, J. (2020). </w:t>
      </w:r>
      <w:r w:rsidRPr="0095715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>Special events: The brave new world for bolder and better live events</w:t>
      </w: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(8th ed.). John Wiley &amp; Sons.</w:t>
      </w:r>
    </w:p>
    <w:p w14:paraId="412BE77D" w14:textId="77777777" w:rsidR="0047103C" w:rsidRPr="00957155" w:rsidRDefault="0047103C" w:rsidP="0047103C">
      <w:pPr>
        <w:pStyle w:val="NormalWeb"/>
        <w:spacing w:before="0" w:beforeAutospacing="0" w:after="0" w:afterAutospacing="0" w:line="360" w:lineRule="auto"/>
      </w:pPr>
      <w:r w:rsidRPr="00957155">
        <w:rPr>
          <w:rFonts w:eastAsiaTheme="minorEastAsia"/>
          <w:color w:val="000000" w:themeColor="text1"/>
          <w:kern w:val="24"/>
          <w:lang w:val="en-US"/>
        </w:rPr>
        <w:t xml:space="preserve">Lee, S., &amp; Goldblatt, J. (2020). </w:t>
      </w:r>
      <w:r w:rsidRPr="00957155">
        <w:rPr>
          <w:rFonts w:eastAsiaTheme="minorEastAsia"/>
          <w:i/>
          <w:iCs/>
          <w:color w:val="000000" w:themeColor="text1"/>
          <w:kern w:val="24"/>
          <w:lang w:val="en-US"/>
        </w:rPr>
        <w:t>Special events: The brave new world for bolder and better live events</w:t>
      </w:r>
      <w:r w:rsidRPr="00957155">
        <w:rPr>
          <w:rFonts w:eastAsiaTheme="minorEastAsia"/>
          <w:color w:val="000000" w:themeColor="text1"/>
          <w:kern w:val="24"/>
          <w:lang w:val="en-US"/>
        </w:rPr>
        <w:t xml:space="preserve"> (8th ed.). John Wiley &amp; Sons.</w:t>
      </w:r>
    </w:p>
    <w:p w14:paraId="4C5C84E5" w14:textId="77777777" w:rsidR="0047103C" w:rsidRPr="00957155" w:rsidRDefault="0047103C" w:rsidP="0047103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lastRenderedPageBreak/>
        <w:t xml:space="preserve">Nolan, E. (2020). The supply and design of different types of venues for business events. </w:t>
      </w:r>
      <w:r w:rsidRPr="0095715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>International Journal of Tourism Cities, 6</w:t>
      </w: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(4), 691-710.</w:t>
      </w:r>
    </w:p>
    <w:p w14:paraId="146320E8" w14:textId="77777777" w:rsidR="0047103C" w:rsidRPr="00957155" w:rsidRDefault="0047103C" w:rsidP="0047103C">
      <w:pPr>
        <w:pStyle w:val="NormalWeb"/>
        <w:spacing w:before="0" w:beforeAutospacing="0" w:after="0" w:afterAutospacing="0" w:line="360" w:lineRule="auto"/>
      </w:pPr>
      <w:r w:rsidRPr="00957155">
        <w:rPr>
          <w:rFonts w:eastAsiaTheme="minorEastAsia"/>
          <w:color w:val="000000" w:themeColor="text1"/>
          <w:kern w:val="24"/>
          <w:lang w:val="en-US"/>
        </w:rPr>
        <w:t xml:space="preserve">Nolan, E. (2020). The supply and design of different types of venues for business events. </w:t>
      </w:r>
      <w:r w:rsidRPr="00957155">
        <w:rPr>
          <w:rFonts w:eastAsiaTheme="minorEastAsia"/>
          <w:i/>
          <w:iCs/>
          <w:color w:val="000000" w:themeColor="text1"/>
          <w:kern w:val="24"/>
          <w:lang w:val="en-US"/>
        </w:rPr>
        <w:t>International Journal of Tourism Cities, 6</w:t>
      </w:r>
      <w:r w:rsidRPr="00957155">
        <w:rPr>
          <w:rFonts w:eastAsiaTheme="minorEastAsia"/>
          <w:color w:val="000000" w:themeColor="text1"/>
          <w:kern w:val="24"/>
          <w:lang w:val="en-US"/>
        </w:rPr>
        <w:t>(4), 691-710.</w:t>
      </w:r>
    </w:p>
    <w:p w14:paraId="39F22458" w14:textId="77777777" w:rsidR="0047103C" w:rsidRPr="00957155" w:rsidRDefault="0047103C" w:rsidP="0047103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Rogers, T. (2021). </w:t>
      </w:r>
      <w:r w:rsidRPr="0095715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>Conferences and conventions: A global industry</w:t>
      </w: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(4th ed.). Routledge.</w:t>
      </w:r>
    </w:p>
    <w:p w14:paraId="1969296D" w14:textId="77777777" w:rsidR="0047103C" w:rsidRPr="00957155" w:rsidRDefault="0047103C" w:rsidP="0047103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Shone, A., &amp; Parry, B. (2019). </w:t>
      </w:r>
      <w:r w:rsidRPr="0095715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>Successful event management: A practical handbook</w:t>
      </w: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(5th ed.). Cengage Learning.</w:t>
      </w:r>
    </w:p>
    <w:p w14:paraId="7266EBD3" w14:textId="77777777" w:rsidR="0047103C" w:rsidRPr="00957155" w:rsidRDefault="0047103C" w:rsidP="0047103C">
      <w:pPr>
        <w:pStyle w:val="NormalWeb"/>
        <w:spacing w:before="0" w:beforeAutospacing="0" w:after="0" w:afterAutospacing="0" w:line="360" w:lineRule="auto"/>
      </w:pPr>
      <w:r w:rsidRPr="00957155">
        <w:rPr>
          <w:rFonts w:eastAsiaTheme="minorEastAsia"/>
          <w:color w:val="000000" w:themeColor="text1"/>
          <w:kern w:val="24"/>
          <w:lang w:val="en-US"/>
        </w:rPr>
        <w:t xml:space="preserve">Shone, A., &amp; Parry, B. (2019). </w:t>
      </w:r>
      <w:r w:rsidRPr="00957155">
        <w:rPr>
          <w:rFonts w:eastAsiaTheme="minorEastAsia"/>
          <w:i/>
          <w:iCs/>
          <w:color w:val="000000" w:themeColor="text1"/>
          <w:kern w:val="24"/>
          <w:lang w:val="en-US"/>
        </w:rPr>
        <w:t>Successful event management: A practical handbook</w:t>
      </w:r>
      <w:r w:rsidRPr="00957155">
        <w:rPr>
          <w:rFonts w:eastAsiaTheme="minorEastAsia"/>
          <w:color w:val="000000" w:themeColor="text1"/>
          <w:kern w:val="24"/>
          <w:lang w:val="en-US"/>
        </w:rPr>
        <w:t xml:space="preserve"> (5th ed.). Cengage Learning.</w:t>
      </w:r>
    </w:p>
    <w:p w14:paraId="7171E474" w14:textId="77777777" w:rsidR="0047103C" w:rsidRPr="00957155" w:rsidRDefault="0047103C" w:rsidP="0047103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Silvers, J. R. (2020). </w:t>
      </w:r>
      <w:r w:rsidRPr="0095715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>Risk management for meetings and events</w:t>
      </w: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(2nd ed.). Routledge.</w:t>
      </w:r>
    </w:p>
    <w:p w14:paraId="39561813" w14:textId="77777777" w:rsidR="0047103C" w:rsidRPr="00957155" w:rsidRDefault="0047103C" w:rsidP="0047103C">
      <w:pPr>
        <w:pStyle w:val="NormalWeb"/>
        <w:spacing w:before="0" w:beforeAutospacing="0" w:after="0" w:afterAutospacing="0" w:line="360" w:lineRule="auto"/>
      </w:pPr>
      <w:r w:rsidRPr="00957155">
        <w:rPr>
          <w:rFonts w:eastAsiaTheme="minorEastAsia"/>
          <w:color w:val="000000" w:themeColor="text1"/>
          <w:kern w:val="24"/>
          <w:lang w:val="en-US"/>
        </w:rPr>
        <w:t xml:space="preserve">Silvers, J. R. (2020). </w:t>
      </w:r>
      <w:r w:rsidRPr="00957155">
        <w:rPr>
          <w:rFonts w:eastAsiaTheme="minorEastAsia"/>
          <w:i/>
          <w:iCs/>
          <w:color w:val="000000" w:themeColor="text1"/>
          <w:kern w:val="24"/>
          <w:lang w:val="en-US"/>
        </w:rPr>
        <w:t>Risk management for meetings and events</w:t>
      </w:r>
      <w:r w:rsidRPr="00957155">
        <w:rPr>
          <w:rFonts w:eastAsiaTheme="minorEastAsia"/>
          <w:color w:val="000000" w:themeColor="text1"/>
          <w:kern w:val="24"/>
          <w:lang w:val="en-US"/>
        </w:rPr>
        <w:t xml:space="preserve"> (2nd ed.). Routledge</w:t>
      </w:r>
    </w:p>
    <w:p w14:paraId="36E653F7" w14:textId="77777777" w:rsidR="0047103C" w:rsidRPr="00957155" w:rsidRDefault="0047103C" w:rsidP="0047103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Talib, M. H. B. A., </w:t>
      </w:r>
      <w:proofErr w:type="spellStart"/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Zamzuri</w:t>
      </w:r>
      <w:proofErr w:type="spellEnd"/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N. H., &amp; Nasir, H. M. (2024). A conceptual discussion related to festival events in Malaysia. </w:t>
      </w:r>
      <w:r w:rsidRPr="0095715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>Information Management and Business Review, 16</w:t>
      </w: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(3), 7-12.</w:t>
      </w:r>
    </w:p>
    <w:p w14:paraId="3D2FF403" w14:textId="77777777" w:rsidR="0047103C" w:rsidRPr="00957155" w:rsidRDefault="0047103C" w:rsidP="0047103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Thomas, K., &amp; Stephens, S. (2022). Understanding the management theory in event management: A conceptual framework. </w:t>
      </w:r>
      <w:r w:rsidRPr="0095715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>SSRN</w:t>
      </w: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. https://doi.org/10.2139/ssrn.4051469</w:t>
      </w:r>
    </w:p>
    <w:p w14:paraId="73B0E34A" w14:textId="77777777" w:rsidR="0047103C" w:rsidRPr="00957155" w:rsidRDefault="0047103C" w:rsidP="0047103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Yeoman, I., Robertson, M., &amp; McMahon-Beattie, U. (2019). </w:t>
      </w:r>
      <w:r w:rsidRPr="0095715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/>
        </w:rPr>
        <w:t>Festival and events management: An international arts and culture perspective</w:t>
      </w:r>
      <w:r w:rsidRPr="0095715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(2nd ed.). Routledge.</w:t>
      </w:r>
    </w:p>
    <w:p w14:paraId="640C83AB" w14:textId="77777777" w:rsidR="0047103C" w:rsidRDefault="0047103C" w:rsidP="0047103C"/>
    <w:p w14:paraId="059BC0D9" w14:textId="77777777" w:rsidR="0047103C" w:rsidRDefault="0047103C"/>
    <w:p w14:paraId="578ECF1E" w14:textId="77777777" w:rsidR="0047103C" w:rsidRDefault="0047103C">
      <w:r>
        <w:br w:type="page"/>
      </w:r>
    </w:p>
    <w:p w14:paraId="0FD165CE" w14:textId="43420A38" w:rsidR="00725433" w:rsidRDefault="0047103C">
      <w:r>
        <w:rPr>
          <w:noProof/>
        </w:rPr>
        <w:lastRenderedPageBreak/>
        <w:drawing>
          <wp:inline distT="0" distB="0" distL="0" distR="0" wp14:anchorId="49FA7ED5" wp14:editId="38C4DB59">
            <wp:extent cx="2309709" cy="1028700"/>
            <wp:effectExtent l="0" t="0" r="0" b="0"/>
            <wp:docPr id="1337564951" name="Picture 11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564951" name="Picture 11" descr="A white paper with black tex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5628" cy="1040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3533CA" wp14:editId="4F2425A4">
            <wp:extent cx="2020699" cy="1036320"/>
            <wp:effectExtent l="0" t="0" r="0" b="0"/>
            <wp:docPr id="1281240255" name="Picture 12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240255" name="Picture 12" descr="A white paper with black tex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2491" cy="1042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54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03C"/>
    <w:rsid w:val="000A3815"/>
    <w:rsid w:val="0047103C"/>
    <w:rsid w:val="006F6259"/>
    <w:rsid w:val="00725433"/>
    <w:rsid w:val="00BF6C86"/>
    <w:rsid w:val="00C56213"/>
    <w:rsid w:val="00CA5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BB355"/>
  <w15:chartTrackingRefBased/>
  <w15:docId w15:val="{E8D7988A-D682-4B3A-AED4-E2DC29AF1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10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10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10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10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10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10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10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10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10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10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10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10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10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10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10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10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10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10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10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10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10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10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10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10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10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10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10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10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103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471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462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Bancu</dc:creator>
  <cp:keywords/>
  <dc:description/>
  <cp:lastModifiedBy>Cristina Bancu</cp:lastModifiedBy>
  <cp:revision>3</cp:revision>
  <dcterms:created xsi:type="dcterms:W3CDTF">2024-10-14T13:17:00Z</dcterms:created>
  <dcterms:modified xsi:type="dcterms:W3CDTF">2024-10-16T17:06:00Z</dcterms:modified>
</cp:coreProperties>
</file>