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B1360" w14:textId="77777777" w:rsidR="005A1AB2" w:rsidRDefault="005A1AB2" w:rsidP="005A1AB2">
      <w:pPr>
        <w:spacing w:after="1100"/>
        <w:jc w:val="center"/>
      </w:pPr>
      <w:r>
        <w:rPr>
          <w:noProof/>
        </w:rPr>
        <w:drawing>
          <wp:inline distT="0" distB="0" distL="0" distR="0" wp14:anchorId="23001580" wp14:editId="55459555">
            <wp:extent cx="2377440" cy="99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2377440" cy="990600"/>
                    </a:xfrm>
                    <a:prstGeom prst="rect">
                      <a:avLst/>
                    </a:prstGeom>
                  </pic:spPr>
                </pic:pic>
              </a:graphicData>
            </a:graphic>
          </wp:inline>
        </w:drawing>
      </w:r>
    </w:p>
    <w:p w14:paraId="4E034AFA" w14:textId="77777777" w:rsidR="005A1AB2" w:rsidRPr="00D8711C" w:rsidRDefault="005A1AB2" w:rsidP="005A1AB2">
      <w:pPr>
        <w:spacing w:after="400"/>
        <w:jc w:val="center"/>
        <w:rPr>
          <w:b/>
          <w:bCs/>
          <w:sz w:val="32"/>
          <w:szCs w:val="32"/>
          <w:lang w:val="en-GB"/>
        </w:rPr>
      </w:pPr>
      <w:r w:rsidRPr="00D8711C">
        <w:rPr>
          <w:b/>
          <w:bCs/>
          <w:sz w:val="32"/>
          <w:szCs w:val="32"/>
          <w:lang w:val="en-GB"/>
        </w:rPr>
        <w:t>Early Diagnosis and Treatment of Rheumatoid Arthritis and Its Impact on Disease Severity and Quality of Life in the UK: A Systematic Review</w:t>
      </w:r>
    </w:p>
    <w:p w14:paraId="6F603175" w14:textId="77777777" w:rsidR="005A1AB2" w:rsidRDefault="005A1AB2" w:rsidP="005A1AB2">
      <w:pPr>
        <w:spacing w:after="480"/>
        <w:jc w:val="center"/>
      </w:pPr>
      <w:r>
        <w:rPr>
          <w:sz w:val="26"/>
        </w:rPr>
        <w:t>by</w:t>
      </w:r>
    </w:p>
    <w:p w14:paraId="58565122" w14:textId="77777777" w:rsidR="005A1AB2" w:rsidRDefault="005A1AB2" w:rsidP="005C110B">
      <w:pPr>
        <w:spacing w:after="0"/>
        <w:jc w:val="center"/>
        <w:rPr>
          <w:sz w:val="28"/>
        </w:rPr>
      </w:pPr>
      <w:r>
        <w:rPr>
          <w:sz w:val="28"/>
        </w:rPr>
        <w:t>MD PIYEL MIA</w:t>
      </w:r>
    </w:p>
    <w:p w14:paraId="133C50F3" w14:textId="588C81FB" w:rsidR="005C110B" w:rsidRDefault="005C110B" w:rsidP="005A1AB2">
      <w:pPr>
        <w:spacing w:after="880"/>
        <w:jc w:val="center"/>
        <w:rPr>
          <w:sz w:val="28"/>
          <w:szCs w:val="28"/>
        </w:rPr>
      </w:pPr>
      <w:r w:rsidRPr="005C110B">
        <w:rPr>
          <w:sz w:val="28"/>
          <w:szCs w:val="28"/>
        </w:rPr>
        <w:t>2434371</w:t>
      </w:r>
    </w:p>
    <w:p w14:paraId="227A2B0B" w14:textId="15F31140" w:rsidR="000E3439" w:rsidRPr="00DB2046" w:rsidRDefault="000E3439" w:rsidP="00DB2046">
      <w:pPr>
        <w:spacing w:after="0" w:line="480" w:lineRule="auto"/>
        <w:jc w:val="center"/>
        <w:rPr>
          <w:b/>
          <w:bCs/>
        </w:rPr>
      </w:pPr>
      <w:r w:rsidRPr="00DB2046">
        <w:rPr>
          <w:b/>
          <w:bCs/>
        </w:rPr>
        <w:t>Supervisor: Odette Jack</w:t>
      </w:r>
    </w:p>
    <w:p w14:paraId="02737A78" w14:textId="77777777" w:rsidR="005A1AB2" w:rsidRDefault="005A1AB2" w:rsidP="005A1AB2">
      <w:pPr>
        <w:spacing w:after="640"/>
        <w:jc w:val="center"/>
      </w:pPr>
      <w:r>
        <w:t>A Dissertation submitted in partial fulfilment of the requirements for the degree of</w:t>
      </w:r>
      <w:r>
        <w:br/>
        <w:t>Masters of Science in Public Health and Social Care in Practice</w:t>
      </w:r>
    </w:p>
    <w:p w14:paraId="232DFD66" w14:textId="77777777" w:rsidR="005A1AB2" w:rsidRDefault="005A1AB2" w:rsidP="005A1AB2">
      <w:pPr>
        <w:jc w:val="center"/>
      </w:pPr>
      <w:r>
        <w:rPr>
          <w:b/>
          <w:sz w:val="26"/>
        </w:rPr>
        <w:t>The Institute of Inner-City Learning</w:t>
      </w:r>
    </w:p>
    <w:p w14:paraId="365F078D" w14:textId="77777777" w:rsidR="005A1AB2" w:rsidRDefault="005A1AB2" w:rsidP="00C1209F">
      <w:pPr>
        <w:spacing w:after="1500" w:line="240" w:lineRule="auto"/>
        <w:jc w:val="center"/>
      </w:pPr>
      <w:r>
        <w:rPr>
          <w:b/>
          <w:sz w:val="26"/>
        </w:rPr>
        <w:t>University of Wales Trinity Saint David – London Campus</w:t>
      </w:r>
    </w:p>
    <w:p w14:paraId="76B1805D" w14:textId="7196DE19" w:rsidR="005F6483" w:rsidRDefault="005A1AB2" w:rsidP="005A1AB2">
      <w:pPr>
        <w:jc w:val="center"/>
        <w:rPr>
          <w:b/>
          <w:sz w:val="26"/>
        </w:rPr>
      </w:pPr>
      <w:r>
        <w:rPr>
          <w:b/>
          <w:sz w:val="26"/>
        </w:rPr>
        <w:t>2026</w:t>
      </w:r>
    </w:p>
    <w:p w14:paraId="43D35BC5" w14:textId="77777777" w:rsidR="005F6483" w:rsidRDefault="005F6483">
      <w:pPr>
        <w:spacing w:line="276" w:lineRule="auto"/>
        <w:jc w:val="left"/>
        <w:rPr>
          <w:b/>
          <w:sz w:val="26"/>
        </w:rPr>
      </w:pPr>
      <w:r>
        <w:rPr>
          <w:b/>
          <w:sz w:val="26"/>
        </w:rPr>
        <w:br w:type="page"/>
      </w:r>
    </w:p>
    <w:p w14:paraId="53BB015A" w14:textId="2437F093" w:rsidR="005F6483" w:rsidRPr="005F6483" w:rsidRDefault="005F6483" w:rsidP="005F6483">
      <w:pPr>
        <w:pStyle w:val="Heading1"/>
        <w:rPr>
          <w:lang w:val="hr-HR"/>
        </w:rPr>
      </w:pPr>
      <w:r w:rsidRPr="005F6483">
        <w:rPr>
          <w:lang w:val="hr-HR"/>
        </w:rPr>
        <w:lastRenderedPageBreak/>
        <w:t>DECLARATION</w:t>
      </w:r>
    </w:p>
    <w:p w14:paraId="4B680BBB" w14:textId="743A69F3" w:rsidR="005A1AB2" w:rsidRPr="00C301BA" w:rsidRDefault="005F6483" w:rsidP="005F6483">
      <w:pPr>
        <w:rPr>
          <w:lang w:val="hr-HR"/>
        </w:rPr>
      </w:pPr>
      <w:r w:rsidRPr="005F6483">
        <w:rPr>
          <w:noProof/>
          <w:lang w:val="en-GB"/>
        </w:rPr>
        <mc:AlternateContent>
          <mc:Choice Requires="wpi">
            <w:drawing>
              <wp:anchor distT="0" distB="0" distL="114300" distR="114300" simplePos="0" relativeHeight="251679744" behindDoc="0" locked="0" layoutInCell="1" allowOverlap="1" wp14:anchorId="576EFFBD" wp14:editId="6C03086A">
                <wp:simplePos x="0" y="0"/>
                <wp:positionH relativeFrom="column">
                  <wp:posOffset>-2084070</wp:posOffset>
                </wp:positionH>
                <wp:positionV relativeFrom="paragraph">
                  <wp:posOffset>-224790</wp:posOffset>
                </wp:positionV>
                <wp:extent cx="920750" cy="920750"/>
                <wp:effectExtent l="59055" t="60960" r="48895" b="56515"/>
                <wp:wrapNone/>
                <wp:docPr id="41" name="Ink 4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type w14:anchorId="004D31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1" o:spid="_x0000_s1026" type="#_x0000_t75" style="position:absolute;margin-left:-1976.6pt;margin-top:-1830.2pt;width:3625pt;height:3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up/vBAQAA3QMAAA4AAABkcnMvZTJvRG9jLnhtbJxT224TMRB9R+If&#10;LL+TvRAgXWVToQakSkAjaD/A2N6s1bXHGjvd5O+Z7IVsGlClvqw8c6zjc2bOLq/3tmFPGoMBV/Js&#10;lnKmnQRl3LbkD/df3y04C1E4JRpwuuQHHfj16u2bZesLnUMNjdLIiMSFovUlr2P0RZIEWWsrwgy8&#10;dgRWgFZEKnGbKBQtsdsmydP0Y9ICKo8gdQjUXfcgX3X8VaVlvKuqoCNrSp6/T7PFpw8kMU4LpCJP&#10;rxZpSsjvSZGslqLYovC1kYNE8QqFVhhHgv5SrUUUbIfmgsoaiRCgijMJNoGqMlJ3/shplj5zeuse&#10;jy6zudxhIcFF7eJGYBxn2QGvecI2NIX2OyjalthF4AMjjenl5fSi1yB3lvT0G0LdiEjxCLXxgTMs&#10;jCo53qrspN893ZwcbPDk68dzQGTzQvpvIB/DuJJsfqHsn5McgtMPs1sKc/ATKAsZp9NNLdxWfw6e&#10;MjO0vigTN2BcDOd3EKGttVDn7V+18Pr+4GluGafsJONyLkyMyP9s7yu0x8DQNNm+5BTLw/Hb5VHv&#10;I5PUvMrTLsqSoOE8ebNnGN+ZxINknQVxWh8lT/7K1R8AAAD//wMAUEsDBBQABgAIAAAAIQBX7Ryt&#10;vAEAAF0EAAAQAAAAZHJzL2luay9pbmsxLnhtbLSTUW+bMBDH3yftO1jec8BAUlJU0qdFmrRJ09pJ&#10;2yOFa7CK7cg2Ifn2O4zjUDXd0yYhZJ99f9/9/Pfd/VF05ADacCVLmkSMEpC1arjclfTn43axpsTY&#10;SjZVpySU9ASG3m8+frjj8kV0Bf4JKkgzjkRX0tbafRHHwzBEQxYpvYtTxrL4i3z59pVufFYDz1xy&#10;i0eac6hW0sLRjmIFb0pa2yML+1H7QfW6hrA8RnR92WF1VcNWaVHZoNhWUkJHZCWw7l+U2NMeBxzP&#10;2YGmRHBseJFGyTJfrj/fYqA6lnQ277FEg5UIGl/X/P0fNLdvNceysjS/ySnxJTVwGGuKHfPi/d6/&#10;a7UHbTlcME9Q/MKJ1NPc8ZlAaTCq68e7oeRQdT0iSxhDW/izk/gKkLd6yOaf6iGXd/Xmxb1G49ub&#10;c/DQgqXOV2u5ADS62AePWYPCY/jBavccUpZmC7ZeJOwxuS2yHL8oT25mV+FdfNZ80r1pg96TvvjV&#10;rQRqU2cDb2wboLOIrQL0OfJrqS3wXWv/luvbdsnBOVfeoTMT8X38gOeSfnJPkbjMKeAaYYSRdLnK&#10;V69sGKSR7+YPAAAA//8DAFBLAwQUAAYACAAAACEABSZEK+YAAAARAQAADwAAAGRycy9kb3ducmV2&#10;LnhtbEyPwU7DMBBE70j8g7VIXFBrkzSmCXEqhATiUiFKhTg6iUkC8TqKnTb9e7YnuM1on2Zn8s1s&#10;e3Ywo+8cKrhdCmAGK1d32CjYvz8t1sB80Fjr3qFRcDIeNsXlRa6z2h3xzRx2oWEUgj7TCtoQhoxz&#10;X7XGar90g0G6fbnR6kB2bHg96iOF255HQkhudYf0odWDeWxN9bObrILv5887mcTNNnyUJ1G+7id8&#10;Wd0odX01P9wDC2YOfzCc61N1KKhT6SasPesVLOI0iSOCz1JKsQJGVBylkhaVpJJ1KoEXOf+/pPgF&#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BO6n+8EBAADd&#10;AwAADgAAAAAAAAAAAAAAAAA8AgAAZHJzL2Uyb0RvYy54bWxQSwECLQAUAAYACAAAACEAV+0crbwB&#10;AABdBAAAEAAAAAAAAAAAAAAAAAApBAAAZHJzL2luay9pbmsxLnhtbFBLAQItABQABgAIAAAAIQAF&#10;JkQr5gAAABEBAAAPAAAAAAAAAAAAAAAAABMGAABkcnMvZG93bnJldi54bWxQSwECLQAUAAYACAAA&#10;ACEAeRi8nb8AAAAhAQAAGQAAAAAAAAAAAAAAAAAmBwAAZHJzL19yZWxzL2Uyb0RvYy54bWwucmVs&#10;c1BLBQYAAAAABgAGAHgBAAAcCAAAAAA=&#10;">
                <v:imagedata r:id="rId10" o:title=""/>
                <o:lock v:ext="edit" rotation="t" verticies="t" shapetype="t"/>
              </v:shape>
            </w:pict>
          </mc:Fallback>
        </mc:AlternateContent>
      </w:r>
      <w:r w:rsidRPr="005F6483">
        <w:rPr>
          <w:noProof/>
          <w:lang w:val="en-GB"/>
        </w:rPr>
        <mc:AlternateContent>
          <mc:Choice Requires="wpi">
            <w:drawing>
              <wp:anchor distT="0" distB="0" distL="114300" distR="114300" simplePos="0" relativeHeight="251680768" behindDoc="0" locked="0" layoutInCell="1" allowOverlap="1" wp14:anchorId="5855CF20" wp14:editId="23F14BDA">
                <wp:simplePos x="0" y="0"/>
                <wp:positionH relativeFrom="column">
                  <wp:posOffset>-2084070</wp:posOffset>
                </wp:positionH>
                <wp:positionV relativeFrom="paragraph">
                  <wp:posOffset>233045</wp:posOffset>
                </wp:positionV>
                <wp:extent cx="920750" cy="40640"/>
                <wp:effectExtent l="59055" t="61595" r="48895" b="50165"/>
                <wp:wrapNone/>
                <wp:docPr id="40" name="Ink 4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920750" cy="40640"/>
                      </w14:xfrm>
                    </w14:contentPart>
                  </a:graphicData>
                </a:graphic>
                <wp14:sizeRelH relativeFrom="page">
                  <wp14:pctWidth>0</wp14:pctWidth>
                </wp14:sizeRelH>
                <wp14:sizeRelV relativeFrom="page">
                  <wp14:pctHeight>0</wp14:pctHeight>
                </wp14:sizeRelV>
              </wp:anchor>
            </w:drawing>
          </mc:Choice>
          <mc:Fallback>
            <w:pict>
              <v:shape w14:anchorId="74254DD2" id="Ink 40" o:spid="_x0000_s1026" type="#_x0000_t75" style="position:absolute;margin-left:-1976.6pt;margin-top:17.65pt;width:3625pt;height:4.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9FkTKAQAA1AMAAA4AAABkcnMvZTJvRG9jLnhtbJxT0WrbMBR9H+wf&#10;hN4Xy66XJSZOGU0LhW0NXfcBmiTHopaukJQ6+ftd23GTNBuDvhjuPeb4nHOPF9c705AX5YMGW9J0&#10;wihRVoDUdlPSX093n2aUhMit5A1YVdK9CvR6+fHDonWFyqCGRipPkMSGonUlrWN0RZIEUSvDwwSc&#10;sghW4A2POPpNIj1vkd00ScbYNGnBS+dBqBBwuxpAuuz5q0qJ+FBVQUXSlDS7Yunsy2eUGEs6m89T&#10;SjxuMzafMYbb37idXmU0WS54sfHc1VocpPF3KDNcWxTySrXikZOt1xdURgsPAao4EWASqCotVO8L&#10;HabsjcN7+9y5S3Ox9YUAG5WNa+7jmGEPvOcTpsEE2u8g8Up8G4EeGDGi/x9lEL0CsTWoZ7iMVw2P&#10;WItQaxcw6kLLkvp7mR7125ebo4O1P/r68RbgaV4I9w3EcxhPkuYXyv6a5KEwQ5j9UYiFR8AOYAEs&#10;3NTcbtTX4LArh9Wt1HEN2sZw/o730NaKy/P1z5o79bR3mFvadScZj3NhYkT+ZXtXedMVBtMku5Ji&#10;Jffds++j2kUicDnPWF9hgVDOpnkPj8QDwTidtANVnfXwdO4Un/yMyz8AAAD//wMAUEsDBBQABgAI&#10;AAAAIQAT3HhsxgEAAGkEAAAQAAAAZHJzL2luay9pbmsxLnhtbLSTQW+bMBTH75X6HSz3kEsBA8lI&#10;UUlPizRpk6alk9YjBTdYxXZkm5B8+z2M41A17WmTELKf/f5+7+e/7x8OvEV7qjSTosBxSDCiopI1&#10;E9sC/35cB0uMtClFXbZS0AIfqcYPq+ureyZeeZvDH4GC0MOItwVujNnlUdT3fdinoVTbKCEkjb6J&#10;1x/f8cpl1fSFCWbgSH0KVVIYejCDWM7qAlfmQPx+0N7ITlXULw8RVZ13GFVWdC0VL41XbEohaItE&#10;yaHuPxiZ4w4GDM7ZUoURZ9BwkITxPJsvv95BoDwUeDLvoEQNlXAcXdZ8+g+a6/eaQ1lpkn3JMHIl&#10;1XQ/1BRZ5vnHvf9UckeVYfSMeYTiFo6oGueWzwhKUS3bbrgbjPZl2wGymBCwhTs7ji4Aea8HbP6p&#10;HnD5UG9a3Fs0rr0pBwfNW+p0tYZxCkbnO+8xo0F4CG+Mss8hIUkakGUQk8f4Lk8z+MI0TSZX4Vx8&#10;0nxWnW683rM6+9WueGpjZz2rTeOhk5AsPPQp8kupDWXbxnyW69q2yd45F96hNRNyffyiLwW+sU8R&#10;2cwxYBshKI4TlMwX2eJ2RmYBzGbkjSX9McB69RcAAP//AwBQSwMEFAAGAAgAAAAhAODX07vjAAAA&#10;DAEAAA8AAABkcnMvZG93bnJldi54bWxMj9FKwzAUhu8F3yEcwZuxpTbr2LqmwwkqIgjOPUDaHNtq&#10;clKarOve3nill4fz8f/fX+wma9iIg+8cSbhbJMCQaqc7aiQcPx7na2A+KNLKOEIJF/SwK6+vCpVr&#10;d6Z3HA+hYTGEfK4ktCH0Oee+btEqv3A9Uvx9usGqEM+h4XpQ5xhuDU+TZMWt6ig2tKrHhxbr78PJ&#10;SuBjRub58jWtm/3LW/X6hPuZnkl5ezPdb4EFnMIfDL/6UR3K6FS5E2nPjIS52GQijbAEkQlgERHp&#10;ZhXnVBKWywx4WfD/I8of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NC9FkTKAQAA1AMAAA4AAAAAAAAAAAAAAAAAPAIAAGRycy9lMm9Eb2MueG1sUEsBAi0A&#10;FAAGAAgAAAAhABPceGzGAQAAaQQAABAAAAAAAAAAAAAAAAAAMgQAAGRycy9pbmsvaW5rMS54bWxQ&#10;SwECLQAUAAYACAAAACEA4NfTu+MAAAAMAQAADwAAAAAAAAAAAAAAAAAmBgAAZHJzL2Rvd25yZXYu&#10;eG1sUEsBAi0AFAAGAAgAAAAhAHkYvJ2/AAAAIQEAABkAAAAAAAAAAAAAAAAANgcAAGRycy9fcmVs&#10;cy9lMm9Eb2MueG1sLnJlbHNQSwUGAAAAAAYABgB4AQAALAgAAAAA&#10;">
                <v:imagedata r:id="rId12" o:title=""/>
                <o:lock v:ext="edit" rotation="t" verticies="t" shapetype="t"/>
              </v:shape>
            </w:pict>
          </mc:Fallback>
        </mc:AlternateContent>
      </w:r>
      <w:r w:rsidRPr="005F6483">
        <w:rPr>
          <w:noProof/>
          <w:lang w:val="en-GB"/>
        </w:rPr>
        <mc:AlternateContent>
          <mc:Choice Requires="wpi">
            <w:drawing>
              <wp:anchor distT="0" distB="0" distL="114300" distR="114300" simplePos="0" relativeHeight="251681792" behindDoc="0" locked="0" layoutInCell="1" allowOverlap="1" wp14:anchorId="6EF7D3D1" wp14:editId="0F164E58">
                <wp:simplePos x="0" y="0"/>
                <wp:positionH relativeFrom="column">
                  <wp:posOffset>-2084070</wp:posOffset>
                </wp:positionH>
                <wp:positionV relativeFrom="paragraph">
                  <wp:posOffset>-214630</wp:posOffset>
                </wp:positionV>
                <wp:extent cx="920750" cy="920750"/>
                <wp:effectExtent l="59055" t="61595" r="48895" b="55880"/>
                <wp:wrapNone/>
                <wp:docPr id="39" name="Ink 3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384D7A98" id="Ink 39" o:spid="_x0000_s1026" type="#_x0000_t75" style="position:absolute;margin-left:-1976.6pt;margin-top:-1829.4pt;width:3625pt;height:3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up/vBAQAA3QMAAA4AAABkcnMvZTJvRG9jLnhtbJxT224TMRB9R+If&#10;LL+TvRAgXWVToQakSkAjaD/A2N6s1bXHGjvd5O+Z7IVsGlClvqw8c6zjc2bOLq/3tmFPGoMBV/Js&#10;lnKmnQRl3LbkD/df3y04C1E4JRpwuuQHHfj16u2bZesLnUMNjdLIiMSFovUlr2P0RZIEWWsrwgy8&#10;dgRWgFZEKnGbKBQtsdsmydP0Y9ICKo8gdQjUXfcgX3X8VaVlvKuqoCNrSp6/T7PFpw8kMU4LpCJP&#10;rxZpSsjvSZGslqLYovC1kYNE8QqFVhhHgv5SrUUUbIfmgsoaiRCgijMJNoGqMlJ3/shplj5zeuse&#10;jy6zudxhIcFF7eJGYBxn2QGvecI2NIX2OyjalthF4AMjjenl5fSi1yB3lvT0G0LdiEjxCLXxgTMs&#10;jCo53qrspN893ZwcbPDk68dzQGTzQvpvIB/DuJJsfqHsn5McgtMPs1sKc/ATKAsZp9NNLdxWfw6e&#10;MjO0vigTN2BcDOd3EKGttVDn7V+18Pr+4GluGafsJONyLkyMyP9s7yu0x8DQNNm+5BTLw/Hb5VHv&#10;I5PUvMrTLsqSoOE8ebNnGN+ZxINknQVxWh8lT/7K1R8AAAD//wMAUEsDBBQABgAIAAAAIQCY69Az&#10;vAEAAF0EAAAQAAAAZHJzL2luay9pbmsxLnhtbLSTwW7jIBCG7yv1HRA9x8Z2EidWnZ4aqdKutNp2&#10;pe3RsUmMaiACHCdvv2NMiKumPbUXBAPzM/Pxc3d/5A06UKWZFDmOAoIRFaWsmNjl+O/zerLASJtC&#10;VEUjBc3xiWp8v7r5ccfEK28yGBEoCN3PeJPj2ph9FoZd1wVdEki1C2NCkvBRvP76iVcuq6JbJpiB&#10;K/U5VEph6NH0YhmrclyaI/HnQftJtqqkfruPqPJywqiipGupeGG8Yl0IQRskCg51/8PInPYwYXDP&#10;jiqMOIOGJ3EQTdPp4mEJgeKY49G6hRI1VMJxeF3z5Rs01+81+7KSOJ2nGLmSKnroawot8+zj3n8r&#10;uafKMHrBPEBxGydUDmvLZwClqJZN278NRoeiaQFZRAjYwt0dhVeAvNcDNl+qB1w+1BsX9xaNa2/M&#10;wUHzljo/rWGcgtH53nvMaBDuw09G2e8QkziZkMUkIs/RMkvSLJkHy2g+egrn4rPmRrW69nobdfGr&#10;3fHUhs46VpnaQycBmXnoY+TXUmvKdrX5LNe1bZO9c678Q2sm5Pr4Q7c5vrVfEdnMIWAbIYigeDpL&#10;Z29s6KWB7+o/AAAA//8DAFBLAwQUAAYACAAAACEA+DeZoeUAAAARAQAADwAAAGRycy9kb3ducmV2&#10;LnhtbEyPQU+DQBCF7yb+h82YeDHtUhAsyNIYE42Xxlgb43GBEVB2lrBLS/+905Pe3su8vPlevplN&#10;Lw44us6SgtUyAIFU2bqjRsH+/WmxBuG8plr3llDBCR1sisuLXGe1PdIbHna+EVxCLtMKWu+HTEpX&#10;tWi0W9oBiW9fdjTasx0bWY/6yOWml2EQJNLojvhDqwd8bLH62U1Gwffz510SR83Wf5SnoHzdT/Ry&#10;e6PU9dX8cA/C4+z/wnDGZ3QomKm0E9VO9AoWURpHIYfPMonXvINTUZgmrEpWcboKQRa5/L+k+AU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E7qf7wQEAAN0D&#10;AAAOAAAAAAAAAAAAAAAAADwCAABkcnMvZTJvRG9jLnhtbFBLAQItABQABgAIAAAAIQCY69AzvAEA&#10;AF0EAAAQAAAAAAAAAAAAAAAAACkEAABkcnMvaW5rL2luazEueG1sUEsBAi0AFAAGAAgAAAAhAPg3&#10;maHlAAAAEQEAAA8AAAAAAAAAAAAAAAAAEwYAAGRycy9kb3ducmV2LnhtbFBLAQItABQABgAIAAAA&#10;IQB5GLydvwAAACEBAAAZAAAAAAAAAAAAAAAAACUHAABkcnMvX3JlbHMvZTJvRG9jLnhtbC5yZWxz&#10;UEsFBgAAAAAGAAYAeAEAABsIAAAAAA==&#10;">
                <v:imagedata r:id="rId10" o:title=""/>
                <o:lock v:ext="edit" rotation="t" verticies="t" shapetype="t"/>
              </v:shape>
            </w:pict>
          </mc:Fallback>
        </mc:AlternateContent>
      </w:r>
      <w:r w:rsidRPr="005F6483">
        <w:rPr>
          <w:noProof/>
          <w:lang w:val="en-GB"/>
        </w:rPr>
        <mc:AlternateContent>
          <mc:Choice Requires="wpi">
            <w:drawing>
              <wp:anchor distT="0" distB="0" distL="114300" distR="114300" simplePos="0" relativeHeight="251682816" behindDoc="0" locked="0" layoutInCell="1" allowOverlap="1" wp14:anchorId="3485E6EC" wp14:editId="0CF6715B">
                <wp:simplePos x="0" y="0"/>
                <wp:positionH relativeFrom="column">
                  <wp:posOffset>-2395855</wp:posOffset>
                </wp:positionH>
                <wp:positionV relativeFrom="paragraph">
                  <wp:posOffset>-216535</wp:posOffset>
                </wp:positionV>
                <wp:extent cx="920750" cy="920750"/>
                <wp:effectExtent l="61595" t="59690" r="55880" b="48260"/>
                <wp:wrapNone/>
                <wp:docPr id="38" name="Ink 3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3F1E0FAC" id="Ink 38" o:spid="_x0000_s1026" type="#_x0000_t75" style="position:absolute;margin-left:-2001.15pt;margin-top:-1829.55pt;width:3625pt;height:36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up/vBAQAA3QMAAA4AAABkcnMvZTJvRG9jLnhtbJxT224TMRB9R+If&#10;LL+TvRAgXWVToQakSkAjaD/A2N6s1bXHGjvd5O+Z7IVsGlClvqw8c6zjc2bOLq/3tmFPGoMBV/Js&#10;lnKmnQRl3LbkD/df3y04C1E4JRpwuuQHHfj16u2bZesLnUMNjdLIiMSFovUlr2P0RZIEWWsrwgy8&#10;dgRWgFZEKnGbKBQtsdsmydP0Y9ICKo8gdQjUXfcgX3X8VaVlvKuqoCNrSp6/T7PFpw8kMU4LpCJP&#10;rxZpSsjvSZGslqLYovC1kYNE8QqFVhhHgv5SrUUUbIfmgsoaiRCgijMJNoGqMlJ3/shplj5zeuse&#10;jy6zudxhIcFF7eJGYBxn2QGvecI2NIX2OyjalthF4AMjjenl5fSi1yB3lvT0G0LdiEjxCLXxgTMs&#10;jCo53qrspN893ZwcbPDk68dzQGTzQvpvIB/DuJJsfqHsn5McgtMPs1sKc/ATKAsZp9NNLdxWfw6e&#10;MjO0vigTN2BcDOd3EKGttVDn7V+18Pr+4GluGafsJONyLkyMyP9s7yu0x8DQNNm+5BTLw/Hb5VHv&#10;I5PUvMrTLsqSoOE8ebNnGN+ZxINknQVxWh8lT/7K1R8AAAD//wMAUEsDBBQABgAIAAAAIQBosZlt&#10;ugEAAF0EAAAQAAAAZHJzL2luay9pbmsxLnhtbLSTUU/rIBTH3038DgSf19J2tbOx88klN7kmN1dN&#10;9LG2uBILLEDX7dt7ShmrcfqkLwQOnD/n/PhzfbPjLdpSpZkUBY4CghEVlayZWBf48WE1W2CkTSnq&#10;spWCFnhPNb5Znp9dM/HG2xxGBApCDzPeFrgxZpOHYd/3QZ8EUq3DmJAk/CPe7v7ipcuq6SsTzMCV&#10;+hCqpDB0ZwaxnNUFrsyO+POgfS87VVG/PURUdTxhVFnRlVS8NF6xKYWgLRIlh7qfMDL7DUwY3LOm&#10;CiPOoOFZHETzbL64vYJAuSvwZN1BiRoq4Tg8rfn8C5qrz5pDWUmcXWYYuZJquh1qCi3z/Ove/ym5&#10;ocowesQ8QnEbe1SNa8tnBKWolm03vA1G27LtAFlECNjC3R2FJ4B81gM2P6oHXL7Umxb3EY1rb8rB&#10;QfOWOjytYZyC0fnGe8xoEB7C90bZ7xCTOJmRxSwiD9FVnizyNA2yiEyewrn4oPmiOt14vRd19Kvd&#10;8dTGznpWm8ZDJwFJPfQp8lOpDWXrxnyX69q2yd45J/6hNRNyffynrwW+sF8R2cwxYBshiKB4nmbp&#10;Bxt6aeC7fAcAAP//AwBQSwMEFAAGAAgAAAAhAC75hNXmAAAAEQEAAA8AAABkcnMvZG93bnJldi54&#10;bWxMj01LxDAQhu+C/yGM4EV2k+2nrU0XERQvi7gu4jFtY1ttJqVJd7v/3vGkt3eYh3eeKbaLGdhR&#10;T663KGGzFsA01rbpsZVweHtc3QJzXmGjBotawlk72JaXF4XKG3vCV33c+5ZRCbpcSei8H3POXd1p&#10;o9zajhpp92knozyNU8ubSZ2o3Aw8ECLhRvVIFzo16odO19/72Uj4evpIkzhsd/69Oovq5TDjc3Qj&#10;5fXVcn8HzOvF/8Hwq0/qUJJTZWdsHBskrCIhgpBgimESZxtgRIVBlKbAKkpxJjLgZcH/f1L+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ATup/vBAQAA3QMA&#10;AA4AAAAAAAAAAAAAAAAAPAIAAGRycy9lMm9Eb2MueG1sUEsBAi0AFAAGAAgAAAAhAGixmW26AQAA&#10;XQQAABAAAAAAAAAAAAAAAAAAKQQAAGRycy9pbmsvaW5rMS54bWxQSwECLQAUAAYACAAAACEALvmE&#10;1eYAAAARAQAADwAAAAAAAAAAAAAAAAARBgAAZHJzL2Rvd25yZXYueG1sUEsBAi0AFAAGAAgAAAAh&#10;AHkYvJ2/AAAAIQEAABkAAAAAAAAAAAAAAAAAJAcAAGRycy9fcmVscy9lMm9Eb2MueG1sLnJlbHNQ&#10;SwUGAAAAAAYABgB4AQAAGggAAAAA&#10;">
                <v:imagedata r:id="rId10" o:title=""/>
                <o:lock v:ext="edit" rotation="t" verticies="t" shapetype="t"/>
              </v:shape>
            </w:pict>
          </mc:Fallback>
        </mc:AlternateContent>
      </w:r>
      <w:r w:rsidRPr="005F6483">
        <w:rPr>
          <w:lang w:val="hr-HR"/>
        </w:rPr>
        <w:t xml:space="preserve">I, </w:t>
      </w:r>
      <w:r w:rsidR="005F0BBD" w:rsidRPr="005F0BBD">
        <w:rPr>
          <w:lang w:val="hr-HR"/>
        </w:rPr>
        <w:t>MD PIYEL MIA</w:t>
      </w:r>
      <w:r w:rsidRPr="005F6483">
        <w:rPr>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12966F51" w14:textId="77777777" w:rsidR="005A1AB2" w:rsidRDefault="005A1AB2" w:rsidP="005A1AB2">
      <w:pPr>
        <w:spacing w:line="276" w:lineRule="auto"/>
        <w:jc w:val="left"/>
      </w:pPr>
      <w:r>
        <w:br w:type="page"/>
      </w:r>
    </w:p>
    <w:p w14:paraId="30392FE6" w14:textId="77777777" w:rsidR="005A1AB2" w:rsidRDefault="005A1AB2" w:rsidP="005A1AB2">
      <w:pPr>
        <w:pStyle w:val="Heading1"/>
      </w:pPr>
      <w:bookmarkStart w:id="0" w:name="_Toc240817807"/>
      <w:bookmarkStart w:id="1" w:name="_Toc240922816"/>
      <w:r>
        <w:lastRenderedPageBreak/>
        <w:t>Acknowledgement</w:t>
      </w:r>
      <w:bookmarkEnd w:id="0"/>
      <w:bookmarkEnd w:id="1"/>
    </w:p>
    <w:p w14:paraId="1CEF4A3F" w14:textId="77777777" w:rsidR="005A1AB2" w:rsidRDefault="005A1AB2" w:rsidP="005A1AB2">
      <w:r>
        <w:t>I would like to thank my supervisor for his guidance, constructive comments and encouragement during the writing of this dissertation. Many thanks also to the academic staff of the Institute of Inner-City Learning at the University of Wales Trinity Saint David for their help with my studies. I would like to thank my friends and family for their patience, encouragement and understanding while researching this project. I thank the authors and organisations who have publicly shared their evidence, the evidence of which made this systematic review possible. Last but not least, I would like to thank all the people who helped me in any way in my academic development during my studies and research leading to this dissertation.</w:t>
      </w:r>
    </w:p>
    <w:p w14:paraId="05A61293" w14:textId="77777777" w:rsidR="00313E2C" w:rsidRDefault="00313E2C">
      <w:pPr>
        <w:spacing w:line="276" w:lineRule="auto"/>
        <w:jc w:val="left"/>
      </w:pPr>
      <w:r>
        <w:br w:type="page"/>
      </w:r>
    </w:p>
    <w:p w14:paraId="45DE968F" w14:textId="1D7AA8AF" w:rsidR="0049292A" w:rsidRDefault="0049292A" w:rsidP="00313E2C">
      <w:pPr>
        <w:pStyle w:val="Heading1"/>
      </w:pPr>
      <w:bookmarkStart w:id="2" w:name="_Toc240922817"/>
      <w:r>
        <w:lastRenderedPageBreak/>
        <w:t>Abstract</w:t>
      </w:r>
      <w:bookmarkEnd w:id="2"/>
      <w:r>
        <w:t xml:space="preserve"> </w:t>
      </w:r>
    </w:p>
    <w:p w14:paraId="6CB236D8" w14:textId="0ABFECF8" w:rsidR="00313E2C" w:rsidRDefault="00846262" w:rsidP="0049292A">
      <w:r w:rsidRPr="00846262">
        <w:t xml:space="preserve">Rheumatoid arthritis (RA) is a chronic inflammatory disease that may cause progressive joint damage, disability and decreased quality of life. This systematic review explored the association between early diagnosis and treatment initiation, and disease severity and quality of life in adults with RA in the UK. MEDLINE, CINAHL Complete, Embase, </w:t>
      </w:r>
      <w:r w:rsidR="00C301BA" w:rsidRPr="006D6785">
        <w:t>Scopus,</w:t>
      </w:r>
      <w:r w:rsidR="0031717E">
        <w:t xml:space="preserve"> </w:t>
      </w:r>
      <w:r w:rsidRPr="00846262">
        <w:t>Web of Science and Cochrane Library/CENTRAL were used to search for English-language studies published from 2021 to August 2026. A total of 14 studies were selected from 330 records after applying the predefined eligibility criteria and screening according to the PRISMA criteria. The Critical Appraisal Skills Programme checklists were used for assessing the quality of the studies according to the design. The clinical and methodological diversity of the studies led to the use of SWiM principles and thematic analysis for synthesising findings. Four themes emerged: timing of recognition and referral and treatment; disease severity and clinical response; quality of life and patient-centred outcomes; and factors that influence early-treatment outcomes. Generally, early treatment and shorter duration of symptoms were correlated with better short-term disease control and increased remission rates. Outcomes were also influenced by baseline disease activity, comorbidity, frailty, psychological distress, socioeconomic disadvantage, ethnicity and healthcare-system variation. There was limited evidence to support a direct link between earlier diagnosis and treatment to long-term quality of life. Overall, the review suggests that early care is linked to improved early clinical outcomes, but should be considered as a coordinated pathway from timely diagnosis through timely initiation of DMARDs, regular monitoring, and patient-centred support and equitable access to care.</w:t>
      </w:r>
    </w:p>
    <w:p w14:paraId="65A8DA8C" w14:textId="77777777" w:rsidR="00313E2C" w:rsidRDefault="00313E2C">
      <w:pPr>
        <w:spacing w:line="276" w:lineRule="auto"/>
        <w:jc w:val="left"/>
      </w:pPr>
      <w:r>
        <w:br w:type="page"/>
      </w:r>
    </w:p>
    <w:p w14:paraId="680D244F" w14:textId="77777777" w:rsidR="00313E2C" w:rsidRPr="00313E2C" w:rsidRDefault="00313E2C" w:rsidP="00313E2C">
      <w:pPr>
        <w:pStyle w:val="Heading1"/>
      </w:pPr>
      <w:bookmarkStart w:id="3" w:name="_Toc240922818"/>
      <w:r w:rsidRPr="00313E2C">
        <w:lastRenderedPageBreak/>
        <w:t>List of Abbreviations</w:t>
      </w:r>
      <w:bookmarkEnd w:id="3"/>
    </w:p>
    <w:tbl>
      <w:tblPr>
        <w:tblW w:w="9504" w:type="dxa"/>
        <w:tblCellSpacing w:w="15" w:type="dxa"/>
        <w:tblCellMar>
          <w:top w:w="15" w:type="dxa"/>
          <w:left w:w="15" w:type="dxa"/>
          <w:bottom w:w="15" w:type="dxa"/>
          <w:right w:w="15" w:type="dxa"/>
        </w:tblCellMar>
        <w:tblLook w:val="04A0" w:firstRow="1" w:lastRow="0" w:firstColumn="1" w:lastColumn="0" w:noHBand="0" w:noVBand="1"/>
      </w:tblPr>
      <w:tblGrid>
        <w:gridCol w:w="1771"/>
        <w:gridCol w:w="7733"/>
      </w:tblGrid>
      <w:tr w:rsidR="00313E2C" w:rsidRPr="00313E2C" w14:paraId="25AEB4B1" w14:textId="77777777" w:rsidTr="00313E2C">
        <w:trPr>
          <w:trHeight w:val="397"/>
          <w:tblHeader/>
          <w:tblCellSpacing w:w="15" w:type="dxa"/>
        </w:trPr>
        <w:tc>
          <w:tcPr>
            <w:tcW w:w="0" w:type="auto"/>
            <w:vAlign w:val="center"/>
            <w:hideMark/>
          </w:tcPr>
          <w:p w14:paraId="5B36D818" w14:textId="77777777" w:rsidR="00313E2C" w:rsidRPr="00313E2C" w:rsidRDefault="00313E2C" w:rsidP="00313E2C">
            <w:pPr>
              <w:spacing w:line="240" w:lineRule="auto"/>
              <w:rPr>
                <w:b/>
                <w:bCs/>
                <w:i/>
                <w:iCs/>
              </w:rPr>
            </w:pPr>
            <w:r w:rsidRPr="00313E2C">
              <w:rPr>
                <w:b/>
                <w:bCs/>
                <w:i/>
                <w:iCs/>
              </w:rPr>
              <w:t>Abbreviation</w:t>
            </w:r>
          </w:p>
        </w:tc>
        <w:tc>
          <w:tcPr>
            <w:tcW w:w="0" w:type="auto"/>
            <w:vAlign w:val="center"/>
            <w:hideMark/>
          </w:tcPr>
          <w:p w14:paraId="620CF20D" w14:textId="77777777" w:rsidR="00313E2C" w:rsidRPr="00313E2C" w:rsidRDefault="00313E2C" w:rsidP="00313E2C">
            <w:pPr>
              <w:spacing w:line="240" w:lineRule="auto"/>
              <w:rPr>
                <w:b/>
                <w:bCs/>
                <w:i/>
                <w:iCs/>
              </w:rPr>
            </w:pPr>
            <w:r w:rsidRPr="00313E2C">
              <w:rPr>
                <w:b/>
                <w:bCs/>
                <w:i/>
                <w:iCs/>
              </w:rPr>
              <w:t>Full Form</w:t>
            </w:r>
          </w:p>
        </w:tc>
      </w:tr>
      <w:tr w:rsidR="00313E2C" w:rsidRPr="00313E2C" w14:paraId="77737757" w14:textId="77777777" w:rsidTr="00313E2C">
        <w:trPr>
          <w:trHeight w:val="407"/>
          <w:tblCellSpacing w:w="15" w:type="dxa"/>
        </w:trPr>
        <w:tc>
          <w:tcPr>
            <w:tcW w:w="0" w:type="auto"/>
            <w:vAlign w:val="center"/>
            <w:hideMark/>
          </w:tcPr>
          <w:p w14:paraId="3A56A738" w14:textId="77777777" w:rsidR="00313E2C" w:rsidRPr="00313E2C" w:rsidRDefault="00313E2C" w:rsidP="00313E2C">
            <w:pPr>
              <w:spacing w:line="240" w:lineRule="auto"/>
              <w:rPr>
                <w:sz w:val="18"/>
                <w:szCs w:val="18"/>
              </w:rPr>
            </w:pPr>
            <w:r w:rsidRPr="00313E2C">
              <w:rPr>
                <w:sz w:val="18"/>
                <w:szCs w:val="18"/>
              </w:rPr>
              <w:t>ACR</w:t>
            </w:r>
          </w:p>
        </w:tc>
        <w:tc>
          <w:tcPr>
            <w:tcW w:w="0" w:type="auto"/>
            <w:vAlign w:val="center"/>
            <w:hideMark/>
          </w:tcPr>
          <w:p w14:paraId="2959DCAC" w14:textId="77777777" w:rsidR="00313E2C" w:rsidRPr="00313E2C" w:rsidRDefault="00313E2C" w:rsidP="00313E2C">
            <w:pPr>
              <w:spacing w:line="240" w:lineRule="auto"/>
              <w:rPr>
                <w:sz w:val="18"/>
                <w:szCs w:val="18"/>
              </w:rPr>
            </w:pPr>
            <w:r w:rsidRPr="00313E2C">
              <w:rPr>
                <w:sz w:val="18"/>
                <w:szCs w:val="18"/>
              </w:rPr>
              <w:t>American College of Rheumatology</w:t>
            </w:r>
          </w:p>
        </w:tc>
      </w:tr>
      <w:tr w:rsidR="00313E2C" w:rsidRPr="00313E2C" w14:paraId="6206D830" w14:textId="77777777" w:rsidTr="00313E2C">
        <w:trPr>
          <w:trHeight w:val="407"/>
          <w:tblCellSpacing w:w="15" w:type="dxa"/>
        </w:trPr>
        <w:tc>
          <w:tcPr>
            <w:tcW w:w="0" w:type="auto"/>
            <w:vAlign w:val="center"/>
            <w:hideMark/>
          </w:tcPr>
          <w:p w14:paraId="23B6420A" w14:textId="77777777" w:rsidR="00313E2C" w:rsidRPr="00313E2C" w:rsidRDefault="00313E2C" w:rsidP="00313E2C">
            <w:pPr>
              <w:spacing w:line="240" w:lineRule="auto"/>
              <w:rPr>
                <w:sz w:val="18"/>
                <w:szCs w:val="18"/>
              </w:rPr>
            </w:pPr>
            <w:r w:rsidRPr="00313E2C">
              <w:rPr>
                <w:sz w:val="18"/>
                <w:szCs w:val="18"/>
              </w:rPr>
              <w:t>bDMARD</w:t>
            </w:r>
          </w:p>
        </w:tc>
        <w:tc>
          <w:tcPr>
            <w:tcW w:w="0" w:type="auto"/>
            <w:vAlign w:val="center"/>
            <w:hideMark/>
          </w:tcPr>
          <w:p w14:paraId="22102FCF" w14:textId="77777777" w:rsidR="00313E2C" w:rsidRPr="00313E2C" w:rsidRDefault="00313E2C" w:rsidP="00313E2C">
            <w:pPr>
              <w:spacing w:line="240" w:lineRule="auto"/>
              <w:rPr>
                <w:sz w:val="18"/>
                <w:szCs w:val="18"/>
              </w:rPr>
            </w:pPr>
            <w:r w:rsidRPr="00313E2C">
              <w:rPr>
                <w:sz w:val="18"/>
                <w:szCs w:val="18"/>
              </w:rPr>
              <w:t>Biological Disease-Modifying Antirheumatic Drug</w:t>
            </w:r>
          </w:p>
        </w:tc>
      </w:tr>
      <w:tr w:rsidR="00313E2C" w:rsidRPr="00313E2C" w14:paraId="31CDAFD8" w14:textId="77777777" w:rsidTr="00313E2C">
        <w:trPr>
          <w:trHeight w:val="397"/>
          <w:tblCellSpacing w:w="15" w:type="dxa"/>
        </w:trPr>
        <w:tc>
          <w:tcPr>
            <w:tcW w:w="0" w:type="auto"/>
            <w:vAlign w:val="center"/>
            <w:hideMark/>
          </w:tcPr>
          <w:p w14:paraId="3BA087EC" w14:textId="77777777" w:rsidR="00313E2C" w:rsidRPr="00313E2C" w:rsidRDefault="00313E2C" w:rsidP="00313E2C">
            <w:pPr>
              <w:spacing w:line="240" w:lineRule="auto"/>
              <w:rPr>
                <w:sz w:val="18"/>
                <w:szCs w:val="18"/>
              </w:rPr>
            </w:pPr>
            <w:r w:rsidRPr="00313E2C">
              <w:rPr>
                <w:sz w:val="18"/>
                <w:szCs w:val="18"/>
              </w:rPr>
              <w:t>CASP</w:t>
            </w:r>
          </w:p>
        </w:tc>
        <w:tc>
          <w:tcPr>
            <w:tcW w:w="0" w:type="auto"/>
            <w:vAlign w:val="center"/>
            <w:hideMark/>
          </w:tcPr>
          <w:p w14:paraId="188B4473" w14:textId="77777777" w:rsidR="00313E2C" w:rsidRPr="00313E2C" w:rsidRDefault="00313E2C" w:rsidP="00313E2C">
            <w:pPr>
              <w:spacing w:line="240" w:lineRule="auto"/>
              <w:rPr>
                <w:sz w:val="18"/>
                <w:szCs w:val="18"/>
              </w:rPr>
            </w:pPr>
            <w:r w:rsidRPr="00313E2C">
              <w:rPr>
                <w:sz w:val="18"/>
                <w:szCs w:val="18"/>
              </w:rPr>
              <w:t>Critical Appraisal Skills Programme</w:t>
            </w:r>
          </w:p>
        </w:tc>
      </w:tr>
      <w:tr w:rsidR="00313E2C" w:rsidRPr="00313E2C" w14:paraId="3B63D5EF" w14:textId="77777777" w:rsidTr="00313E2C">
        <w:trPr>
          <w:trHeight w:val="407"/>
          <w:tblCellSpacing w:w="15" w:type="dxa"/>
        </w:trPr>
        <w:tc>
          <w:tcPr>
            <w:tcW w:w="0" w:type="auto"/>
            <w:vAlign w:val="center"/>
            <w:hideMark/>
          </w:tcPr>
          <w:p w14:paraId="3ADFB08F" w14:textId="77777777" w:rsidR="00313E2C" w:rsidRPr="00313E2C" w:rsidRDefault="00313E2C" w:rsidP="00313E2C">
            <w:pPr>
              <w:spacing w:line="240" w:lineRule="auto"/>
              <w:rPr>
                <w:sz w:val="18"/>
                <w:szCs w:val="18"/>
              </w:rPr>
            </w:pPr>
            <w:r w:rsidRPr="00313E2C">
              <w:rPr>
                <w:sz w:val="18"/>
                <w:szCs w:val="18"/>
              </w:rPr>
              <w:t>CDAI</w:t>
            </w:r>
          </w:p>
        </w:tc>
        <w:tc>
          <w:tcPr>
            <w:tcW w:w="0" w:type="auto"/>
            <w:vAlign w:val="center"/>
            <w:hideMark/>
          </w:tcPr>
          <w:p w14:paraId="3285358B" w14:textId="77777777" w:rsidR="00313E2C" w:rsidRPr="00313E2C" w:rsidRDefault="00313E2C" w:rsidP="00313E2C">
            <w:pPr>
              <w:spacing w:line="240" w:lineRule="auto"/>
              <w:rPr>
                <w:sz w:val="18"/>
                <w:szCs w:val="18"/>
              </w:rPr>
            </w:pPr>
            <w:r w:rsidRPr="00313E2C">
              <w:rPr>
                <w:sz w:val="18"/>
                <w:szCs w:val="18"/>
              </w:rPr>
              <w:t>Clinical Disease Activity Index</w:t>
            </w:r>
          </w:p>
        </w:tc>
      </w:tr>
      <w:tr w:rsidR="00313E2C" w:rsidRPr="00313E2C" w14:paraId="7FEFE38A" w14:textId="77777777" w:rsidTr="00313E2C">
        <w:trPr>
          <w:trHeight w:val="407"/>
          <w:tblCellSpacing w:w="15" w:type="dxa"/>
        </w:trPr>
        <w:tc>
          <w:tcPr>
            <w:tcW w:w="0" w:type="auto"/>
            <w:vAlign w:val="center"/>
            <w:hideMark/>
          </w:tcPr>
          <w:p w14:paraId="001313C2" w14:textId="77777777" w:rsidR="00313E2C" w:rsidRPr="00313E2C" w:rsidRDefault="00313E2C" w:rsidP="00313E2C">
            <w:pPr>
              <w:spacing w:line="240" w:lineRule="auto"/>
              <w:rPr>
                <w:sz w:val="18"/>
                <w:szCs w:val="18"/>
              </w:rPr>
            </w:pPr>
            <w:r w:rsidRPr="00313E2C">
              <w:rPr>
                <w:sz w:val="18"/>
                <w:szCs w:val="18"/>
              </w:rPr>
              <w:t>CENTRAL</w:t>
            </w:r>
          </w:p>
        </w:tc>
        <w:tc>
          <w:tcPr>
            <w:tcW w:w="0" w:type="auto"/>
            <w:vAlign w:val="center"/>
            <w:hideMark/>
          </w:tcPr>
          <w:p w14:paraId="76E9BC76" w14:textId="77777777" w:rsidR="00313E2C" w:rsidRPr="00313E2C" w:rsidRDefault="00313E2C" w:rsidP="00313E2C">
            <w:pPr>
              <w:spacing w:line="240" w:lineRule="auto"/>
              <w:rPr>
                <w:sz w:val="18"/>
                <w:szCs w:val="18"/>
              </w:rPr>
            </w:pPr>
            <w:r w:rsidRPr="00313E2C">
              <w:rPr>
                <w:sz w:val="18"/>
                <w:szCs w:val="18"/>
              </w:rPr>
              <w:t>Cochrane Central Register of Controlled Trials</w:t>
            </w:r>
          </w:p>
        </w:tc>
      </w:tr>
      <w:tr w:rsidR="00313E2C" w:rsidRPr="00313E2C" w14:paraId="62976525" w14:textId="77777777" w:rsidTr="00313E2C">
        <w:trPr>
          <w:trHeight w:val="397"/>
          <w:tblCellSpacing w:w="15" w:type="dxa"/>
        </w:trPr>
        <w:tc>
          <w:tcPr>
            <w:tcW w:w="0" w:type="auto"/>
            <w:vAlign w:val="center"/>
            <w:hideMark/>
          </w:tcPr>
          <w:p w14:paraId="30F92988" w14:textId="77777777" w:rsidR="00313E2C" w:rsidRPr="00313E2C" w:rsidRDefault="00313E2C" w:rsidP="00313E2C">
            <w:pPr>
              <w:spacing w:line="240" w:lineRule="auto"/>
              <w:rPr>
                <w:sz w:val="18"/>
                <w:szCs w:val="18"/>
              </w:rPr>
            </w:pPr>
            <w:r w:rsidRPr="00313E2C">
              <w:rPr>
                <w:sz w:val="18"/>
                <w:szCs w:val="18"/>
              </w:rPr>
              <w:t>CI</w:t>
            </w:r>
          </w:p>
        </w:tc>
        <w:tc>
          <w:tcPr>
            <w:tcW w:w="0" w:type="auto"/>
            <w:vAlign w:val="center"/>
            <w:hideMark/>
          </w:tcPr>
          <w:p w14:paraId="61BB1EBF" w14:textId="77777777" w:rsidR="00313E2C" w:rsidRPr="00313E2C" w:rsidRDefault="00313E2C" w:rsidP="00313E2C">
            <w:pPr>
              <w:spacing w:line="240" w:lineRule="auto"/>
              <w:rPr>
                <w:sz w:val="18"/>
                <w:szCs w:val="18"/>
              </w:rPr>
            </w:pPr>
            <w:r w:rsidRPr="00313E2C">
              <w:rPr>
                <w:sz w:val="18"/>
                <w:szCs w:val="18"/>
              </w:rPr>
              <w:t>Confidence Interval</w:t>
            </w:r>
          </w:p>
        </w:tc>
      </w:tr>
      <w:tr w:rsidR="00313E2C" w:rsidRPr="00313E2C" w14:paraId="3EE227C0" w14:textId="77777777" w:rsidTr="00313E2C">
        <w:trPr>
          <w:trHeight w:val="407"/>
          <w:tblCellSpacing w:w="15" w:type="dxa"/>
        </w:trPr>
        <w:tc>
          <w:tcPr>
            <w:tcW w:w="0" w:type="auto"/>
            <w:vAlign w:val="center"/>
            <w:hideMark/>
          </w:tcPr>
          <w:p w14:paraId="65101B86" w14:textId="77777777" w:rsidR="00313E2C" w:rsidRPr="00313E2C" w:rsidRDefault="00313E2C" w:rsidP="00313E2C">
            <w:pPr>
              <w:spacing w:line="240" w:lineRule="auto"/>
              <w:rPr>
                <w:sz w:val="18"/>
                <w:szCs w:val="18"/>
              </w:rPr>
            </w:pPr>
            <w:r w:rsidRPr="00313E2C">
              <w:rPr>
                <w:sz w:val="18"/>
                <w:szCs w:val="18"/>
              </w:rPr>
              <w:t>CINAHL</w:t>
            </w:r>
          </w:p>
        </w:tc>
        <w:tc>
          <w:tcPr>
            <w:tcW w:w="0" w:type="auto"/>
            <w:vAlign w:val="center"/>
            <w:hideMark/>
          </w:tcPr>
          <w:p w14:paraId="35FCD0C7" w14:textId="77777777" w:rsidR="00313E2C" w:rsidRPr="00313E2C" w:rsidRDefault="00313E2C" w:rsidP="00313E2C">
            <w:pPr>
              <w:spacing w:line="240" w:lineRule="auto"/>
              <w:rPr>
                <w:sz w:val="18"/>
                <w:szCs w:val="18"/>
              </w:rPr>
            </w:pPr>
            <w:r w:rsidRPr="00313E2C">
              <w:rPr>
                <w:sz w:val="18"/>
                <w:szCs w:val="18"/>
              </w:rPr>
              <w:t>Cumulative Index to Nursing and Allied Health Literature</w:t>
            </w:r>
          </w:p>
        </w:tc>
      </w:tr>
      <w:tr w:rsidR="00313E2C" w:rsidRPr="00313E2C" w14:paraId="7683C11C" w14:textId="77777777" w:rsidTr="00313E2C">
        <w:trPr>
          <w:trHeight w:val="407"/>
          <w:tblCellSpacing w:w="15" w:type="dxa"/>
        </w:trPr>
        <w:tc>
          <w:tcPr>
            <w:tcW w:w="0" w:type="auto"/>
            <w:vAlign w:val="center"/>
            <w:hideMark/>
          </w:tcPr>
          <w:p w14:paraId="051BD934" w14:textId="77777777" w:rsidR="00313E2C" w:rsidRPr="00313E2C" w:rsidRDefault="00313E2C" w:rsidP="00313E2C">
            <w:pPr>
              <w:spacing w:line="240" w:lineRule="auto"/>
              <w:rPr>
                <w:sz w:val="18"/>
                <w:szCs w:val="18"/>
              </w:rPr>
            </w:pPr>
            <w:r w:rsidRPr="00313E2C">
              <w:rPr>
                <w:sz w:val="18"/>
                <w:szCs w:val="18"/>
              </w:rPr>
              <w:t>CRP</w:t>
            </w:r>
          </w:p>
        </w:tc>
        <w:tc>
          <w:tcPr>
            <w:tcW w:w="0" w:type="auto"/>
            <w:vAlign w:val="center"/>
            <w:hideMark/>
          </w:tcPr>
          <w:p w14:paraId="18685B50" w14:textId="77777777" w:rsidR="00313E2C" w:rsidRPr="00313E2C" w:rsidRDefault="00313E2C" w:rsidP="00313E2C">
            <w:pPr>
              <w:spacing w:line="240" w:lineRule="auto"/>
              <w:rPr>
                <w:sz w:val="18"/>
                <w:szCs w:val="18"/>
              </w:rPr>
            </w:pPr>
            <w:r w:rsidRPr="00313E2C">
              <w:rPr>
                <w:sz w:val="18"/>
                <w:szCs w:val="18"/>
              </w:rPr>
              <w:t>C-Reactive Protein</w:t>
            </w:r>
          </w:p>
        </w:tc>
      </w:tr>
      <w:tr w:rsidR="00313E2C" w:rsidRPr="00313E2C" w14:paraId="30673D6D" w14:textId="77777777" w:rsidTr="00313E2C">
        <w:trPr>
          <w:trHeight w:val="397"/>
          <w:tblCellSpacing w:w="15" w:type="dxa"/>
        </w:trPr>
        <w:tc>
          <w:tcPr>
            <w:tcW w:w="0" w:type="auto"/>
            <w:vAlign w:val="center"/>
            <w:hideMark/>
          </w:tcPr>
          <w:p w14:paraId="37944017" w14:textId="77777777" w:rsidR="00313E2C" w:rsidRPr="00313E2C" w:rsidRDefault="00313E2C" w:rsidP="00313E2C">
            <w:pPr>
              <w:spacing w:line="240" w:lineRule="auto"/>
              <w:rPr>
                <w:sz w:val="18"/>
                <w:szCs w:val="18"/>
              </w:rPr>
            </w:pPr>
            <w:r w:rsidRPr="00313E2C">
              <w:rPr>
                <w:sz w:val="18"/>
                <w:szCs w:val="18"/>
              </w:rPr>
              <w:t>csDMARD</w:t>
            </w:r>
          </w:p>
        </w:tc>
        <w:tc>
          <w:tcPr>
            <w:tcW w:w="0" w:type="auto"/>
            <w:vAlign w:val="center"/>
            <w:hideMark/>
          </w:tcPr>
          <w:p w14:paraId="4D6B8201" w14:textId="77777777" w:rsidR="00313E2C" w:rsidRPr="00313E2C" w:rsidRDefault="00313E2C" w:rsidP="00313E2C">
            <w:pPr>
              <w:spacing w:line="240" w:lineRule="auto"/>
              <w:rPr>
                <w:sz w:val="18"/>
                <w:szCs w:val="18"/>
              </w:rPr>
            </w:pPr>
            <w:r w:rsidRPr="00313E2C">
              <w:rPr>
                <w:sz w:val="18"/>
                <w:szCs w:val="18"/>
              </w:rPr>
              <w:t>Conventional Synthetic Disease-Modifying Antirheumatic Drug</w:t>
            </w:r>
          </w:p>
        </w:tc>
      </w:tr>
      <w:tr w:rsidR="00313E2C" w:rsidRPr="00313E2C" w14:paraId="64577755" w14:textId="77777777" w:rsidTr="00313E2C">
        <w:trPr>
          <w:trHeight w:val="407"/>
          <w:tblCellSpacing w:w="15" w:type="dxa"/>
        </w:trPr>
        <w:tc>
          <w:tcPr>
            <w:tcW w:w="0" w:type="auto"/>
            <w:vAlign w:val="center"/>
            <w:hideMark/>
          </w:tcPr>
          <w:p w14:paraId="03AC4901" w14:textId="77777777" w:rsidR="00313E2C" w:rsidRPr="00313E2C" w:rsidRDefault="00313E2C" w:rsidP="00313E2C">
            <w:pPr>
              <w:spacing w:line="240" w:lineRule="auto"/>
              <w:rPr>
                <w:sz w:val="18"/>
                <w:szCs w:val="18"/>
              </w:rPr>
            </w:pPr>
            <w:r w:rsidRPr="00313E2C">
              <w:rPr>
                <w:sz w:val="18"/>
                <w:szCs w:val="18"/>
              </w:rPr>
              <w:t>DAS28</w:t>
            </w:r>
          </w:p>
        </w:tc>
        <w:tc>
          <w:tcPr>
            <w:tcW w:w="0" w:type="auto"/>
            <w:vAlign w:val="center"/>
            <w:hideMark/>
          </w:tcPr>
          <w:p w14:paraId="03796D01" w14:textId="77777777" w:rsidR="00313E2C" w:rsidRPr="00313E2C" w:rsidRDefault="00313E2C" w:rsidP="00313E2C">
            <w:pPr>
              <w:spacing w:line="240" w:lineRule="auto"/>
              <w:rPr>
                <w:sz w:val="18"/>
                <w:szCs w:val="18"/>
              </w:rPr>
            </w:pPr>
            <w:r w:rsidRPr="00313E2C">
              <w:rPr>
                <w:sz w:val="18"/>
                <w:szCs w:val="18"/>
              </w:rPr>
              <w:t>Disease Activity Score in 28 Joints</w:t>
            </w:r>
          </w:p>
        </w:tc>
      </w:tr>
      <w:tr w:rsidR="00313E2C" w:rsidRPr="00313E2C" w14:paraId="1EB23DF8" w14:textId="77777777" w:rsidTr="00313E2C">
        <w:trPr>
          <w:trHeight w:val="407"/>
          <w:tblCellSpacing w:w="15" w:type="dxa"/>
        </w:trPr>
        <w:tc>
          <w:tcPr>
            <w:tcW w:w="0" w:type="auto"/>
            <w:vAlign w:val="center"/>
            <w:hideMark/>
          </w:tcPr>
          <w:p w14:paraId="0A89EC05" w14:textId="77777777" w:rsidR="00313E2C" w:rsidRPr="00313E2C" w:rsidRDefault="00313E2C" w:rsidP="00313E2C">
            <w:pPr>
              <w:spacing w:line="240" w:lineRule="auto"/>
              <w:rPr>
                <w:sz w:val="18"/>
                <w:szCs w:val="18"/>
              </w:rPr>
            </w:pPr>
            <w:r w:rsidRPr="00313E2C">
              <w:rPr>
                <w:sz w:val="18"/>
                <w:szCs w:val="18"/>
              </w:rPr>
              <w:t>DMARD</w:t>
            </w:r>
          </w:p>
        </w:tc>
        <w:tc>
          <w:tcPr>
            <w:tcW w:w="0" w:type="auto"/>
            <w:vAlign w:val="center"/>
            <w:hideMark/>
          </w:tcPr>
          <w:p w14:paraId="6830441F" w14:textId="77777777" w:rsidR="00313E2C" w:rsidRPr="00313E2C" w:rsidRDefault="00313E2C" w:rsidP="00313E2C">
            <w:pPr>
              <w:spacing w:line="240" w:lineRule="auto"/>
              <w:rPr>
                <w:sz w:val="18"/>
                <w:szCs w:val="18"/>
              </w:rPr>
            </w:pPr>
            <w:r w:rsidRPr="00313E2C">
              <w:rPr>
                <w:sz w:val="18"/>
                <w:szCs w:val="18"/>
              </w:rPr>
              <w:t>Disease-Modifying Antirheumatic Drug</w:t>
            </w:r>
          </w:p>
        </w:tc>
      </w:tr>
      <w:tr w:rsidR="00313E2C" w:rsidRPr="00313E2C" w14:paraId="5C3BF882" w14:textId="77777777" w:rsidTr="00313E2C">
        <w:trPr>
          <w:trHeight w:val="407"/>
          <w:tblCellSpacing w:w="15" w:type="dxa"/>
        </w:trPr>
        <w:tc>
          <w:tcPr>
            <w:tcW w:w="0" w:type="auto"/>
            <w:vAlign w:val="center"/>
            <w:hideMark/>
          </w:tcPr>
          <w:p w14:paraId="37000B5E" w14:textId="77777777" w:rsidR="00313E2C" w:rsidRPr="00313E2C" w:rsidRDefault="00313E2C" w:rsidP="00313E2C">
            <w:pPr>
              <w:spacing w:line="240" w:lineRule="auto"/>
              <w:rPr>
                <w:sz w:val="18"/>
                <w:szCs w:val="18"/>
              </w:rPr>
            </w:pPr>
            <w:r w:rsidRPr="00313E2C">
              <w:rPr>
                <w:sz w:val="18"/>
                <w:szCs w:val="18"/>
              </w:rPr>
              <w:t>EHR</w:t>
            </w:r>
          </w:p>
        </w:tc>
        <w:tc>
          <w:tcPr>
            <w:tcW w:w="0" w:type="auto"/>
            <w:vAlign w:val="center"/>
            <w:hideMark/>
          </w:tcPr>
          <w:p w14:paraId="17C0D870" w14:textId="77777777" w:rsidR="00313E2C" w:rsidRPr="00313E2C" w:rsidRDefault="00313E2C" w:rsidP="00313E2C">
            <w:pPr>
              <w:spacing w:line="240" w:lineRule="auto"/>
              <w:rPr>
                <w:sz w:val="18"/>
                <w:szCs w:val="18"/>
              </w:rPr>
            </w:pPr>
            <w:r w:rsidRPr="00313E2C">
              <w:rPr>
                <w:sz w:val="18"/>
                <w:szCs w:val="18"/>
              </w:rPr>
              <w:t>Electronic Health Record</w:t>
            </w:r>
          </w:p>
        </w:tc>
      </w:tr>
      <w:tr w:rsidR="00313E2C" w:rsidRPr="00313E2C" w14:paraId="7001FC2E" w14:textId="77777777" w:rsidTr="00313E2C">
        <w:trPr>
          <w:trHeight w:val="397"/>
          <w:tblCellSpacing w:w="15" w:type="dxa"/>
        </w:trPr>
        <w:tc>
          <w:tcPr>
            <w:tcW w:w="0" w:type="auto"/>
            <w:vAlign w:val="center"/>
            <w:hideMark/>
          </w:tcPr>
          <w:p w14:paraId="03B9796F" w14:textId="77777777" w:rsidR="00313E2C" w:rsidRPr="00313E2C" w:rsidRDefault="00313E2C" w:rsidP="00313E2C">
            <w:pPr>
              <w:spacing w:line="240" w:lineRule="auto"/>
              <w:rPr>
                <w:sz w:val="18"/>
                <w:szCs w:val="18"/>
              </w:rPr>
            </w:pPr>
            <w:r w:rsidRPr="00313E2C">
              <w:rPr>
                <w:sz w:val="18"/>
                <w:szCs w:val="18"/>
              </w:rPr>
              <w:t>EIA</w:t>
            </w:r>
          </w:p>
        </w:tc>
        <w:tc>
          <w:tcPr>
            <w:tcW w:w="0" w:type="auto"/>
            <w:vAlign w:val="center"/>
            <w:hideMark/>
          </w:tcPr>
          <w:p w14:paraId="7D744181" w14:textId="77777777" w:rsidR="00313E2C" w:rsidRPr="00313E2C" w:rsidRDefault="00313E2C" w:rsidP="00313E2C">
            <w:pPr>
              <w:spacing w:line="240" w:lineRule="auto"/>
              <w:rPr>
                <w:sz w:val="18"/>
                <w:szCs w:val="18"/>
              </w:rPr>
            </w:pPr>
            <w:r w:rsidRPr="00313E2C">
              <w:rPr>
                <w:sz w:val="18"/>
                <w:szCs w:val="18"/>
              </w:rPr>
              <w:t>Early Inflammatory Arthritis</w:t>
            </w:r>
          </w:p>
        </w:tc>
      </w:tr>
      <w:tr w:rsidR="00313E2C" w:rsidRPr="00313E2C" w14:paraId="75253CF4" w14:textId="77777777" w:rsidTr="00313E2C">
        <w:trPr>
          <w:trHeight w:val="407"/>
          <w:tblCellSpacing w:w="15" w:type="dxa"/>
        </w:trPr>
        <w:tc>
          <w:tcPr>
            <w:tcW w:w="0" w:type="auto"/>
            <w:vAlign w:val="center"/>
            <w:hideMark/>
          </w:tcPr>
          <w:p w14:paraId="1734568B" w14:textId="77777777" w:rsidR="00313E2C" w:rsidRPr="00313E2C" w:rsidRDefault="00313E2C" w:rsidP="00313E2C">
            <w:pPr>
              <w:spacing w:line="240" w:lineRule="auto"/>
              <w:rPr>
                <w:sz w:val="18"/>
                <w:szCs w:val="18"/>
              </w:rPr>
            </w:pPr>
            <w:r w:rsidRPr="00313E2C">
              <w:rPr>
                <w:sz w:val="18"/>
                <w:szCs w:val="18"/>
              </w:rPr>
              <w:t>EQ-5D</w:t>
            </w:r>
          </w:p>
        </w:tc>
        <w:tc>
          <w:tcPr>
            <w:tcW w:w="0" w:type="auto"/>
            <w:vAlign w:val="center"/>
            <w:hideMark/>
          </w:tcPr>
          <w:p w14:paraId="4DE8C047" w14:textId="77777777" w:rsidR="00313E2C" w:rsidRPr="00313E2C" w:rsidRDefault="00313E2C" w:rsidP="00313E2C">
            <w:pPr>
              <w:spacing w:line="240" w:lineRule="auto"/>
              <w:rPr>
                <w:sz w:val="18"/>
                <w:szCs w:val="18"/>
              </w:rPr>
            </w:pPr>
            <w:r w:rsidRPr="00313E2C">
              <w:rPr>
                <w:sz w:val="18"/>
                <w:szCs w:val="18"/>
              </w:rPr>
              <w:t>EuroQol Five-Dimension Questionnaire</w:t>
            </w:r>
          </w:p>
        </w:tc>
      </w:tr>
      <w:tr w:rsidR="00313E2C" w:rsidRPr="00313E2C" w14:paraId="7EE80DCE" w14:textId="77777777" w:rsidTr="00313E2C">
        <w:trPr>
          <w:trHeight w:val="407"/>
          <w:tblCellSpacing w:w="15" w:type="dxa"/>
        </w:trPr>
        <w:tc>
          <w:tcPr>
            <w:tcW w:w="0" w:type="auto"/>
            <w:vAlign w:val="center"/>
            <w:hideMark/>
          </w:tcPr>
          <w:p w14:paraId="30A062B0" w14:textId="77777777" w:rsidR="00313E2C" w:rsidRPr="00313E2C" w:rsidRDefault="00313E2C" w:rsidP="00313E2C">
            <w:pPr>
              <w:spacing w:line="240" w:lineRule="auto"/>
              <w:rPr>
                <w:sz w:val="18"/>
                <w:szCs w:val="18"/>
              </w:rPr>
            </w:pPr>
            <w:r w:rsidRPr="00313E2C">
              <w:rPr>
                <w:sz w:val="18"/>
                <w:szCs w:val="18"/>
              </w:rPr>
              <w:t>EULAR</w:t>
            </w:r>
          </w:p>
        </w:tc>
        <w:tc>
          <w:tcPr>
            <w:tcW w:w="0" w:type="auto"/>
            <w:vAlign w:val="center"/>
            <w:hideMark/>
          </w:tcPr>
          <w:p w14:paraId="13F6D222" w14:textId="77777777" w:rsidR="00313E2C" w:rsidRPr="00313E2C" w:rsidRDefault="00313E2C" w:rsidP="00313E2C">
            <w:pPr>
              <w:spacing w:line="240" w:lineRule="auto"/>
              <w:rPr>
                <w:sz w:val="18"/>
                <w:szCs w:val="18"/>
              </w:rPr>
            </w:pPr>
            <w:r w:rsidRPr="00313E2C">
              <w:rPr>
                <w:sz w:val="18"/>
                <w:szCs w:val="18"/>
              </w:rPr>
              <w:t>European Alliance of Associations for Rheumatology</w:t>
            </w:r>
          </w:p>
        </w:tc>
      </w:tr>
      <w:tr w:rsidR="00313E2C" w:rsidRPr="00313E2C" w14:paraId="2E9CA2EB" w14:textId="77777777" w:rsidTr="00313E2C">
        <w:trPr>
          <w:trHeight w:val="397"/>
          <w:tblCellSpacing w:w="15" w:type="dxa"/>
        </w:trPr>
        <w:tc>
          <w:tcPr>
            <w:tcW w:w="0" w:type="auto"/>
            <w:vAlign w:val="center"/>
            <w:hideMark/>
          </w:tcPr>
          <w:p w14:paraId="2766A587" w14:textId="77777777" w:rsidR="00313E2C" w:rsidRPr="00313E2C" w:rsidRDefault="00313E2C" w:rsidP="00313E2C">
            <w:pPr>
              <w:spacing w:line="240" w:lineRule="auto"/>
              <w:rPr>
                <w:sz w:val="18"/>
                <w:szCs w:val="18"/>
              </w:rPr>
            </w:pPr>
            <w:r w:rsidRPr="00313E2C">
              <w:rPr>
                <w:sz w:val="18"/>
                <w:szCs w:val="18"/>
              </w:rPr>
              <w:t>GP</w:t>
            </w:r>
          </w:p>
        </w:tc>
        <w:tc>
          <w:tcPr>
            <w:tcW w:w="0" w:type="auto"/>
            <w:vAlign w:val="center"/>
            <w:hideMark/>
          </w:tcPr>
          <w:p w14:paraId="27E8F21A" w14:textId="77777777" w:rsidR="00313E2C" w:rsidRPr="00313E2C" w:rsidRDefault="00313E2C" w:rsidP="00313E2C">
            <w:pPr>
              <w:spacing w:line="240" w:lineRule="auto"/>
              <w:rPr>
                <w:sz w:val="18"/>
                <w:szCs w:val="18"/>
              </w:rPr>
            </w:pPr>
            <w:r w:rsidRPr="00313E2C">
              <w:rPr>
                <w:sz w:val="18"/>
                <w:szCs w:val="18"/>
              </w:rPr>
              <w:t>General Practitioner</w:t>
            </w:r>
          </w:p>
        </w:tc>
      </w:tr>
      <w:tr w:rsidR="00313E2C" w:rsidRPr="00313E2C" w14:paraId="7E51F0CA" w14:textId="77777777" w:rsidTr="00313E2C">
        <w:trPr>
          <w:trHeight w:val="407"/>
          <w:tblCellSpacing w:w="15" w:type="dxa"/>
        </w:trPr>
        <w:tc>
          <w:tcPr>
            <w:tcW w:w="0" w:type="auto"/>
            <w:vAlign w:val="center"/>
            <w:hideMark/>
          </w:tcPr>
          <w:p w14:paraId="4A22D22F" w14:textId="77777777" w:rsidR="00313E2C" w:rsidRPr="00313E2C" w:rsidRDefault="00313E2C" w:rsidP="00313E2C">
            <w:pPr>
              <w:spacing w:line="240" w:lineRule="auto"/>
              <w:rPr>
                <w:sz w:val="18"/>
                <w:szCs w:val="18"/>
              </w:rPr>
            </w:pPr>
            <w:r w:rsidRPr="00313E2C">
              <w:rPr>
                <w:sz w:val="18"/>
                <w:szCs w:val="18"/>
              </w:rPr>
              <w:t>HAQ</w:t>
            </w:r>
          </w:p>
        </w:tc>
        <w:tc>
          <w:tcPr>
            <w:tcW w:w="0" w:type="auto"/>
            <w:vAlign w:val="center"/>
            <w:hideMark/>
          </w:tcPr>
          <w:p w14:paraId="34E6337C" w14:textId="77777777" w:rsidR="00313E2C" w:rsidRPr="00313E2C" w:rsidRDefault="00313E2C" w:rsidP="00313E2C">
            <w:pPr>
              <w:spacing w:line="240" w:lineRule="auto"/>
              <w:rPr>
                <w:sz w:val="18"/>
                <w:szCs w:val="18"/>
              </w:rPr>
            </w:pPr>
            <w:r w:rsidRPr="00313E2C">
              <w:rPr>
                <w:sz w:val="18"/>
                <w:szCs w:val="18"/>
              </w:rPr>
              <w:t>Health Assessment Questionnaire</w:t>
            </w:r>
          </w:p>
        </w:tc>
      </w:tr>
      <w:tr w:rsidR="00313E2C" w:rsidRPr="00313E2C" w14:paraId="43B9D2FD" w14:textId="77777777" w:rsidTr="00313E2C">
        <w:trPr>
          <w:trHeight w:val="407"/>
          <w:tblCellSpacing w:w="15" w:type="dxa"/>
        </w:trPr>
        <w:tc>
          <w:tcPr>
            <w:tcW w:w="0" w:type="auto"/>
            <w:vAlign w:val="center"/>
            <w:hideMark/>
          </w:tcPr>
          <w:p w14:paraId="288F5FEF" w14:textId="77777777" w:rsidR="00313E2C" w:rsidRPr="00313E2C" w:rsidRDefault="00313E2C" w:rsidP="00313E2C">
            <w:pPr>
              <w:spacing w:line="240" w:lineRule="auto"/>
              <w:rPr>
                <w:sz w:val="18"/>
                <w:szCs w:val="18"/>
              </w:rPr>
            </w:pPr>
            <w:r w:rsidRPr="00313E2C">
              <w:rPr>
                <w:sz w:val="18"/>
                <w:szCs w:val="18"/>
              </w:rPr>
              <w:t>HAQ-DI</w:t>
            </w:r>
          </w:p>
        </w:tc>
        <w:tc>
          <w:tcPr>
            <w:tcW w:w="0" w:type="auto"/>
            <w:vAlign w:val="center"/>
            <w:hideMark/>
          </w:tcPr>
          <w:p w14:paraId="1F6012B1" w14:textId="77777777" w:rsidR="00313E2C" w:rsidRPr="00313E2C" w:rsidRDefault="00313E2C" w:rsidP="00313E2C">
            <w:pPr>
              <w:spacing w:line="240" w:lineRule="auto"/>
              <w:rPr>
                <w:sz w:val="18"/>
                <w:szCs w:val="18"/>
              </w:rPr>
            </w:pPr>
            <w:r w:rsidRPr="00313E2C">
              <w:rPr>
                <w:sz w:val="18"/>
                <w:szCs w:val="18"/>
              </w:rPr>
              <w:t>Health Assessment Questionnaire Disability Index</w:t>
            </w:r>
          </w:p>
        </w:tc>
      </w:tr>
      <w:tr w:rsidR="00313E2C" w:rsidRPr="00313E2C" w14:paraId="184A1FA7" w14:textId="77777777" w:rsidTr="00313E2C">
        <w:trPr>
          <w:trHeight w:val="397"/>
          <w:tblCellSpacing w:w="15" w:type="dxa"/>
        </w:trPr>
        <w:tc>
          <w:tcPr>
            <w:tcW w:w="0" w:type="auto"/>
            <w:vAlign w:val="center"/>
            <w:hideMark/>
          </w:tcPr>
          <w:p w14:paraId="4AE000B6" w14:textId="77777777" w:rsidR="00313E2C" w:rsidRPr="00313E2C" w:rsidRDefault="00313E2C" w:rsidP="00313E2C">
            <w:pPr>
              <w:spacing w:line="240" w:lineRule="auto"/>
              <w:rPr>
                <w:sz w:val="18"/>
                <w:szCs w:val="18"/>
              </w:rPr>
            </w:pPr>
            <w:r w:rsidRPr="00313E2C">
              <w:rPr>
                <w:sz w:val="18"/>
                <w:szCs w:val="18"/>
              </w:rPr>
              <w:t>HR</w:t>
            </w:r>
          </w:p>
        </w:tc>
        <w:tc>
          <w:tcPr>
            <w:tcW w:w="0" w:type="auto"/>
            <w:vAlign w:val="center"/>
            <w:hideMark/>
          </w:tcPr>
          <w:p w14:paraId="0E8826EE" w14:textId="77777777" w:rsidR="00313E2C" w:rsidRPr="00313E2C" w:rsidRDefault="00313E2C" w:rsidP="00313E2C">
            <w:pPr>
              <w:spacing w:line="240" w:lineRule="auto"/>
              <w:rPr>
                <w:sz w:val="18"/>
                <w:szCs w:val="18"/>
              </w:rPr>
            </w:pPr>
            <w:r w:rsidRPr="00313E2C">
              <w:rPr>
                <w:sz w:val="18"/>
                <w:szCs w:val="18"/>
              </w:rPr>
              <w:t>Hazard Ratio</w:t>
            </w:r>
          </w:p>
        </w:tc>
      </w:tr>
      <w:tr w:rsidR="00313E2C" w:rsidRPr="00313E2C" w14:paraId="1BE0361D" w14:textId="77777777" w:rsidTr="00313E2C">
        <w:trPr>
          <w:trHeight w:val="407"/>
          <w:tblCellSpacing w:w="15" w:type="dxa"/>
        </w:trPr>
        <w:tc>
          <w:tcPr>
            <w:tcW w:w="0" w:type="auto"/>
            <w:vAlign w:val="center"/>
            <w:hideMark/>
          </w:tcPr>
          <w:p w14:paraId="6EACFD11" w14:textId="77777777" w:rsidR="00313E2C" w:rsidRPr="00313E2C" w:rsidRDefault="00313E2C" w:rsidP="00313E2C">
            <w:pPr>
              <w:spacing w:line="240" w:lineRule="auto"/>
              <w:rPr>
                <w:sz w:val="18"/>
                <w:szCs w:val="18"/>
              </w:rPr>
            </w:pPr>
            <w:r w:rsidRPr="00313E2C">
              <w:rPr>
                <w:sz w:val="18"/>
                <w:szCs w:val="18"/>
              </w:rPr>
              <w:t>HRQoL</w:t>
            </w:r>
          </w:p>
        </w:tc>
        <w:tc>
          <w:tcPr>
            <w:tcW w:w="0" w:type="auto"/>
            <w:vAlign w:val="center"/>
            <w:hideMark/>
          </w:tcPr>
          <w:p w14:paraId="7D75663D" w14:textId="77777777" w:rsidR="00313E2C" w:rsidRPr="00313E2C" w:rsidRDefault="00313E2C" w:rsidP="00313E2C">
            <w:pPr>
              <w:spacing w:line="240" w:lineRule="auto"/>
              <w:rPr>
                <w:sz w:val="18"/>
                <w:szCs w:val="18"/>
              </w:rPr>
            </w:pPr>
            <w:r w:rsidRPr="00313E2C">
              <w:rPr>
                <w:sz w:val="18"/>
                <w:szCs w:val="18"/>
              </w:rPr>
              <w:t>Health-Related Quality of Life</w:t>
            </w:r>
          </w:p>
        </w:tc>
      </w:tr>
      <w:tr w:rsidR="00313E2C" w:rsidRPr="00313E2C" w14:paraId="7ABBF371" w14:textId="77777777" w:rsidTr="00313E2C">
        <w:trPr>
          <w:trHeight w:val="407"/>
          <w:tblCellSpacing w:w="15" w:type="dxa"/>
        </w:trPr>
        <w:tc>
          <w:tcPr>
            <w:tcW w:w="0" w:type="auto"/>
            <w:vAlign w:val="center"/>
            <w:hideMark/>
          </w:tcPr>
          <w:p w14:paraId="0388A512" w14:textId="77777777" w:rsidR="00313E2C" w:rsidRPr="00313E2C" w:rsidRDefault="00313E2C" w:rsidP="00313E2C">
            <w:pPr>
              <w:spacing w:line="240" w:lineRule="auto"/>
              <w:rPr>
                <w:sz w:val="18"/>
                <w:szCs w:val="18"/>
              </w:rPr>
            </w:pPr>
            <w:r w:rsidRPr="00313E2C">
              <w:rPr>
                <w:sz w:val="18"/>
                <w:szCs w:val="18"/>
              </w:rPr>
              <w:t>IA</w:t>
            </w:r>
          </w:p>
        </w:tc>
        <w:tc>
          <w:tcPr>
            <w:tcW w:w="0" w:type="auto"/>
            <w:vAlign w:val="center"/>
            <w:hideMark/>
          </w:tcPr>
          <w:p w14:paraId="2C314F4C" w14:textId="77777777" w:rsidR="00313E2C" w:rsidRPr="00313E2C" w:rsidRDefault="00313E2C" w:rsidP="00313E2C">
            <w:pPr>
              <w:spacing w:line="240" w:lineRule="auto"/>
              <w:rPr>
                <w:sz w:val="18"/>
                <w:szCs w:val="18"/>
              </w:rPr>
            </w:pPr>
            <w:r w:rsidRPr="00313E2C">
              <w:rPr>
                <w:sz w:val="18"/>
                <w:szCs w:val="18"/>
              </w:rPr>
              <w:t>Inflammatory Arthritis</w:t>
            </w:r>
          </w:p>
        </w:tc>
      </w:tr>
      <w:tr w:rsidR="00313E2C" w:rsidRPr="00313E2C" w14:paraId="266E0DB3" w14:textId="77777777" w:rsidTr="00313E2C">
        <w:trPr>
          <w:trHeight w:val="407"/>
          <w:tblCellSpacing w:w="15" w:type="dxa"/>
        </w:trPr>
        <w:tc>
          <w:tcPr>
            <w:tcW w:w="0" w:type="auto"/>
            <w:vAlign w:val="center"/>
            <w:hideMark/>
          </w:tcPr>
          <w:p w14:paraId="17773847" w14:textId="77777777" w:rsidR="00313E2C" w:rsidRPr="00313E2C" w:rsidRDefault="00313E2C" w:rsidP="00313E2C">
            <w:pPr>
              <w:spacing w:line="240" w:lineRule="auto"/>
              <w:rPr>
                <w:sz w:val="18"/>
                <w:szCs w:val="18"/>
              </w:rPr>
            </w:pPr>
            <w:r w:rsidRPr="00313E2C">
              <w:rPr>
                <w:sz w:val="18"/>
                <w:szCs w:val="18"/>
              </w:rPr>
              <w:t>IMD</w:t>
            </w:r>
          </w:p>
        </w:tc>
        <w:tc>
          <w:tcPr>
            <w:tcW w:w="0" w:type="auto"/>
            <w:vAlign w:val="center"/>
            <w:hideMark/>
          </w:tcPr>
          <w:p w14:paraId="53B6C9F1" w14:textId="77777777" w:rsidR="00313E2C" w:rsidRPr="00313E2C" w:rsidRDefault="00313E2C" w:rsidP="00313E2C">
            <w:pPr>
              <w:spacing w:line="240" w:lineRule="auto"/>
              <w:rPr>
                <w:sz w:val="18"/>
                <w:szCs w:val="18"/>
              </w:rPr>
            </w:pPr>
            <w:r w:rsidRPr="00313E2C">
              <w:rPr>
                <w:sz w:val="18"/>
                <w:szCs w:val="18"/>
              </w:rPr>
              <w:t>Index of Multiple Deprivation</w:t>
            </w:r>
          </w:p>
        </w:tc>
      </w:tr>
      <w:tr w:rsidR="00313E2C" w:rsidRPr="00313E2C" w14:paraId="33C9A865" w14:textId="77777777" w:rsidTr="00313E2C">
        <w:trPr>
          <w:trHeight w:val="397"/>
          <w:tblCellSpacing w:w="15" w:type="dxa"/>
        </w:trPr>
        <w:tc>
          <w:tcPr>
            <w:tcW w:w="0" w:type="auto"/>
            <w:vAlign w:val="center"/>
            <w:hideMark/>
          </w:tcPr>
          <w:p w14:paraId="67105C20" w14:textId="77777777" w:rsidR="00313E2C" w:rsidRPr="00313E2C" w:rsidRDefault="00313E2C" w:rsidP="00313E2C">
            <w:pPr>
              <w:spacing w:line="240" w:lineRule="auto"/>
              <w:rPr>
                <w:sz w:val="18"/>
                <w:szCs w:val="18"/>
              </w:rPr>
            </w:pPr>
            <w:r w:rsidRPr="00313E2C">
              <w:rPr>
                <w:sz w:val="18"/>
                <w:szCs w:val="18"/>
              </w:rPr>
              <w:t>IRR</w:t>
            </w:r>
          </w:p>
        </w:tc>
        <w:tc>
          <w:tcPr>
            <w:tcW w:w="0" w:type="auto"/>
            <w:vAlign w:val="center"/>
            <w:hideMark/>
          </w:tcPr>
          <w:p w14:paraId="79AB1821" w14:textId="77777777" w:rsidR="00313E2C" w:rsidRPr="00313E2C" w:rsidRDefault="00313E2C" w:rsidP="00313E2C">
            <w:pPr>
              <w:spacing w:line="240" w:lineRule="auto"/>
              <w:rPr>
                <w:sz w:val="18"/>
                <w:szCs w:val="18"/>
              </w:rPr>
            </w:pPr>
            <w:r w:rsidRPr="00313E2C">
              <w:rPr>
                <w:sz w:val="18"/>
                <w:szCs w:val="18"/>
              </w:rPr>
              <w:t>Incidence Rate Ratio</w:t>
            </w:r>
          </w:p>
        </w:tc>
      </w:tr>
      <w:tr w:rsidR="00313E2C" w:rsidRPr="00313E2C" w14:paraId="1795BB96" w14:textId="77777777" w:rsidTr="00313E2C">
        <w:trPr>
          <w:trHeight w:val="407"/>
          <w:tblCellSpacing w:w="15" w:type="dxa"/>
        </w:trPr>
        <w:tc>
          <w:tcPr>
            <w:tcW w:w="0" w:type="auto"/>
            <w:vAlign w:val="center"/>
            <w:hideMark/>
          </w:tcPr>
          <w:p w14:paraId="5A4DEEA6" w14:textId="77777777" w:rsidR="00313E2C" w:rsidRPr="00313E2C" w:rsidRDefault="00313E2C" w:rsidP="00313E2C">
            <w:pPr>
              <w:spacing w:line="240" w:lineRule="auto"/>
              <w:rPr>
                <w:sz w:val="18"/>
                <w:szCs w:val="18"/>
              </w:rPr>
            </w:pPr>
            <w:r w:rsidRPr="00313E2C">
              <w:rPr>
                <w:sz w:val="18"/>
                <w:szCs w:val="18"/>
              </w:rPr>
              <w:t>ITT</w:t>
            </w:r>
          </w:p>
        </w:tc>
        <w:tc>
          <w:tcPr>
            <w:tcW w:w="0" w:type="auto"/>
            <w:vAlign w:val="center"/>
            <w:hideMark/>
          </w:tcPr>
          <w:p w14:paraId="7AC94CD7" w14:textId="77777777" w:rsidR="00313E2C" w:rsidRPr="00313E2C" w:rsidRDefault="00313E2C" w:rsidP="00313E2C">
            <w:pPr>
              <w:spacing w:line="240" w:lineRule="auto"/>
              <w:rPr>
                <w:sz w:val="18"/>
                <w:szCs w:val="18"/>
              </w:rPr>
            </w:pPr>
            <w:r w:rsidRPr="00313E2C">
              <w:rPr>
                <w:sz w:val="18"/>
                <w:szCs w:val="18"/>
              </w:rPr>
              <w:t>Intention-to-Treat</w:t>
            </w:r>
          </w:p>
        </w:tc>
      </w:tr>
      <w:tr w:rsidR="00313E2C" w:rsidRPr="00313E2C" w14:paraId="38FC201F" w14:textId="77777777" w:rsidTr="00313E2C">
        <w:trPr>
          <w:trHeight w:val="407"/>
          <w:tblCellSpacing w:w="15" w:type="dxa"/>
        </w:trPr>
        <w:tc>
          <w:tcPr>
            <w:tcW w:w="0" w:type="auto"/>
            <w:vAlign w:val="center"/>
            <w:hideMark/>
          </w:tcPr>
          <w:p w14:paraId="664A171F" w14:textId="77777777" w:rsidR="00313E2C" w:rsidRPr="00313E2C" w:rsidRDefault="00313E2C" w:rsidP="00313E2C">
            <w:pPr>
              <w:spacing w:line="240" w:lineRule="auto"/>
              <w:rPr>
                <w:sz w:val="18"/>
                <w:szCs w:val="18"/>
              </w:rPr>
            </w:pPr>
            <w:r w:rsidRPr="00313E2C">
              <w:rPr>
                <w:sz w:val="18"/>
                <w:szCs w:val="18"/>
              </w:rPr>
              <w:t>MeSH</w:t>
            </w:r>
          </w:p>
        </w:tc>
        <w:tc>
          <w:tcPr>
            <w:tcW w:w="0" w:type="auto"/>
            <w:vAlign w:val="center"/>
            <w:hideMark/>
          </w:tcPr>
          <w:p w14:paraId="4365F1DA" w14:textId="77777777" w:rsidR="00313E2C" w:rsidRPr="00313E2C" w:rsidRDefault="00313E2C" w:rsidP="00313E2C">
            <w:pPr>
              <w:spacing w:line="240" w:lineRule="auto"/>
              <w:rPr>
                <w:sz w:val="18"/>
                <w:szCs w:val="18"/>
              </w:rPr>
            </w:pPr>
            <w:r w:rsidRPr="00313E2C">
              <w:rPr>
                <w:sz w:val="18"/>
                <w:szCs w:val="18"/>
              </w:rPr>
              <w:t>Medical Subject Headings</w:t>
            </w:r>
          </w:p>
        </w:tc>
      </w:tr>
      <w:tr w:rsidR="00313E2C" w:rsidRPr="00313E2C" w14:paraId="16A683E6" w14:textId="77777777" w:rsidTr="00313E2C">
        <w:trPr>
          <w:trHeight w:val="407"/>
          <w:tblCellSpacing w:w="15" w:type="dxa"/>
        </w:trPr>
        <w:tc>
          <w:tcPr>
            <w:tcW w:w="0" w:type="auto"/>
            <w:vAlign w:val="center"/>
            <w:hideMark/>
          </w:tcPr>
          <w:p w14:paraId="3B691CA1" w14:textId="77777777" w:rsidR="00313E2C" w:rsidRPr="00313E2C" w:rsidRDefault="00313E2C" w:rsidP="00313E2C">
            <w:pPr>
              <w:spacing w:line="240" w:lineRule="auto"/>
              <w:rPr>
                <w:sz w:val="18"/>
                <w:szCs w:val="18"/>
              </w:rPr>
            </w:pPr>
            <w:r w:rsidRPr="00313E2C">
              <w:rPr>
                <w:sz w:val="18"/>
                <w:szCs w:val="18"/>
              </w:rPr>
              <w:lastRenderedPageBreak/>
              <w:t>MTX</w:t>
            </w:r>
          </w:p>
        </w:tc>
        <w:tc>
          <w:tcPr>
            <w:tcW w:w="0" w:type="auto"/>
            <w:vAlign w:val="center"/>
            <w:hideMark/>
          </w:tcPr>
          <w:p w14:paraId="4A7C1E62" w14:textId="77777777" w:rsidR="00313E2C" w:rsidRPr="00313E2C" w:rsidRDefault="00313E2C" w:rsidP="00313E2C">
            <w:pPr>
              <w:spacing w:line="240" w:lineRule="auto"/>
              <w:rPr>
                <w:sz w:val="18"/>
                <w:szCs w:val="18"/>
              </w:rPr>
            </w:pPr>
            <w:r w:rsidRPr="00313E2C">
              <w:rPr>
                <w:sz w:val="18"/>
                <w:szCs w:val="18"/>
              </w:rPr>
              <w:t>Methotrexate</w:t>
            </w:r>
          </w:p>
        </w:tc>
      </w:tr>
      <w:tr w:rsidR="00313E2C" w:rsidRPr="00313E2C" w14:paraId="79023829" w14:textId="77777777" w:rsidTr="00313E2C">
        <w:trPr>
          <w:trHeight w:val="397"/>
          <w:tblCellSpacing w:w="15" w:type="dxa"/>
        </w:trPr>
        <w:tc>
          <w:tcPr>
            <w:tcW w:w="0" w:type="auto"/>
            <w:vAlign w:val="center"/>
            <w:hideMark/>
          </w:tcPr>
          <w:p w14:paraId="0D1ED06C" w14:textId="77777777" w:rsidR="00313E2C" w:rsidRPr="00313E2C" w:rsidRDefault="00313E2C" w:rsidP="00313E2C">
            <w:pPr>
              <w:spacing w:line="240" w:lineRule="auto"/>
              <w:rPr>
                <w:sz w:val="18"/>
                <w:szCs w:val="18"/>
              </w:rPr>
            </w:pPr>
            <w:r w:rsidRPr="00313E2C">
              <w:rPr>
                <w:sz w:val="18"/>
                <w:szCs w:val="18"/>
              </w:rPr>
              <w:t>NEIAA</w:t>
            </w:r>
          </w:p>
        </w:tc>
        <w:tc>
          <w:tcPr>
            <w:tcW w:w="0" w:type="auto"/>
            <w:vAlign w:val="center"/>
            <w:hideMark/>
          </w:tcPr>
          <w:p w14:paraId="722E65BF" w14:textId="77777777" w:rsidR="00313E2C" w:rsidRPr="00313E2C" w:rsidRDefault="00313E2C" w:rsidP="00313E2C">
            <w:pPr>
              <w:spacing w:line="240" w:lineRule="auto"/>
              <w:rPr>
                <w:sz w:val="18"/>
                <w:szCs w:val="18"/>
              </w:rPr>
            </w:pPr>
            <w:r w:rsidRPr="00313E2C">
              <w:rPr>
                <w:sz w:val="18"/>
                <w:szCs w:val="18"/>
              </w:rPr>
              <w:t>National Early Inflammatory Arthritis Audit</w:t>
            </w:r>
          </w:p>
        </w:tc>
      </w:tr>
      <w:tr w:rsidR="00313E2C" w:rsidRPr="00313E2C" w14:paraId="3DBEEE36" w14:textId="77777777" w:rsidTr="00313E2C">
        <w:trPr>
          <w:trHeight w:val="407"/>
          <w:tblCellSpacing w:w="15" w:type="dxa"/>
        </w:trPr>
        <w:tc>
          <w:tcPr>
            <w:tcW w:w="0" w:type="auto"/>
            <w:vAlign w:val="center"/>
            <w:hideMark/>
          </w:tcPr>
          <w:p w14:paraId="65316CC3" w14:textId="77777777" w:rsidR="00313E2C" w:rsidRPr="00313E2C" w:rsidRDefault="00313E2C" w:rsidP="00313E2C">
            <w:pPr>
              <w:spacing w:line="240" w:lineRule="auto"/>
              <w:rPr>
                <w:sz w:val="18"/>
                <w:szCs w:val="18"/>
              </w:rPr>
            </w:pPr>
            <w:r w:rsidRPr="00313E2C">
              <w:rPr>
                <w:sz w:val="18"/>
                <w:szCs w:val="18"/>
              </w:rPr>
              <w:t>NHS</w:t>
            </w:r>
          </w:p>
        </w:tc>
        <w:tc>
          <w:tcPr>
            <w:tcW w:w="0" w:type="auto"/>
            <w:vAlign w:val="center"/>
            <w:hideMark/>
          </w:tcPr>
          <w:p w14:paraId="34265606" w14:textId="77777777" w:rsidR="00313E2C" w:rsidRPr="00313E2C" w:rsidRDefault="00313E2C" w:rsidP="00313E2C">
            <w:pPr>
              <w:spacing w:line="240" w:lineRule="auto"/>
              <w:rPr>
                <w:sz w:val="18"/>
                <w:szCs w:val="18"/>
              </w:rPr>
            </w:pPr>
            <w:r w:rsidRPr="00313E2C">
              <w:rPr>
                <w:sz w:val="18"/>
                <w:szCs w:val="18"/>
              </w:rPr>
              <w:t>National Health Service</w:t>
            </w:r>
          </w:p>
        </w:tc>
      </w:tr>
      <w:tr w:rsidR="00313E2C" w:rsidRPr="00313E2C" w14:paraId="2394FEEB" w14:textId="77777777" w:rsidTr="00313E2C">
        <w:trPr>
          <w:trHeight w:val="407"/>
          <w:tblCellSpacing w:w="15" w:type="dxa"/>
        </w:trPr>
        <w:tc>
          <w:tcPr>
            <w:tcW w:w="0" w:type="auto"/>
            <w:vAlign w:val="center"/>
            <w:hideMark/>
          </w:tcPr>
          <w:p w14:paraId="60C552C6" w14:textId="77777777" w:rsidR="00313E2C" w:rsidRPr="00313E2C" w:rsidRDefault="00313E2C" w:rsidP="00313E2C">
            <w:pPr>
              <w:spacing w:line="240" w:lineRule="auto"/>
              <w:rPr>
                <w:sz w:val="18"/>
                <w:szCs w:val="18"/>
              </w:rPr>
            </w:pPr>
            <w:r w:rsidRPr="00313E2C">
              <w:rPr>
                <w:sz w:val="18"/>
                <w:szCs w:val="18"/>
              </w:rPr>
              <w:t>OR</w:t>
            </w:r>
          </w:p>
        </w:tc>
        <w:tc>
          <w:tcPr>
            <w:tcW w:w="0" w:type="auto"/>
            <w:vAlign w:val="center"/>
            <w:hideMark/>
          </w:tcPr>
          <w:p w14:paraId="0D0568E0" w14:textId="77777777" w:rsidR="00313E2C" w:rsidRPr="00313E2C" w:rsidRDefault="00313E2C" w:rsidP="00313E2C">
            <w:pPr>
              <w:spacing w:line="240" w:lineRule="auto"/>
              <w:rPr>
                <w:sz w:val="18"/>
                <w:szCs w:val="18"/>
              </w:rPr>
            </w:pPr>
            <w:r w:rsidRPr="00313E2C">
              <w:rPr>
                <w:sz w:val="18"/>
                <w:szCs w:val="18"/>
              </w:rPr>
              <w:t>Odds Ratio</w:t>
            </w:r>
          </w:p>
        </w:tc>
      </w:tr>
      <w:tr w:rsidR="00313E2C" w:rsidRPr="00313E2C" w14:paraId="645C8624" w14:textId="77777777" w:rsidTr="00313E2C">
        <w:trPr>
          <w:trHeight w:val="397"/>
          <w:tblCellSpacing w:w="15" w:type="dxa"/>
        </w:trPr>
        <w:tc>
          <w:tcPr>
            <w:tcW w:w="0" w:type="auto"/>
            <w:vAlign w:val="center"/>
            <w:hideMark/>
          </w:tcPr>
          <w:p w14:paraId="260430EC" w14:textId="77777777" w:rsidR="00313E2C" w:rsidRPr="00313E2C" w:rsidRDefault="00313E2C" w:rsidP="00313E2C">
            <w:pPr>
              <w:spacing w:line="240" w:lineRule="auto"/>
              <w:rPr>
                <w:sz w:val="18"/>
                <w:szCs w:val="18"/>
              </w:rPr>
            </w:pPr>
            <w:r w:rsidRPr="00313E2C">
              <w:rPr>
                <w:sz w:val="18"/>
                <w:szCs w:val="18"/>
              </w:rPr>
              <w:t>PRISMA</w:t>
            </w:r>
          </w:p>
        </w:tc>
        <w:tc>
          <w:tcPr>
            <w:tcW w:w="0" w:type="auto"/>
            <w:vAlign w:val="center"/>
            <w:hideMark/>
          </w:tcPr>
          <w:p w14:paraId="09D5A661" w14:textId="77777777" w:rsidR="00313E2C" w:rsidRPr="00313E2C" w:rsidRDefault="00313E2C" w:rsidP="00313E2C">
            <w:pPr>
              <w:spacing w:line="240" w:lineRule="auto"/>
              <w:rPr>
                <w:sz w:val="18"/>
                <w:szCs w:val="18"/>
              </w:rPr>
            </w:pPr>
            <w:r w:rsidRPr="00313E2C">
              <w:rPr>
                <w:sz w:val="18"/>
                <w:szCs w:val="18"/>
              </w:rPr>
              <w:t>Preferred Reporting Items for Systematic Reviews and Meta-Analyses</w:t>
            </w:r>
          </w:p>
        </w:tc>
      </w:tr>
      <w:tr w:rsidR="00313E2C" w:rsidRPr="00313E2C" w14:paraId="3800CCCE" w14:textId="77777777" w:rsidTr="00313E2C">
        <w:trPr>
          <w:trHeight w:val="407"/>
          <w:tblCellSpacing w:w="15" w:type="dxa"/>
        </w:trPr>
        <w:tc>
          <w:tcPr>
            <w:tcW w:w="0" w:type="auto"/>
            <w:vAlign w:val="center"/>
            <w:hideMark/>
          </w:tcPr>
          <w:p w14:paraId="4C93080A" w14:textId="77777777" w:rsidR="00313E2C" w:rsidRPr="00313E2C" w:rsidRDefault="00313E2C" w:rsidP="00313E2C">
            <w:pPr>
              <w:spacing w:line="240" w:lineRule="auto"/>
              <w:rPr>
                <w:sz w:val="18"/>
                <w:szCs w:val="18"/>
              </w:rPr>
            </w:pPr>
            <w:r w:rsidRPr="00313E2C">
              <w:rPr>
                <w:sz w:val="18"/>
                <w:szCs w:val="18"/>
              </w:rPr>
              <w:t>PRISMA-S</w:t>
            </w:r>
          </w:p>
        </w:tc>
        <w:tc>
          <w:tcPr>
            <w:tcW w:w="0" w:type="auto"/>
            <w:vAlign w:val="center"/>
            <w:hideMark/>
          </w:tcPr>
          <w:p w14:paraId="3FA8563A" w14:textId="77777777" w:rsidR="00313E2C" w:rsidRPr="00313E2C" w:rsidRDefault="00313E2C" w:rsidP="00313E2C">
            <w:pPr>
              <w:spacing w:line="240" w:lineRule="auto"/>
              <w:rPr>
                <w:sz w:val="18"/>
                <w:szCs w:val="18"/>
              </w:rPr>
            </w:pPr>
            <w:r w:rsidRPr="00313E2C">
              <w:rPr>
                <w:sz w:val="18"/>
                <w:szCs w:val="18"/>
              </w:rPr>
              <w:t>PRISMA Extension for Reporting Literature Searches in Systematic Reviews</w:t>
            </w:r>
          </w:p>
        </w:tc>
      </w:tr>
      <w:tr w:rsidR="00313E2C" w:rsidRPr="00313E2C" w14:paraId="3AB27AB2" w14:textId="77777777" w:rsidTr="00313E2C">
        <w:trPr>
          <w:trHeight w:val="407"/>
          <w:tblCellSpacing w:w="15" w:type="dxa"/>
        </w:trPr>
        <w:tc>
          <w:tcPr>
            <w:tcW w:w="0" w:type="auto"/>
            <w:vAlign w:val="center"/>
            <w:hideMark/>
          </w:tcPr>
          <w:p w14:paraId="11BDDD98" w14:textId="77777777" w:rsidR="00313E2C" w:rsidRPr="00313E2C" w:rsidRDefault="00313E2C" w:rsidP="00313E2C">
            <w:pPr>
              <w:spacing w:line="240" w:lineRule="auto"/>
              <w:rPr>
                <w:sz w:val="18"/>
                <w:szCs w:val="18"/>
              </w:rPr>
            </w:pPr>
            <w:r w:rsidRPr="00313E2C">
              <w:rPr>
                <w:sz w:val="18"/>
                <w:szCs w:val="18"/>
              </w:rPr>
              <w:t>PROMs</w:t>
            </w:r>
          </w:p>
        </w:tc>
        <w:tc>
          <w:tcPr>
            <w:tcW w:w="0" w:type="auto"/>
            <w:vAlign w:val="center"/>
            <w:hideMark/>
          </w:tcPr>
          <w:p w14:paraId="3BEAD321" w14:textId="77777777" w:rsidR="00313E2C" w:rsidRPr="00313E2C" w:rsidRDefault="00313E2C" w:rsidP="00313E2C">
            <w:pPr>
              <w:spacing w:line="240" w:lineRule="auto"/>
              <w:rPr>
                <w:sz w:val="18"/>
                <w:szCs w:val="18"/>
              </w:rPr>
            </w:pPr>
            <w:r w:rsidRPr="00313E2C">
              <w:rPr>
                <w:sz w:val="18"/>
                <w:szCs w:val="18"/>
              </w:rPr>
              <w:t>Patient-Reported Outcome Measures</w:t>
            </w:r>
          </w:p>
        </w:tc>
      </w:tr>
      <w:tr w:rsidR="00313E2C" w:rsidRPr="00313E2C" w14:paraId="5467FF2E" w14:textId="77777777" w:rsidTr="00313E2C">
        <w:trPr>
          <w:trHeight w:val="407"/>
          <w:tblCellSpacing w:w="15" w:type="dxa"/>
        </w:trPr>
        <w:tc>
          <w:tcPr>
            <w:tcW w:w="0" w:type="auto"/>
            <w:vAlign w:val="center"/>
            <w:hideMark/>
          </w:tcPr>
          <w:p w14:paraId="6C19D31B" w14:textId="77777777" w:rsidR="00313E2C" w:rsidRPr="00313E2C" w:rsidRDefault="00313E2C" w:rsidP="00313E2C">
            <w:pPr>
              <w:spacing w:line="240" w:lineRule="auto"/>
              <w:rPr>
                <w:sz w:val="18"/>
                <w:szCs w:val="18"/>
              </w:rPr>
            </w:pPr>
            <w:r w:rsidRPr="00313E2C">
              <w:rPr>
                <w:sz w:val="18"/>
                <w:szCs w:val="18"/>
              </w:rPr>
              <w:t>QoL</w:t>
            </w:r>
          </w:p>
        </w:tc>
        <w:tc>
          <w:tcPr>
            <w:tcW w:w="0" w:type="auto"/>
            <w:vAlign w:val="center"/>
            <w:hideMark/>
          </w:tcPr>
          <w:p w14:paraId="35C4A7D9" w14:textId="77777777" w:rsidR="00313E2C" w:rsidRPr="00313E2C" w:rsidRDefault="00313E2C" w:rsidP="00313E2C">
            <w:pPr>
              <w:spacing w:line="240" w:lineRule="auto"/>
              <w:rPr>
                <w:sz w:val="18"/>
                <w:szCs w:val="18"/>
              </w:rPr>
            </w:pPr>
            <w:r w:rsidRPr="00313E2C">
              <w:rPr>
                <w:sz w:val="18"/>
                <w:szCs w:val="18"/>
              </w:rPr>
              <w:t>Quality of Life</w:t>
            </w:r>
          </w:p>
        </w:tc>
      </w:tr>
      <w:tr w:rsidR="00313E2C" w:rsidRPr="00313E2C" w14:paraId="7ECBEF92" w14:textId="77777777" w:rsidTr="00313E2C">
        <w:trPr>
          <w:trHeight w:val="397"/>
          <w:tblCellSpacing w:w="15" w:type="dxa"/>
        </w:trPr>
        <w:tc>
          <w:tcPr>
            <w:tcW w:w="0" w:type="auto"/>
            <w:vAlign w:val="center"/>
            <w:hideMark/>
          </w:tcPr>
          <w:p w14:paraId="34B56F43" w14:textId="77777777" w:rsidR="00313E2C" w:rsidRPr="00313E2C" w:rsidRDefault="00313E2C" w:rsidP="00313E2C">
            <w:pPr>
              <w:spacing w:line="240" w:lineRule="auto"/>
              <w:rPr>
                <w:sz w:val="18"/>
                <w:szCs w:val="18"/>
              </w:rPr>
            </w:pPr>
            <w:r w:rsidRPr="00313E2C">
              <w:rPr>
                <w:sz w:val="18"/>
                <w:szCs w:val="18"/>
              </w:rPr>
              <w:t>RA</w:t>
            </w:r>
          </w:p>
        </w:tc>
        <w:tc>
          <w:tcPr>
            <w:tcW w:w="0" w:type="auto"/>
            <w:vAlign w:val="center"/>
            <w:hideMark/>
          </w:tcPr>
          <w:p w14:paraId="2F7A383B" w14:textId="77777777" w:rsidR="00313E2C" w:rsidRPr="00313E2C" w:rsidRDefault="00313E2C" w:rsidP="00313E2C">
            <w:pPr>
              <w:spacing w:line="240" w:lineRule="auto"/>
              <w:rPr>
                <w:sz w:val="18"/>
                <w:szCs w:val="18"/>
              </w:rPr>
            </w:pPr>
            <w:r w:rsidRPr="00313E2C">
              <w:rPr>
                <w:sz w:val="18"/>
                <w:szCs w:val="18"/>
              </w:rPr>
              <w:t>Rheumatoid Arthritis</w:t>
            </w:r>
          </w:p>
        </w:tc>
      </w:tr>
      <w:tr w:rsidR="00313E2C" w:rsidRPr="00313E2C" w14:paraId="38DD845D" w14:textId="77777777" w:rsidTr="00313E2C">
        <w:trPr>
          <w:trHeight w:val="407"/>
          <w:tblCellSpacing w:w="15" w:type="dxa"/>
        </w:trPr>
        <w:tc>
          <w:tcPr>
            <w:tcW w:w="0" w:type="auto"/>
            <w:vAlign w:val="center"/>
            <w:hideMark/>
          </w:tcPr>
          <w:p w14:paraId="70B2A075" w14:textId="77777777" w:rsidR="00313E2C" w:rsidRPr="00313E2C" w:rsidRDefault="00313E2C" w:rsidP="00313E2C">
            <w:pPr>
              <w:spacing w:line="240" w:lineRule="auto"/>
              <w:rPr>
                <w:sz w:val="18"/>
                <w:szCs w:val="18"/>
              </w:rPr>
            </w:pPr>
            <w:r w:rsidRPr="00313E2C">
              <w:rPr>
                <w:sz w:val="18"/>
                <w:szCs w:val="18"/>
              </w:rPr>
              <w:t>RCT</w:t>
            </w:r>
          </w:p>
        </w:tc>
        <w:tc>
          <w:tcPr>
            <w:tcW w:w="0" w:type="auto"/>
            <w:vAlign w:val="center"/>
            <w:hideMark/>
          </w:tcPr>
          <w:p w14:paraId="0FC2A26A" w14:textId="77777777" w:rsidR="00313E2C" w:rsidRPr="00313E2C" w:rsidRDefault="00313E2C" w:rsidP="00313E2C">
            <w:pPr>
              <w:spacing w:line="240" w:lineRule="auto"/>
              <w:rPr>
                <w:sz w:val="18"/>
                <w:szCs w:val="18"/>
              </w:rPr>
            </w:pPr>
            <w:r w:rsidRPr="00313E2C">
              <w:rPr>
                <w:sz w:val="18"/>
                <w:szCs w:val="18"/>
              </w:rPr>
              <w:t>Randomised Controlled Trial</w:t>
            </w:r>
          </w:p>
        </w:tc>
      </w:tr>
      <w:tr w:rsidR="00313E2C" w:rsidRPr="00313E2C" w14:paraId="0FC682AE" w14:textId="77777777" w:rsidTr="00313E2C">
        <w:trPr>
          <w:trHeight w:val="407"/>
          <w:tblCellSpacing w:w="15" w:type="dxa"/>
        </w:trPr>
        <w:tc>
          <w:tcPr>
            <w:tcW w:w="0" w:type="auto"/>
            <w:vAlign w:val="center"/>
            <w:hideMark/>
          </w:tcPr>
          <w:p w14:paraId="252BC50B" w14:textId="77777777" w:rsidR="00313E2C" w:rsidRPr="00313E2C" w:rsidRDefault="00313E2C" w:rsidP="00313E2C">
            <w:pPr>
              <w:spacing w:line="240" w:lineRule="auto"/>
              <w:rPr>
                <w:sz w:val="18"/>
                <w:szCs w:val="18"/>
              </w:rPr>
            </w:pPr>
            <w:r w:rsidRPr="00313E2C">
              <w:rPr>
                <w:sz w:val="18"/>
                <w:szCs w:val="18"/>
              </w:rPr>
              <w:t>RR</w:t>
            </w:r>
          </w:p>
        </w:tc>
        <w:tc>
          <w:tcPr>
            <w:tcW w:w="0" w:type="auto"/>
            <w:vAlign w:val="center"/>
            <w:hideMark/>
          </w:tcPr>
          <w:p w14:paraId="1B3307FF" w14:textId="77777777" w:rsidR="00313E2C" w:rsidRPr="00313E2C" w:rsidRDefault="00313E2C" w:rsidP="00313E2C">
            <w:pPr>
              <w:spacing w:line="240" w:lineRule="auto"/>
              <w:rPr>
                <w:sz w:val="18"/>
                <w:szCs w:val="18"/>
              </w:rPr>
            </w:pPr>
            <w:r w:rsidRPr="00313E2C">
              <w:rPr>
                <w:sz w:val="18"/>
                <w:szCs w:val="18"/>
              </w:rPr>
              <w:t>Relative Risk</w:t>
            </w:r>
          </w:p>
        </w:tc>
      </w:tr>
      <w:tr w:rsidR="00313E2C" w:rsidRPr="00313E2C" w14:paraId="6867E1DD" w14:textId="77777777" w:rsidTr="00313E2C">
        <w:trPr>
          <w:trHeight w:val="397"/>
          <w:tblCellSpacing w:w="15" w:type="dxa"/>
        </w:trPr>
        <w:tc>
          <w:tcPr>
            <w:tcW w:w="0" w:type="auto"/>
            <w:vAlign w:val="center"/>
            <w:hideMark/>
          </w:tcPr>
          <w:p w14:paraId="4D8FF3CC" w14:textId="77777777" w:rsidR="00313E2C" w:rsidRPr="00313E2C" w:rsidRDefault="00313E2C" w:rsidP="00313E2C">
            <w:pPr>
              <w:spacing w:line="240" w:lineRule="auto"/>
              <w:rPr>
                <w:sz w:val="18"/>
                <w:szCs w:val="18"/>
              </w:rPr>
            </w:pPr>
            <w:r w:rsidRPr="00313E2C">
              <w:rPr>
                <w:sz w:val="18"/>
                <w:szCs w:val="18"/>
              </w:rPr>
              <w:t>SERA</w:t>
            </w:r>
          </w:p>
        </w:tc>
        <w:tc>
          <w:tcPr>
            <w:tcW w:w="0" w:type="auto"/>
            <w:vAlign w:val="center"/>
            <w:hideMark/>
          </w:tcPr>
          <w:p w14:paraId="2688C7DB" w14:textId="77777777" w:rsidR="00313E2C" w:rsidRPr="00313E2C" w:rsidRDefault="00313E2C" w:rsidP="00313E2C">
            <w:pPr>
              <w:spacing w:line="240" w:lineRule="auto"/>
              <w:rPr>
                <w:sz w:val="18"/>
                <w:szCs w:val="18"/>
              </w:rPr>
            </w:pPr>
            <w:r w:rsidRPr="00313E2C">
              <w:rPr>
                <w:sz w:val="18"/>
                <w:szCs w:val="18"/>
              </w:rPr>
              <w:t>Scottish Early Rheumatoid Arthritis</w:t>
            </w:r>
          </w:p>
        </w:tc>
      </w:tr>
      <w:tr w:rsidR="00313E2C" w:rsidRPr="00313E2C" w14:paraId="6F18E41B" w14:textId="77777777" w:rsidTr="00313E2C">
        <w:trPr>
          <w:trHeight w:val="407"/>
          <w:tblCellSpacing w:w="15" w:type="dxa"/>
        </w:trPr>
        <w:tc>
          <w:tcPr>
            <w:tcW w:w="0" w:type="auto"/>
            <w:vAlign w:val="center"/>
            <w:hideMark/>
          </w:tcPr>
          <w:p w14:paraId="7450DC29" w14:textId="77777777" w:rsidR="00313E2C" w:rsidRPr="00313E2C" w:rsidRDefault="00313E2C" w:rsidP="00313E2C">
            <w:pPr>
              <w:spacing w:line="240" w:lineRule="auto"/>
              <w:rPr>
                <w:sz w:val="18"/>
                <w:szCs w:val="18"/>
              </w:rPr>
            </w:pPr>
            <w:r w:rsidRPr="00313E2C">
              <w:rPr>
                <w:sz w:val="18"/>
                <w:szCs w:val="18"/>
              </w:rPr>
              <w:t>SEM</w:t>
            </w:r>
          </w:p>
        </w:tc>
        <w:tc>
          <w:tcPr>
            <w:tcW w:w="0" w:type="auto"/>
            <w:vAlign w:val="center"/>
            <w:hideMark/>
          </w:tcPr>
          <w:p w14:paraId="5D1AFAEB" w14:textId="77777777" w:rsidR="00313E2C" w:rsidRPr="00313E2C" w:rsidRDefault="00313E2C" w:rsidP="00313E2C">
            <w:pPr>
              <w:spacing w:line="240" w:lineRule="auto"/>
              <w:rPr>
                <w:sz w:val="18"/>
                <w:szCs w:val="18"/>
              </w:rPr>
            </w:pPr>
            <w:r w:rsidRPr="00313E2C">
              <w:rPr>
                <w:sz w:val="18"/>
                <w:szCs w:val="18"/>
              </w:rPr>
              <w:t>Social Ecological Model</w:t>
            </w:r>
          </w:p>
        </w:tc>
      </w:tr>
      <w:tr w:rsidR="00313E2C" w:rsidRPr="00313E2C" w14:paraId="68475DD4" w14:textId="77777777" w:rsidTr="00313E2C">
        <w:trPr>
          <w:trHeight w:val="407"/>
          <w:tblCellSpacing w:w="15" w:type="dxa"/>
        </w:trPr>
        <w:tc>
          <w:tcPr>
            <w:tcW w:w="0" w:type="auto"/>
            <w:vAlign w:val="center"/>
            <w:hideMark/>
          </w:tcPr>
          <w:p w14:paraId="28F3DEBD" w14:textId="77777777" w:rsidR="00313E2C" w:rsidRPr="00313E2C" w:rsidRDefault="00313E2C" w:rsidP="00313E2C">
            <w:pPr>
              <w:spacing w:line="240" w:lineRule="auto"/>
              <w:rPr>
                <w:sz w:val="18"/>
                <w:szCs w:val="18"/>
              </w:rPr>
            </w:pPr>
            <w:r w:rsidRPr="00313E2C">
              <w:rPr>
                <w:sz w:val="18"/>
                <w:szCs w:val="18"/>
              </w:rPr>
              <w:t>SF-36</w:t>
            </w:r>
          </w:p>
        </w:tc>
        <w:tc>
          <w:tcPr>
            <w:tcW w:w="0" w:type="auto"/>
            <w:vAlign w:val="center"/>
            <w:hideMark/>
          </w:tcPr>
          <w:p w14:paraId="2EB4C71D" w14:textId="77777777" w:rsidR="00313E2C" w:rsidRPr="00313E2C" w:rsidRDefault="00313E2C" w:rsidP="00313E2C">
            <w:pPr>
              <w:spacing w:line="240" w:lineRule="auto"/>
              <w:rPr>
                <w:sz w:val="18"/>
                <w:szCs w:val="18"/>
              </w:rPr>
            </w:pPr>
            <w:r w:rsidRPr="00313E2C">
              <w:rPr>
                <w:sz w:val="18"/>
                <w:szCs w:val="18"/>
              </w:rPr>
              <w:t>36-Item Short Form Health Survey</w:t>
            </w:r>
          </w:p>
        </w:tc>
      </w:tr>
      <w:tr w:rsidR="00313E2C" w:rsidRPr="00313E2C" w14:paraId="2325C91D" w14:textId="77777777" w:rsidTr="00313E2C">
        <w:trPr>
          <w:trHeight w:val="397"/>
          <w:tblCellSpacing w:w="15" w:type="dxa"/>
        </w:trPr>
        <w:tc>
          <w:tcPr>
            <w:tcW w:w="0" w:type="auto"/>
            <w:vAlign w:val="center"/>
            <w:hideMark/>
          </w:tcPr>
          <w:p w14:paraId="14E773FF" w14:textId="77777777" w:rsidR="00313E2C" w:rsidRPr="00313E2C" w:rsidRDefault="00313E2C" w:rsidP="00313E2C">
            <w:pPr>
              <w:spacing w:line="240" w:lineRule="auto"/>
              <w:rPr>
                <w:sz w:val="18"/>
                <w:szCs w:val="18"/>
              </w:rPr>
            </w:pPr>
            <w:r w:rsidRPr="00313E2C">
              <w:rPr>
                <w:sz w:val="18"/>
                <w:szCs w:val="18"/>
              </w:rPr>
              <w:t>SWiM</w:t>
            </w:r>
          </w:p>
        </w:tc>
        <w:tc>
          <w:tcPr>
            <w:tcW w:w="0" w:type="auto"/>
            <w:vAlign w:val="center"/>
            <w:hideMark/>
          </w:tcPr>
          <w:p w14:paraId="0E59B948" w14:textId="77777777" w:rsidR="00313E2C" w:rsidRPr="00313E2C" w:rsidRDefault="00313E2C" w:rsidP="00313E2C">
            <w:pPr>
              <w:spacing w:line="240" w:lineRule="auto"/>
              <w:rPr>
                <w:sz w:val="18"/>
                <w:szCs w:val="18"/>
              </w:rPr>
            </w:pPr>
            <w:r w:rsidRPr="00313E2C">
              <w:rPr>
                <w:sz w:val="18"/>
                <w:szCs w:val="18"/>
              </w:rPr>
              <w:t>Synthesis Without Meta-analysis</w:t>
            </w:r>
          </w:p>
        </w:tc>
      </w:tr>
      <w:tr w:rsidR="00313E2C" w:rsidRPr="00313E2C" w14:paraId="2A6C45AC" w14:textId="77777777" w:rsidTr="00313E2C">
        <w:trPr>
          <w:trHeight w:val="407"/>
          <w:tblCellSpacing w:w="15" w:type="dxa"/>
        </w:trPr>
        <w:tc>
          <w:tcPr>
            <w:tcW w:w="0" w:type="auto"/>
            <w:vAlign w:val="center"/>
            <w:hideMark/>
          </w:tcPr>
          <w:p w14:paraId="7BA11BB9" w14:textId="77777777" w:rsidR="00313E2C" w:rsidRPr="00313E2C" w:rsidRDefault="00313E2C" w:rsidP="00313E2C">
            <w:pPr>
              <w:spacing w:line="240" w:lineRule="auto"/>
              <w:rPr>
                <w:sz w:val="18"/>
                <w:szCs w:val="18"/>
              </w:rPr>
            </w:pPr>
            <w:r w:rsidRPr="00313E2C">
              <w:rPr>
                <w:sz w:val="18"/>
                <w:szCs w:val="18"/>
              </w:rPr>
              <w:t>tsDMARD</w:t>
            </w:r>
          </w:p>
        </w:tc>
        <w:tc>
          <w:tcPr>
            <w:tcW w:w="0" w:type="auto"/>
            <w:vAlign w:val="center"/>
            <w:hideMark/>
          </w:tcPr>
          <w:p w14:paraId="6EB17F44" w14:textId="77777777" w:rsidR="00313E2C" w:rsidRPr="00313E2C" w:rsidRDefault="00313E2C" w:rsidP="00313E2C">
            <w:pPr>
              <w:spacing w:line="240" w:lineRule="auto"/>
              <w:rPr>
                <w:sz w:val="18"/>
                <w:szCs w:val="18"/>
              </w:rPr>
            </w:pPr>
            <w:r w:rsidRPr="00313E2C">
              <w:rPr>
                <w:sz w:val="18"/>
                <w:szCs w:val="18"/>
              </w:rPr>
              <w:t>Targeted Synthetic Disease-Modifying Antirheumatic Drug</w:t>
            </w:r>
          </w:p>
        </w:tc>
      </w:tr>
      <w:tr w:rsidR="00313E2C" w:rsidRPr="00313E2C" w14:paraId="4FB3027F" w14:textId="77777777" w:rsidTr="00313E2C">
        <w:trPr>
          <w:trHeight w:val="407"/>
          <w:tblCellSpacing w:w="15" w:type="dxa"/>
        </w:trPr>
        <w:tc>
          <w:tcPr>
            <w:tcW w:w="0" w:type="auto"/>
            <w:vAlign w:val="center"/>
            <w:hideMark/>
          </w:tcPr>
          <w:p w14:paraId="16B9959A" w14:textId="77777777" w:rsidR="00313E2C" w:rsidRPr="00313E2C" w:rsidRDefault="00313E2C" w:rsidP="00313E2C">
            <w:pPr>
              <w:spacing w:line="240" w:lineRule="auto"/>
              <w:rPr>
                <w:sz w:val="18"/>
                <w:szCs w:val="18"/>
              </w:rPr>
            </w:pPr>
            <w:r w:rsidRPr="00313E2C">
              <w:rPr>
                <w:sz w:val="18"/>
                <w:szCs w:val="18"/>
              </w:rPr>
              <w:t>UK</w:t>
            </w:r>
          </w:p>
        </w:tc>
        <w:tc>
          <w:tcPr>
            <w:tcW w:w="0" w:type="auto"/>
            <w:vAlign w:val="center"/>
            <w:hideMark/>
          </w:tcPr>
          <w:p w14:paraId="68ACFEAC" w14:textId="77777777" w:rsidR="00313E2C" w:rsidRPr="00313E2C" w:rsidRDefault="00313E2C" w:rsidP="00313E2C">
            <w:pPr>
              <w:spacing w:line="240" w:lineRule="auto"/>
              <w:rPr>
                <w:sz w:val="18"/>
                <w:szCs w:val="18"/>
              </w:rPr>
            </w:pPr>
            <w:r w:rsidRPr="00313E2C">
              <w:rPr>
                <w:sz w:val="18"/>
                <w:szCs w:val="18"/>
              </w:rPr>
              <w:t>United Kingdom</w:t>
            </w:r>
          </w:p>
        </w:tc>
      </w:tr>
      <w:tr w:rsidR="00313E2C" w:rsidRPr="00313E2C" w14:paraId="3B1B5F76" w14:textId="77777777" w:rsidTr="00313E2C">
        <w:trPr>
          <w:trHeight w:val="407"/>
          <w:tblCellSpacing w:w="15" w:type="dxa"/>
        </w:trPr>
        <w:tc>
          <w:tcPr>
            <w:tcW w:w="0" w:type="auto"/>
            <w:vAlign w:val="center"/>
            <w:hideMark/>
          </w:tcPr>
          <w:p w14:paraId="21739F33" w14:textId="77777777" w:rsidR="00313E2C" w:rsidRPr="00313E2C" w:rsidRDefault="00313E2C" w:rsidP="00313E2C">
            <w:pPr>
              <w:spacing w:line="240" w:lineRule="auto"/>
              <w:rPr>
                <w:sz w:val="18"/>
                <w:szCs w:val="18"/>
              </w:rPr>
            </w:pPr>
            <w:r w:rsidRPr="00313E2C">
              <w:rPr>
                <w:sz w:val="18"/>
                <w:szCs w:val="18"/>
              </w:rPr>
              <w:t>UKB</w:t>
            </w:r>
          </w:p>
        </w:tc>
        <w:tc>
          <w:tcPr>
            <w:tcW w:w="0" w:type="auto"/>
            <w:vAlign w:val="center"/>
            <w:hideMark/>
          </w:tcPr>
          <w:p w14:paraId="6BAF31EE" w14:textId="77777777" w:rsidR="00313E2C" w:rsidRPr="00313E2C" w:rsidRDefault="00313E2C" w:rsidP="00313E2C">
            <w:pPr>
              <w:spacing w:line="240" w:lineRule="auto"/>
              <w:rPr>
                <w:sz w:val="18"/>
                <w:szCs w:val="18"/>
              </w:rPr>
            </w:pPr>
            <w:r w:rsidRPr="00313E2C">
              <w:rPr>
                <w:sz w:val="18"/>
                <w:szCs w:val="18"/>
              </w:rPr>
              <w:t>UK Biobank</w:t>
            </w:r>
          </w:p>
        </w:tc>
      </w:tr>
      <w:tr w:rsidR="00313E2C" w:rsidRPr="00313E2C" w14:paraId="6308306D" w14:textId="77777777" w:rsidTr="00313E2C">
        <w:trPr>
          <w:trHeight w:val="397"/>
          <w:tblCellSpacing w:w="15" w:type="dxa"/>
        </w:trPr>
        <w:tc>
          <w:tcPr>
            <w:tcW w:w="0" w:type="auto"/>
            <w:vAlign w:val="center"/>
            <w:hideMark/>
          </w:tcPr>
          <w:p w14:paraId="242A1034" w14:textId="77777777" w:rsidR="00313E2C" w:rsidRPr="00313E2C" w:rsidRDefault="00313E2C" w:rsidP="00313E2C">
            <w:pPr>
              <w:spacing w:line="240" w:lineRule="auto"/>
              <w:rPr>
                <w:sz w:val="18"/>
                <w:szCs w:val="18"/>
              </w:rPr>
            </w:pPr>
            <w:r w:rsidRPr="00313E2C">
              <w:rPr>
                <w:sz w:val="18"/>
                <w:szCs w:val="18"/>
              </w:rPr>
              <w:t>VAS</w:t>
            </w:r>
          </w:p>
        </w:tc>
        <w:tc>
          <w:tcPr>
            <w:tcW w:w="0" w:type="auto"/>
            <w:vAlign w:val="center"/>
            <w:hideMark/>
          </w:tcPr>
          <w:p w14:paraId="7CBC68AA" w14:textId="77777777" w:rsidR="00313E2C" w:rsidRPr="00313E2C" w:rsidRDefault="00313E2C" w:rsidP="00313E2C">
            <w:pPr>
              <w:spacing w:line="240" w:lineRule="auto"/>
              <w:rPr>
                <w:sz w:val="18"/>
                <w:szCs w:val="18"/>
              </w:rPr>
            </w:pPr>
            <w:r w:rsidRPr="00313E2C">
              <w:rPr>
                <w:sz w:val="18"/>
                <w:szCs w:val="18"/>
              </w:rPr>
              <w:t>Visual Analogue Scale</w:t>
            </w:r>
          </w:p>
        </w:tc>
      </w:tr>
      <w:tr w:rsidR="00313E2C" w:rsidRPr="00313E2C" w14:paraId="0925CFDA" w14:textId="77777777" w:rsidTr="00313E2C">
        <w:trPr>
          <w:trHeight w:val="397"/>
          <w:tblCellSpacing w:w="15" w:type="dxa"/>
        </w:trPr>
        <w:tc>
          <w:tcPr>
            <w:tcW w:w="0" w:type="auto"/>
            <w:vAlign w:val="center"/>
            <w:hideMark/>
          </w:tcPr>
          <w:p w14:paraId="4C36AA60" w14:textId="77777777" w:rsidR="00313E2C" w:rsidRPr="00313E2C" w:rsidRDefault="00313E2C" w:rsidP="00313E2C">
            <w:pPr>
              <w:spacing w:line="240" w:lineRule="auto"/>
              <w:rPr>
                <w:sz w:val="18"/>
                <w:szCs w:val="18"/>
              </w:rPr>
            </w:pPr>
            <w:r w:rsidRPr="00313E2C">
              <w:rPr>
                <w:sz w:val="18"/>
                <w:szCs w:val="18"/>
              </w:rPr>
              <w:t>WPAI</w:t>
            </w:r>
          </w:p>
        </w:tc>
        <w:tc>
          <w:tcPr>
            <w:tcW w:w="0" w:type="auto"/>
            <w:vAlign w:val="center"/>
            <w:hideMark/>
          </w:tcPr>
          <w:p w14:paraId="68330A7A" w14:textId="77777777" w:rsidR="00313E2C" w:rsidRPr="00313E2C" w:rsidRDefault="00313E2C" w:rsidP="00313E2C">
            <w:pPr>
              <w:spacing w:line="240" w:lineRule="auto"/>
              <w:rPr>
                <w:sz w:val="18"/>
                <w:szCs w:val="18"/>
              </w:rPr>
            </w:pPr>
            <w:r w:rsidRPr="00313E2C">
              <w:rPr>
                <w:sz w:val="18"/>
                <w:szCs w:val="18"/>
              </w:rPr>
              <w:t>Work Productivity and Activity Impairment</w:t>
            </w:r>
          </w:p>
        </w:tc>
      </w:tr>
    </w:tbl>
    <w:p w14:paraId="05EDBF5F" w14:textId="77777777" w:rsidR="00313E2C" w:rsidRDefault="00313E2C" w:rsidP="0049292A"/>
    <w:p w14:paraId="222C2532" w14:textId="77777777" w:rsidR="00313E2C" w:rsidRDefault="00313E2C">
      <w:pPr>
        <w:spacing w:line="276" w:lineRule="auto"/>
        <w:jc w:val="left"/>
      </w:pPr>
      <w:r>
        <w:br w:type="page"/>
      </w:r>
    </w:p>
    <w:p w14:paraId="37B299FC" w14:textId="5DF7CE78" w:rsidR="000B217C" w:rsidRDefault="000B217C" w:rsidP="000B217C">
      <w:pPr>
        <w:pStyle w:val="Heading1"/>
      </w:pPr>
      <w:bookmarkStart w:id="4" w:name="_Toc240922819"/>
      <w:r>
        <w:lastRenderedPageBreak/>
        <w:t>List of Figures</w:t>
      </w:r>
      <w:bookmarkEnd w:id="4"/>
    </w:p>
    <w:p w14:paraId="59CA39E1" w14:textId="77777777" w:rsidR="000B217C" w:rsidRDefault="000B217C" w:rsidP="000B217C">
      <w:r>
        <w:t>Figure 2.1: Conceptual Framework Linking the Early Rheumatoid Arthritis Care Pathway to Clinical and Quality-of-Life Outcomes</w:t>
      </w:r>
    </w:p>
    <w:p w14:paraId="372790AC" w14:textId="7AF68275" w:rsidR="000B217C" w:rsidRDefault="000B217C" w:rsidP="000B217C">
      <w:r>
        <w:t>Figure 3.1: PRISMA 2020 Study-Selection Flow</w:t>
      </w:r>
    </w:p>
    <w:p w14:paraId="2561676C" w14:textId="4B82FB7B" w:rsidR="000B217C" w:rsidRDefault="000B217C" w:rsidP="000B217C">
      <w:pPr>
        <w:pStyle w:val="Heading1"/>
      </w:pPr>
      <w:bookmarkStart w:id="5" w:name="_Toc240922820"/>
      <w:r>
        <w:t>List of Tables</w:t>
      </w:r>
      <w:bookmarkEnd w:id="5"/>
    </w:p>
    <w:p w14:paraId="24C9714E" w14:textId="77777777" w:rsidR="000B217C" w:rsidRDefault="000B217C" w:rsidP="000B217C">
      <w:r>
        <w:t>Table 3.1: Search Concepts and Terms Used to Structure the Review</w:t>
      </w:r>
    </w:p>
    <w:p w14:paraId="5F0C735C" w14:textId="77777777" w:rsidR="000B217C" w:rsidRDefault="000B217C" w:rsidP="000B217C">
      <w:r>
        <w:t>Table 3.2: Summary of Database Searches and Records Identified</w:t>
      </w:r>
    </w:p>
    <w:p w14:paraId="7BB268D5" w14:textId="77777777" w:rsidR="000B217C" w:rsidRDefault="000B217C" w:rsidP="000B217C">
      <w:r>
        <w:t>Table 3.3: Inclusion and Exclusion Criteria</w:t>
      </w:r>
    </w:p>
    <w:p w14:paraId="066CC079" w14:textId="77777777" w:rsidR="000B217C" w:rsidRDefault="000B217C" w:rsidP="000B217C">
      <w:r>
        <w:t>Table 3.4: CASP Critical Appraisal Tools Applied by Study Design</w:t>
      </w:r>
    </w:p>
    <w:p w14:paraId="152096A2" w14:textId="77777777" w:rsidR="000B217C" w:rsidRDefault="000B217C" w:rsidP="000B217C">
      <w:r>
        <w:t>Table 3.5: Standardised Data-Extraction Fields</w:t>
      </w:r>
    </w:p>
    <w:p w14:paraId="1E3F92EE" w14:textId="77777777" w:rsidR="000B217C" w:rsidRDefault="000B217C" w:rsidP="000B217C">
      <w:r>
        <w:t>Table 4.1: Main Themes and Subthemes</w:t>
      </w:r>
    </w:p>
    <w:p w14:paraId="2E78EA10" w14:textId="490FD2F8" w:rsidR="00C63879" w:rsidRDefault="000B217C" w:rsidP="000B217C">
      <w:r>
        <w:t>Table 4.2: Characteristics and Findings of the 14 Included Studies</w:t>
      </w:r>
      <w:r w:rsidR="00426BC9">
        <w:br w:type="page"/>
      </w:r>
    </w:p>
    <w:sdt>
      <w:sdtPr>
        <w:rPr>
          <w:rFonts w:eastAsiaTheme="minorEastAsia" w:cstheme="minorBidi"/>
          <w:b w:val="0"/>
          <w:bCs w:val="0"/>
          <w:sz w:val="22"/>
          <w:szCs w:val="22"/>
        </w:rPr>
        <w:id w:val="362415243"/>
        <w:docPartObj>
          <w:docPartGallery w:val="Table of Contents"/>
          <w:docPartUnique/>
        </w:docPartObj>
      </w:sdtPr>
      <w:sdtEndPr>
        <w:rPr>
          <w:noProof/>
        </w:rPr>
      </w:sdtEndPr>
      <w:sdtContent>
        <w:p w14:paraId="4B8F04CB" w14:textId="04F01E76" w:rsidR="00ED5E58" w:rsidRDefault="00ED5E58">
          <w:pPr>
            <w:pStyle w:val="TOCHeading"/>
          </w:pPr>
          <w:r>
            <w:t>Table of Contents</w:t>
          </w:r>
        </w:p>
        <w:p w14:paraId="03023D99" w14:textId="734FCAFB" w:rsidR="009F3E64" w:rsidRDefault="00ED5E58">
          <w:pPr>
            <w:pStyle w:val="TOC1"/>
            <w:tabs>
              <w:tab w:val="right" w:leader="dot" w:pos="9350"/>
            </w:tabs>
            <w:rPr>
              <w:rFonts w:asciiTheme="minorHAnsi" w:hAnsiTheme="minorHAnsi"/>
              <w:noProof/>
              <w:kern w:val="2"/>
              <w:sz w:val="24"/>
              <w:szCs w:val="24"/>
              <w14:ligatures w14:val="standardContextual"/>
            </w:rPr>
          </w:pPr>
          <w:r>
            <w:fldChar w:fldCharType="begin"/>
          </w:r>
          <w:r>
            <w:instrText xml:space="preserve"> TOC \o "1-3" \h \z \u </w:instrText>
          </w:r>
          <w:r>
            <w:fldChar w:fldCharType="separate"/>
          </w:r>
          <w:hyperlink w:anchor="_Toc240922816" w:history="1">
            <w:r w:rsidR="009F3E64" w:rsidRPr="009D5693">
              <w:rPr>
                <w:rStyle w:val="Hyperlink"/>
                <w:noProof/>
              </w:rPr>
              <w:t>Acknowledgement</w:t>
            </w:r>
            <w:r w:rsidR="009F3E64">
              <w:rPr>
                <w:noProof/>
                <w:webHidden/>
              </w:rPr>
              <w:tab/>
            </w:r>
            <w:r w:rsidR="009F3E64">
              <w:rPr>
                <w:noProof/>
                <w:webHidden/>
              </w:rPr>
              <w:fldChar w:fldCharType="begin"/>
            </w:r>
            <w:r w:rsidR="009F3E64">
              <w:rPr>
                <w:noProof/>
                <w:webHidden/>
              </w:rPr>
              <w:instrText xml:space="preserve"> PAGEREF _Toc240922816 \h </w:instrText>
            </w:r>
            <w:r w:rsidR="009F3E64">
              <w:rPr>
                <w:noProof/>
                <w:webHidden/>
              </w:rPr>
            </w:r>
            <w:r w:rsidR="009F3E64">
              <w:rPr>
                <w:noProof/>
                <w:webHidden/>
              </w:rPr>
              <w:fldChar w:fldCharType="separate"/>
            </w:r>
            <w:r w:rsidR="009F3E64">
              <w:rPr>
                <w:noProof/>
                <w:webHidden/>
              </w:rPr>
              <w:t>2</w:t>
            </w:r>
            <w:r w:rsidR="009F3E64">
              <w:rPr>
                <w:noProof/>
                <w:webHidden/>
              </w:rPr>
              <w:fldChar w:fldCharType="end"/>
            </w:r>
          </w:hyperlink>
        </w:p>
        <w:p w14:paraId="0801CEB5" w14:textId="65CCFF37"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817" w:history="1">
            <w:r w:rsidR="009F3E64" w:rsidRPr="009D5693">
              <w:rPr>
                <w:rStyle w:val="Hyperlink"/>
                <w:noProof/>
              </w:rPr>
              <w:t>Abstract</w:t>
            </w:r>
            <w:r w:rsidR="009F3E64">
              <w:rPr>
                <w:noProof/>
                <w:webHidden/>
              </w:rPr>
              <w:tab/>
            </w:r>
            <w:r w:rsidR="009F3E64">
              <w:rPr>
                <w:noProof/>
                <w:webHidden/>
              </w:rPr>
              <w:fldChar w:fldCharType="begin"/>
            </w:r>
            <w:r w:rsidR="009F3E64">
              <w:rPr>
                <w:noProof/>
                <w:webHidden/>
              </w:rPr>
              <w:instrText xml:space="preserve"> PAGEREF _Toc240922817 \h </w:instrText>
            </w:r>
            <w:r w:rsidR="009F3E64">
              <w:rPr>
                <w:noProof/>
                <w:webHidden/>
              </w:rPr>
            </w:r>
            <w:r w:rsidR="009F3E64">
              <w:rPr>
                <w:noProof/>
                <w:webHidden/>
              </w:rPr>
              <w:fldChar w:fldCharType="separate"/>
            </w:r>
            <w:r w:rsidR="009F3E64">
              <w:rPr>
                <w:noProof/>
                <w:webHidden/>
              </w:rPr>
              <w:t>3</w:t>
            </w:r>
            <w:r w:rsidR="009F3E64">
              <w:rPr>
                <w:noProof/>
                <w:webHidden/>
              </w:rPr>
              <w:fldChar w:fldCharType="end"/>
            </w:r>
          </w:hyperlink>
        </w:p>
        <w:p w14:paraId="4863AB1B" w14:textId="0F8B927D"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818" w:history="1">
            <w:r w:rsidR="009F3E64" w:rsidRPr="009D5693">
              <w:rPr>
                <w:rStyle w:val="Hyperlink"/>
                <w:noProof/>
              </w:rPr>
              <w:t>List of Abbreviations</w:t>
            </w:r>
            <w:r w:rsidR="009F3E64">
              <w:rPr>
                <w:noProof/>
                <w:webHidden/>
              </w:rPr>
              <w:tab/>
            </w:r>
            <w:r w:rsidR="009F3E64">
              <w:rPr>
                <w:noProof/>
                <w:webHidden/>
              </w:rPr>
              <w:fldChar w:fldCharType="begin"/>
            </w:r>
            <w:r w:rsidR="009F3E64">
              <w:rPr>
                <w:noProof/>
                <w:webHidden/>
              </w:rPr>
              <w:instrText xml:space="preserve"> PAGEREF _Toc240922818 \h </w:instrText>
            </w:r>
            <w:r w:rsidR="009F3E64">
              <w:rPr>
                <w:noProof/>
                <w:webHidden/>
              </w:rPr>
            </w:r>
            <w:r w:rsidR="009F3E64">
              <w:rPr>
                <w:noProof/>
                <w:webHidden/>
              </w:rPr>
              <w:fldChar w:fldCharType="separate"/>
            </w:r>
            <w:r w:rsidR="009F3E64">
              <w:rPr>
                <w:noProof/>
                <w:webHidden/>
              </w:rPr>
              <w:t>4</w:t>
            </w:r>
            <w:r w:rsidR="009F3E64">
              <w:rPr>
                <w:noProof/>
                <w:webHidden/>
              </w:rPr>
              <w:fldChar w:fldCharType="end"/>
            </w:r>
          </w:hyperlink>
        </w:p>
        <w:p w14:paraId="32A801DE" w14:textId="4D90E0BC"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819" w:history="1">
            <w:r w:rsidR="009F3E64" w:rsidRPr="009D5693">
              <w:rPr>
                <w:rStyle w:val="Hyperlink"/>
                <w:noProof/>
              </w:rPr>
              <w:t>List of Figures</w:t>
            </w:r>
            <w:r w:rsidR="009F3E64">
              <w:rPr>
                <w:noProof/>
                <w:webHidden/>
              </w:rPr>
              <w:tab/>
            </w:r>
            <w:r w:rsidR="009F3E64">
              <w:rPr>
                <w:noProof/>
                <w:webHidden/>
              </w:rPr>
              <w:fldChar w:fldCharType="begin"/>
            </w:r>
            <w:r w:rsidR="009F3E64">
              <w:rPr>
                <w:noProof/>
                <w:webHidden/>
              </w:rPr>
              <w:instrText xml:space="preserve"> PAGEREF _Toc240922819 \h </w:instrText>
            </w:r>
            <w:r w:rsidR="009F3E64">
              <w:rPr>
                <w:noProof/>
                <w:webHidden/>
              </w:rPr>
            </w:r>
            <w:r w:rsidR="009F3E64">
              <w:rPr>
                <w:noProof/>
                <w:webHidden/>
              </w:rPr>
              <w:fldChar w:fldCharType="separate"/>
            </w:r>
            <w:r w:rsidR="009F3E64">
              <w:rPr>
                <w:noProof/>
                <w:webHidden/>
              </w:rPr>
              <w:t>6</w:t>
            </w:r>
            <w:r w:rsidR="009F3E64">
              <w:rPr>
                <w:noProof/>
                <w:webHidden/>
              </w:rPr>
              <w:fldChar w:fldCharType="end"/>
            </w:r>
          </w:hyperlink>
        </w:p>
        <w:p w14:paraId="725C6EBF" w14:textId="54FF7CE0"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820" w:history="1">
            <w:r w:rsidR="009F3E64" w:rsidRPr="009D5693">
              <w:rPr>
                <w:rStyle w:val="Hyperlink"/>
                <w:noProof/>
              </w:rPr>
              <w:t>List of Tables</w:t>
            </w:r>
            <w:r w:rsidR="009F3E64">
              <w:rPr>
                <w:noProof/>
                <w:webHidden/>
              </w:rPr>
              <w:tab/>
            </w:r>
            <w:r w:rsidR="009F3E64">
              <w:rPr>
                <w:noProof/>
                <w:webHidden/>
              </w:rPr>
              <w:fldChar w:fldCharType="begin"/>
            </w:r>
            <w:r w:rsidR="009F3E64">
              <w:rPr>
                <w:noProof/>
                <w:webHidden/>
              </w:rPr>
              <w:instrText xml:space="preserve"> PAGEREF _Toc240922820 \h </w:instrText>
            </w:r>
            <w:r w:rsidR="009F3E64">
              <w:rPr>
                <w:noProof/>
                <w:webHidden/>
              </w:rPr>
            </w:r>
            <w:r w:rsidR="009F3E64">
              <w:rPr>
                <w:noProof/>
                <w:webHidden/>
              </w:rPr>
              <w:fldChar w:fldCharType="separate"/>
            </w:r>
            <w:r w:rsidR="009F3E64">
              <w:rPr>
                <w:noProof/>
                <w:webHidden/>
              </w:rPr>
              <w:t>6</w:t>
            </w:r>
            <w:r w:rsidR="009F3E64">
              <w:rPr>
                <w:noProof/>
                <w:webHidden/>
              </w:rPr>
              <w:fldChar w:fldCharType="end"/>
            </w:r>
          </w:hyperlink>
        </w:p>
        <w:p w14:paraId="5F119211" w14:textId="264A6299"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821" w:history="1">
            <w:r w:rsidR="009F3E64" w:rsidRPr="009D5693">
              <w:rPr>
                <w:rStyle w:val="Hyperlink"/>
                <w:noProof/>
              </w:rPr>
              <w:t>Chapter 1: Introduction</w:t>
            </w:r>
            <w:r w:rsidR="009F3E64">
              <w:rPr>
                <w:noProof/>
                <w:webHidden/>
              </w:rPr>
              <w:tab/>
            </w:r>
            <w:r w:rsidR="009F3E64">
              <w:rPr>
                <w:noProof/>
                <w:webHidden/>
              </w:rPr>
              <w:fldChar w:fldCharType="begin"/>
            </w:r>
            <w:r w:rsidR="009F3E64">
              <w:rPr>
                <w:noProof/>
                <w:webHidden/>
              </w:rPr>
              <w:instrText xml:space="preserve"> PAGEREF _Toc240922821 \h </w:instrText>
            </w:r>
            <w:r w:rsidR="009F3E64">
              <w:rPr>
                <w:noProof/>
                <w:webHidden/>
              </w:rPr>
            </w:r>
            <w:r w:rsidR="009F3E64">
              <w:rPr>
                <w:noProof/>
                <w:webHidden/>
              </w:rPr>
              <w:fldChar w:fldCharType="separate"/>
            </w:r>
            <w:r w:rsidR="009F3E64">
              <w:rPr>
                <w:noProof/>
                <w:webHidden/>
              </w:rPr>
              <w:t>11</w:t>
            </w:r>
            <w:r w:rsidR="009F3E64">
              <w:rPr>
                <w:noProof/>
                <w:webHidden/>
              </w:rPr>
              <w:fldChar w:fldCharType="end"/>
            </w:r>
          </w:hyperlink>
        </w:p>
        <w:p w14:paraId="401D799B" w14:textId="19413C46"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22" w:history="1">
            <w:r w:rsidR="009F3E64" w:rsidRPr="009D5693">
              <w:rPr>
                <w:rStyle w:val="Hyperlink"/>
                <w:noProof/>
              </w:rPr>
              <w:t>1.1 Introduction</w:t>
            </w:r>
            <w:r w:rsidR="009F3E64">
              <w:rPr>
                <w:noProof/>
                <w:webHidden/>
              </w:rPr>
              <w:tab/>
            </w:r>
            <w:r w:rsidR="009F3E64">
              <w:rPr>
                <w:noProof/>
                <w:webHidden/>
              </w:rPr>
              <w:fldChar w:fldCharType="begin"/>
            </w:r>
            <w:r w:rsidR="009F3E64">
              <w:rPr>
                <w:noProof/>
                <w:webHidden/>
              </w:rPr>
              <w:instrText xml:space="preserve"> PAGEREF _Toc240922822 \h </w:instrText>
            </w:r>
            <w:r w:rsidR="009F3E64">
              <w:rPr>
                <w:noProof/>
                <w:webHidden/>
              </w:rPr>
            </w:r>
            <w:r w:rsidR="009F3E64">
              <w:rPr>
                <w:noProof/>
                <w:webHidden/>
              </w:rPr>
              <w:fldChar w:fldCharType="separate"/>
            </w:r>
            <w:r w:rsidR="009F3E64">
              <w:rPr>
                <w:noProof/>
                <w:webHidden/>
              </w:rPr>
              <w:t>11</w:t>
            </w:r>
            <w:r w:rsidR="009F3E64">
              <w:rPr>
                <w:noProof/>
                <w:webHidden/>
              </w:rPr>
              <w:fldChar w:fldCharType="end"/>
            </w:r>
          </w:hyperlink>
        </w:p>
        <w:p w14:paraId="45CF0A92" w14:textId="16C8EE2E"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23" w:history="1">
            <w:r w:rsidR="009F3E64" w:rsidRPr="009D5693">
              <w:rPr>
                <w:rStyle w:val="Hyperlink"/>
                <w:noProof/>
              </w:rPr>
              <w:t>1.2 UK Background and Context</w:t>
            </w:r>
            <w:r w:rsidR="009F3E64">
              <w:rPr>
                <w:noProof/>
                <w:webHidden/>
              </w:rPr>
              <w:tab/>
            </w:r>
            <w:r w:rsidR="009F3E64">
              <w:rPr>
                <w:noProof/>
                <w:webHidden/>
              </w:rPr>
              <w:fldChar w:fldCharType="begin"/>
            </w:r>
            <w:r w:rsidR="009F3E64">
              <w:rPr>
                <w:noProof/>
                <w:webHidden/>
              </w:rPr>
              <w:instrText xml:space="preserve"> PAGEREF _Toc240922823 \h </w:instrText>
            </w:r>
            <w:r w:rsidR="009F3E64">
              <w:rPr>
                <w:noProof/>
                <w:webHidden/>
              </w:rPr>
            </w:r>
            <w:r w:rsidR="009F3E64">
              <w:rPr>
                <w:noProof/>
                <w:webHidden/>
              </w:rPr>
              <w:fldChar w:fldCharType="separate"/>
            </w:r>
            <w:r w:rsidR="009F3E64">
              <w:rPr>
                <w:noProof/>
                <w:webHidden/>
              </w:rPr>
              <w:t>11</w:t>
            </w:r>
            <w:r w:rsidR="009F3E64">
              <w:rPr>
                <w:noProof/>
                <w:webHidden/>
              </w:rPr>
              <w:fldChar w:fldCharType="end"/>
            </w:r>
          </w:hyperlink>
        </w:p>
        <w:p w14:paraId="32D56605" w14:textId="30955E2E"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24" w:history="1">
            <w:r w:rsidR="009F3E64" w:rsidRPr="009D5693">
              <w:rPr>
                <w:rStyle w:val="Hyperlink"/>
                <w:noProof/>
              </w:rPr>
              <w:t>1.3 Problem Statement</w:t>
            </w:r>
            <w:r w:rsidR="009F3E64">
              <w:rPr>
                <w:noProof/>
                <w:webHidden/>
              </w:rPr>
              <w:tab/>
            </w:r>
            <w:r w:rsidR="009F3E64">
              <w:rPr>
                <w:noProof/>
                <w:webHidden/>
              </w:rPr>
              <w:fldChar w:fldCharType="begin"/>
            </w:r>
            <w:r w:rsidR="009F3E64">
              <w:rPr>
                <w:noProof/>
                <w:webHidden/>
              </w:rPr>
              <w:instrText xml:space="preserve"> PAGEREF _Toc240922824 \h </w:instrText>
            </w:r>
            <w:r w:rsidR="009F3E64">
              <w:rPr>
                <w:noProof/>
                <w:webHidden/>
              </w:rPr>
            </w:r>
            <w:r w:rsidR="009F3E64">
              <w:rPr>
                <w:noProof/>
                <w:webHidden/>
              </w:rPr>
              <w:fldChar w:fldCharType="separate"/>
            </w:r>
            <w:r w:rsidR="009F3E64">
              <w:rPr>
                <w:noProof/>
                <w:webHidden/>
              </w:rPr>
              <w:t>12</w:t>
            </w:r>
            <w:r w:rsidR="009F3E64">
              <w:rPr>
                <w:noProof/>
                <w:webHidden/>
              </w:rPr>
              <w:fldChar w:fldCharType="end"/>
            </w:r>
          </w:hyperlink>
        </w:p>
        <w:p w14:paraId="3FB7A5A2" w14:textId="24F69FBB"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25" w:history="1">
            <w:r w:rsidR="009F3E64" w:rsidRPr="009D5693">
              <w:rPr>
                <w:rStyle w:val="Hyperlink"/>
                <w:noProof/>
              </w:rPr>
              <w:t>1.4 Rationale and Critical Justification</w:t>
            </w:r>
            <w:r w:rsidR="009F3E64">
              <w:rPr>
                <w:noProof/>
                <w:webHidden/>
              </w:rPr>
              <w:tab/>
            </w:r>
            <w:r w:rsidR="009F3E64">
              <w:rPr>
                <w:noProof/>
                <w:webHidden/>
              </w:rPr>
              <w:fldChar w:fldCharType="begin"/>
            </w:r>
            <w:r w:rsidR="009F3E64">
              <w:rPr>
                <w:noProof/>
                <w:webHidden/>
              </w:rPr>
              <w:instrText xml:space="preserve"> PAGEREF _Toc240922825 \h </w:instrText>
            </w:r>
            <w:r w:rsidR="009F3E64">
              <w:rPr>
                <w:noProof/>
                <w:webHidden/>
              </w:rPr>
            </w:r>
            <w:r w:rsidR="009F3E64">
              <w:rPr>
                <w:noProof/>
                <w:webHidden/>
              </w:rPr>
              <w:fldChar w:fldCharType="separate"/>
            </w:r>
            <w:r w:rsidR="009F3E64">
              <w:rPr>
                <w:noProof/>
                <w:webHidden/>
              </w:rPr>
              <w:t>13</w:t>
            </w:r>
            <w:r w:rsidR="009F3E64">
              <w:rPr>
                <w:noProof/>
                <w:webHidden/>
              </w:rPr>
              <w:fldChar w:fldCharType="end"/>
            </w:r>
          </w:hyperlink>
        </w:p>
        <w:p w14:paraId="035A0D33" w14:textId="0BAD67D4"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26" w:history="1">
            <w:r w:rsidR="009F3E64" w:rsidRPr="009D5693">
              <w:rPr>
                <w:rStyle w:val="Hyperlink"/>
                <w:noProof/>
              </w:rPr>
              <w:t>1.5 Research Question, Research Aim and Research Objectives</w:t>
            </w:r>
            <w:r w:rsidR="009F3E64">
              <w:rPr>
                <w:noProof/>
                <w:webHidden/>
              </w:rPr>
              <w:tab/>
            </w:r>
            <w:r w:rsidR="009F3E64">
              <w:rPr>
                <w:noProof/>
                <w:webHidden/>
              </w:rPr>
              <w:fldChar w:fldCharType="begin"/>
            </w:r>
            <w:r w:rsidR="009F3E64">
              <w:rPr>
                <w:noProof/>
                <w:webHidden/>
              </w:rPr>
              <w:instrText xml:space="preserve"> PAGEREF _Toc240922826 \h </w:instrText>
            </w:r>
            <w:r w:rsidR="009F3E64">
              <w:rPr>
                <w:noProof/>
                <w:webHidden/>
              </w:rPr>
            </w:r>
            <w:r w:rsidR="009F3E64">
              <w:rPr>
                <w:noProof/>
                <w:webHidden/>
              </w:rPr>
              <w:fldChar w:fldCharType="separate"/>
            </w:r>
            <w:r w:rsidR="009F3E64">
              <w:rPr>
                <w:noProof/>
                <w:webHidden/>
              </w:rPr>
              <w:t>14</w:t>
            </w:r>
            <w:r w:rsidR="009F3E64">
              <w:rPr>
                <w:noProof/>
                <w:webHidden/>
              </w:rPr>
              <w:fldChar w:fldCharType="end"/>
            </w:r>
          </w:hyperlink>
        </w:p>
        <w:p w14:paraId="30B90CBC" w14:textId="0A56C942"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27" w:history="1">
            <w:r w:rsidR="009F3E64" w:rsidRPr="009D5693">
              <w:rPr>
                <w:rStyle w:val="Hyperlink"/>
                <w:noProof/>
              </w:rPr>
              <w:t>1.6 Scope and Significance</w:t>
            </w:r>
            <w:r w:rsidR="009F3E64">
              <w:rPr>
                <w:noProof/>
                <w:webHidden/>
              </w:rPr>
              <w:tab/>
            </w:r>
            <w:r w:rsidR="009F3E64">
              <w:rPr>
                <w:noProof/>
                <w:webHidden/>
              </w:rPr>
              <w:fldChar w:fldCharType="begin"/>
            </w:r>
            <w:r w:rsidR="009F3E64">
              <w:rPr>
                <w:noProof/>
                <w:webHidden/>
              </w:rPr>
              <w:instrText xml:space="preserve"> PAGEREF _Toc240922827 \h </w:instrText>
            </w:r>
            <w:r w:rsidR="009F3E64">
              <w:rPr>
                <w:noProof/>
                <w:webHidden/>
              </w:rPr>
            </w:r>
            <w:r w:rsidR="009F3E64">
              <w:rPr>
                <w:noProof/>
                <w:webHidden/>
              </w:rPr>
              <w:fldChar w:fldCharType="separate"/>
            </w:r>
            <w:r w:rsidR="009F3E64">
              <w:rPr>
                <w:noProof/>
                <w:webHidden/>
              </w:rPr>
              <w:t>15</w:t>
            </w:r>
            <w:r w:rsidR="009F3E64">
              <w:rPr>
                <w:noProof/>
                <w:webHidden/>
              </w:rPr>
              <w:fldChar w:fldCharType="end"/>
            </w:r>
          </w:hyperlink>
        </w:p>
        <w:p w14:paraId="462A4C68" w14:textId="6CB5AD2C"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28" w:history="1">
            <w:r w:rsidR="009F3E64" w:rsidRPr="009D5693">
              <w:rPr>
                <w:rStyle w:val="Hyperlink"/>
                <w:noProof/>
              </w:rPr>
              <w:t>1.7 Dissertation Structure</w:t>
            </w:r>
            <w:r w:rsidR="009F3E64">
              <w:rPr>
                <w:noProof/>
                <w:webHidden/>
              </w:rPr>
              <w:tab/>
            </w:r>
            <w:r w:rsidR="009F3E64">
              <w:rPr>
                <w:noProof/>
                <w:webHidden/>
              </w:rPr>
              <w:fldChar w:fldCharType="begin"/>
            </w:r>
            <w:r w:rsidR="009F3E64">
              <w:rPr>
                <w:noProof/>
                <w:webHidden/>
              </w:rPr>
              <w:instrText xml:space="preserve"> PAGEREF _Toc240922828 \h </w:instrText>
            </w:r>
            <w:r w:rsidR="009F3E64">
              <w:rPr>
                <w:noProof/>
                <w:webHidden/>
              </w:rPr>
            </w:r>
            <w:r w:rsidR="009F3E64">
              <w:rPr>
                <w:noProof/>
                <w:webHidden/>
              </w:rPr>
              <w:fldChar w:fldCharType="separate"/>
            </w:r>
            <w:r w:rsidR="009F3E64">
              <w:rPr>
                <w:noProof/>
                <w:webHidden/>
              </w:rPr>
              <w:t>15</w:t>
            </w:r>
            <w:r w:rsidR="009F3E64">
              <w:rPr>
                <w:noProof/>
                <w:webHidden/>
              </w:rPr>
              <w:fldChar w:fldCharType="end"/>
            </w:r>
          </w:hyperlink>
        </w:p>
        <w:p w14:paraId="5FC20FE4" w14:textId="572E7A5B"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29" w:history="1">
            <w:r w:rsidR="009F3E64" w:rsidRPr="009D5693">
              <w:rPr>
                <w:rStyle w:val="Hyperlink"/>
                <w:noProof/>
              </w:rPr>
              <w:t>1.8 Chapter Summary</w:t>
            </w:r>
            <w:r w:rsidR="009F3E64">
              <w:rPr>
                <w:noProof/>
                <w:webHidden/>
              </w:rPr>
              <w:tab/>
            </w:r>
            <w:r w:rsidR="009F3E64">
              <w:rPr>
                <w:noProof/>
                <w:webHidden/>
              </w:rPr>
              <w:fldChar w:fldCharType="begin"/>
            </w:r>
            <w:r w:rsidR="009F3E64">
              <w:rPr>
                <w:noProof/>
                <w:webHidden/>
              </w:rPr>
              <w:instrText xml:space="preserve"> PAGEREF _Toc240922829 \h </w:instrText>
            </w:r>
            <w:r w:rsidR="009F3E64">
              <w:rPr>
                <w:noProof/>
                <w:webHidden/>
              </w:rPr>
            </w:r>
            <w:r w:rsidR="009F3E64">
              <w:rPr>
                <w:noProof/>
                <w:webHidden/>
              </w:rPr>
              <w:fldChar w:fldCharType="separate"/>
            </w:r>
            <w:r w:rsidR="009F3E64">
              <w:rPr>
                <w:noProof/>
                <w:webHidden/>
              </w:rPr>
              <w:t>15</w:t>
            </w:r>
            <w:r w:rsidR="009F3E64">
              <w:rPr>
                <w:noProof/>
                <w:webHidden/>
              </w:rPr>
              <w:fldChar w:fldCharType="end"/>
            </w:r>
          </w:hyperlink>
        </w:p>
        <w:p w14:paraId="32E87D10" w14:textId="669CCB1E"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830" w:history="1">
            <w:r w:rsidR="009F3E64" w:rsidRPr="009D5693">
              <w:rPr>
                <w:rStyle w:val="Hyperlink"/>
                <w:noProof/>
                <w:lang w:val="en-GB"/>
              </w:rPr>
              <w:t>Chapter 2: Literature Review and Conceptual Framework</w:t>
            </w:r>
            <w:r w:rsidR="009F3E64">
              <w:rPr>
                <w:noProof/>
                <w:webHidden/>
              </w:rPr>
              <w:tab/>
            </w:r>
            <w:r w:rsidR="009F3E64">
              <w:rPr>
                <w:noProof/>
                <w:webHidden/>
              </w:rPr>
              <w:fldChar w:fldCharType="begin"/>
            </w:r>
            <w:r w:rsidR="009F3E64">
              <w:rPr>
                <w:noProof/>
                <w:webHidden/>
              </w:rPr>
              <w:instrText xml:space="preserve"> PAGEREF _Toc240922830 \h </w:instrText>
            </w:r>
            <w:r w:rsidR="009F3E64">
              <w:rPr>
                <w:noProof/>
                <w:webHidden/>
              </w:rPr>
            </w:r>
            <w:r w:rsidR="009F3E64">
              <w:rPr>
                <w:noProof/>
                <w:webHidden/>
              </w:rPr>
              <w:fldChar w:fldCharType="separate"/>
            </w:r>
            <w:r w:rsidR="009F3E64">
              <w:rPr>
                <w:noProof/>
                <w:webHidden/>
              </w:rPr>
              <w:t>16</w:t>
            </w:r>
            <w:r w:rsidR="009F3E64">
              <w:rPr>
                <w:noProof/>
                <w:webHidden/>
              </w:rPr>
              <w:fldChar w:fldCharType="end"/>
            </w:r>
          </w:hyperlink>
        </w:p>
        <w:p w14:paraId="1C12A37C" w14:textId="42C39082"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31" w:history="1">
            <w:r w:rsidR="009F3E64" w:rsidRPr="009D5693">
              <w:rPr>
                <w:rStyle w:val="Hyperlink"/>
                <w:noProof/>
              </w:rPr>
              <w:t>2.1 Introduction</w:t>
            </w:r>
            <w:r w:rsidR="009F3E64">
              <w:rPr>
                <w:noProof/>
                <w:webHidden/>
              </w:rPr>
              <w:tab/>
            </w:r>
            <w:r w:rsidR="009F3E64">
              <w:rPr>
                <w:noProof/>
                <w:webHidden/>
              </w:rPr>
              <w:fldChar w:fldCharType="begin"/>
            </w:r>
            <w:r w:rsidR="009F3E64">
              <w:rPr>
                <w:noProof/>
                <w:webHidden/>
              </w:rPr>
              <w:instrText xml:space="preserve"> PAGEREF _Toc240922831 \h </w:instrText>
            </w:r>
            <w:r w:rsidR="009F3E64">
              <w:rPr>
                <w:noProof/>
                <w:webHidden/>
              </w:rPr>
            </w:r>
            <w:r w:rsidR="009F3E64">
              <w:rPr>
                <w:noProof/>
                <w:webHidden/>
              </w:rPr>
              <w:fldChar w:fldCharType="separate"/>
            </w:r>
            <w:r w:rsidR="009F3E64">
              <w:rPr>
                <w:noProof/>
                <w:webHidden/>
              </w:rPr>
              <w:t>16</w:t>
            </w:r>
            <w:r w:rsidR="009F3E64">
              <w:rPr>
                <w:noProof/>
                <w:webHidden/>
              </w:rPr>
              <w:fldChar w:fldCharType="end"/>
            </w:r>
          </w:hyperlink>
        </w:p>
        <w:p w14:paraId="12168944" w14:textId="0639035A"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32" w:history="1">
            <w:r w:rsidR="009F3E64" w:rsidRPr="009D5693">
              <w:rPr>
                <w:rStyle w:val="Hyperlink"/>
                <w:noProof/>
              </w:rPr>
              <w:t>2.2 Rheumatoid Arthritis as a UK Public-Health Problem</w:t>
            </w:r>
            <w:r w:rsidR="009F3E64">
              <w:rPr>
                <w:noProof/>
                <w:webHidden/>
              </w:rPr>
              <w:tab/>
            </w:r>
            <w:r w:rsidR="009F3E64">
              <w:rPr>
                <w:noProof/>
                <w:webHidden/>
              </w:rPr>
              <w:fldChar w:fldCharType="begin"/>
            </w:r>
            <w:r w:rsidR="009F3E64">
              <w:rPr>
                <w:noProof/>
                <w:webHidden/>
              </w:rPr>
              <w:instrText xml:space="preserve"> PAGEREF _Toc240922832 \h </w:instrText>
            </w:r>
            <w:r w:rsidR="009F3E64">
              <w:rPr>
                <w:noProof/>
                <w:webHidden/>
              </w:rPr>
            </w:r>
            <w:r w:rsidR="009F3E64">
              <w:rPr>
                <w:noProof/>
                <w:webHidden/>
              </w:rPr>
              <w:fldChar w:fldCharType="separate"/>
            </w:r>
            <w:r w:rsidR="009F3E64">
              <w:rPr>
                <w:noProof/>
                <w:webHidden/>
              </w:rPr>
              <w:t>16</w:t>
            </w:r>
            <w:r w:rsidR="009F3E64">
              <w:rPr>
                <w:noProof/>
                <w:webHidden/>
              </w:rPr>
              <w:fldChar w:fldCharType="end"/>
            </w:r>
          </w:hyperlink>
        </w:p>
        <w:p w14:paraId="059CB88B" w14:textId="46E2C2E3"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33" w:history="1">
            <w:r w:rsidR="009F3E64" w:rsidRPr="009D5693">
              <w:rPr>
                <w:rStyle w:val="Hyperlink"/>
                <w:noProof/>
              </w:rPr>
              <w:t>2.2.1 Clinical and Epidemiological Context</w:t>
            </w:r>
            <w:r w:rsidR="009F3E64">
              <w:rPr>
                <w:noProof/>
                <w:webHidden/>
              </w:rPr>
              <w:tab/>
            </w:r>
            <w:r w:rsidR="009F3E64">
              <w:rPr>
                <w:noProof/>
                <w:webHidden/>
              </w:rPr>
              <w:fldChar w:fldCharType="begin"/>
            </w:r>
            <w:r w:rsidR="009F3E64">
              <w:rPr>
                <w:noProof/>
                <w:webHidden/>
              </w:rPr>
              <w:instrText xml:space="preserve"> PAGEREF _Toc240922833 \h </w:instrText>
            </w:r>
            <w:r w:rsidR="009F3E64">
              <w:rPr>
                <w:noProof/>
                <w:webHidden/>
              </w:rPr>
            </w:r>
            <w:r w:rsidR="009F3E64">
              <w:rPr>
                <w:noProof/>
                <w:webHidden/>
              </w:rPr>
              <w:fldChar w:fldCharType="separate"/>
            </w:r>
            <w:r w:rsidR="009F3E64">
              <w:rPr>
                <w:noProof/>
                <w:webHidden/>
              </w:rPr>
              <w:t>16</w:t>
            </w:r>
            <w:r w:rsidR="009F3E64">
              <w:rPr>
                <w:noProof/>
                <w:webHidden/>
              </w:rPr>
              <w:fldChar w:fldCharType="end"/>
            </w:r>
          </w:hyperlink>
        </w:p>
        <w:p w14:paraId="686060DE" w14:textId="595A5D67"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34" w:history="1">
            <w:r w:rsidR="009F3E64" w:rsidRPr="009D5693">
              <w:rPr>
                <w:rStyle w:val="Hyperlink"/>
                <w:noProof/>
              </w:rPr>
              <w:t>2.2.2 Early Disease and the Window of Opportunity</w:t>
            </w:r>
            <w:r w:rsidR="009F3E64">
              <w:rPr>
                <w:noProof/>
                <w:webHidden/>
              </w:rPr>
              <w:tab/>
            </w:r>
            <w:r w:rsidR="009F3E64">
              <w:rPr>
                <w:noProof/>
                <w:webHidden/>
              </w:rPr>
              <w:fldChar w:fldCharType="begin"/>
            </w:r>
            <w:r w:rsidR="009F3E64">
              <w:rPr>
                <w:noProof/>
                <w:webHidden/>
              </w:rPr>
              <w:instrText xml:space="preserve"> PAGEREF _Toc240922834 \h </w:instrText>
            </w:r>
            <w:r w:rsidR="009F3E64">
              <w:rPr>
                <w:noProof/>
                <w:webHidden/>
              </w:rPr>
            </w:r>
            <w:r w:rsidR="009F3E64">
              <w:rPr>
                <w:noProof/>
                <w:webHidden/>
              </w:rPr>
              <w:fldChar w:fldCharType="separate"/>
            </w:r>
            <w:r w:rsidR="009F3E64">
              <w:rPr>
                <w:noProof/>
                <w:webHidden/>
              </w:rPr>
              <w:t>17</w:t>
            </w:r>
            <w:r w:rsidR="009F3E64">
              <w:rPr>
                <w:noProof/>
                <w:webHidden/>
              </w:rPr>
              <w:fldChar w:fldCharType="end"/>
            </w:r>
          </w:hyperlink>
        </w:p>
        <w:p w14:paraId="54712393" w14:textId="10B4524C"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35" w:history="1">
            <w:r w:rsidR="009F3E64" w:rsidRPr="009D5693">
              <w:rPr>
                <w:rStyle w:val="Hyperlink"/>
                <w:noProof/>
              </w:rPr>
              <w:t>2.2.3 NHS Pathways, Delay and Inequality</w:t>
            </w:r>
            <w:r w:rsidR="009F3E64">
              <w:rPr>
                <w:noProof/>
                <w:webHidden/>
              </w:rPr>
              <w:tab/>
            </w:r>
            <w:r w:rsidR="009F3E64">
              <w:rPr>
                <w:noProof/>
                <w:webHidden/>
              </w:rPr>
              <w:fldChar w:fldCharType="begin"/>
            </w:r>
            <w:r w:rsidR="009F3E64">
              <w:rPr>
                <w:noProof/>
                <w:webHidden/>
              </w:rPr>
              <w:instrText xml:space="preserve"> PAGEREF _Toc240922835 \h </w:instrText>
            </w:r>
            <w:r w:rsidR="009F3E64">
              <w:rPr>
                <w:noProof/>
                <w:webHidden/>
              </w:rPr>
            </w:r>
            <w:r w:rsidR="009F3E64">
              <w:rPr>
                <w:noProof/>
                <w:webHidden/>
              </w:rPr>
              <w:fldChar w:fldCharType="separate"/>
            </w:r>
            <w:r w:rsidR="009F3E64">
              <w:rPr>
                <w:noProof/>
                <w:webHidden/>
              </w:rPr>
              <w:t>17</w:t>
            </w:r>
            <w:r w:rsidR="009F3E64">
              <w:rPr>
                <w:noProof/>
                <w:webHidden/>
              </w:rPr>
              <w:fldChar w:fldCharType="end"/>
            </w:r>
          </w:hyperlink>
        </w:p>
        <w:p w14:paraId="136EB312" w14:textId="12B0F4FE"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36" w:history="1">
            <w:r w:rsidR="009F3E64" w:rsidRPr="009D5693">
              <w:rPr>
                <w:rStyle w:val="Hyperlink"/>
                <w:noProof/>
              </w:rPr>
              <w:t>2.3 Early Diagnosis, Treatment and Disease Severity</w:t>
            </w:r>
            <w:r w:rsidR="009F3E64">
              <w:rPr>
                <w:noProof/>
                <w:webHidden/>
              </w:rPr>
              <w:tab/>
            </w:r>
            <w:r w:rsidR="009F3E64">
              <w:rPr>
                <w:noProof/>
                <w:webHidden/>
              </w:rPr>
              <w:fldChar w:fldCharType="begin"/>
            </w:r>
            <w:r w:rsidR="009F3E64">
              <w:rPr>
                <w:noProof/>
                <w:webHidden/>
              </w:rPr>
              <w:instrText xml:space="preserve"> PAGEREF _Toc240922836 \h </w:instrText>
            </w:r>
            <w:r w:rsidR="009F3E64">
              <w:rPr>
                <w:noProof/>
                <w:webHidden/>
              </w:rPr>
            </w:r>
            <w:r w:rsidR="009F3E64">
              <w:rPr>
                <w:noProof/>
                <w:webHidden/>
              </w:rPr>
              <w:fldChar w:fldCharType="separate"/>
            </w:r>
            <w:r w:rsidR="009F3E64">
              <w:rPr>
                <w:noProof/>
                <w:webHidden/>
              </w:rPr>
              <w:t>18</w:t>
            </w:r>
            <w:r w:rsidR="009F3E64">
              <w:rPr>
                <w:noProof/>
                <w:webHidden/>
              </w:rPr>
              <w:fldChar w:fldCharType="end"/>
            </w:r>
          </w:hyperlink>
        </w:p>
        <w:p w14:paraId="18D865E6" w14:textId="1C08658F"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37" w:history="1">
            <w:r w:rsidR="009F3E64" w:rsidRPr="009D5693">
              <w:rPr>
                <w:rStyle w:val="Hyperlink"/>
                <w:noProof/>
              </w:rPr>
              <w:t>2.3.1 Recognition, Referral and Diagnostic Accuracy</w:t>
            </w:r>
            <w:r w:rsidR="009F3E64">
              <w:rPr>
                <w:noProof/>
                <w:webHidden/>
              </w:rPr>
              <w:tab/>
            </w:r>
            <w:r w:rsidR="009F3E64">
              <w:rPr>
                <w:noProof/>
                <w:webHidden/>
              </w:rPr>
              <w:fldChar w:fldCharType="begin"/>
            </w:r>
            <w:r w:rsidR="009F3E64">
              <w:rPr>
                <w:noProof/>
                <w:webHidden/>
              </w:rPr>
              <w:instrText xml:space="preserve"> PAGEREF _Toc240922837 \h </w:instrText>
            </w:r>
            <w:r w:rsidR="009F3E64">
              <w:rPr>
                <w:noProof/>
                <w:webHidden/>
              </w:rPr>
            </w:r>
            <w:r w:rsidR="009F3E64">
              <w:rPr>
                <w:noProof/>
                <w:webHidden/>
              </w:rPr>
              <w:fldChar w:fldCharType="separate"/>
            </w:r>
            <w:r w:rsidR="009F3E64">
              <w:rPr>
                <w:noProof/>
                <w:webHidden/>
              </w:rPr>
              <w:t>18</w:t>
            </w:r>
            <w:r w:rsidR="009F3E64">
              <w:rPr>
                <w:noProof/>
                <w:webHidden/>
              </w:rPr>
              <w:fldChar w:fldCharType="end"/>
            </w:r>
          </w:hyperlink>
        </w:p>
        <w:p w14:paraId="40C9F069" w14:textId="3531DF1D"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38" w:history="1">
            <w:r w:rsidR="009F3E64" w:rsidRPr="009D5693">
              <w:rPr>
                <w:rStyle w:val="Hyperlink"/>
                <w:noProof/>
              </w:rPr>
              <w:t>2.3.2 DMARD Initiation and Treat-to-Target Care</w:t>
            </w:r>
            <w:r w:rsidR="009F3E64">
              <w:rPr>
                <w:noProof/>
                <w:webHidden/>
              </w:rPr>
              <w:tab/>
            </w:r>
            <w:r w:rsidR="009F3E64">
              <w:rPr>
                <w:noProof/>
                <w:webHidden/>
              </w:rPr>
              <w:fldChar w:fldCharType="begin"/>
            </w:r>
            <w:r w:rsidR="009F3E64">
              <w:rPr>
                <w:noProof/>
                <w:webHidden/>
              </w:rPr>
              <w:instrText xml:space="preserve"> PAGEREF _Toc240922838 \h </w:instrText>
            </w:r>
            <w:r w:rsidR="009F3E64">
              <w:rPr>
                <w:noProof/>
                <w:webHidden/>
              </w:rPr>
            </w:r>
            <w:r w:rsidR="009F3E64">
              <w:rPr>
                <w:noProof/>
                <w:webHidden/>
              </w:rPr>
              <w:fldChar w:fldCharType="separate"/>
            </w:r>
            <w:r w:rsidR="009F3E64">
              <w:rPr>
                <w:noProof/>
                <w:webHidden/>
              </w:rPr>
              <w:t>19</w:t>
            </w:r>
            <w:r w:rsidR="009F3E64">
              <w:rPr>
                <w:noProof/>
                <w:webHidden/>
              </w:rPr>
              <w:fldChar w:fldCharType="end"/>
            </w:r>
          </w:hyperlink>
        </w:p>
        <w:p w14:paraId="1E18CD67" w14:textId="54DF4064"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39" w:history="1">
            <w:r w:rsidR="009F3E64" w:rsidRPr="009D5693">
              <w:rPr>
                <w:rStyle w:val="Hyperlink"/>
                <w:noProof/>
              </w:rPr>
              <w:t>2.3.3 Disease Activity, Remission and Disability</w:t>
            </w:r>
            <w:r w:rsidR="009F3E64">
              <w:rPr>
                <w:noProof/>
                <w:webHidden/>
              </w:rPr>
              <w:tab/>
            </w:r>
            <w:r w:rsidR="009F3E64">
              <w:rPr>
                <w:noProof/>
                <w:webHidden/>
              </w:rPr>
              <w:fldChar w:fldCharType="begin"/>
            </w:r>
            <w:r w:rsidR="009F3E64">
              <w:rPr>
                <w:noProof/>
                <w:webHidden/>
              </w:rPr>
              <w:instrText xml:space="preserve"> PAGEREF _Toc240922839 \h </w:instrText>
            </w:r>
            <w:r w:rsidR="009F3E64">
              <w:rPr>
                <w:noProof/>
                <w:webHidden/>
              </w:rPr>
            </w:r>
            <w:r w:rsidR="009F3E64">
              <w:rPr>
                <w:noProof/>
                <w:webHidden/>
              </w:rPr>
              <w:fldChar w:fldCharType="separate"/>
            </w:r>
            <w:r w:rsidR="009F3E64">
              <w:rPr>
                <w:noProof/>
                <w:webHidden/>
              </w:rPr>
              <w:t>20</w:t>
            </w:r>
            <w:r w:rsidR="009F3E64">
              <w:rPr>
                <w:noProof/>
                <w:webHidden/>
              </w:rPr>
              <w:fldChar w:fldCharType="end"/>
            </w:r>
          </w:hyperlink>
        </w:p>
        <w:p w14:paraId="388CB96B" w14:textId="6BD9B843"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40" w:history="1">
            <w:r w:rsidR="009F3E64" w:rsidRPr="009D5693">
              <w:rPr>
                <w:rStyle w:val="Hyperlink"/>
                <w:noProof/>
              </w:rPr>
              <w:t>2.3.4 Measuring Severity and Remission</w:t>
            </w:r>
            <w:r w:rsidR="009F3E64">
              <w:rPr>
                <w:noProof/>
                <w:webHidden/>
              </w:rPr>
              <w:tab/>
            </w:r>
            <w:r w:rsidR="009F3E64">
              <w:rPr>
                <w:noProof/>
                <w:webHidden/>
              </w:rPr>
              <w:fldChar w:fldCharType="begin"/>
            </w:r>
            <w:r w:rsidR="009F3E64">
              <w:rPr>
                <w:noProof/>
                <w:webHidden/>
              </w:rPr>
              <w:instrText xml:space="preserve"> PAGEREF _Toc240922840 \h </w:instrText>
            </w:r>
            <w:r w:rsidR="009F3E64">
              <w:rPr>
                <w:noProof/>
                <w:webHidden/>
              </w:rPr>
            </w:r>
            <w:r w:rsidR="009F3E64">
              <w:rPr>
                <w:noProof/>
                <w:webHidden/>
              </w:rPr>
              <w:fldChar w:fldCharType="separate"/>
            </w:r>
            <w:r w:rsidR="009F3E64">
              <w:rPr>
                <w:noProof/>
                <w:webHidden/>
              </w:rPr>
              <w:t>21</w:t>
            </w:r>
            <w:r w:rsidR="009F3E64">
              <w:rPr>
                <w:noProof/>
                <w:webHidden/>
              </w:rPr>
              <w:fldChar w:fldCharType="end"/>
            </w:r>
          </w:hyperlink>
        </w:p>
        <w:p w14:paraId="09B1FEEA" w14:textId="3AFB3D15"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41" w:history="1">
            <w:r w:rsidR="009F3E64" w:rsidRPr="009D5693">
              <w:rPr>
                <w:rStyle w:val="Hyperlink"/>
                <w:noProof/>
              </w:rPr>
              <w:t>2.4 Quality of Life and Wider Patient Outcomes</w:t>
            </w:r>
            <w:r w:rsidR="009F3E64">
              <w:rPr>
                <w:noProof/>
                <w:webHidden/>
              </w:rPr>
              <w:tab/>
            </w:r>
            <w:r w:rsidR="009F3E64">
              <w:rPr>
                <w:noProof/>
                <w:webHidden/>
              </w:rPr>
              <w:fldChar w:fldCharType="begin"/>
            </w:r>
            <w:r w:rsidR="009F3E64">
              <w:rPr>
                <w:noProof/>
                <w:webHidden/>
              </w:rPr>
              <w:instrText xml:space="preserve"> PAGEREF _Toc240922841 \h </w:instrText>
            </w:r>
            <w:r w:rsidR="009F3E64">
              <w:rPr>
                <w:noProof/>
                <w:webHidden/>
              </w:rPr>
            </w:r>
            <w:r w:rsidR="009F3E64">
              <w:rPr>
                <w:noProof/>
                <w:webHidden/>
              </w:rPr>
              <w:fldChar w:fldCharType="separate"/>
            </w:r>
            <w:r w:rsidR="009F3E64">
              <w:rPr>
                <w:noProof/>
                <w:webHidden/>
              </w:rPr>
              <w:t>22</w:t>
            </w:r>
            <w:r w:rsidR="009F3E64">
              <w:rPr>
                <w:noProof/>
                <w:webHidden/>
              </w:rPr>
              <w:fldChar w:fldCharType="end"/>
            </w:r>
          </w:hyperlink>
        </w:p>
        <w:p w14:paraId="0C8CFD99" w14:textId="45F35871"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42" w:history="1">
            <w:r w:rsidR="009F3E64" w:rsidRPr="009D5693">
              <w:rPr>
                <w:rStyle w:val="Hyperlink"/>
                <w:noProof/>
              </w:rPr>
              <w:t>2.4.1 Health-Related Quality of Life, Pain and Fatigue</w:t>
            </w:r>
            <w:r w:rsidR="009F3E64">
              <w:rPr>
                <w:noProof/>
                <w:webHidden/>
              </w:rPr>
              <w:tab/>
            </w:r>
            <w:r w:rsidR="009F3E64">
              <w:rPr>
                <w:noProof/>
                <w:webHidden/>
              </w:rPr>
              <w:fldChar w:fldCharType="begin"/>
            </w:r>
            <w:r w:rsidR="009F3E64">
              <w:rPr>
                <w:noProof/>
                <w:webHidden/>
              </w:rPr>
              <w:instrText xml:space="preserve"> PAGEREF _Toc240922842 \h </w:instrText>
            </w:r>
            <w:r w:rsidR="009F3E64">
              <w:rPr>
                <w:noProof/>
                <w:webHidden/>
              </w:rPr>
            </w:r>
            <w:r w:rsidR="009F3E64">
              <w:rPr>
                <w:noProof/>
                <w:webHidden/>
              </w:rPr>
              <w:fldChar w:fldCharType="separate"/>
            </w:r>
            <w:r w:rsidR="009F3E64">
              <w:rPr>
                <w:noProof/>
                <w:webHidden/>
              </w:rPr>
              <w:t>22</w:t>
            </w:r>
            <w:r w:rsidR="009F3E64">
              <w:rPr>
                <w:noProof/>
                <w:webHidden/>
              </w:rPr>
              <w:fldChar w:fldCharType="end"/>
            </w:r>
          </w:hyperlink>
        </w:p>
        <w:p w14:paraId="17E99EF7" w14:textId="40F79190"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43" w:history="1">
            <w:r w:rsidR="009F3E64" w:rsidRPr="009D5693">
              <w:rPr>
                <w:rStyle w:val="Hyperlink"/>
                <w:noProof/>
              </w:rPr>
              <w:t>2.4.2 Psychological and Behavioural Outcomes</w:t>
            </w:r>
            <w:r w:rsidR="009F3E64">
              <w:rPr>
                <w:noProof/>
                <w:webHidden/>
              </w:rPr>
              <w:tab/>
            </w:r>
            <w:r w:rsidR="009F3E64">
              <w:rPr>
                <w:noProof/>
                <w:webHidden/>
              </w:rPr>
              <w:fldChar w:fldCharType="begin"/>
            </w:r>
            <w:r w:rsidR="009F3E64">
              <w:rPr>
                <w:noProof/>
                <w:webHidden/>
              </w:rPr>
              <w:instrText xml:space="preserve"> PAGEREF _Toc240922843 \h </w:instrText>
            </w:r>
            <w:r w:rsidR="009F3E64">
              <w:rPr>
                <w:noProof/>
                <w:webHidden/>
              </w:rPr>
            </w:r>
            <w:r w:rsidR="009F3E64">
              <w:rPr>
                <w:noProof/>
                <w:webHidden/>
              </w:rPr>
              <w:fldChar w:fldCharType="separate"/>
            </w:r>
            <w:r w:rsidR="009F3E64">
              <w:rPr>
                <w:noProof/>
                <w:webHidden/>
              </w:rPr>
              <w:t>23</w:t>
            </w:r>
            <w:r w:rsidR="009F3E64">
              <w:rPr>
                <w:noProof/>
                <w:webHidden/>
              </w:rPr>
              <w:fldChar w:fldCharType="end"/>
            </w:r>
          </w:hyperlink>
        </w:p>
        <w:p w14:paraId="78842F09" w14:textId="63E4C0F3"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44" w:history="1">
            <w:r w:rsidR="009F3E64" w:rsidRPr="009D5693">
              <w:rPr>
                <w:rStyle w:val="Hyperlink"/>
                <w:noProof/>
              </w:rPr>
              <w:t>2.4.3 Employment, Frailty and Multimorbidity</w:t>
            </w:r>
            <w:r w:rsidR="009F3E64">
              <w:rPr>
                <w:noProof/>
                <w:webHidden/>
              </w:rPr>
              <w:tab/>
            </w:r>
            <w:r w:rsidR="009F3E64">
              <w:rPr>
                <w:noProof/>
                <w:webHidden/>
              </w:rPr>
              <w:fldChar w:fldCharType="begin"/>
            </w:r>
            <w:r w:rsidR="009F3E64">
              <w:rPr>
                <w:noProof/>
                <w:webHidden/>
              </w:rPr>
              <w:instrText xml:space="preserve"> PAGEREF _Toc240922844 \h </w:instrText>
            </w:r>
            <w:r w:rsidR="009F3E64">
              <w:rPr>
                <w:noProof/>
                <w:webHidden/>
              </w:rPr>
            </w:r>
            <w:r w:rsidR="009F3E64">
              <w:rPr>
                <w:noProof/>
                <w:webHidden/>
              </w:rPr>
              <w:fldChar w:fldCharType="separate"/>
            </w:r>
            <w:r w:rsidR="009F3E64">
              <w:rPr>
                <w:noProof/>
                <w:webHidden/>
              </w:rPr>
              <w:t>23</w:t>
            </w:r>
            <w:r w:rsidR="009F3E64">
              <w:rPr>
                <w:noProof/>
                <w:webHidden/>
              </w:rPr>
              <w:fldChar w:fldCharType="end"/>
            </w:r>
          </w:hyperlink>
        </w:p>
        <w:p w14:paraId="020D6D26" w14:textId="4C4BC59D"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45" w:history="1">
            <w:r w:rsidR="009F3E64" w:rsidRPr="009D5693">
              <w:rPr>
                <w:rStyle w:val="Hyperlink"/>
                <w:noProof/>
              </w:rPr>
              <w:t>2.4.4 Inequality and Patient-Centred Care</w:t>
            </w:r>
            <w:r w:rsidR="009F3E64">
              <w:rPr>
                <w:noProof/>
                <w:webHidden/>
              </w:rPr>
              <w:tab/>
            </w:r>
            <w:r w:rsidR="009F3E64">
              <w:rPr>
                <w:noProof/>
                <w:webHidden/>
              </w:rPr>
              <w:fldChar w:fldCharType="begin"/>
            </w:r>
            <w:r w:rsidR="009F3E64">
              <w:rPr>
                <w:noProof/>
                <w:webHidden/>
              </w:rPr>
              <w:instrText xml:space="preserve"> PAGEREF _Toc240922845 \h </w:instrText>
            </w:r>
            <w:r w:rsidR="009F3E64">
              <w:rPr>
                <w:noProof/>
                <w:webHidden/>
              </w:rPr>
            </w:r>
            <w:r w:rsidR="009F3E64">
              <w:rPr>
                <w:noProof/>
                <w:webHidden/>
              </w:rPr>
              <w:fldChar w:fldCharType="separate"/>
            </w:r>
            <w:r w:rsidR="009F3E64">
              <w:rPr>
                <w:noProof/>
                <w:webHidden/>
              </w:rPr>
              <w:t>24</w:t>
            </w:r>
            <w:r w:rsidR="009F3E64">
              <w:rPr>
                <w:noProof/>
                <w:webHidden/>
              </w:rPr>
              <w:fldChar w:fldCharType="end"/>
            </w:r>
          </w:hyperlink>
        </w:p>
        <w:p w14:paraId="58210E77" w14:textId="65879490"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46" w:history="1">
            <w:r w:rsidR="009F3E64" w:rsidRPr="009D5693">
              <w:rPr>
                <w:rStyle w:val="Hyperlink"/>
                <w:noProof/>
              </w:rPr>
              <w:t>2.5 Critical Synthesis, Evidence Gaps and Conceptual Framework</w:t>
            </w:r>
            <w:r w:rsidR="009F3E64">
              <w:rPr>
                <w:noProof/>
                <w:webHidden/>
              </w:rPr>
              <w:tab/>
            </w:r>
            <w:r w:rsidR="009F3E64">
              <w:rPr>
                <w:noProof/>
                <w:webHidden/>
              </w:rPr>
              <w:fldChar w:fldCharType="begin"/>
            </w:r>
            <w:r w:rsidR="009F3E64">
              <w:rPr>
                <w:noProof/>
                <w:webHidden/>
              </w:rPr>
              <w:instrText xml:space="preserve"> PAGEREF _Toc240922846 \h </w:instrText>
            </w:r>
            <w:r w:rsidR="009F3E64">
              <w:rPr>
                <w:noProof/>
                <w:webHidden/>
              </w:rPr>
            </w:r>
            <w:r w:rsidR="009F3E64">
              <w:rPr>
                <w:noProof/>
                <w:webHidden/>
              </w:rPr>
              <w:fldChar w:fldCharType="separate"/>
            </w:r>
            <w:r w:rsidR="009F3E64">
              <w:rPr>
                <w:noProof/>
                <w:webHidden/>
              </w:rPr>
              <w:t>25</w:t>
            </w:r>
            <w:r w:rsidR="009F3E64">
              <w:rPr>
                <w:noProof/>
                <w:webHidden/>
              </w:rPr>
              <w:fldChar w:fldCharType="end"/>
            </w:r>
          </w:hyperlink>
        </w:p>
        <w:p w14:paraId="0734C5E6" w14:textId="0B725586"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47" w:history="1">
            <w:r w:rsidR="009F3E64" w:rsidRPr="009D5693">
              <w:rPr>
                <w:rStyle w:val="Hyperlink"/>
                <w:noProof/>
              </w:rPr>
              <w:t>2.5.1 Strengths and Limitations of the Evidence</w:t>
            </w:r>
            <w:r w:rsidR="009F3E64">
              <w:rPr>
                <w:noProof/>
                <w:webHidden/>
              </w:rPr>
              <w:tab/>
            </w:r>
            <w:r w:rsidR="009F3E64">
              <w:rPr>
                <w:noProof/>
                <w:webHidden/>
              </w:rPr>
              <w:fldChar w:fldCharType="begin"/>
            </w:r>
            <w:r w:rsidR="009F3E64">
              <w:rPr>
                <w:noProof/>
                <w:webHidden/>
              </w:rPr>
              <w:instrText xml:space="preserve"> PAGEREF _Toc240922847 \h </w:instrText>
            </w:r>
            <w:r w:rsidR="009F3E64">
              <w:rPr>
                <w:noProof/>
                <w:webHidden/>
              </w:rPr>
            </w:r>
            <w:r w:rsidR="009F3E64">
              <w:rPr>
                <w:noProof/>
                <w:webHidden/>
              </w:rPr>
              <w:fldChar w:fldCharType="separate"/>
            </w:r>
            <w:r w:rsidR="009F3E64">
              <w:rPr>
                <w:noProof/>
                <w:webHidden/>
              </w:rPr>
              <w:t>25</w:t>
            </w:r>
            <w:r w:rsidR="009F3E64">
              <w:rPr>
                <w:noProof/>
                <w:webHidden/>
              </w:rPr>
              <w:fldChar w:fldCharType="end"/>
            </w:r>
          </w:hyperlink>
        </w:p>
        <w:p w14:paraId="0E98CACB" w14:textId="72FB4950"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48" w:history="1">
            <w:r w:rsidR="009F3E64" w:rsidRPr="009D5693">
              <w:rPr>
                <w:rStyle w:val="Hyperlink"/>
                <w:noProof/>
              </w:rPr>
              <w:t>2.5.2 Gaps in the Literature</w:t>
            </w:r>
            <w:r w:rsidR="009F3E64">
              <w:rPr>
                <w:noProof/>
                <w:webHidden/>
              </w:rPr>
              <w:tab/>
            </w:r>
            <w:r w:rsidR="009F3E64">
              <w:rPr>
                <w:noProof/>
                <w:webHidden/>
              </w:rPr>
              <w:fldChar w:fldCharType="begin"/>
            </w:r>
            <w:r w:rsidR="009F3E64">
              <w:rPr>
                <w:noProof/>
                <w:webHidden/>
              </w:rPr>
              <w:instrText xml:space="preserve"> PAGEREF _Toc240922848 \h </w:instrText>
            </w:r>
            <w:r w:rsidR="009F3E64">
              <w:rPr>
                <w:noProof/>
                <w:webHidden/>
              </w:rPr>
            </w:r>
            <w:r w:rsidR="009F3E64">
              <w:rPr>
                <w:noProof/>
                <w:webHidden/>
              </w:rPr>
              <w:fldChar w:fldCharType="separate"/>
            </w:r>
            <w:r w:rsidR="009F3E64">
              <w:rPr>
                <w:noProof/>
                <w:webHidden/>
              </w:rPr>
              <w:t>25</w:t>
            </w:r>
            <w:r w:rsidR="009F3E64">
              <w:rPr>
                <w:noProof/>
                <w:webHidden/>
              </w:rPr>
              <w:fldChar w:fldCharType="end"/>
            </w:r>
          </w:hyperlink>
        </w:p>
        <w:p w14:paraId="16A8971B" w14:textId="3774D71E"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49" w:history="1">
            <w:r w:rsidR="009F3E64" w:rsidRPr="009D5693">
              <w:rPr>
                <w:rStyle w:val="Hyperlink"/>
                <w:noProof/>
              </w:rPr>
              <w:t>2.5.3 Conceptual Framework and Theoretical Underpinning</w:t>
            </w:r>
            <w:r w:rsidR="009F3E64">
              <w:rPr>
                <w:noProof/>
                <w:webHidden/>
              </w:rPr>
              <w:tab/>
            </w:r>
            <w:r w:rsidR="009F3E64">
              <w:rPr>
                <w:noProof/>
                <w:webHidden/>
              </w:rPr>
              <w:fldChar w:fldCharType="begin"/>
            </w:r>
            <w:r w:rsidR="009F3E64">
              <w:rPr>
                <w:noProof/>
                <w:webHidden/>
              </w:rPr>
              <w:instrText xml:space="preserve"> PAGEREF _Toc240922849 \h </w:instrText>
            </w:r>
            <w:r w:rsidR="009F3E64">
              <w:rPr>
                <w:noProof/>
                <w:webHidden/>
              </w:rPr>
            </w:r>
            <w:r w:rsidR="009F3E64">
              <w:rPr>
                <w:noProof/>
                <w:webHidden/>
              </w:rPr>
              <w:fldChar w:fldCharType="separate"/>
            </w:r>
            <w:r w:rsidR="009F3E64">
              <w:rPr>
                <w:noProof/>
                <w:webHidden/>
              </w:rPr>
              <w:t>26</w:t>
            </w:r>
            <w:r w:rsidR="009F3E64">
              <w:rPr>
                <w:noProof/>
                <w:webHidden/>
              </w:rPr>
              <w:fldChar w:fldCharType="end"/>
            </w:r>
          </w:hyperlink>
        </w:p>
        <w:p w14:paraId="5CB9939D" w14:textId="43877795"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50" w:history="1">
            <w:r w:rsidR="009F3E64" w:rsidRPr="009D5693">
              <w:rPr>
                <w:rStyle w:val="Hyperlink"/>
                <w:noProof/>
              </w:rPr>
              <w:t>2.6 Chapter Summary</w:t>
            </w:r>
            <w:r w:rsidR="009F3E64">
              <w:rPr>
                <w:noProof/>
                <w:webHidden/>
              </w:rPr>
              <w:tab/>
            </w:r>
            <w:r w:rsidR="009F3E64">
              <w:rPr>
                <w:noProof/>
                <w:webHidden/>
              </w:rPr>
              <w:fldChar w:fldCharType="begin"/>
            </w:r>
            <w:r w:rsidR="009F3E64">
              <w:rPr>
                <w:noProof/>
                <w:webHidden/>
              </w:rPr>
              <w:instrText xml:space="preserve"> PAGEREF _Toc240922850 \h </w:instrText>
            </w:r>
            <w:r w:rsidR="009F3E64">
              <w:rPr>
                <w:noProof/>
                <w:webHidden/>
              </w:rPr>
            </w:r>
            <w:r w:rsidR="009F3E64">
              <w:rPr>
                <w:noProof/>
                <w:webHidden/>
              </w:rPr>
              <w:fldChar w:fldCharType="separate"/>
            </w:r>
            <w:r w:rsidR="009F3E64">
              <w:rPr>
                <w:noProof/>
                <w:webHidden/>
              </w:rPr>
              <w:t>27</w:t>
            </w:r>
            <w:r w:rsidR="009F3E64">
              <w:rPr>
                <w:noProof/>
                <w:webHidden/>
              </w:rPr>
              <w:fldChar w:fldCharType="end"/>
            </w:r>
          </w:hyperlink>
        </w:p>
        <w:p w14:paraId="5660DFB3" w14:textId="37EA7E1D"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851" w:history="1">
            <w:r w:rsidR="009F3E64" w:rsidRPr="009D5693">
              <w:rPr>
                <w:rStyle w:val="Hyperlink"/>
                <w:noProof/>
              </w:rPr>
              <w:t>Chapter 3: Methodology</w:t>
            </w:r>
            <w:r w:rsidR="009F3E64">
              <w:rPr>
                <w:noProof/>
                <w:webHidden/>
              </w:rPr>
              <w:tab/>
            </w:r>
            <w:r w:rsidR="009F3E64">
              <w:rPr>
                <w:noProof/>
                <w:webHidden/>
              </w:rPr>
              <w:fldChar w:fldCharType="begin"/>
            </w:r>
            <w:r w:rsidR="009F3E64">
              <w:rPr>
                <w:noProof/>
                <w:webHidden/>
              </w:rPr>
              <w:instrText xml:space="preserve"> PAGEREF _Toc240922851 \h </w:instrText>
            </w:r>
            <w:r w:rsidR="009F3E64">
              <w:rPr>
                <w:noProof/>
                <w:webHidden/>
              </w:rPr>
            </w:r>
            <w:r w:rsidR="009F3E64">
              <w:rPr>
                <w:noProof/>
                <w:webHidden/>
              </w:rPr>
              <w:fldChar w:fldCharType="separate"/>
            </w:r>
            <w:r w:rsidR="009F3E64">
              <w:rPr>
                <w:noProof/>
                <w:webHidden/>
              </w:rPr>
              <w:t>29</w:t>
            </w:r>
            <w:r w:rsidR="009F3E64">
              <w:rPr>
                <w:noProof/>
                <w:webHidden/>
              </w:rPr>
              <w:fldChar w:fldCharType="end"/>
            </w:r>
          </w:hyperlink>
        </w:p>
        <w:p w14:paraId="5D72C4EB" w14:textId="3A8E2C13"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52" w:history="1">
            <w:r w:rsidR="009F3E64" w:rsidRPr="009D5693">
              <w:rPr>
                <w:rStyle w:val="Hyperlink"/>
                <w:noProof/>
              </w:rPr>
              <w:t>3.0 Introduction</w:t>
            </w:r>
            <w:r w:rsidR="009F3E64">
              <w:rPr>
                <w:noProof/>
                <w:webHidden/>
              </w:rPr>
              <w:tab/>
            </w:r>
            <w:r w:rsidR="009F3E64">
              <w:rPr>
                <w:noProof/>
                <w:webHidden/>
              </w:rPr>
              <w:fldChar w:fldCharType="begin"/>
            </w:r>
            <w:r w:rsidR="009F3E64">
              <w:rPr>
                <w:noProof/>
                <w:webHidden/>
              </w:rPr>
              <w:instrText xml:space="preserve"> PAGEREF _Toc240922852 \h </w:instrText>
            </w:r>
            <w:r w:rsidR="009F3E64">
              <w:rPr>
                <w:noProof/>
                <w:webHidden/>
              </w:rPr>
            </w:r>
            <w:r w:rsidR="009F3E64">
              <w:rPr>
                <w:noProof/>
                <w:webHidden/>
              </w:rPr>
              <w:fldChar w:fldCharType="separate"/>
            </w:r>
            <w:r w:rsidR="009F3E64">
              <w:rPr>
                <w:noProof/>
                <w:webHidden/>
              </w:rPr>
              <w:t>29</w:t>
            </w:r>
            <w:r w:rsidR="009F3E64">
              <w:rPr>
                <w:noProof/>
                <w:webHidden/>
              </w:rPr>
              <w:fldChar w:fldCharType="end"/>
            </w:r>
          </w:hyperlink>
        </w:p>
        <w:p w14:paraId="16F964FC" w14:textId="66F58F72"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53" w:history="1">
            <w:r w:rsidR="009F3E64" w:rsidRPr="009D5693">
              <w:rPr>
                <w:rStyle w:val="Hyperlink"/>
                <w:noProof/>
              </w:rPr>
              <w:t>3.1 Study Design</w:t>
            </w:r>
            <w:r w:rsidR="009F3E64">
              <w:rPr>
                <w:noProof/>
                <w:webHidden/>
              </w:rPr>
              <w:tab/>
            </w:r>
            <w:r w:rsidR="009F3E64">
              <w:rPr>
                <w:noProof/>
                <w:webHidden/>
              </w:rPr>
              <w:fldChar w:fldCharType="begin"/>
            </w:r>
            <w:r w:rsidR="009F3E64">
              <w:rPr>
                <w:noProof/>
                <w:webHidden/>
              </w:rPr>
              <w:instrText xml:space="preserve"> PAGEREF _Toc240922853 \h </w:instrText>
            </w:r>
            <w:r w:rsidR="009F3E64">
              <w:rPr>
                <w:noProof/>
                <w:webHidden/>
              </w:rPr>
            </w:r>
            <w:r w:rsidR="009F3E64">
              <w:rPr>
                <w:noProof/>
                <w:webHidden/>
              </w:rPr>
              <w:fldChar w:fldCharType="separate"/>
            </w:r>
            <w:r w:rsidR="009F3E64">
              <w:rPr>
                <w:noProof/>
                <w:webHidden/>
              </w:rPr>
              <w:t>29</w:t>
            </w:r>
            <w:r w:rsidR="009F3E64">
              <w:rPr>
                <w:noProof/>
                <w:webHidden/>
              </w:rPr>
              <w:fldChar w:fldCharType="end"/>
            </w:r>
          </w:hyperlink>
        </w:p>
        <w:p w14:paraId="78A3C374" w14:textId="0C50E0FB"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54" w:history="1">
            <w:r w:rsidR="009F3E64" w:rsidRPr="009D5693">
              <w:rPr>
                <w:rStyle w:val="Hyperlink"/>
                <w:noProof/>
              </w:rPr>
              <w:t>3.2 Search Strategy</w:t>
            </w:r>
            <w:r w:rsidR="009F3E64">
              <w:rPr>
                <w:noProof/>
                <w:webHidden/>
              </w:rPr>
              <w:tab/>
            </w:r>
            <w:r w:rsidR="009F3E64">
              <w:rPr>
                <w:noProof/>
                <w:webHidden/>
              </w:rPr>
              <w:fldChar w:fldCharType="begin"/>
            </w:r>
            <w:r w:rsidR="009F3E64">
              <w:rPr>
                <w:noProof/>
                <w:webHidden/>
              </w:rPr>
              <w:instrText xml:space="preserve"> PAGEREF _Toc240922854 \h </w:instrText>
            </w:r>
            <w:r w:rsidR="009F3E64">
              <w:rPr>
                <w:noProof/>
                <w:webHidden/>
              </w:rPr>
            </w:r>
            <w:r w:rsidR="009F3E64">
              <w:rPr>
                <w:noProof/>
                <w:webHidden/>
              </w:rPr>
              <w:fldChar w:fldCharType="separate"/>
            </w:r>
            <w:r w:rsidR="009F3E64">
              <w:rPr>
                <w:noProof/>
                <w:webHidden/>
              </w:rPr>
              <w:t>30</w:t>
            </w:r>
            <w:r w:rsidR="009F3E64">
              <w:rPr>
                <w:noProof/>
                <w:webHidden/>
              </w:rPr>
              <w:fldChar w:fldCharType="end"/>
            </w:r>
          </w:hyperlink>
        </w:p>
        <w:p w14:paraId="3D8E23EA" w14:textId="34854B43"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55" w:history="1">
            <w:r w:rsidR="009F3E64" w:rsidRPr="009D5693">
              <w:rPr>
                <w:rStyle w:val="Hyperlink"/>
                <w:noProof/>
              </w:rPr>
              <w:t>3.2.1 Search Terms</w:t>
            </w:r>
            <w:r w:rsidR="009F3E64">
              <w:rPr>
                <w:noProof/>
                <w:webHidden/>
              </w:rPr>
              <w:tab/>
            </w:r>
            <w:r w:rsidR="009F3E64">
              <w:rPr>
                <w:noProof/>
                <w:webHidden/>
              </w:rPr>
              <w:fldChar w:fldCharType="begin"/>
            </w:r>
            <w:r w:rsidR="009F3E64">
              <w:rPr>
                <w:noProof/>
                <w:webHidden/>
              </w:rPr>
              <w:instrText xml:space="preserve"> PAGEREF _Toc240922855 \h </w:instrText>
            </w:r>
            <w:r w:rsidR="009F3E64">
              <w:rPr>
                <w:noProof/>
                <w:webHidden/>
              </w:rPr>
            </w:r>
            <w:r w:rsidR="009F3E64">
              <w:rPr>
                <w:noProof/>
                <w:webHidden/>
              </w:rPr>
              <w:fldChar w:fldCharType="separate"/>
            </w:r>
            <w:r w:rsidR="009F3E64">
              <w:rPr>
                <w:noProof/>
                <w:webHidden/>
              </w:rPr>
              <w:t>30</w:t>
            </w:r>
            <w:r w:rsidR="009F3E64">
              <w:rPr>
                <w:noProof/>
                <w:webHidden/>
              </w:rPr>
              <w:fldChar w:fldCharType="end"/>
            </w:r>
          </w:hyperlink>
        </w:p>
        <w:p w14:paraId="11049BB5" w14:textId="042EC065"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56" w:history="1">
            <w:r w:rsidR="009F3E64" w:rsidRPr="009D5693">
              <w:rPr>
                <w:rStyle w:val="Hyperlink"/>
                <w:noProof/>
              </w:rPr>
              <w:t>3.2.2 Databases</w:t>
            </w:r>
            <w:r w:rsidR="009F3E64">
              <w:rPr>
                <w:noProof/>
                <w:webHidden/>
              </w:rPr>
              <w:tab/>
            </w:r>
            <w:r w:rsidR="009F3E64">
              <w:rPr>
                <w:noProof/>
                <w:webHidden/>
              </w:rPr>
              <w:fldChar w:fldCharType="begin"/>
            </w:r>
            <w:r w:rsidR="009F3E64">
              <w:rPr>
                <w:noProof/>
                <w:webHidden/>
              </w:rPr>
              <w:instrText xml:space="preserve"> PAGEREF _Toc240922856 \h </w:instrText>
            </w:r>
            <w:r w:rsidR="009F3E64">
              <w:rPr>
                <w:noProof/>
                <w:webHidden/>
              </w:rPr>
            </w:r>
            <w:r w:rsidR="009F3E64">
              <w:rPr>
                <w:noProof/>
                <w:webHidden/>
              </w:rPr>
              <w:fldChar w:fldCharType="separate"/>
            </w:r>
            <w:r w:rsidR="009F3E64">
              <w:rPr>
                <w:noProof/>
                <w:webHidden/>
              </w:rPr>
              <w:t>31</w:t>
            </w:r>
            <w:r w:rsidR="009F3E64">
              <w:rPr>
                <w:noProof/>
                <w:webHidden/>
              </w:rPr>
              <w:fldChar w:fldCharType="end"/>
            </w:r>
          </w:hyperlink>
        </w:p>
        <w:p w14:paraId="78D61E1B" w14:textId="669A8763"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57" w:history="1">
            <w:r w:rsidR="009F3E64" w:rsidRPr="009D5693">
              <w:rPr>
                <w:rStyle w:val="Hyperlink"/>
                <w:noProof/>
              </w:rPr>
              <w:t>3.3 Screening Process</w:t>
            </w:r>
            <w:r w:rsidR="009F3E64">
              <w:rPr>
                <w:noProof/>
                <w:webHidden/>
              </w:rPr>
              <w:tab/>
            </w:r>
            <w:r w:rsidR="009F3E64">
              <w:rPr>
                <w:noProof/>
                <w:webHidden/>
              </w:rPr>
              <w:fldChar w:fldCharType="begin"/>
            </w:r>
            <w:r w:rsidR="009F3E64">
              <w:rPr>
                <w:noProof/>
                <w:webHidden/>
              </w:rPr>
              <w:instrText xml:space="preserve"> PAGEREF _Toc240922857 \h </w:instrText>
            </w:r>
            <w:r w:rsidR="009F3E64">
              <w:rPr>
                <w:noProof/>
                <w:webHidden/>
              </w:rPr>
            </w:r>
            <w:r w:rsidR="009F3E64">
              <w:rPr>
                <w:noProof/>
                <w:webHidden/>
              </w:rPr>
              <w:fldChar w:fldCharType="separate"/>
            </w:r>
            <w:r w:rsidR="009F3E64">
              <w:rPr>
                <w:noProof/>
                <w:webHidden/>
              </w:rPr>
              <w:t>32</w:t>
            </w:r>
            <w:r w:rsidR="009F3E64">
              <w:rPr>
                <w:noProof/>
                <w:webHidden/>
              </w:rPr>
              <w:fldChar w:fldCharType="end"/>
            </w:r>
          </w:hyperlink>
        </w:p>
        <w:p w14:paraId="494DEA38" w14:textId="34F0D456"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58" w:history="1">
            <w:r w:rsidR="009F3E64" w:rsidRPr="009D5693">
              <w:rPr>
                <w:rStyle w:val="Hyperlink"/>
                <w:noProof/>
              </w:rPr>
              <w:t>3.3.1 Inclusion and Exclusion Criteria</w:t>
            </w:r>
            <w:r w:rsidR="009F3E64">
              <w:rPr>
                <w:noProof/>
                <w:webHidden/>
              </w:rPr>
              <w:tab/>
            </w:r>
            <w:r w:rsidR="009F3E64">
              <w:rPr>
                <w:noProof/>
                <w:webHidden/>
              </w:rPr>
              <w:fldChar w:fldCharType="begin"/>
            </w:r>
            <w:r w:rsidR="009F3E64">
              <w:rPr>
                <w:noProof/>
                <w:webHidden/>
              </w:rPr>
              <w:instrText xml:space="preserve"> PAGEREF _Toc240922858 \h </w:instrText>
            </w:r>
            <w:r w:rsidR="009F3E64">
              <w:rPr>
                <w:noProof/>
                <w:webHidden/>
              </w:rPr>
            </w:r>
            <w:r w:rsidR="009F3E64">
              <w:rPr>
                <w:noProof/>
                <w:webHidden/>
              </w:rPr>
              <w:fldChar w:fldCharType="separate"/>
            </w:r>
            <w:r w:rsidR="009F3E64">
              <w:rPr>
                <w:noProof/>
                <w:webHidden/>
              </w:rPr>
              <w:t>32</w:t>
            </w:r>
            <w:r w:rsidR="009F3E64">
              <w:rPr>
                <w:noProof/>
                <w:webHidden/>
              </w:rPr>
              <w:fldChar w:fldCharType="end"/>
            </w:r>
          </w:hyperlink>
        </w:p>
        <w:p w14:paraId="4D1F3C49" w14:textId="3338DA9B"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59" w:history="1">
            <w:r w:rsidR="009F3E64" w:rsidRPr="009D5693">
              <w:rPr>
                <w:rStyle w:val="Hyperlink"/>
                <w:noProof/>
              </w:rPr>
              <w:t>3.4 Study Selection</w:t>
            </w:r>
            <w:r w:rsidR="009F3E64">
              <w:rPr>
                <w:noProof/>
                <w:webHidden/>
              </w:rPr>
              <w:tab/>
            </w:r>
            <w:r w:rsidR="009F3E64">
              <w:rPr>
                <w:noProof/>
                <w:webHidden/>
              </w:rPr>
              <w:fldChar w:fldCharType="begin"/>
            </w:r>
            <w:r w:rsidR="009F3E64">
              <w:rPr>
                <w:noProof/>
                <w:webHidden/>
              </w:rPr>
              <w:instrText xml:space="preserve"> PAGEREF _Toc240922859 \h </w:instrText>
            </w:r>
            <w:r w:rsidR="009F3E64">
              <w:rPr>
                <w:noProof/>
                <w:webHidden/>
              </w:rPr>
            </w:r>
            <w:r w:rsidR="009F3E64">
              <w:rPr>
                <w:noProof/>
                <w:webHidden/>
              </w:rPr>
              <w:fldChar w:fldCharType="separate"/>
            </w:r>
            <w:r w:rsidR="009F3E64">
              <w:rPr>
                <w:noProof/>
                <w:webHidden/>
              </w:rPr>
              <w:t>34</w:t>
            </w:r>
            <w:r w:rsidR="009F3E64">
              <w:rPr>
                <w:noProof/>
                <w:webHidden/>
              </w:rPr>
              <w:fldChar w:fldCharType="end"/>
            </w:r>
          </w:hyperlink>
        </w:p>
        <w:p w14:paraId="4258A379" w14:textId="69C821E9"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60" w:history="1">
            <w:r w:rsidR="009F3E64" w:rsidRPr="009D5693">
              <w:rPr>
                <w:rStyle w:val="Hyperlink"/>
                <w:noProof/>
              </w:rPr>
              <w:t>3.5 Critical Appraisal</w:t>
            </w:r>
            <w:r w:rsidR="009F3E64">
              <w:rPr>
                <w:noProof/>
                <w:webHidden/>
              </w:rPr>
              <w:tab/>
            </w:r>
            <w:r w:rsidR="009F3E64">
              <w:rPr>
                <w:noProof/>
                <w:webHidden/>
              </w:rPr>
              <w:fldChar w:fldCharType="begin"/>
            </w:r>
            <w:r w:rsidR="009F3E64">
              <w:rPr>
                <w:noProof/>
                <w:webHidden/>
              </w:rPr>
              <w:instrText xml:space="preserve"> PAGEREF _Toc240922860 \h </w:instrText>
            </w:r>
            <w:r w:rsidR="009F3E64">
              <w:rPr>
                <w:noProof/>
                <w:webHidden/>
              </w:rPr>
            </w:r>
            <w:r w:rsidR="009F3E64">
              <w:rPr>
                <w:noProof/>
                <w:webHidden/>
              </w:rPr>
              <w:fldChar w:fldCharType="separate"/>
            </w:r>
            <w:r w:rsidR="009F3E64">
              <w:rPr>
                <w:noProof/>
                <w:webHidden/>
              </w:rPr>
              <w:t>36</w:t>
            </w:r>
            <w:r w:rsidR="009F3E64">
              <w:rPr>
                <w:noProof/>
                <w:webHidden/>
              </w:rPr>
              <w:fldChar w:fldCharType="end"/>
            </w:r>
          </w:hyperlink>
        </w:p>
        <w:p w14:paraId="5D842276" w14:textId="2BAAEE37"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61" w:history="1">
            <w:r w:rsidR="009F3E64" w:rsidRPr="009D5693">
              <w:rPr>
                <w:rStyle w:val="Hyperlink"/>
                <w:noProof/>
              </w:rPr>
              <w:t>3.6 Data Extraction</w:t>
            </w:r>
            <w:r w:rsidR="009F3E64">
              <w:rPr>
                <w:noProof/>
                <w:webHidden/>
              </w:rPr>
              <w:tab/>
            </w:r>
            <w:r w:rsidR="009F3E64">
              <w:rPr>
                <w:noProof/>
                <w:webHidden/>
              </w:rPr>
              <w:fldChar w:fldCharType="begin"/>
            </w:r>
            <w:r w:rsidR="009F3E64">
              <w:rPr>
                <w:noProof/>
                <w:webHidden/>
              </w:rPr>
              <w:instrText xml:space="preserve"> PAGEREF _Toc240922861 \h </w:instrText>
            </w:r>
            <w:r w:rsidR="009F3E64">
              <w:rPr>
                <w:noProof/>
                <w:webHidden/>
              </w:rPr>
            </w:r>
            <w:r w:rsidR="009F3E64">
              <w:rPr>
                <w:noProof/>
                <w:webHidden/>
              </w:rPr>
              <w:fldChar w:fldCharType="separate"/>
            </w:r>
            <w:r w:rsidR="009F3E64">
              <w:rPr>
                <w:noProof/>
                <w:webHidden/>
              </w:rPr>
              <w:t>37</w:t>
            </w:r>
            <w:r w:rsidR="009F3E64">
              <w:rPr>
                <w:noProof/>
                <w:webHidden/>
              </w:rPr>
              <w:fldChar w:fldCharType="end"/>
            </w:r>
          </w:hyperlink>
        </w:p>
        <w:p w14:paraId="312AE9FA" w14:textId="2226128C"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62" w:history="1">
            <w:r w:rsidR="009F3E64" w:rsidRPr="009D5693">
              <w:rPr>
                <w:rStyle w:val="Hyperlink"/>
                <w:noProof/>
              </w:rPr>
              <w:t>3.7 Data Analysis</w:t>
            </w:r>
            <w:r w:rsidR="009F3E64">
              <w:rPr>
                <w:noProof/>
                <w:webHidden/>
              </w:rPr>
              <w:tab/>
            </w:r>
            <w:r w:rsidR="009F3E64">
              <w:rPr>
                <w:noProof/>
                <w:webHidden/>
              </w:rPr>
              <w:fldChar w:fldCharType="begin"/>
            </w:r>
            <w:r w:rsidR="009F3E64">
              <w:rPr>
                <w:noProof/>
                <w:webHidden/>
              </w:rPr>
              <w:instrText xml:space="preserve"> PAGEREF _Toc240922862 \h </w:instrText>
            </w:r>
            <w:r w:rsidR="009F3E64">
              <w:rPr>
                <w:noProof/>
                <w:webHidden/>
              </w:rPr>
            </w:r>
            <w:r w:rsidR="009F3E64">
              <w:rPr>
                <w:noProof/>
                <w:webHidden/>
              </w:rPr>
              <w:fldChar w:fldCharType="separate"/>
            </w:r>
            <w:r w:rsidR="009F3E64">
              <w:rPr>
                <w:noProof/>
                <w:webHidden/>
              </w:rPr>
              <w:t>37</w:t>
            </w:r>
            <w:r w:rsidR="009F3E64">
              <w:rPr>
                <w:noProof/>
                <w:webHidden/>
              </w:rPr>
              <w:fldChar w:fldCharType="end"/>
            </w:r>
          </w:hyperlink>
        </w:p>
        <w:p w14:paraId="565EDEE1" w14:textId="0AE12A5B"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63" w:history="1">
            <w:r w:rsidR="009F3E64" w:rsidRPr="009D5693">
              <w:rPr>
                <w:rStyle w:val="Hyperlink"/>
                <w:noProof/>
              </w:rPr>
              <w:t>3.8 Ethical Considerations</w:t>
            </w:r>
            <w:r w:rsidR="009F3E64">
              <w:rPr>
                <w:noProof/>
                <w:webHidden/>
              </w:rPr>
              <w:tab/>
            </w:r>
            <w:r w:rsidR="009F3E64">
              <w:rPr>
                <w:noProof/>
                <w:webHidden/>
              </w:rPr>
              <w:fldChar w:fldCharType="begin"/>
            </w:r>
            <w:r w:rsidR="009F3E64">
              <w:rPr>
                <w:noProof/>
                <w:webHidden/>
              </w:rPr>
              <w:instrText xml:space="preserve"> PAGEREF _Toc240922863 \h </w:instrText>
            </w:r>
            <w:r w:rsidR="009F3E64">
              <w:rPr>
                <w:noProof/>
                <w:webHidden/>
              </w:rPr>
            </w:r>
            <w:r w:rsidR="009F3E64">
              <w:rPr>
                <w:noProof/>
                <w:webHidden/>
              </w:rPr>
              <w:fldChar w:fldCharType="separate"/>
            </w:r>
            <w:r w:rsidR="009F3E64">
              <w:rPr>
                <w:noProof/>
                <w:webHidden/>
              </w:rPr>
              <w:t>38</w:t>
            </w:r>
            <w:r w:rsidR="009F3E64">
              <w:rPr>
                <w:noProof/>
                <w:webHidden/>
              </w:rPr>
              <w:fldChar w:fldCharType="end"/>
            </w:r>
          </w:hyperlink>
        </w:p>
        <w:p w14:paraId="10994D62" w14:textId="4881AC2A"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64" w:history="1">
            <w:r w:rsidR="009F3E64" w:rsidRPr="009D5693">
              <w:rPr>
                <w:rStyle w:val="Hyperlink"/>
                <w:noProof/>
              </w:rPr>
              <w:t>3.9 Chapter Summary</w:t>
            </w:r>
            <w:r w:rsidR="009F3E64">
              <w:rPr>
                <w:noProof/>
                <w:webHidden/>
              </w:rPr>
              <w:tab/>
            </w:r>
            <w:r w:rsidR="009F3E64">
              <w:rPr>
                <w:noProof/>
                <w:webHidden/>
              </w:rPr>
              <w:fldChar w:fldCharType="begin"/>
            </w:r>
            <w:r w:rsidR="009F3E64">
              <w:rPr>
                <w:noProof/>
                <w:webHidden/>
              </w:rPr>
              <w:instrText xml:space="preserve"> PAGEREF _Toc240922864 \h </w:instrText>
            </w:r>
            <w:r w:rsidR="009F3E64">
              <w:rPr>
                <w:noProof/>
                <w:webHidden/>
              </w:rPr>
            </w:r>
            <w:r w:rsidR="009F3E64">
              <w:rPr>
                <w:noProof/>
                <w:webHidden/>
              </w:rPr>
              <w:fldChar w:fldCharType="separate"/>
            </w:r>
            <w:r w:rsidR="009F3E64">
              <w:rPr>
                <w:noProof/>
                <w:webHidden/>
              </w:rPr>
              <w:t>38</w:t>
            </w:r>
            <w:r w:rsidR="009F3E64">
              <w:rPr>
                <w:noProof/>
                <w:webHidden/>
              </w:rPr>
              <w:fldChar w:fldCharType="end"/>
            </w:r>
          </w:hyperlink>
        </w:p>
        <w:p w14:paraId="643A74CD" w14:textId="3ACCC45F"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865" w:history="1">
            <w:r w:rsidR="009F3E64" w:rsidRPr="009D5693">
              <w:rPr>
                <w:rStyle w:val="Hyperlink"/>
                <w:noProof/>
              </w:rPr>
              <w:t>Chapter 4: Findings</w:t>
            </w:r>
            <w:r w:rsidR="009F3E64">
              <w:rPr>
                <w:noProof/>
                <w:webHidden/>
              </w:rPr>
              <w:tab/>
            </w:r>
            <w:r w:rsidR="009F3E64">
              <w:rPr>
                <w:noProof/>
                <w:webHidden/>
              </w:rPr>
              <w:fldChar w:fldCharType="begin"/>
            </w:r>
            <w:r w:rsidR="009F3E64">
              <w:rPr>
                <w:noProof/>
                <w:webHidden/>
              </w:rPr>
              <w:instrText xml:space="preserve"> PAGEREF _Toc240922865 \h </w:instrText>
            </w:r>
            <w:r w:rsidR="009F3E64">
              <w:rPr>
                <w:noProof/>
                <w:webHidden/>
              </w:rPr>
            </w:r>
            <w:r w:rsidR="009F3E64">
              <w:rPr>
                <w:noProof/>
                <w:webHidden/>
              </w:rPr>
              <w:fldChar w:fldCharType="separate"/>
            </w:r>
            <w:r w:rsidR="009F3E64">
              <w:rPr>
                <w:noProof/>
                <w:webHidden/>
              </w:rPr>
              <w:t>39</w:t>
            </w:r>
            <w:r w:rsidR="009F3E64">
              <w:rPr>
                <w:noProof/>
                <w:webHidden/>
              </w:rPr>
              <w:fldChar w:fldCharType="end"/>
            </w:r>
          </w:hyperlink>
        </w:p>
        <w:p w14:paraId="319FD243" w14:textId="49D72FDC"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66" w:history="1">
            <w:r w:rsidR="009F3E64" w:rsidRPr="009D5693">
              <w:rPr>
                <w:rStyle w:val="Hyperlink"/>
                <w:noProof/>
              </w:rPr>
              <w:t>4.1 Introduction</w:t>
            </w:r>
            <w:r w:rsidR="009F3E64">
              <w:rPr>
                <w:noProof/>
                <w:webHidden/>
              </w:rPr>
              <w:tab/>
            </w:r>
            <w:r w:rsidR="009F3E64">
              <w:rPr>
                <w:noProof/>
                <w:webHidden/>
              </w:rPr>
              <w:fldChar w:fldCharType="begin"/>
            </w:r>
            <w:r w:rsidR="009F3E64">
              <w:rPr>
                <w:noProof/>
                <w:webHidden/>
              </w:rPr>
              <w:instrText xml:space="preserve"> PAGEREF _Toc240922866 \h </w:instrText>
            </w:r>
            <w:r w:rsidR="009F3E64">
              <w:rPr>
                <w:noProof/>
                <w:webHidden/>
              </w:rPr>
            </w:r>
            <w:r w:rsidR="009F3E64">
              <w:rPr>
                <w:noProof/>
                <w:webHidden/>
              </w:rPr>
              <w:fldChar w:fldCharType="separate"/>
            </w:r>
            <w:r w:rsidR="009F3E64">
              <w:rPr>
                <w:noProof/>
                <w:webHidden/>
              </w:rPr>
              <w:t>39</w:t>
            </w:r>
            <w:r w:rsidR="009F3E64">
              <w:rPr>
                <w:noProof/>
                <w:webHidden/>
              </w:rPr>
              <w:fldChar w:fldCharType="end"/>
            </w:r>
          </w:hyperlink>
        </w:p>
        <w:p w14:paraId="5B521C7F" w14:textId="49F0A595"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67" w:history="1">
            <w:r w:rsidR="009F3E64" w:rsidRPr="009D5693">
              <w:rPr>
                <w:rStyle w:val="Hyperlink"/>
                <w:noProof/>
              </w:rPr>
              <w:t>4.2 Characteristics of the Included Studies</w:t>
            </w:r>
            <w:r w:rsidR="009F3E64">
              <w:rPr>
                <w:noProof/>
                <w:webHidden/>
              </w:rPr>
              <w:tab/>
            </w:r>
            <w:r w:rsidR="009F3E64">
              <w:rPr>
                <w:noProof/>
                <w:webHidden/>
              </w:rPr>
              <w:fldChar w:fldCharType="begin"/>
            </w:r>
            <w:r w:rsidR="009F3E64">
              <w:rPr>
                <w:noProof/>
                <w:webHidden/>
              </w:rPr>
              <w:instrText xml:space="preserve"> PAGEREF _Toc240922867 \h </w:instrText>
            </w:r>
            <w:r w:rsidR="009F3E64">
              <w:rPr>
                <w:noProof/>
                <w:webHidden/>
              </w:rPr>
            </w:r>
            <w:r w:rsidR="009F3E64">
              <w:rPr>
                <w:noProof/>
                <w:webHidden/>
              </w:rPr>
              <w:fldChar w:fldCharType="separate"/>
            </w:r>
            <w:r w:rsidR="009F3E64">
              <w:rPr>
                <w:noProof/>
                <w:webHidden/>
              </w:rPr>
              <w:t>39</w:t>
            </w:r>
            <w:r w:rsidR="009F3E64">
              <w:rPr>
                <w:noProof/>
                <w:webHidden/>
              </w:rPr>
              <w:fldChar w:fldCharType="end"/>
            </w:r>
          </w:hyperlink>
        </w:p>
        <w:p w14:paraId="781C0AE7" w14:textId="3F0BDF83"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68" w:history="1">
            <w:r w:rsidR="009F3E64" w:rsidRPr="009D5693">
              <w:rPr>
                <w:rStyle w:val="Hyperlink"/>
                <w:noProof/>
              </w:rPr>
              <w:t>4.3 Theme 1: Timing of Recognition, Referral and Treatment</w:t>
            </w:r>
            <w:r w:rsidR="009F3E64">
              <w:rPr>
                <w:noProof/>
                <w:webHidden/>
              </w:rPr>
              <w:tab/>
            </w:r>
            <w:r w:rsidR="009F3E64">
              <w:rPr>
                <w:noProof/>
                <w:webHidden/>
              </w:rPr>
              <w:fldChar w:fldCharType="begin"/>
            </w:r>
            <w:r w:rsidR="009F3E64">
              <w:rPr>
                <w:noProof/>
                <w:webHidden/>
              </w:rPr>
              <w:instrText xml:space="preserve"> PAGEREF _Toc240922868 \h </w:instrText>
            </w:r>
            <w:r w:rsidR="009F3E64">
              <w:rPr>
                <w:noProof/>
                <w:webHidden/>
              </w:rPr>
            </w:r>
            <w:r w:rsidR="009F3E64">
              <w:rPr>
                <w:noProof/>
                <w:webHidden/>
              </w:rPr>
              <w:fldChar w:fldCharType="separate"/>
            </w:r>
            <w:r w:rsidR="009F3E64">
              <w:rPr>
                <w:noProof/>
                <w:webHidden/>
              </w:rPr>
              <w:t>43</w:t>
            </w:r>
            <w:r w:rsidR="009F3E64">
              <w:rPr>
                <w:noProof/>
                <w:webHidden/>
              </w:rPr>
              <w:fldChar w:fldCharType="end"/>
            </w:r>
          </w:hyperlink>
        </w:p>
        <w:p w14:paraId="66DB26CB" w14:textId="2EFD1003"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69" w:history="1">
            <w:r w:rsidR="009F3E64" w:rsidRPr="009D5693">
              <w:rPr>
                <w:rStyle w:val="Hyperlink"/>
                <w:noProof/>
              </w:rPr>
              <w:t>4.3.1 Symptom Duration and Diagnostic Delay</w:t>
            </w:r>
            <w:r w:rsidR="009F3E64">
              <w:rPr>
                <w:noProof/>
                <w:webHidden/>
              </w:rPr>
              <w:tab/>
            </w:r>
            <w:r w:rsidR="009F3E64">
              <w:rPr>
                <w:noProof/>
                <w:webHidden/>
              </w:rPr>
              <w:fldChar w:fldCharType="begin"/>
            </w:r>
            <w:r w:rsidR="009F3E64">
              <w:rPr>
                <w:noProof/>
                <w:webHidden/>
              </w:rPr>
              <w:instrText xml:space="preserve"> PAGEREF _Toc240922869 \h </w:instrText>
            </w:r>
            <w:r w:rsidR="009F3E64">
              <w:rPr>
                <w:noProof/>
                <w:webHidden/>
              </w:rPr>
            </w:r>
            <w:r w:rsidR="009F3E64">
              <w:rPr>
                <w:noProof/>
                <w:webHidden/>
              </w:rPr>
              <w:fldChar w:fldCharType="separate"/>
            </w:r>
            <w:r w:rsidR="009F3E64">
              <w:rPr>
                <w:noProof/>
                <w:webHidden/>
              </w:rPr>
              <w:t>43</w:t>
            </w:r>
            <w:r w:rsidR="009F3E64">
              <w:rPr>
                <w:noProof/>
                <w:webHidden/>
              </w:rPr>
              <w:fldChar w:fldCharType="end"/>
            </w:r>
          </w:hyperlink>
        </w:p>
        <w:p w14:paraId="006C22BA" w14:textId="77C431AA"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70" w:history="1">
            <w:r w:rsidR="009F3E64" w:rsidRPr="009D5693">
              <w:rPr>
                <w:rStyle w:val="Hyperlink"/>
                <w:noProof/>
              </w:rPr>
              <w:t>4.3.2 Referral and Specialist Assessment</w:t>
            </w:r>
            <w:r w:rsidR="009F3E64">
              <w:rPr>
                <w:noProof/>
                <w:webHidden/>
              </w:rPr>
              <w:tab/>
            </w:r>
            <w:r w:rsidR="009F3E64">
              <w:rPr>
                <w:noProof/>
                <w:webHidden/>
              </w:rPr>
              <w:fldChar w:fldCharType="begin"/>
            </w:r>
            <w:r w:rsidR="009F3E64">
              <w:rPr>
                <w:noProof/>
                <w:webHidden/>
              </w:rPr>
              <w:instrText xml:space="preserve"> PAGEREF _Toc240922870 \h </w:instrText>
            </w:r>
            <w:r w:rsidR="009F3E64">
              <w:rPr>
                <w:noProof/>
                <w:webHidden/>
              </w:rPr>
            </w:r>
            <w:r w:rsidR="009F3E64">
              <w:rPr>
                <w:noProof/>
                <w:webHidden/>
              </w:rPr>
              <w:fldChar w:fldCharType="separate"/>
            </w:r>
            <w:r w:rsidR="009F3E64">
              <w:rPr>
                <w:noProof/>
                <w:webHidden/>
              </w:rPr>
              <w:t>44</w:t>
            </w:r>
            <w:r w:rsidR="009F3E64">
              <w:rPr>
                <w:noProof/>
                <w:webHidden/>
              </w:rPr>
              <w:fldChar w:fldCharType="end"/>
            </w:r>
          </w:hyperlink>
        </w:p>
        <w:p w14:paraId="4F7CD90A" w14:textId="540134A9"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71" w:history="1">
            <w:r w:rsidR="009F3E64" w:rsidRPr="009D5693">
              <w:rPr>
                <w:rStyle w:val="Hyperlink"/>
                <w:noProof/>
              </w:rPr>
              <w:t>4.3.3 DMARD Initiation and Very-Early Intervention</w:t>
            </w:r>
            <w:r w:rsidR="009F3E64">
              <w:rPr>
                <w:noProof/>
                <w:webHidden/>
              </w:rPr>
              <w:tab/>
            </w:r>
            <w:r w:rsidR="009F3E64">
              <w:rPr>
                <w:noProof/>
                <w:webHidden/>
              </w:rPr>
              <w:fldChar w:fldCharType="begin"/>
            </w:r>
            <w:r w:rsidR="009F3E64">
              <w:rPr>
                <w:noProof/>
                <w:webHidden/>
              </w:rPr>
              <w:instrText xml:space="preserve"> PAGEREF _Toc240922871 \h </w:instrText>
            </w:r>
            <w:r w:rsidR="009F3E64">
              <w:rPr>
                <w:noProof/>
                <w:webHidden/>
              </w:rPr>
            </w:r>
            <w:r w:rsidR="009F3E64">
              <w:rPr>
                <w:noProof/>
                <w:webHidden/>
              </w:rPr>
              <w:fldChar w:fldCharType="separate"/>
            </w:r>
            <w:r w:rsidR="009F3E64">
              <w:rPr>
                <w:noProof/>
                <w:webHidden/>
              </w:rPr>
              <w:t>44</w:t>
            </w:r>
            <w:r w:rsidR="009F3E64">
              <w:rPr>
                <w:noProof/>
                <w:webHidden/>
              </w:rPr>
              <w:fldChar w:fldCharType="end"/>
            </w:r>
          </w:hyperlink>
        </w:p>
        <w:p w14:paraId="039F3991" w14:textId="5429A923"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72" w:history="1">
            <w:r w:rsidR="009F3E64" w:rsidRPr="009D5693">
              <w:rPr>
                <w:rStyle w:val="Hyperlink"/>
                <w:noProof/>
              </w:rPr>
              <w:t>4.4 Theme 2: Disease Severity and Clinical Response</w:t>
            </w:r>
            <w:r w:rsidR="009F3E64">
              <w:rPr>
                <w:noProof/>
                <w:webHidden/>
              </w:rPr>
              <w:tab/>
            </w:r>
            <w:r w:rsidR="009F3E64">
              <w:rPr>
                <w:noProof/>
                <w:webHidden/>
              </w:rPr>
              <w:fldChar w:fldCharType="begin"/>
            </w:r>
            <w:r w:rsidR="009F3E64">
              <w:rPr>
                <w:noProof/>
                <w:webHidden/>
              </w:rPr>
              <w:instrText xml:space="preserve"> PAGEREF _Toc240922872 \h </w:instrText>
            </w:r>
            <w:r w:rsidR="009F3E64">
              <w:rPr>
                <w:noProof/>
                <w:webHidden/>
              </w:rPr>
            </w:r>
            <w:r w:rsidR="009F3E64">
              <w:rPr>
                <w:noProof/>
                <w:webHidden/>
              </w:rPr>
              <w:fldChar w:fldCharType="separate"/>
            </w:r>
            <w:r w:rsidR="009F3E64">
              <w:rPr>
                <w:noProof/>
                <w:webHidden/>
              </w:rPr>
              <w:t>45</w:t>
            </w:r>
            <w:r w:rsidR="009F3E64">
              <w:rPr>
                <w:noProof/>
                <w:webHidden/>
              </w:rPr>
              <w:fldChar w:fldCharType="end"/>
            </w:r>
          </w:hyperlink>
        </w:p>
        <w:p w14:paraId="0E7021F5" w14:textId="76E40B1B"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73" w:history="1">
            <w:r w:rsidR="009F3E64" w:rsidRPr="009D5693">
              <w:rPr>
                <w:rStyle w:val="Hyperlink"/>
                <w:noProof/>
              </w:rPr>
              <w:t>4.4.1 Disease Activity and DAS28</w:t>
            </w:r>
            <w:r w:rsidR="009F3E64">
              <w:rPr>
                <w:noProof/>
                <w:webHidden/>
              </w:rPr>
              <w:tab/>
            </w:r>
            <w:r w:rsidR="009F3E64">
              <w:rPr>
                <w:noProof/>
                <w:webHidden/>
              </w:rPr>
              <w:fldChar w:fldCharType="begin"/>
            </w:r>
            <w:r w:rsidR="009F3E64">
              <w:rPr>
                <w:noProof/>
                <w:webHidden/>
              </w:rPr>
              <w:instrText xml:space="preserve"> PAGEREF _Toc240922873 \h </w:instrText>
            </w:r>
            <w:r w:rsidR="009F3E64">
              <w:rPr>
                <w:noProof/>
                <w:webHidden/>
              </w:rPr>
            </w:r>
            <w:r w:rsidR="009F3E64">
              <w:rPr>
                <w:noProof/>
                <w:webHidden/>
              </w:rPr>
              <w:fldChar w:fldCharType="separate"/>
            </w:r>
            <w:r w:rsidR="009F3E64">
              <w:rPr>
                <w:noProof/>
                <w:webHidden/>
              </w:rPr>
              <w:t>45</w:t>
            </w:r>
            <w:r w:rsidR="009F3E64">
              <w:rPr>
                <w:noProof/>
                <w:webHidden/>
              </w:rPr>
              <w:fldChar w:fldCharType="end"/>
            </w:r>
          </w:hyperlink>
        </w:p>
        <w:p w14:paraId="7ED362E8" w14:textId="0EC2FEB7"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74" w:history="1">
            <w:r w:rsidR="009F3E64" w:rsidRPr="009D5693">
              <w:rPr>
                <w:rStyle w:val="Hyperlink"/>
                <w:noProof/>
              </w:rPr>
              <w:t>4.4.2 Remission and Treatment Response</w:t>
            </w:r>
            <w:r w:rsidR="009F3E64">
              <w:rPr>
                <w:noProof/>
                <w:webHidden/>
              </w:rPr>
              <w:tab/>
            </w:r>
            <w:r w:rsidR="009F3E64">
              <w:rPr>
                <w:noProof/>
                <w:webHidden/>
              </w:rPr>
              <w:fldChar w:fldCharType="begin"/>
            </w:r>
            <w:r w:rsidR="009F3E64">
              <w:rPr>
                <w:noProof/>
                <w:webHidden/>
              </w:rPr>
              <w:instrText xml:space="preserve"> PAGEREF _Toc240922874 \h </w:instrText>
            </w:r>
            <w:r w:rsidR="009F3E64">
              <w:rPr>
                <w:noProof/>
                <w:webHidden/>
              </w:rPr>
            </w:r>
            <w:r w:rsidR="009F3E64">
              <w:rPr>
                <w:noProof/>
                <w:webHidden/>
              </w:rPr>
              <w:fldChar w:fldCharType="separate"/>
            </w:r>
            <w:r w:rsidR="009F3E64">
              <w:rPr>
                <w:noProof/>
                <w:webHidden/>
              </w:rPr>
              <w:t>46</w:t>
            </w:r>
            <w:r w:rsidR="009F3E64">
              <w:rPr>
                <w:noProof/>
                <w:webHidden/>
              </w:rPr>
              <w:fldChar w:fldCharType="end"/>
            </w:r>
          </w:hyperlink>
        </w:p>
        <w:p w14:paraId="0E86533F" w14:textId="376C4A56"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75" w:history="1">
            <w:r w:rsidR="009F3E64" w:rsidRPr="009D5693">
              <w:rPr>
                <w:rStyle w:val="Hyperlink"/>
                <w:noProof/>
              </w:rPr>
              <w:t>4.4.3 Disability, Frailty, Hospitalisation and Treatment Safety</w:t>
            </w:r>
            <w:r w:rsidR="009F3E64">
              <w:rPr>
                <w:noProof/>
                <w:webHidden/>
              </w:rPr>
              <w:tab/>
            </w:r>
            <w:r w:rsidR="009F3E64">
              <w:rPr>
                <w:noProof/>
                <w:webHidden/>
              </w:rPr>
              <w:fldChar w:fldCharType="begin"/>
            </w:r>
            <w:r w:rsidR="009F3E64">
              <w:rPr>
                <w:noProof/>
                <w:webHidden/>
              </w:rPr>
              <w:instrText xml:space="preserve"> PAGEREF _Toc240922875 \h </w:instrText>
            </w:r>
            <w:r w:rsidR="009F3E64">
              <w:rPr>
                <w:noProof/>
                <w:webHidden/>
              </w:rPr>
            </w:r>
            <w:r w:rsidR="009F3E64">
              <w:rPr>
                <w:noProof/>
                <w:webHidden/>
              </w:rPr>
              <w:fldChar w:fldCharType="separate"/>
            </w:r>
            <w:r w:rsidR="009F3E64">
              <w:rPr>
                <w:noProof/>
                <w:webHidden/>
              </w:rPr>
              <w:t>46</w:t>
            </w:r>
            <w:r w:rsidR="009F3E64">
              <w:rPr>
                <w:noProof/>
                <w:webHidden/>
              </w:rPr>
              <w:fldChar w:fldCharType="end"/>
            </w:r>
          </w:hyperlink>
        </w:p>
        <w:p w14:paraId="52346031" w14:textId="095385AD"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76" w:history="1">
            <w:r w:rsidR="009F3E64" w:rsidRPr="009D5693">
              <w:rPr>
                <w:rStyle w:val="Hyperlink"/>
                <w:noProof/>
              </w:rPr>
              <w:t>4.5 Theme 3: Quality of Life and Patient-Centred Outcomes</w:t>
            </w:r>
            <w:r w:rsidR="009F3E64">
              <w:rPr>
                <w:noProof/>
                <w:webHidden/>
              </w:rPr>
              <w:tab/>
            </w:r>
            <w:r w:rsidR="009F3E64">
              <w:rPr>
                <w:noProof/>
                <w:webHidden/>
              </w:rPr>
              <w:fldChar w:fldCharType="begin"/>
            </w:r>
            <w:r w:rsidR="009F3E64">
              <w:rPr>
                <w:noProof/>
                <w:webHidden/>
              </w:rPr>
              <w:instrText xml:space="preserve"> PAGEREF _Toc240922876 \h </w:instrText>
            </w:r>
            <w:r w:rsidR="009F3E64">
              <w:rPr>
                <w:noProof/>
                <w:webHidden/>
              </w:rPr>
            </w:r>
            <w:r w:rsidR="009F3E64">
              <w:rPr>
                <w:noProof/>
                <w:webHidden/>
              </w:rPr>
              <w:fldChar w:fldCharType="separate"/>
            </w:r>
            <w:r w:rsidR="009F3E64">
              <w:rPr>
                <w:noProof/>
                <w:webHidden/>
              </w:rPr>
              <w:t>47</w:t>
            </w:r>
            <w:r w:rsidR="009F3E64">
              <w:rPr>
                <w:noProof/>
                <w:webHidden/>
              </w:rPr>
              <w:fldChar w:fldCharType="end"/>
            </w:r>
          </w:hyperlink>
        </w:p>
        <w:p w14:paraId="3E5B1C81" w14:textId="7BEF3472"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77" w:history="1">
            <w:r w:rsidR="009F3E64" w:rsidRPr="009D5693">
              <w:rPr>
                <w:rStyle w:val="Hyperlink"/>
                <w:noProof/>
              </w:rPr>
              <w:t>4.5.1 Quality of Life, Pain and Fatigue</w:t>
            </w:r>
            <w:r w:rsidR="009F3E64">
              <w:rPr>
                <w:noProof/>
                <w:webHidden/>
              </w:rPr>
              <w:tab/>
            </w:r>
            <w:r w:rsidR="009F3E64">
              <w:rPr>
                <w:noProof/>
                <w:webHidden/>
              </w:rPr>
              <w:fldChar w:fldCharType="begin"/>
            </w:r>
            <w:r w:rsidR="009F3E64">
              <w:rPr>
                <w:noProof/>
                <w:webHidden/>
              </w:rPr>
              <w:instrText xml:space="preserve"> PAGEREF _Toc240922877 \h </w:instrText>
            </w:r>
            <w:r w:rsidR="009F3E64">
              <w:rPr>
                <w:noProof/>
                <w:webHidden/>
              </w:rPr>
            </w:r>
            <w:r w:rsidR="009F3E64">
              <w:rPr>
                <w:noProof/>
                <w:webHidden/>
              </w:rPr>
              <w:fldChar w:fldCharType="separate"/>
            </w:r>
            <w:r w:rsidR="009F3E64">
              <w:rPr>
                <w:noProof/>
                <w:webHidden/>
              </w:rPr>
              <w:t>47</w:t>
            </w:r>
            <w:r w:rsidR="009F3E64">
              <w:rPr>
                <w:noProof/>
                <w:webHidden/>
              </w:rPr>
              <w:fldChar w:fldCharType="end"/>
            </w:r>
          </w:hyperlink>
        </w:p>
        <w:p w14:paraId="48615F7F" w14:textId="0EB952A6"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78" w:history="1">
            <w:r w:rsidR="009F3E64" w:rsidRPr="009D5693">
              <w:rPr>
                <w:rStyle w:val="Hyperlink"/>
                <w:noProof/>
              </w:rPr>
              <w:t>4.5.2 Psychological Wellbeing</w:t>
            </w:r>
            <w:r w:rsidR="009F3E64">
              <w:rPr>
                <w:noProof/>
                <w:webHidden/>
              </w:rPr>
              <w:tab/>
            </w:r>
            <w:r w:rsidR="009F3E64">
              <w:rPr>
                <w:noProof/>
                <w:webHidden/>
              </w:rPr>
              <w:fldChar w:fldCharType="begin"/>
            </w:r>
            <w:r w:rsidR="009F3E64">
              <w:rPr>
                <w:noProof/>
                <w:webHidden/>
              </w:rPr>
              <w:instrText xml:space="preserve"> PAGEREF _Toc240922878 \h </w:instrText>
            </w:r>
            <w:r w:rsidR="009F3E64">
              <w:rPr>
                <w:noProof/>
                <w:webHidden/>
              </w:rPr>
            </w:r>
            <w:r w:rsidR="009F3E64">
              <w:rPr>
                <w:noProof/>
                <w:webHidden/>
              </w:rPr>
              <w:fldChar w:fldCharType="separate"/>
            </w:r>
            <w:r w:rsidR="009F3E64">
              <w:rPr>
                <w:noProof/>
                <w:webHidden/>
              </w:rPr>
              <w:t>48</w:t>
            </w:r>
            <w:r w:rsidR="009F3E64">
              <w:rPr>
                <w:noProof/>
                <w:webHidden/>
              </w:rPr>
              <w:fldChar w:fldCharType="end"/>
            </w:r>
          </w:hyperlink>
        </w:p>
        <w:p w14:paraId="5A9974C9" w14:textId="737C80CE"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79" w:history="1">
            <w:r w:rsidR="009F3E64" w:rsidRPr="009D5693">
              <w:rPr>
                <w:rStyle w:val="Hyperlink"/>
                <w:noProof/>
              </w:rPr>
              <w:t>4.5.3 Employment and Social Function</w:t>
            </w:r>
            <w:r w:rsidR="009F3E64">
              <w:rPr>
                <w:noProof/>
                <w:webHidden/>
              </w:rPr>
              <w:tab/>
            </w:r>
            <w:r w:rsidR="009F3E64">
              <w:rPr>
                <w:noProof/>
                <w:webHidden/>
              </w:rPr>
              <w:fldChar w:fldCharType="begin"/>
            </w:r>
            <w:r w:rsidR="009F3E64">
              <w:rPr>
                <w:noProof/>
                <w:webHidden/>
              </w:rPr>
              <w:instrText xml:space="preserve"> PAGEREF _Toc240922879 \h </w:instrText>
            </w:r>
            <w:r w:rsidR="009F3E64">
              <w:rPr>
                <w:noProof/>
                <w:webHidden/>
              </w:rPr>
            </w:r>
            <w:r w:rsidR="009F3E64">
              <w:rPr>
                <w:noProof/>
                <w:webHidden/>
              </w:rPr>
              <w:fldChar w:fldCharType="separate"/>
            </w:r>
            <w:r w:rsidR="009F3E64">
              <w:rPr>
                <w:noProof/>
                <w:webHidden/>
              </w:rPr>
              <w:t>48</w:t>
            </w:r>
            <w:r w:rsidR="009F3E64">
              <w:rPr>
                <w:noProof/>
                <w:webHidden/>
              </w:rPr>
              <w:fldChar w:fldCharType="end"/>
            </w:r>
          </w:hyperlink>
        </w:p>
        <w:p w14:paraId="4C222134" w14:textId="28C949F5"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80" w:history="1">
            <w:r w:rsidR="009F3E64" w:rsidRPr="009D5693">
              <w:rPr>
                <w:rStyle w:val="Hyperlink"/>
                <w:noProof/>
              </w:rPr>
              <w:t>4.6 Theme 4: Factors Modifying Early-Treatment Outcomes</w:t>
            </w:r>
            <w:r w:rsidR="009F3E64">
              <w:rPr>
                <w:noProof/>
                <w:webHidden/>
              </w:rPr>
              <w:tab/>
            </w:r>
            <w:r w:rsidR="009F3E64">
              <w:rPr>
                <w:noProof/>
                <w:webHidden/>
              </w:rPr>
              <w:fldChar w:fldCharType="begin"/>
            </w:r>
            <w:r w:rsidR="009F3E64">
              <w:rPr>
                <w:noProof/>
                <w:webHidden/>
              </w:rPr>
              <w:instrText xml:space="preserve"> PAGEREF _Toc240922880 \h </w:instrText>
            </w:r>
            <w:r w:rsidR="009F3E64">
              <w:rPr>
                <w:noProof/>
                <w:webHidden/>
              </w:rPr>
            </w:r>
            <w:r w:rsidR="009F3E64">
              <w:rPr>
                <w:noProof/>
                <w:webHidden/>
              </w:rPr>
              <w:fldChar w:fldCharType="separate"/>
            </w:r>
            <w:r w:rsidR="009F3E64">
              <w:rPr>
                <w:noProof/>
                <w:webHidden/>
              </w:rPr>
              <w:t>49</w:t>
            </w:r>
            <w:r w:rsidR="009F3E64">
              <w:rPr>
                <w:noProof/>
                <w:webHidden/>
              </w:rPr>
              <w:fldChar w:fldCharType="end"/>
            </w:r>
          </w:hyperlink>
        </w:p>
        <w:p w14:paraId="5460AE18" w14:textId="76BBB4DC"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81" w:history="1">
            <w:r w:rsidR="009F3E64" w:rsidRPr="009D5693">
              <w:rPr>
                <w:rStyle w:val="Hyperlink"/>
                <w:noProof/>
              </w:rPr>
              <w:t>4.6.1 Socioeconomic Inequalities</w:t>
            </w:r>
            <w:r w:rsidR="009F3E64">
              <w:rPr>
                <w:noProof/>
                <w:webHidden/>
              </w:rPr>
              <w:tab/>
            </w:r>
            <w:r w:rsidR="009F3E64">
              <w:rPr>
                <w:noProof/>
                <w:webHidden/>
              </w:rPr>
              <w:fldChar w:fldCharType="begin"/>
            </w:r>
            <w:r w:rsidR="009F3E64">
              <w:rPr>
                <w:noProof/>
                <w:webHidden/>
              </w:rPr>
              <w:instrText xml:space="preserve"> PAGEREF _Toc240922881 \h </w:instrText>
            </w:r>
            <w:r w:rsidR="009F3E64">
              <w:rPr>
                <w:noProof/>
                <w:webHidden/>
              </w:rPr>
            </w:r>
            <w:r w:rsidR="009F3E64">
              <w:rPr>
                <w:noProof/>
                <w:webHidden/>
              </w:rPr>
              <w:fldChar w:fldCharType="separate"/>
            </w:r>
            <w:r w:rsidR="009F3E64">
              <w:rPr>
                <w:noProof/>
                <w:webHidden/>
              </w:rPr>
              <w:t>49</w:t>
            </w:r>
            <w:r w:rsidR="009F3E64">
              <w:rPr>
                <w:noProof/>
                <w:webHidden/>
              </w:rPr>
              <w:fldChar w:fldCharType="end"/>
            </w:r>
          </w:hyperlink>
        </w:p>
        <w:p w14:paraId="1C039F45" w14:textId="6511B5BB"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82" w:history="1">
            <w:r w:rsidR="009F3E64" w:rsidRPr="009D5693">
              <w:rPr>
                <w:rStyle w:val="Hyperlink"/>
                <w:noProof/>
              </w:rPr>
              <w:t>4.6.2 Ethnicity and Treatment Access</w:t>
            </w:r>
            <w:r w:rsidR="009F3E64">
              <w:rPr>
                <w:noProof/>
                <w:webHidden/>
              </w:rPr>
              <w:tab/>
            </w:r>
            <w:r w:rsidR="009F3E64">
              <w:rPr>
                <w:noProof/>
                <w:webHidden/>
              </w:rPr>
              <w:fldChar w:fldCharType="begin"/>
            </w:r>
            <w:r w:rsidR="009F3E64">
              <w:rPr>
                <w:noProof/>
                <w:webHidden/>
              </w:rPr>
              <w:instrText xml:space="preserve"> PAGEREF _Toc240922882 \h </w:instrText>
            </w:r>
            <w:r w:rsidR="009F3E64">
              <w:rPr>
                <w:noProof/>
                <w:webHidden/>
              </w:rPr>
            </w:r>
            <w:r w:rsidR="009F3E64">
              <w:rPr>
                <w:noProof/>
                <w:webHidden/>
              </w:rPr>
              <w:fldChar w:fldCharType="separate"/>
            </w:r>
            <w:r w:rsidR="009F3E64">
              <w:rPr>
                <w:noProof/>
                <w:webHidden/>
              </w:rPr>
              <w:t>49</w:t>
            </w:r>
            <w:r w:rsidR="009F3E64">
              <w:rPr>
                <w:noProof/>
                <w:webHidden/>
              </w:rPr>
              <w:fldChar w:fldCharType="end"/>
            </w:r>
          </w:hyperlink>
        </w:p>
        <w:p w14:paraId="5201D7A8" w14:textId="7111DCAF" w:rsidR="009F3E64" w:rsidRDefault="00C1209F">
          <w:pPr>
            <w:pStyle w:val="TOC3"/>
            <w:tabs>
              <w:tab w:val="right" w:leader="dot" w:pos="9350"/>
            </w:tabs>
            <w:rPr>
              <w:rFonts w:asciiTheme="minorHAnsi" w:hAnsiTheme="minorHAnsi"/>
              <w:noProof/>
              <w:kern w:val="2"/>
              <w:sz w:val="24"/>
              <w:szCs w:val="24"/>
              <w14:ligatures w14:val="standardContextual"/>
            </w:rPr>
          </w:pPr>
          <w:hyperlink w:anchor="_Toc240922883" w:history="1">
            <w:r w:rsidR="009F3E64" w:rsidRPr="009D5693">
              <w:rPr>
                <w:rStyle w:val="Hyperlink"/>
                <w:noProof/>
              </w:rPr>
              <w:t>4.6.3 Healthcare-System and Pathway Factors</w:t>
            </w:r>
            <w:r w:rsidR="009F3E64">
              <w:rPr>
                <w:noProof/>
                <w:webHidden/>
              </w:rPr>
              <w:tab/>
            </w:r>
            <w:r w:rsidR="009F3E64">
              <w:rPr>
                <w:noProof/>
                <w:webHidden/>
              </w:rPr>
              <w:fldChar w:fldCharType="begin"/>
            </w:r>
            <w:r w:rsidR="009F3E64">
              <w:rPr>
                <w:noProof/>
                <w:webHidden/>
              </w:rPr>
              <w:instrText xml:space="preserve"> PAGEREF _Toc240922883 \h </w:instrText>
            </w:r>
            <w:r w:rsidR="009F3E64">
              <w:rPr>
                <w:noProof/>
                <w:webHidden/>
              </w:rPr>
            </w:r>
            <w:r w:rsidR="009F3E64">
              <w:rPr>
                <w:noProof/>
                <w:webHidden/>
              </w:rPr>
              <w:fldChar w:fldCharType="separate"/>
            </w:r>
            <w:r w:rsidR="009F3E64">
              <w:rPr>
                <w:noProof/>
                <w:webHidden/>
              </w:rPr>
              <w:t>50</w:t>
            </w:r>
            <w:r w:rsidR="009F3E64">
              <w:rPr>
                <w:noProof/>
                <w:webHidden/>
              </w:rPr>
              <w:fldChar w:fldCharType="end"/>
            </w:r>
          </w:hyperlink>
        </w:p>
        <w:p w14:paraId="2BBB2DB6" w14:textId="2F04B387"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84" w:history="1">
            <w:r w:rsidR="009F3E64" w:rsidRPr="009D5693">
              <w:rPr>
                <w:rStyle w:val="Hyperlink"/>
                <w:noProof/>
              </w:rPr>
              <w:t>4.7 Summary of Main Findings</w:t>
            </w:r>
            <w:r w:rsidR="009F3E64">
              <w:rPr>
                <w:noProof/>
                <w:webHidden/>
              </w:rPr>
              <w:tab/>
            </w:r>
            <w:r w:rsidR="009F3E64">
              <w:rPr>
                <w:noProof/>
                <w:webHidden/>
              </w:rPr>
              <w:fldChar w:fldCharType="begin"/>
            </w:r>
            <w:r w:rsidR="009F3E64">
              <w:rPr>
                <w:noProof/>
                <w:webHidden/>
              </w:rPr>
              <w:instrText xml:space="preserve"> PAGEREF _Toc240922884 \h </w:instrText>
            </w:r>
            <w:r w:rsidR="009F3E64">
              <w:rPr>
                <w:noProof/>
                <w:webHidden/>
              </w:rPr>
            </w:r>
            <w:r w:rsidR="009F3E64">
              <w:rPr>
                <w:noProof/>
                <w:webHidden/>
              </w:rPr>
              <w:fldChar w:fldCharType="separate"/>
            </w:r>
            <w:r w:rsidR="009F3E64">
              <w:rPr>
                <w:noProof/>
                <w:webHidden/>
              </w:rPr>
              <w:t>50</w:t>
            </w:r>
            <w:r w:rsidR="009F3E64">
              <w:rPr>
                <w:noProof/>
                <w:webHidden/>
              </w:rPr>
              <w:fldChar w:fldCharType="end"/>
            </w:r>
          </w:hyperlink>
        </w:p>
        <w:p w14:paraId="46D56540" w14:textId="0E9D5BA9"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85" w:history="1">
            <w:r w:rsidR="009F3E64" w:rsidRPr="009D5693">
              <w:rPr>
                <w:rStyle w:val="Hyperlink"/>
                <w:noProof/>
              </w:rPr>
              <w:t>4.8 Chapter Summary</w:t>
            </w:r>
            <w:r w:rsidR="009F3E64">
              <w:rPr>
                <w:noProof/>
                <w:webHidden/>
              </w:rPr>
              <w:tab/>
            </w:r>
            <w:r w:rsidR="009F3E64">
              <w:rPr>
                <w:noProof/>
                <w:webHidden/>
              </w:rPr>
              <w:fldChar w:fldCharType="begin"/>
            </w:r>
            <w:r w:rsidR="009F3E64">
              <w:rPr>
                <w:noProof/>
                <w:webHidden/>
              </w:rPr>
              <w:instrText xml:space="preserve"> PAGEREF _Toc240922885 \h </w:instrText>
            </w:r>
            <w:r w:rsidR="009F3E64">
              <w:rPr>
                <w:noProof/>
                <w:webHidden/>
              </w:rPr>
            </w:r>
            <w:r w:rsidR="009F3E64">
              <w:rPr>
                <w:noProof/>
                <w:webHidden/>
              </w:rPr>
              <w:fldChar w:fldCharType="separate"/>
            </w:r>
            <w:r w:rsidR="009F3E64">
              <w:rPr>
                <w:noProof/>
                <w:webHidden/>
              </w:rPr>
              <w:t>51</w:t>
            </w:r>
            <w:r w:rsidR="009F3E64">
              <w:rPr>
                <w:noProof/>
                <w:webHidden/>
              </w:rPr>
              <w:fldChar w:fldCharType="end"/>
            </w:r>
          </w:hyperlink>
        </w:p>
        <w:p w14:paraId="039A22B1" w14:textId="278720A3"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886" w:history="1">
            <w:r w:rsidR="009F3E64" w:rsidRPr="009D5693">
              <w:rPr>
                <w:rStyle w:val="Hyperlink"/>
                <w:noProof/>
              </w:rPr>
              <w:t>Chapter 5: Discussion</w:t>
            </w:r>
            <w:r w:rsidR="009F3E64">
              <w:rPr>
                <w:noProof/>
                <w:webHidden/>
              </w:rPr>
              <w:tab/>
            </w:r>
            <w:r w:rsidR="009F3E64">
              <w:rPr>
                <w:noProof/>
                <w:webHidden/>
              </w:rPr>
              <w:fldChar w:fldCharType="begin"/>
            </w:r>
            <w:r w:rsidR="009F3E64">
              <w:rPr>
                <w:noProof/>
                <w:webHidden/>
              </w:rPr>
              <w:instrText xml:space="preserve"> PAGEREF _Toc240922886 \h </w:instrText>
            </w:r>
            <w:r w:rsidR="009F3E64">
              <w:rPr>
                <w:noProof/>
                <w:webHidden/>
              </w:rPr>
            </w:r>
            <w:r w:rsidR="009F3E64">
              <w:rPr>
                <w:noProof/>
                <w:webHidden/>
              </w:rPr>
              <w:fldChar w:fldCharType="separate"/>
            </w:r>
            <w:r w:rsidR="009F3E64">
              <w:rPr>
                <w:noProof/>
                <w:webHidden/>
              </w:rPr>
              <w:t>52</w:t>
            </w:r>
            <w:r w:rsidR="009F3E64">
              <w:rPr>
                <w:noProof/>
                <w:webHidden/>
              </w:rPr>
              <w:fldChar w:fldCharType="end"/>
            </w:r>
          </w:hyperlink>
        </w:p>
        <w:p w14:paraId="4B319CFE" w14:textId="051E072A"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87" w:history="1">
            <w:r w:rsidR="009F3E64" w:rsidRPr="009D5693">
              <w:rPr>
                <w:rStyle w:val="Hyperlink"/>
                <w:noProof/>
              </w:rPr>
              <w:t>5.1 Introduction</w:t>
            </w:r>
            <w:r w:rsidR="009F3E64">
              <w:rPr>
                <w:noProof/>
                <w:webHidden/>
              </w:rPr>
              <w:tab/>
            </w:r>
            <w:r w:rsidR="009F3E64">
              <w:rPr>
                <w:noProof/>
                <w:webHidden/>
              </w:rPr>
              <w:fldChar w:fldCharType="begin"/>
            </w:r>
            <w:r w:rsidR="009F3E64">
              <w:rPr>
                <w:noProof/>
                <w:webHidden/>
              </w:rPr>
              <w:instrText xml:space="preserve"> PAGEREF _Toc240922887 \h </w:instrText>
            </w:r>
            <w:r w:rsidR="009F3E64">
              <w:rPr>
                <w:noProof/>
                <w:webHidden/>
              </w:rPr>
            </w:r>
            <w:r w:rsidR="009F3E64">
              <w:rPr>
                <w:noProof/>
                <w:webHidden/>
              </w:rPr>
              <w:fldChar w:fldCharType="separate"/>
            </w:r>
            <w:r w:rsidR="009F3E64">
              <w:rPr>
                <w:noProof/>
                <w:webHidden/>
              </w:rPr>
              <w:t>52</w:t>
            </w:r>
            <w:r w:rsidR="009F3E64">
              <w:rPr>
                <w:noProof/>
                <w:webHidden/>
              </w:rPr>
              <w:fldChar w:fldCharType="end"/>
            </w:r>
          </w:hyperlink>
        </w:p>
        <w:p w14:paraId="49609B0F" w14:textId="6702EC13"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88" w:history="1">
            <w:r w:rsidR="009F3E64" w:rsidRPr="009D5693">
              <w:rPr>
                <w:rStyle w:val="Hyperlink"/>
                <w:noProof/>
              </w:rPr>
              <w:t>5.2 Timing of Recognition, Referral and Treatment</w:t>
            </w:r>
            <w:r w:rsidR="009F3E64">
              <w:rPr>
                <w:noProof/>
                <w:webHidden/>
              </w:rPr>
              <w:tab/>
            </w:r>
            <w:r w:rsidR="009F3E64">
              <w:rPr>
                <w:noProof/>
                <w:webHidden/>
              </w:rPr>
              <w:fldChar w:fldCharType="begin"/>
            </w:r>
            <w:r w:rsidR="009F3E64">
              <w:rPr>
                <w:noProof/>
                <w:webHidden/>
              </w:rPr>
              <w:instrText xml:space="preserve"> PAGEREF _Toc240922888 \h </w:instrText>
            </w:r>
            <w:r w:rsidR="009F3E64">
              <w:rPr>
                <w:noProof/>
                <w:webHidden/>
              </w:rPr>
            </w:r>
            <w:r w:rsidR="009F3E64">
              <w:rPr>
                <w:noProof/>
                <w:webHidden/>
              </w:rPr>
              <w:fldChar w:fldCharType="separate"/>
            </w:r>
            <w:r w:rsidR="009F3E64">
              <w:rPr>
                <w:noProof/>
                <w:webHidden/>
              </w:rPr>
              <w:t>52</w:t>
            </w:r>
            <w:r w:rsidR="009F3E64">
              <w:rPr>
                <w:noProof/>
                <w:webHidden/>
              </w:rPr>
              <w:fldChar w:fldCharType="end"/>
            </w:r>
          </w:hyperlink>
        </w:p>
        <w:p w14:paraId="1A295FAD" w14:textId="7EA84981"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89" w:history="1">
            <w:r w:rsidR="009F3E64" w:rsidRPr="009D5693">
              <w:rPr>
                <w:rStyle w:val="Hyperlink"/>
                <w:noProof/>
              </w:rPr>
              <w:t>5.3 Disease Severity and Clinical Response</w:t>
            </w:r>
            <w:r w:rsidR="009F3E64">
              <w:rPr>
                <w:noProof/>
                <w:webHidden/>
              </w:rPr>
              <w:tab/>
            </w:r>
            <w:r w:rsidR="009F3E64">
              <w:rPr>
                <w:noProof/>
                <w:webHidden/>
              </w:rPr>
              <w:fldChar w:fldCharType="begin"/>
            </w:r>
            <w:r w:rsidR="009F3E64">
              <w:rPr>
                <w:noProof/>
                <w:webHidden/>
              </w:rPr>
              <w:instrText xml:space="preserve"> PAGEREF _Toc240922889 \h </w:instrText>
            </w:r>
            <w:r w:rsidR="009F3E64">
              <w:rPr>
                <w:noProof/>
                <w:webHidden/>
              </w:rPr>
            </w:r>
            <w:r w:rsidR="009F3E64">
              <w:rPr>
                <w:noProof/>
                <w:webHidden/>
              </w:rPr>
              <w:fldChar w:fldCharType="separate"/>
            </w:r>
            <w:r w:rsidR="009F3E64">
              <w:rPr>
                <w:noProof/>
                <w:webHidden/>
              </w:rPr>
              <w:t>52</w:t>
            </w:r>
            <w:r w:rsidR="009F3E64">
              <w:rPr>
                <w:noProof/>
                <w:webHidden/>
              </w:rPr>
              <w:fldChar w:fldCharType="end"/>
            </w:r>
          </w:hyperlink>
        </w:p>
        <w:p w14:paraId="40481F6D" w14:textId="2C9454CA"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90" w:history="1">
            <w:r w:rsidR="009F3E64" w:rsidRPr="009D5693">
              <w:rPr>
                <w:rStyle w:val="Hyperlink"/>
                <w:noProof/>
              </w:rPr>
              <w:t>5.4 Quality of Life and Patient-Centred Outcomes</w:t>
            </w:r>
            <w:r w:rsidR="009F3E64">
              <w:rPr>
                <w:noProof/>
                <w:webHidden/>
              </w:rPr>
              <w:tab/>
            </w:r>
            <w:r w:rsidR="009F3E64">
              <w:rPr>
                <w:noProof/>
                <w:webHidden/>
              </w:rPr>
              <w:fldChar w:fldCharType="begin"/>
            </w:r>
            <w:r w:rsidR="009F3E64">
              <w:rPr>
                <w:noProof/>
                <w:webHidden/>
              </w:rPr>
              <w:instrText xml:space="preserve"> PAGEREF _Toc240922890 \h </w:instrText>
            </w:r>
            <w:r w:rsidR="009F3E64">
              <w:rPr>
                <w:noProof/>
                <w:webHidden/>
              </w:rPr>
            </w:r>
            <w:r w:rsidR="009F3E64">
              <w:rPr>
                <w:noProof/>
                <w:webHidden/>
              </w:rPr>
              <w:fldChar w:fldCharType="separate"/>
            </w:r>
            <w:r w:rsidR="009F3E64">
              <w:rPr>
                <w:noProof/>
                <w:webHidden/>
              </w:rPr>
              <w:t>53</w:t>
            </w:r>
            <w:r w:rsidR="009F3E64">
              <w:rPr>
                <w:noProof/>
                <w:webHidden/>
              </w:rPr>
              <w:fldChar w:fldCharType="end"/>
            </w:r>
          </w:hyperlink>
        </w:p>
        <w:p w14:paraId="29EA7F8D" w14:textId="0F6E1678"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91" w:history="1">
            <w:r w:rsidR="009F3E64" w:rsidRPr="009D5693">
              <w:rPr>
                <w:rStyle w:val="Hyperlink"/>
                <w:noProof/>
              </w:rPr>
              <w:t>5.5 Inequalities and Healthcare-System Influences</w:t>
            </w:r>
            <w:r w:rsidR="009F3E64">
              <w:rPr>
                <w:noProof/>
                <w:webHidden/>
              </w:rPr>
              <w:tab/>
            </w:r>
            <w:r w:rsidR="009F3E64">
              <w:rPr>
                <w:noProof/>
                <w:webHidden/>
              </w:rPr>
              <w:fldChar w:fldCharType="begin"/>
            </w:r>
            <w:r w:rsidR="009F3E64">
              <w:rPr>
                <w:noProof/>
                <w:webHidden/>
              </w:rPr>
              <w:instrText xml:space="preserve"> PAGEREF _Toc240922891 \h </w:instrText>
            </w:r>
            <w:r w:rsidR="009F3E64">
              <w:rPr>
                <w:noProof/>
                <w:webHidden/>
              </w:rPr>
            </w:r>
            <w:r w:rsidR="009F3E64">
              <w:rPr>
                <w:noProof/>
                <w:webHidden/>
              </w:rPr>
              <w:fldChar w:fldCharType="separate"/>
            </w:r>
            <w:r w:rsidR="009F3E64">
              <w:rPr>
                <w:noProof/>
                <w:webHidden/>
              </w:rPr>
              <w:t>53</w:t>
            </w:r>
            <w:r w:rsidR="009F3E64">
              <w:rPr>
                <w:noProof/>
                <w:webHidden/>
              </w:rPr>
              <w:fldChar w:fldCharType="end"/>
            </w:r>
          </w:hyperlink>
        </w:p>
        <w:p w14:paraId="242C0DBB" w14:textId="562BAD2E"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92" w:history="1">
            <w:r w:rsidR="009F3E64" w:rsidRPr="009D5693">
              <w:rPr>
                <w:rStyle w:val="Hyperlink"/>
                <w:noProof/>
              </w:rPr>
              <w:t>5.6 Overall Answer to the Research Question</w:t>
            </w:r>
            <w:r w:rsidR="009F3E64">
              <w:rPr>
                <w:noProof/>
                <w:webHidden/>
              </w:rPr>
              <w:tab/>
            </w:r>
            <w:r w:rsidR="009F3E64">
              <w:rPr>
                <w:noProof/>
                <w:webHidden/>
              </w:rPr>
              <w:fldChar w:fldCharType="begin"/>
            </w:r>
            <w:r w:rsidR="009F3E64">
              <w:rPr>
                <w:noProof/>
                <w:webHidden/>
              </w:rPr>
              <w:instrText xml:space="preserve"> PAGEREF _Toc240922892 \h </w:instrText>
            </w:r>
            <w:r w:rsidR="009F3E64">
              <w:rPr>
                <w:noProof/>
                <w:webHidden/>
              </w:rPr>
            </w:r>
            <w:r w:rsidR="009F3E64">
              <w:rPr>
                <w:noProof/>
                <w:webHidden/>
              </w:rPr>
              <w:fldChar w:fldCharType="separate"/>
            </w:r>
            <w:r w:rsidR="009F3E64">
              <w:rPr>
                <w:noProof/>
                <w:webHidden/>
              </w:rPr>
              <w:t>54</w:t>
            </w:r>
            <w:r w:rsidR="009F3E64">
              <w:rPr>
                <w:noProof/>
                <w:webHidden/>
              </w:rPr>
              <w:fldChar w:fldCharType="end"/>
            </w:r>
          </w:hyperlink>
        </w:p>
        <w:p w14:paraId="491779AD" w14:textId="72BD4667"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93" w:history="1">
            <w:r w:rsidR="009F3E64" w:rsidRPr="009D5693">
              <w:rPr>
                <w:rStyle w:val="Hyperlink"/>
                <w:noProof/>
              </w:rPr>
              <w:t>5.7 Strengths and Limitations of the Evidence and Review</w:t>
            </w:r>
            <w:r w:rsidR="009F3E64">
              <w:rPr>
                <w:noProof/>
                <w:webHidden/>
              </w:rPr>
              <w:tab/>
            </w:r>
            <w:r w:rsidR="009F3E64">
              <w:rPr>
                <w:noProof/>
                <w:webHidden/>
              </w:rPr>
              <w:fldChar w:fldCharType="begin"/>
            </w:r>
            <w:r w:rsidR="009F3E64">
              <w:rPr>
                <w:noProof/>
                <w:webHidden/>
              </w:rPr>
              <w:instrText xml:space="preserve"> PAGEREF _Toc240922893 \h </w:instrText>
            </w:r>
            <w:r w:rsidR="009F3E64">
              <w:rPr>
                <w:noProof/>
                <w:webHidden/>
              </w:rPr>
            </w:r>
            <w:r w:rsidR="009F3E64">
              <w:rPr>
                <w:noProof/>
                <w:webHidden/>
              </w:rPr>
              <w:fldChar w:fldCharType="separate"/>
            </w:r>
            <w:r w:rsidR="009F3E64">
              <w:rPr>
                <w:noProof/>
                <w:webHidden/>
              </w:rPr>
              <w:t>54</w:t>
            </w:r>
            <w:r w:rsidR="009F3E64">
              <w:rPr>
                <w:noProof/>
                <w:webHidden/>
              </w:rPr>
              <w:fldChar w:fldCharType="end"/>
            </w:r>
          </w:hyperlink>
        </w:p>
        <w:p w14:paraId="24A3CB46" w14:textId="2F0DAABB"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94" w:history="1">
            <w:r w:rsidR="009F3E64" w:rsidRPr="009D5693">
              <w:rPr>
                <w:rStyle w:val="Hyperlink"/>
                <w:noProof/>
              </w:rPr>
              <w:t>5.8 Implications for Practice and Policy</w:t>
            </w:r>
            <w:r w:rsidR="009F3E64">
              <w:rPr>
                <w:noProof/>
                <w:webHidden/>
              </w:rPr>
              <w:tab/>
            </w:r>
            <w:r w:rsidR="009F3E64">
              <w:rPr>
                <w:noProof/>
                <w:webHidden/>
              </w:rPr>
              <w:fldChar w:fldCharType="begin"/>
            </w:r>
            <w:r w:rsidR="009F3E64">
              <w:rPr>
                <w:noProof/>
                <w:webHidden/>
              </w:rPr>
              <w:instrText xml:space="preserve"> PAGEREF _Toc240922894 \h </w:instrText>
            </w:r>
            <w:r w:rsidR="009F3E64">
              <w:rPr>
                <w:noProof/>
                <w:webHidden/>
              </w:rPr>
            </w:r>
            <w:r w:rsidR="009F3E64">
              <w:rPr>
                <w:noProof/>
                <w:webHidden/>
              </w:rPr>
              <w:fldChar w:fldCharType="separate"/>
            </w:r>
            <w:r w:rsidR="009F3E64">
              <w:rPr>
                <w:noProof/>
                <w:webHidden/>
              </w:rPr>
              <w:t>55</w:t>
            </w:r>
            <w:r w:rsidR="009F3E64">
              <w:rPr>
                <w:noProof/>
                <w:webHidden/>
              </w:rPr>
              <w:fldChar w:fldCharType="end"/>
            </w:r>
          </w:hyperlink>
        </w:p>
        <w:p w14:paraId="3ABA05B6" w14:textId="7CAE3F5C"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95" w:history="1">
            <w:r w:rsidR="009F3E64" w:rsidRPr="009D5693">
              <w:rPr>
                <w:rStyle w:val="Hyperlink"/>
                <w:noProof/>
              </w:rPr>
              <w:t>5.9 Recommendations for Future Research</w:t>
            </w:r>
            <w:r w:rsidR="009F3E64">
              <w:rPr>
                <w:noProof/>
                <w:webHidden/>
              </w:rPr>
              <w:tab/>
            </w:r>
            <w:r w:rsidR="009F3E64">
              <w:rPr>
                <w:noProof/>
                <w:webHidden/>
              </w:rPr>
              <w:fldChar w:fldCharType="begin"/>
            </w:r>
            <w:r w:rsidR="009F3E64">
              <w:rPr>
                <w:noProof/>
                <w:webHidden/>
              </w:rPr>
              <w:instrText xml:space="preserve"> PAGEREF _Toc240922895 \h </w:instrText>
            </w:r>
            <w:r w:rsidR="009F3E64">
              <w:rPr>
                <w:noProof/>
                <w:webHidden/>
              </w:rPr>
            </w:r>
            <w:r w:rsidR="009F3E64">
              <w:rPr>
                <w:noProof/>
                <w:webHidden/>
              </w:rPr>
              <w:fldChar w:fldCharType="separate"/>
            </w:r>
            <w:r w:rsidR="009F3E64">
              <w:rPr>
                <w:noProof/>
                <w:webHidden/>
              </w:rPr>
              <w:t>55</w:t>
            </w:r>
            <w:r w:rsidR="009F3E64">
              <w:rPr>
                <w:noProof/>
                <w:webHidden/>
              </w:rPr>
              <w:fldChar w:fldCharType="end"/>
            </w:r>
          </w:hyperlink>
        </w:p>
        <w:p w14:paraId="0D79E353" w14:textId="4DA72157"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96" w:history="1">
            <w:r w:rsidR="009F3E64" w:rsidRPr="009D5693">
              <w:rPr>
                <w:rStyle w:val="Hyperlink"/>
                <w:noProof/>
              </w:rPr>
              <w:t>5.10 Chapter Conclusion</w:t>
            </w:r>
            <w:r w:rsidR="009F3E64">
              <w:rPr>
                <w:noProof/>
                <w:webHidden/>
              </w:rPr>
              <w:tab/>
            </w:r>
            <w:r w:rsidR="009F3E64">
              <w:rPr>
                <w:noProof/>
                <w:webHidden/>
              </w:rPr>
              <w:fldChar w:fldCharType="begin"/>
            </w:r>
            <w:r w:rsidR="009F3E64">
              <w:rPr>
                <w:noProof/>
                <w:webHidden/>
              </w:rPr>
              <w:instrText xml:space="preserve"> PAGEREF _Toc240922896 \h </w:instrText>
            </w:r>
            <w:r w:rsidR="009F3E64">
              <w:rPr>
                <w:noProof/>
                <w:webHidden/>
              </w:rPr>
            </w:r>
            <w:r w:rsidR="009F3E64">
              <w:rPr>
                <w:noProof/>
                <w:webHidden/>
              </w:rPr>
              <w:fldChar w:fldCharType="separate"/>
            </w:r>
            <w:r w:rsidR="009F3E64">
              <w:rPr>
                <w:noProof/>
                <w:webHidden/>
              </w:rPr>
              <w:t>55</w:t>
            </w:r>
            <w:r w:rsidR="009F3E64">
              <w:rPr>
                <w:noProof/>
                <w:webHidden/>
              </w:rPr>
              <w:fldChar w:fldCharType="end"/>
            </w:r>
          </w:hyperlink>
        </w:p>
        <w:p w14:paraId="18129037" w14:textId="1BE456B5"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897" w:history="1">
            <w:r w:rsidR="009F3E64" w:rsidRPr="009D5693">
              <w:rPr>
                <w:rStyle w:val="Hyperlink"/>
                <w:noProof/>
              </w:rPr>
              <w:t>Chapter 6: Conclusion and Recommendations</w:t>
            </w:r>
            <w:r w:rsidR="009F3E64">
              <w:rPr>
                <w:noProof/>
                <w:webHidden/>
              </w:rPr>
              <w:tab/>
            </w:r>
            <w:r w:rsidR="009F3E64">
              <w:rPr>
                <w:noProof/>
                <w:webHidden/>
              </w:rPr>
              <w:fldChar w:fldCharType="begin"/>
            </w:r>
            <w:r w:rsidR="009F3E64">
              <w:rPr>
                <w:noProof/>
                <w:webHidden/>
              </w:rPr>
              <w:instrText xml:space="preserve"> PAGEREF _Toc240922897 \h </w:instrText>
            </w:r>
            <w:r w:rsidR="009F3E64">
              <w:rPr>
                <w:noProof/>
                <w:webHidden/>
              </w:rPr>
            </w:r>
            <w:r w:rsidR="009F3E64">
              <w:rPr>
                <w:noProof/>
                <w:webHidden/>
              </w:rPr>
              <w:fldChar w:fldCharType="separate"/>
            </w:r>
            <w:r w:rsidR="009F3E64">
              <w:rPr>
                <w:noProof/>
                <w:webHidden/>
              </w:rPr>
              <w:t>56</w:t>
            </w:r>
            <w:r w:rsidR="009F3E64">
              <w:rPr>
                <w:noProof/>
                <w:webHidden/>
              </w:rPr>
              <w:fldChar w:fldCharType="end"/>
            </w:r>
          </w:hyperlink>
        </w:p>
        <w:p w14:paraId="1B335624" w14:textId="2101F5BB"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98" w:history="1">
            <w:r w:rsidR="009F3E64" w:rsidRPr="009D5693">
              <w:rPr>
                <w:rStyle w:val="Hyperlink"/>
                <w:noProof/>
              </w:rPr>
              <w:t>6.1 Introduction</w:t>
            </w:r>
            <w:r w:rsidR="009F3E64">
              <w:rPr>
                <w:noProof/>
                <w:webHidden/>
              </w:rPr>
              <w:tab/>
            </w:r>
            <w:r w:rsidR="009F3E64">
              <w:rPr>
                <w:noProof/>
                <w:webHidden/>
              </w:rPr>
              <w:fldChar w:fldCharType="begin"/>
            </w:r>
            <w:r w:rsidR="009F3E64">
              <w:rPr>
                <w:noProof/>
                <w:webHidden/>
              </w:rPr>
              <w:instrText xml:space="preserve"> PAGEREF _Toc240922898 \h </w:instrText>
            </w:r>
            <w:r w:rsidR="009F3E64">
              <w:rPr>
                <w:noProof/>
                <w:webHidden/>
              </w:rPr>
            </w:r>
            <w:r w:rsidR="009F3E64">
              <w:rPr>
                <w:noProof/>
                <w:webHidden/>
              </w:rPr>
              <w:fldChar w:fldCharType="separate"/>
            </w:r>
            <w:r w:rsidR="009F3E64">
              <w:rPr>
                <w:noProof/>
                <w:webHidden/>
              </w:rPr>
              <w:t>56</w:t>
            </w:r>
            <w:r w:rsidR="009F3E64">
              <w:rPr>
                <w:noProof/>
                <w:webHidden/>
              </w:rPr>
              <w:fldChar w:fldCharType="end"/>
            </w:r>
          </w:hyperlink>
        </w:p>
        <w:p w14:paraId="1B7C537C" w14:textId="52D495DA"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899" w:history="1">
            <w:r w:rsidR="009F3E64" w:rsidRPr="009D5693">
              <w:rPr>
                <w:rStyle w:val="Hyperlink"/>
                <w:noProof/>
              </w:rPr>
              <w:t>6.2 Overall Conclusions</w:t>
            </w:r>
            <w:r w:rsidR="009F3E64">
              <w:rPr>
                <w:noProof/>
                <w:webHidden/>
              </w:rPr>
              <w:tab/>
            </w:r>
            <w:r w:rsidR="009F3E64">
              <w:rPr>
                <w:noProof/>
                <w:webHidden/>
              </w:rPr>
              <w:fldChar w:fldCharType="begin"/>
            </w:r>
            <w:r w:rsidR="009F3E64">
              <w:rPr>
                <w:noProof/>
                <w:webHidden/>
              </w:rPr>
              <w:instrText xml:space="preserve"> PAGEREF _Toc240922899 \h </w:instrText>
            </w:r>
            <w:r w:rsidR="009F3E64">
              <w:rPr>
                <w:noProof/>
                <w:webHidden/>
              </w:rPr>
            </w:r>
            <w:r w:rsidR="009F3E64">
              <w:rPr>
                <w:noProof/>
                <w:webHidden/>
              </w:rPr>
              <w:fldChar w:fldCharType="separate"/>
            </w:r>
            <w:r w:rsidR="009F3E64">
              <w:rPr>
                <w:noProof/>
                <w:webHidden/>
              </w:rPr>
              <w:t>56</w:t>
            </w:r>
            <w:r w:rsidR="009F3E64">
              <w:rPr>
                <w:noProof/>
                <w:webHidden/>
              </w:rPr>
              <w:fldChar w:fldCharType="end"/>
            </w:r>
          </w:hyperlink>
        </w:p>
        <w:p w14:paraId="0B9B7C90" w14:textId="6F616F8B"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900" w:history="1">
            <w:r w:rsidR="009F3E64" w:rsidRPr="009D5693">
              <w:rPr>
                <w:rStyle w:val="Hyperlink"/>
                <w:noProof/>
              </w:rPr>
              <w:t>6.3 Achievement of the Research Aim and Objectives</w:t>
            </w:r>
            <w:r w:rsidR="009F3E64">
              <w:rPr>
                <w:noProof/>
                <w:webHidden/>
              </w:rPr>
              <w:tab/>
            </w:r>
            <w:r w:rsidR="009F3E64">
              <w:rPr>
                <w:noProof/>
                <w:webHidden/>
              </w:rPr>
              <w:fldChar w:fldCharType="begin"/>
            </w:r>
            <w:r w:rsidR="009F3E64">
              <w:rPr>
                <w:noProof/>
                <w:webHidden/>
              </w:rPr>
              <w:instrText xml:space="preserve"> PAGEREF _Toc240922900 \h </w:instrText>
            </w:r>
            <w:r w:rsidR="009F3E64">
              <w:rPr>
                <w:noProof/>
                <w:webHidden/>
              </w:rPr>
            </w:r>
            <w:r w:rsidR="009F3E64">
              <w:rPr>
                <w:noProof/>
                <w:webHidden/>
              </w:rPr>
              <w:fldChar w:fldCharType="separate"/>
            </w:r>
            <w:r w:rsidR="009F3E64">
              <w:rPr>
                <w:noProof/>
                <w:webHidden/>
              </w:rPr>
              <w:t>56</w:t>
            </w:r>
            <w:r w:rsidR="009F3E64">
              <w:rPr>
                <w:noProof/>
                <w:webHidden/>
              </w:rPr>
              <w:fldChar w:fldCharType="end"/>
            </w:r>
          </w:hyperlink>
        </w:p>
        <w:p w14:paraId="670662D9" w14:textId="7366CD48"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901" w:history="1">
            <w:r w:rsidR="009F3E64" w:rsidRPr="009D5693">
              <w:rPr>
                <w:rStyle w:val="Hyperlink"/>
                <w:noProof/>
              </w:rPr>
              <w:t>6.4 Recommendations</w:t>
            </w:r>
            <w:r w:rsidR="009F3E64">
              <w:rPr>
                <w:noProof/>
                <w:webHidden/>
              </w:rPr>
              <w:tab/>
            </w:r>
            <w:r w:rsidR="009F3E64">
              <w:rPr>
                <w:noProof/>
                <w:webHidden/>
              </w:rPr>
              <w:fldChar w:fldCharType="begin"/>
            </w:r>
            <w:r w:rsidR="009F3E64">
              <w:rPr>
                <w:noProof/>
                <w:webHidden/>
              </w:rPr>
              <w:instrText xml:space="preserve"> PAGEREF _Toc240922901 \h </w:instrText>
            </w:r>
            <w:r w:rsidR="009F3E64">
              <w:rPr>
                <w:noProof/>
                <w:webHidden/>
              </w:rPr>
            </w:r>
            <w:r w:rsidR="009F3E64">
              <w:rPr>
                <w:noProof/>
                <w:webHidden/>
              </w:rPr>
              <w:fldChar w:fldCharType="separate"/>
            </w:r>
            <w:r w:rsidR="009F3E64">
              <w:rPr>
                <w:noProof/>
                <w:webHidden/>
              </w:rPr>
              <w:t>57</w:t>
            </w:r>
            <w:r w:rsidR="009F3E64">
              <w:rPr>
                <w:noProof/>
                <w:webHidden/>
              </w:rPr>
              <w:fldChar w:fldCharType="end"/>
            </w:r>
          </w:hyperlink>
        </w:p>
        <w:p w14:paraId="7B0B040F" w14:textId="61C16CEF"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902" w:history="1">
            <w:r w:rsidR="009F3E64" w:rsidRPr="009D5693">
              <w:rPr>
                <w:rStyle w:val="Hyperlink"/>
                <w:noProof/>
              </w:rPr>
              <w:t>6.5 Recommendations for Future Research</w:t>
            </w:r>
            <w:r w:rsidR="009F3E64">
              <w:rPr>
                <w:noProof/>
                <w:webHidden/>
              </w:rPr>
              <w:tab/>
            </w:r>
            <w:r w:rsidR="009F3E64">
              <w:rPr>
                <w:noProof/>
                <w:webHidden/>
              </w:rPr>
              <w:fldChar w:fldCharType="begin"/>
            </w:r>
            <w:r w:rsidR="009F3E64">
              <w:rPr>
                <w:noProof/>
                <w:webHidden/>
              </w:rPr>
              <w:instrText xml:space="preserve"> PAGEREF _Toc240922902 \h </w:instrText>
            </w:r>
            <w:r w:rsidR="009F3E64">
              <w:rPr>
                <w:noProof/>
                <w:webHidden/>
              </w:rPr>
            </w:r>
            <w:r w:rsidR="009F3E64">
              <w:rPr>
                <w:noProof/>
                <w:webHidden/>
              </w:rPr>
              <w:fldChar w:fldCharType="separate"/>
            </w:r>
            <w:r w:rsidR="009F3E64">
              <w:rPr>
                <w:noProof/>
                <w:webHidden/>
              </w:rPr>
              <w:t>57</w:t>
            </w:r>
            <w:r w:rsidR="009F3E64">
              <w:rPr>
                <w:noProof/>
                <w:webHidden/>
              </w:rPr>
              <w:fldChar w:fldCharType="end"/>
            </w:r>
          </w:hyperlink>
        </w:p>
        <w:p w14:paraId="70A79C7F" w14:textId="0DBC622C"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903" w:history="1">
            <w:r w:rsidR="009F3E64" w:rsidRPr="009D5693">
              <w:rPr>
                <w:rStyle w:val="Hyperlink"/>
                <w:noProof/>
              </w:rPr>
              <w:t>6.6 Final Conclusion</w:t>
            </w:r>
            <w:r w:rsidR="009F3E64">
              <w:rPr>
                <w:noProof/>
                <w:webHidden/>
              </w:rPr>
              <w:tab/>
            </w:r>
            <w:r w:rsidR="009F3E64">
              <w:rPr>
                <w:noProof/>
                <w:webHidden/>
              </w:rPr>
              <w:fldChar w:fldCharType="begin"/>
            </w:r>
            <w:r w:rsidR="009F3E64">
              <w:rPr>
                <w:noProof/>
                <w:webHidden/>
              </w:rPr>
              <w:instrText xml:space="preserve"> PAGEREF _Toc240922903 \h </w:instrText>
            </w:r>
            <w:r w:rsidR="009F3E64">
              <w:rPr>
                <w:noProof/>
                <w:webHidden/>
              </w:rPr>
            </w:r>
            <w:r w:rsidR="009F3E64">
              <w:rPr>
                <w:noProof/>
                <w:webHidden/>
              </w:rPr>
              <w:fldChar w:fldCharType="separate"/>
            </w:r>
            <w:r w:rsidR="009F3E64">
              <w:rPr>
                <w:noProof/>
                <w:webHidden/>
              </w:rPr>
              <w:t>58</w:t>
            </w:r>
            <w:r w:rsidR="009F3E64">
              <w:rPr>
                <w:noProof/>
                <w:webHidden/>
              </w:rPr>
              <w:fldChar w:fldCharType="end"/>
            </w:r>
          </w:hyperlink>
        </w:p>
        <w:p w14:paraId="692BA773" w14:textId="1B0D068B"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904" w:history="1">
            <w:r w:rsidR="009F3E64" w:rsidRPr="009D5693">
              <w:rPr>
                <w:rStyle w:val="Hyperlink"/>
                <w:noProof/>
              </w:rPr>
              <w:t>Reference list</w:t>
            </w:r>
            <w:r w:rsidR="009F3E64">
              <w:rPr>
                <w:noProof/>
                <w:webHidden/>
              </w:rPr>
              <w:tab/>
            </w:r>
            <w:r w:rsidR="009F3E64">
              <w:rPr>
                <w:noProof/>
                <w:webHidden/>
              </w:rPr>
              <w:fldChar w:fldCharType="begin"/>
            </w:r>
            <w:r w:rsidR="009F3E64">
              <w:rPr>
                <w:noProof/>
                <w:webHidden/>
              </w:rPr>
              <w:instrText xml:space="preserve"> PAGEREF _Toc240922904 \h </w:instrText>
            </w:r>
            <w:r w:rsidR="009F3E64">
              <w:rPr>
                <w:noProof/>
                <w:webHidden/>
              </w:rPr>
            </w:r>
            <w:r w:rsidR="009F3E64">
              <w:rPr>
                <w:noProof/>
                <w:webHidden/>
              </w:rPr>
              <w:fldChar w:fldCharType="separate"/>
            </w:r>
            <w:r w:rsidR="009F3E64">
              <w:rPr>
                <w:noProof/>
                <w:webHidden/>
              </w:rPr>
              <w:t>59</w:t>
            </w:r>
            <w:r w:rsidR="009F3E64">
              <w:rPr>
                <w:noProof/>
                <w:webHidden/>
              </w:rPr>
              <w:fldChar w:fldCharType="end"/>
            </w:r>
          </w:hyperlink>
        </w:p>
        <w:p w14:paraId="4AC3D599" w14:textId="50061F6B" w:rsidR="009F3E64" w:rsidRDefault="00C1209F">
          <w:pPr>
            <w:pStyle w:val="TOC1"/>
            <w:tabs>
              <w:tab w:val="right" w:leader="dot" w:pos="9350"/>
            </w:tabs>
            <w:rPr>
              <w:rFonts w:asciiTheme="minorHAnsi" w:hAnsiTheme="minorHAnsi"/>
              <w:noProof/>
              <w:kern w:val="2"/>
              <w:sz w:val="24"/>
              <w:szCs w:val="24"/>
              <w14:ligatures w14:val="standardContextual"/>
            </w:rPr>
          </w:pPr>
          <w:hyperlink w:anchor="_Toc240922905" w:history="1">
            <w:r w:rsidR="009F3E64" w:rsidRPr="009D5693">
              <w:rPr>
                <w:rStyle w:val="Hyperlink"/>
                <w:noProof/>
              </w:rPr>
              <w:t>Appendices</w:t>
            </w:r>
            <w:r w:rsidR="009F3E64">
              <w:rPr>
                <w:noProof/>
                <w:webHidden/>
              </w:rPr>
              <w:tab/>
            </w:r>
            <w:r w:rsidR="009F3E64">
              <w:rPr>
                <w:noProof/>
                <w:webHidden/>
              </w:rPr>
              <w:fldChar w:fldCharType="begin"/>
            </w:r>
            <w:r w:rsidR="009F3E64">
              <w:rPr>
                <w:noProof/>
                <w:webHidden/>
              </w:rPr>
              <w:instrText xml:space="preserve"> PAGEREF _Toc240922905 \h </w:instrText>
            </w:r>
            <w:r w:rsidR="009F3E64">
              <w:rPr>
                <w:noProof/>
                <w:webHidden/>
              </w:rPr>
            </w:r>
            <w:r w:rsidR="009F3E64">
              <w:rPr>
                <w:noProof/>
                <w:webHidden/>
              </w:rPr>
              <w:fldChar w:fldCharType="separate"/>
            </w:r>
            <w:r w:rsidR="009F3E64">
              <w:rPr>
                <w:noProof/>
                <w:webHidden/>
              </w:rPr>
              <w:t>72</w:t>
            </w:r>
            <w:r w:rsidR="009F3E64">
              <w:rPr>
                <w:noProof/>
                <w:webHidden/>
              </w:rPr>
              <w:fldChar w:fldCharType="end"/>
            </w:r>
          </w:hyperlink>
        </w:p>
        <w:p w14:paraId="55E61ADC" w14:textId="7A882AE0"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906" w:history="1">
            <w:r w:rsidR="009F3E64" w:rsidRPr="009D5693">
              <w:rPr>
                <w:rStyle w:val="Hyperlink"/>
                <w:noProof/>
              </w:rPr>
              <w:t>Appendix 1 - CASP Critical Appraisals</w:t>
            </w:r>
            <w:r w:rsidR="009F3E64">
              <w:rPr>
                <w:noProof/>
                <w:webHidden/>
              </w:rPr>
              <w:tab/>
            </w:r>
            <w:r w:rsidR="009F3E64">
              <w:rPr>
                <w:noProof/>
                <w:webHidden/>
              </w:rPr>
              <w:fldChar w:fldCharType="begin"/>
            </w:r>
            <w:r w:rsidR="009F3E64">
              <w:rPr>
                <w:noProof/>
                <w:webHidden/>
              </w:rPr>
              <w:instrText xml:space="preserve"> PAGEREF _Toc240922906 \h </w:instrText>
            </w:r>
            <w:r w:rsidR="009F3E64">
              <w:rPr>
                <w:noProof/>
                <w:webHidden/>
              </w:rPr>
            </w:r>
            <w:r w:rsidR="009F3E64">
              <w:rPr>
                <w:noProof/>
                <w:webHidden/>
              </w:rPr>
              <w:fldChar w:fldCharType="separate"/>
            </w:r>
            <w:r w:rsidR="009F3E64">
              <w:rPr>
                <w:noProof/>
                <w:webHidden/>
              </w:rPr>
              <w:t>72</w:t>
            </w:r>
            <w:r w:rsidR="009F3E64">
              <w:rPr>
                <w:noProof/>
                <w:webHidden/>
              </w:rPr>
              <w:fldChar w:fldCharType="end"/>
            </w:r>
          </w:hyperlink>
        </w:p>
        <w:p w14:paraId="77A14050" w14:textId="648FAF6F" w:rsidR="009F3E64" w:rsidRDefault="00C1209F">
          <w:pPr>
            <w:pStyle w:val="TOC2"/>
            <w:tabs>
              <w:tab w:val="right" w:leader="dot" w:pos="9350"/>
            </w:tabs>
            <w:rPr>
              <w:rFonts w:asciiTheme="minorHAnsi" w:hAnsiTheme="minorHAnsi"/>
              <w:noProof/>
              <w:kern w:val="2"/>
              <w:sz w:val="24"/>
              <w:szCs w:val="24"/>
              <w14:ligatures w14:val="standardContextual"/>
            </w:rPr>
          </w:pPr>
          <w:hyperlink w:anchor="_Toc240922907" w:history="1">
            <w:r w:rsidR="009F3E64" w:rsidRPr="009D5693">
              <w:rPr>
                <w:rStyle w:val="Hyperlink"/>
                <w:noProof/>
              </w:rPr>
              <w:t>Appendix 2 - Search Record Summary</w:t>
            </w:r>
            <w:r w:rsidR="009F3E64">
              <w:rPr>
                <w:noProof/>
                <w:webHidden/>
              </w:rPr>
              <w:tab/>
            </w:r>
            <w:r w:rsidR="009F3E64">
              <w:rPr>
                <w:noProof/>
                <w:webHidden/>
              </w:rPr>
              <w:fldChar w:fldCharType="begin"/>
            </w:r>
            <w:r w:rsidR="009F3E64">
              <w:rPr>
                <w:noProof/>
                <w:webHidden/>
              </w:rPr>
              <w:instrText xml:space="preserve"> PAGEREF _Toc240922907 \h </w:instrText>
            </w:r>
            <w:r w:rsidR="009F3E64">
              <w:rPr>
                <w:noProof/>
                <w:webHidden/>
              </w:rPr>
            </w:r>
            <w:r w:rsidR="009F3E64">
              <w:rPr>
                <w:noProof/>
                <w:webHidden/>
              </w:rPr>
              <w:fldChar w:fldCharType="separate"/>
            </w:r>
            <w:r w:rsidR="009F3E64">
              <w:rPr>
                <w:noProof/>
                <w:webHidden/>
              </w:rPr>
              <w:t>76</w:t>
            </w:r>
            <w:r w:rsidR="009F3E64">
              <w:rPr>
                <w:noProof/>
                <w:webHidden/>
              </w:rPr>
              <w:fldChar w:fldCharType="end"/>
            </w:r>
          </w:hyperlink>
        </w:p>
        <w:p w14:paraId="48B7BCA8" w14:textId="002D2777" w:rsidR="00ED5E58" w:rsidRDefault="00ED5E58">
          <w:r>
            <w:rPr>
              <w:b/>
              <w:bCs/>
              <w:noProof/>
            </w:rPr>
            <w:fldChar w:fldCharType="end"/>
          </w:r>
        </w:p>
      </w:sdtContent>
    </w:sdt>
    <w:p w14:paraId="0B791221" w14:textId="77777777" w:rsidR="00C63879" w:rsidRDefault="00426BC9">
      <w:r>
        <w:br w:type="page"/>
      </w:r>
    </w:p>
    <w:p w14:paraId="3EB93ADB" w14:textId="77777777" w:rsidR="00C63879" w:rsidRPr="00D8711C" w:rsidRDefault="00426BC9" w:rsidP="00D8711C">
      <w:pPr>
        <w:pStyle w:val="Heading1"/>
      </w:pPr>
      <w:bookmarkStart w:id="6" w:name="_Toc240922821"/>
      <w:r>
        <w:lastRenderedPageBreak/>
        <w:t>Chapter 1: Introduction</w:t>
      </w:r>
      <w:bookmarkEnd w:id="6"/>
    </w:p>
    <w:p w14:paraId="6313B1BF" w14:textId="77777777" w:rsidR="00C63879" w:rsidRDefault="00426BC9" w:rsidP="00C662DF">
      <w:pPr>
        <w:pStyle w:val="Heading2"/>
      </w:pPr>
      <w:bookmarkStart w:id="7" w:name="_Toc240922822"/>
      <w:r>
        <w:t>1.1 Introduction</w:t>
      </w:r>
      <w:bookmarkEnd w:id="7"/>
    </w:p>
    <w:p w14:paraId="79C8B74E" w14:textId="77777777" w:rsidR="00DE5ED7" w:rsidRDefault="00DE5ED7" w:rsidP="00DE5ED7">
      <w:pPr>
        <w:spacing w:after="120"/>
      </w:pPr>
      <w:r>
        <w:t>Rheumatoid arthritis (RA) is a chronic systemic autoimmune disease that is characterised by lasting synovial inflammation, progressive joint destruction and physical, psychological and social well-being problems. Known as a musculoskeletal disorder, uncontrolled RA may decrease mobility, limit independence, disrupt employment and enhance comorbidity, thus becoming a significant issue in terms of public-health and social-care-related concerns (Radu and Bungau, 2021; Husni and Karpouzas, 2023).</w:t>
      </w:r>
    </w:p>
    <w:p w14:paraId="242D2A0B" w14:textId="70DAFDC3" w:rsidR="00DE5ED7" w:rsidRDefault="00DE5ED7" w:rsidP="00DE5ED7">
      <w:pPr>
        <w:spacing w:after="120"/>
      </w:pPr>
      <w:r>
        <w:t xml:space="preserve">The burden of this is the timing of diagnosis and treatment. During this initial disease, the inflammatory process can be more amenable to disease-modifying antirheumatic drugs (DMARDs), but time may allow structural damage and functional impairment to accrue. </w:t>
      </w:r>
      <w:r w:rsidR="00D43EB5" w:rsidRPr="00D43EB5">
        <w:t>Therefore, early diagnosis, timely referral, and correct and timely initiation of treatment are crucial in the care of RA, as they can prevent the progression of unnecessary impairment of function and the disease process</w:t>
      </w:r>
      <w:r w:rsidR="00D43EB5">
        <w:t xml:space="preserve"> </w:t>
      </w:r>
      <w:r>
        <w:t xml:space="preserve">(Fraenkel et al., 2021; Everson-Hock et al., 2021). </w:t>
      </w:r>
    </w:p>
    <w:p w14:paraId="1C9BB21F" w14:textId="679B9740" w:rsidR="00C63879" w:rsidRDefault="00DE5ED7" w:rsidP="00DE5ED7">
      <w:pPr>
        <w:spacing w:after="120"/>
      </w:pPr>
      <w:r>
        <w:t>The current systematic review evaluates the impact of early diagnosis and early initiation of treatment on disease severity and patients with RA quality of life in the United Kingdom</w:t>
      </w:r>
      <w:r w:rsidR="008B7A82">
        <w:t xml:space="preserve"> </w:t>
      </w:r>
      <w:r w:rsidR="008B7A82" w:rsidRPr="008B7A82">
        <w:t>(Scott et al., 2018; Stack et al., 2019; Warburton et al., 2019)</w:t>
      </w:r>
      <w:r>
        <w:t>. It requires a UK focus due to outcomes being influenced by the NHS referral pathway, service capacity, geographic disparity, socioeconomic factors, and patients' willingness to identify symptoms and seek treatment</w:t>
      </w:r>
      <w:r w:rsidR="00B648AD">
        <w:t xml:space="preserve"> </w:t>
      </w:r>
      <w:r w:rsidR="00215F94" w:rsidRPr="00215F94">
        <w:t>(Scott et al., 2022; d’Elia et al., 2025; HQIP, 2025)</w:t>
      </w:r>
      <w:r>
        <w:t xml:space="preserve">. </w:t>
      </w:r>
      <w:r w:rsidR="00616A80" w:rsidRPr="00616A80">
        <w:t>This sets the backdrop for discussing the severity of the disease level and the quality of life as key outcomes of early RA treatment in the UK</w:t>
      </w:r>
      <w:r w:rsidR="00616A80">
        <w:t xml:space="preserve"> </w:t>
      </w:r>
      <w:r>
        <w:t>(Yates et al., 2021; Adas et al., 2024).</w:t>
      </w:r>
    </w:p>
    <w:p w14:paraId="1C0CFEFE" w14:textId="77777777" w:rsidR="00C63879" w:rsidRDefault="00426BC9" w:rsidP="00C662DF">
      <w:pPr>
        <w:pStyle w:val="Heading2"/>
      </w:pPr>
      <w:bookmarkStart w:id="8" w:name="_Toc240922823"/>
      <w:r>
        <w:t>1.2 UK Background and Context</w:t>
      </w:r>
      <w:bookmarkEnd w:id="8"/>
    </w:p>
    <w:p w14:paraId="75972116" w14:textId="7DA16A36" w:rsidR="009C5611" w:rsidRDefault="009C5611" w:rsidP="009C5611">
      <w:pPr>
        <w:spacing w:after="120"/>
      </w:pPr>
      <w:r>
        <w:t>In the UK, RA is a significant social-care and health issue, as it can result in long-term joint damage and disability and overall disruption of patients' lives if it is not controlled. Its impact goes beyond just clinical symptoms, as it can impact mobility, independence, employment, and even social participation. Therefore, specialist early inflammatory arthritis services and national monitoring systems have become key parts of the pathway for the identification and management of those with suspected rheumatoid arthritis within the UK (Yates et al., 2021).</w:t>
      </w:r>
    </w:p>
    <w:p w14:paraId="6267883C" w14:textId="6C5B9EF6" w:rsidR="009C5611" w:rsidRDefault="009C5611" w:rsidP="009C5611">
      <w:pPr>
        <w:spacing w:after="120"/>
      </w:pPr>
      <w:r>
        <w:lastRenderedPageBreak/>
        <w:t>April is also known as National Rheumatoid Arthritis Awareness Month, and early diagnosis and timely treatment are of special importance as rheumatoid arthritis can become more serious over time and damage the bones and joints to the extent that it may become irreversible. Therapy nowadays is targeted at early identification of specialist care, with the principles of treatment that are focused on using disease-modifying antirheumatic drugs and ongoing review of disease activity to modify therapy as needed (Everson-Hock et al., 2021). However, patient awareness, presentation to healthcare services, referral processes and access to specialist services could all impact timely access to care</w:t>
      </w:r>
      <w:r w:rsidR="00D37F14">
        <w:t xml:space="preserve"> </w:t>
      </w:r>
      <w:r w:rsidR="00D37F14" w:rsidRPr="00D37F14">
        <w:t>(NICE, 2018; HQIP, 2021; HQIP, 2022)</w:t>
      </w:r>
      <w:r>
        <w:t>.</w:t>
      </w:r>
    </w:p>
    <w:p w14:paraId="5E61D756" w14:textId="6ABE40A9" w:rsidR="009C5611" w:rsidRDefault="009C5611" w:rsidP="009C5611">
      <w:pPr>
        <w:spacing w:after="120"/>
      </w:pPr>
      <w:r>
        <w:t>The importance of effective early pathways was also evidenced by the impact of disruption in the diagnosis of inflammatory arthritis in England during the COVID-19 pandemic, when there were fewer new cases (Russell et al., 2022), which illustrates potential harm from interruption to healthcare services. Enhancing recognition and signposting in community and primary-care settings could therefore help to facilitate earlier specialist assessment (Simons et al., 2022).</w:t>
      </w:r>
    </w:p>
    <w:p w14:paraId="2119138C" w14:textId="51FCD64D" w:rsidR="00C63879" w:rsidRDefault="009C5611" w:rsidP="009C5611">
      <w:pPr>
        <w:spacing w:after="120"/>
      </w:pPr>
      <w:r>
        <w:t xml:space="preserve">When it comes to the impact of rheumatoid arthritis, there are two important outcomes to consider: the severity of the disease and the quality of life. Clinical measures give information on disease activity and response to treatment, while patient-centred measures give information about pain, fatigue, functional limitation and broader wellbeing (Galloway </w:t>
      </w:r>
      <w:r w:rsidR="00CC0BAD">
        <w:t>et al.,</w:t>
      </w:r>
      <w:r>
        <w:t xml:space="preserve"> 2021). RA also has an impact on job performance and productivity, highlighting its broader public-health and socio-economic relevance (Kirkeskov and Bray, 2023). Therefore, the question of the association between earlier diagnosis and treatment and better clinical and QOL outcomes is of critical importance for healthcare practice in the UK.</w:t>
      </w:r>
    </w:p>
    <w:p w14:paraId="5A0FB2EE" w14:textId="77777777" w:rsidR="00C63879" w:rsidRDefault="00426BC9" w:rsidP="00C662DF">
      <w:pPr>
        <w:pStyle w:val="Heading2"/>
      </w:pPr>
      <w:bookmarkStart w:id="9" w:name="_Toc240922824"/>
      <w:r>
        <w:t>1.3 Problem Statement</w:t>
      </w:r>
      <w:bookmarkEnd w:id="9"/>
    </w:p>
    <w:p w14:paraId="6A5C6D4D" w14:textId="3CF1B677" w:rsidR="0001480F" w:rsidRDefault="005457FC" w:rsidP="0001480F">
      <w:pPr>
        <w:spacing w:after="120"/>
      </w:pPr>
      <w:r w:rsidRPr="005457FC">
        <w:t xml:space="preserve">The main research question is the degree to which earlier RA diagnosis and treatment result in less severity and better quality of life for UK populations and services, but there is uncertainty about this. </w:t>
      </w:r>
      <w:r w:rsidR="0001480F">
        <w:t>The guidance emphasises the initial therapy of DMARD and dynamic adaptability, although evidence in the UK demonstrates that remission is incomplete, diagnostic interference, geographical variances, and socially patterned disease developments (Fraenkel et al., 2021; Alveyn et al., 2025). The primary uncertainty does not focus on whether early intervention is good or not, but on whether the diagnosis and treatment at an earlier age are consistent across UK populations and services and linked to reduced severity and improved life quality.</w:t>
      </w:r>
    </w:p>
    <w:p w14:paraId="76DA1456" w14:textId="77777777" w:rsidR="0001480F" w:rsidRDefault="0001480F" w:rsidP="0001480F">
      <w:pPr>
        <w:spacing w:after="120"/>
      </w:pPr>
      <w:r>
        <w:t xml:space="preserve">There are a number of problems that make this relationship complicated. First, early can be used in reference to the development of symptoms, the initial meeting with health care </w:t>
      </w:r>
      <w:r>
        <w:lastRenderedPageBreak/>
        <w:t>providers, a referral, an expert evaluation or the start of treatment. Second, there is the report of severity as DAS28, remission, disability, frailty, hospitalisation or escalation of treatment. Third, EQ-5D, fatigue, work impact or social participation might be used to represent quality of life. Better performance in a single measure may not necessarily reflect recovery in all areas (Feng et al., 2024; Hanlon et al., 2022).</w:t>
      </w:r>
    </w:p>
    <w:p w14:paraId="3372026B" w14:textId="06570A8A" w:rsidR="00C63879" w:rsidRDefault="0001480F" w:rsidP="003E0DEB">
      <w:pPr>
        <w:spacing w:after="120"/>
      </w:pPr>
      <w:r>
        <w:t xml:space="preserve">Another issue is social inequality. In a large UK audit, Adas et al. (2024) correlated socioeconomic and clinical conditions with ongoing disease activity. Ineffective results may be indicative of late presentation, health literacy, competing demands or local service disparity and also biological reaction. Mean changes are able to mask populations that still face more risk of danger. </w:t>
      </w:r>
    </w:p>
    <w:p w14:paraId="37D396DE" w14:textId="77777777" w:rsidR="00C63879" w:rsidRDefault="00426BC9" w:rsidP="00C662DF">
      <w:pPr>
        <w:pStyle w:val="Heading2"/>
      </w:pPr>
      <w:bookmarkStart w:id="10" w:name="_Toc240922825"/>
      <w:r>
        <w:t>1.4 Rationale and Critical Justification</w:t>
      </w:r>
      <w:bookmarkEnd w:id="10"/>
    </w:p>
    <w:p w14:paraId="372AC704" w14:textId="5CE035A1" w:rsidR="003E0DEB" w:rsidRDefault="003E0DEB" w:rsidP="003E0DEB">
      <w:pPr>
        <w:spacing w:after="120"/>
      </w:pPr>
      <w:r>
        <w:t xml:space="preserve">The basis is both clinical and public-health. The outcomes of RA may be irreversible, yet how effective early intervention is in averting them hinges on the execution of ordinary care. </w:t>
      </w:r>
      <w:r w:rsidR="004F2160" w:rsidRPr="004F2160">
        <w:t>Whilst there is existing evidence for the efficacy of EI, the effectiveness of its benefits and outcomes under routine care in the UK are not consistently realised and may be affected by delays in referral, deprivation, capacity of services and variation in outcome measures. Therefore, a systematic literature review is needed to gather the evidence available, look for common results and to explain the gaps that exist</w:t>
      </w:r>
      <w:r w:rsidR="004F2160">
        <w:t xml:space="preserve"> </w:t>
      </w:r>
      <w:r>
        <w:t>(Cope et al., 2024; Lampa et al., 2026).</w:t>
      </w:r>
    </w:p>
    <w:p w14:paraId="7F21AF87" w14:textId="77777777" w:rsidR="003E0DEB" w:rsidRDefault="003E0DEB" w:rsidP="003E0DEB">
      <w:pPr>
        <w:spacing w:after="120"/>
      </w:pPr>
      <w:r>
        <w:t>An insight that is UK-focused is also required as the global results cannot be applied blindly. Other health systems provide understanding of the relationships between disease activity and disability and quality of life, although access routes, funding of treatment and social circumstances vary (Al-Jabi et al., 2021; Said et al., 2025). The review should be able to differentiate between evidence that is clearly relevant to UK practice and that which is to be interpreted in a more general way.</w:t>
      </w:r>
    </w:p>
    <w:p w14:paraId="4A57CE65" w14:textId="0EF4A868" w:rsidR="003E0DEB" w:rsidRDefault="003E0DEB" w:rsidP="003E0DEB">
      <w:pPr>
        <w:spacing w:after="120"/>
      </w:pPr>
      <w:r>
        <w:t>The reason why the review is important is that it evaluates the outcomes that are important in real life. Previous treatment can reduce the level of inflammatory activity, but patients can still complain of fatigue, limitation of function, or inability to stay at work</w:t>
      </w:r>
      <w:r w:rsidR="00E927FA">
        <w:t xml:space="preserve"> </w:t>
      </w:r>
      <w:r w:rsidR="00E927FA" w:rsidRPr="00E927FA">
        <w:t>(Carpenter et al., 2020; Taylor et al., 2021; Torlinska et al., 2024)</w:t>
      </w:r>
      <w:r>
        <w:t xml:space="preserve">. </w:t>
      </w:r>
      <w:r w:rsidR="00ED7A91" w:rsidRPr="00ED7A91">
        <w:t xml:space="preserve">As such, the review has focused on patient-centred outcomes as well as clinical measures, as RA impacts healthcare service utilisation, employment, and frailty/overall wellbeing despite improvement in inflammatory activity (Galloway et al., 2021; Kirkeskov and Bray, 2023; Hanlon et al., 2022). This larger-scale </w:t>
      </w:r>
      <w:r w:rsidR="00ED7A91" w:rsidRPr="00ED7A91">
        <w:lastRenderedPageBreak/>
        <w:t>perspective aids in deciding if earlier care results in better function and quality of life as well as disease control.</w:t>
      </w:r>
    </w:p>
    <w:p w14:paraId="2595D860" w14:textId="77777777" w:rsidR="003E0DEB" w:rsidRDefault="003E0DEB" w:rsidP="003E0DEB">
      <w:pPr>
        <w:spacing w:after="120"/>
      </w:pPr>
      <w:r>
        <w:t>It is policy relevant due to the potential of costs being passed on beyond rheumatology services due to delays. The surveys of persistent disability can augment primary-care contact, specialty use, social-care needs and absence from work. The cardiovascular problems also illustrate that the long-term management of the disease has extra effects outside of the joints (Husni and Karpouzas, 2023). Synthesis that is sensitive to identifiable delays can hence be used not only to inform prevention-oriented service planning but also to inform clinical treatment.</w:t>
      </w:r>
    </w:p>
    <w:p w14:paraId="1DE54EDF" w14:textId="009AB2FF" w:rsidR="00C63879" w:rsidRDefault="003E0DEB" w:rsidP="003E0DEB">
      <w:pPr>
        <w:spacing w:after="120"/>
      </w:pPr>
      <w:r>
        <w:t>The results can be used to improve the service. The data on patient delay may be used to inform and improve awareness and signposting, whereas the data on clinical delay may be used to direct referral, monitoring, and further treatment escalation (Simons et al., 2022; Hameed et al., 2024). The review can help understand what early-care elements are most closely related to positive outcomes, as well as what findings are inconsistent, conflicting and limited and in what situations the UK-based research needs to be conducted.</w:t>
      </w:r>
    </w:p>
    <w:p w14:paraId="010F89D9" w14:textId="77777777" w:rsidR="00C63879" w:rsidRDefault="00426BC9" w:rsidP="00C662DF">
      <w:pPr>
        <w:pStyle w:val="Heading2"/>
      </w:pPr>
      <w:bookmarkStart w:id="11" w:name="_Toc240922826"/>
      <w:r>
        <w:t>1.5 Research Question, Research Aim and Research Objectives</w:t>
      </w:r>
      <w:bookmarkEnd w:id="11"/>
    </w:p>
    <w:p w14:paraId="1CF7FA82" w14:textId="77777777" w:rsidR="003E0DEB" w:rsidRDefault="00426BC9">
      <w:pPr>
        <w:spacing w:after="100"/>
      </w:pPr>
      <w:r>
        <w:rPr>
          <w:b/>
        </w:rPr>
        <w:t>Research Question:</w:t>
      </w:r>
    </w:p>
    <w:p w14:paraId="4C27EC39" w14:textId="47B59A94" w:rsidR="00C63879" w:rsidRDefault="00426BC9">
      <w:pPr>
        <w:spacing w:after="100"/>
      </w:pPr>
      <w:r>
        <w:t>How does early diagnosis and treatment initiation influence disease severity and quality of life among patients with rheumatoid arthritis in the UK?</w:t>
      </w:r>
    </w:p>
    <w:p w14:paraId="485AF623" w14:textId="77777777" w:rsidR="003E0DEB" w:rsidRDefault="00426BC9">
      <w:pPr>
        <w:spacing w:after="100"/>
      </w:pPr>
      <w:r>
        <w:rPr>
          <w:b/>
        </w:rPr>
        <w:t>Research Aim:</w:t>
      </w:r>
    </w:p>
    <w:p w14:paraId="329E2EDC" w14:textId="14C0ED44" w:rsidR="00C63879" w:rsidRDefault="00426BC9">
      <w:pPr>
        <w:spacing w:after="100"/>
      </w:pPr>
      <w:r>
        <w:t>To systematically review and synthesise evidence on the impact of early diagnosis and treatment initiation on disease severity and quality of life among patients with rheumatoid arthritis in the UK.</w:t>
      </w:r>
    </w:p>
    <w:p w14:paraId="79787F4A" w14:textId="77777777" w:rsidR="00C63879" w:rsidRDefault="00426BC9">
      <w:r>
        <w:rPr>
          <w:b/>
        </w:rPr>
        <w:t>Research Objectives:</w:t>
      </w:r>
    </w:p>
    <w:p w14:paraId="1EB84421" w14:textId="77777777" w:rsidR="00C63879" w:rsidRDefault="00426BC9">
      <w:pPr>
        <w:spacing w:after="60"/>
        <w:ind w:left="454" w:hanging="340"/>
      </w:pPr>
      <w:r>
        <w:t>1. To examine evidence on the timing of diagnosis and treatment initiation in patients with rheumatoid arthritis in the UK.</w:t>
      </w:r>
    </w:p>
    <w:p w14:paraId="1E1A5E69" w14:textId="77777777" w:rsidR="00C63879" w:rsidRDefault="00426BC9">
      <w:pPr>
        <w:spacing w:after="60"/>
        <w:ind w:left="454" w:hanging="340"/>
      </w:pPr>
      <w:r>
        <w:t>2. To review how disease severity is reported and measured in studies examining early rheumatoid arthritis.</w:t>
      </w:r>
    </w:p>
    <w:p w14:paraId="74A4B35D" w14:textId="77777777" w:rsidR="00C63879" w:rsidRDefault="00426BC9">
      <w:pPr>
        <w:spacing w:after="60"/>
        <w:ind w:left="454" w:hanging="340"/>
      </w:pPr>
      <w:r>
        <w:t>3. To explore evidence on the impact of early diagnosis and treatment on patient quality of life.</w:t>
      </w:r>
    </w:p>
    <w:p w14:paraId="6D81F317" w14:textId="77777777" w:rsidR="00C63879" w:rsidRDefault="00426BC9">
      <w:pPr>
        <w:spacing w:after="60"/>
        <w:ind w:left="454" w:hanging="340"/>
      </w:pPr>
      <w:r>
        <w:t>4. To analyse the relationship between early treatment initiation and clinical outcomes reported in the literature and to provide relevant recommendations for practice.</w:t>
      </w:r>
    </w:p>
    <w:p w14:paraId="2D57A062" w14:textId="77777777" w:rsidR="00C63879" w:rsidRDefault="00426BC9" w:rsidP="00C662DF">
      <w:pPr>
        <w:pStyle w:val="Heading2"/>
      </w:pPr>
      <w:bookmarkStart w:id="12" w:name="_Toc240922827"/>
      <w:r>
        <w:lastRenderedPageBreak/>
        <w:t>1.6 Scope and Significance</w:t>
      </w:r>
      <w:bookmarkEnd w:id="12"/>
    </w:p>
    <w:p w14:paraId="487811E2" w14:textId="77777777" w:rsidR="00325C76" w:rsidRDefault="00325C76" w:rsidP="00325C76">
      <w:pPr>
        <w:spacing w:after="120"/>
      </w:pPr>
      <w:r>
        <w:t>The review targets UK adults with RA, and has employed published secondary evidence, but not interviews, surveys or clinical recruitment. It also discusses the diagnosis, referral and timing of treatment in regard to the disease activity, remission, disability, function and quality of life. Other inflammatory conditions will only be studied where the RA results can be identified independently. The primary source of evidence will be UK research, although some international research will be selected with a reserved interest to elucidate ideas or make comparisons on the outcomes.</w:t>
      </w:r>
    </w:p>
    <w:p w14:paraId="33FCB5C3" w14:textId="4152E863" w:rsidR="00C63879" w:rsidRDefault="00325C76" w:rsidP="00325C76">
      <w:pPr>
        <w:spacing w:after="120"/>
      </w:pPr>
      <w:r>
        <w:t>The systematic process will be able to identify the relevant studies, use explicit eligibility criteria, appraise the methodological quality and synthesise the findings with the objectives. Since designs and measures are dissimilar, the review will take into account setting, population, definitions of early diagnosis, type of treatment, follow-up and limitations of the study other than directly comparing all findings. Special emphasis will be on the discrepancies in the results between clinician-rated and patient-rated findings.</w:t>
      </w:r>
    </w:p>
    <w:p w14:paraId="00D5B929" w14:textId="77777777" w:rsidR="00C63879" w:rsidRDefault="00426BC9" w:rsidP="00C662DF">
      <w:pPr>
        <w:pStyle w:val="Heading2"/>
      </w:pPr>
      <w:bookmarkStart w:id="13" w:name="_Toc240922828"/>
      <w:r>
        <w:t>1.7 Dissertation Structure</w:t>
      </w:r>
      <w:bookmarkEnd w:id="13"/>
    </w:p>
    <w:p w14:paraId="222CF9AB" w14:textId="65F43953" w:rsidR="00C63879" w:rsidRDefault="00325C76">
      <w:pPr>
        <w:spacing w:after="120"/>
      </w:pPr>
      <w:r w:rsidRPr="00325C76">
        <w:t>In chapter 1, RA has been presented as one of the UK public-health issues and the background, problem, rationale, question, aim, objectives and scope are set. Chapter 2 critically appraises the literature on early recognition, initiation of treatment, measurement of severity and quality of life. Chapter 3 elaborates the systematic-review methodology which consists of searching, eligibility, screening, appraisal and synthesis. The findings are presented in chapter 4. They are discussed in Chapter 5 as opposed to the objectives and wider evidence. Chapter 6 gives a conclusion, recommendations to the UK practice and the research priorities.</w:t>
      </w:r>
    </w:p>
    <w:p w14:paraId="3272C933" w14:textId="77777777" w:rsidR="00C63879" w:rsidRDefault="00426BC9" w:rsidP="00C662DF">
      <w:pPr>
        <w:pStyle w:val="Heading2"/>
      </w:pPr>
      <w:bookmarkStart w:id="14" w:name="_Toc240922829"/>
      <w:r>
        <w:t>1.8 Chapter Summary</w:t>
      </w:r>
      <w:bookmarkEnd w:id="14"/>
    </w:p>
    <w:p w14:paraId="789D71B8" w14:textId="117781E7" w:rsidR="00E9798F" w:rsidRDefault="00325C76" w:rsidP="00325C76">
      <w:pPr>
        <w:spacing w:after="120"/>
      </w:pPr>
      <w:r w:rsidRPr="00325C76">
        <w:t>This chapter confirmed RA as a systemic disease that leads to joint destruction, disability and a lower quality of life. Incomplete remission, diagnostic disruption and unequal outcomes persist in spite of the UK emphasis on early care. The review will thus summarise the effect of the timing of diagnosis and treatment on the severity of the disease and patient-centred quality of life.</w:t>
      </w:r>
    </w:p>
    <w:p w14:paraId="30BF422D" w14:textId="77777777" w:rsidR="00E9798F" w:rsidRDefault="00E9798F">
      <w:pPr>
        <w:spacing w:line="276" w:lineRule="auto"/>
        <w:jc w:val="left"/>
      </w:pPr>
      <w:r>
        <w:br w:type="page"/>
      </w:r>
    </w:p>
    <w:p w14:paraId="6E590990" w14:textId="77777777" w:rsidR="00920A36" w:rsidRPr="00920A36" w:rsidRDefault="00920A36" w:rsidP="008907E1">
      <w:pPr>
        <w:pStyle w:val="Heading1"/>
        <w:rPr>
          <w:lang w:val="en-GB"/>
        </w:rPr>
      </w:pPr>
      <w:bookmarkStart w:id="15" w:name="_Toc236239916"/>
      <w:bookmarkStart w:id="16" w:name="_Toc237209635"/>
      <w:bookmarkStart w:id="17" w:name="_Toc240922830"/>
      <w:r w:rsidRPr="00920A36">
        <w:rPr>
          <w:lang w:val="en-GB"/>
        </w:rPr>
        <w:lastRenderedPageBreak/>
        <w:t>Chapter 2: Literature Review and Conceptual Framework</w:t>
      </w:r>
      <w:bookmarkEnd w:id="15"/>
      <w:bookmarkEnd w:id="16"/>
      <w:bookmarkEnd w:id="17"/>
    </w:p>
    <w:p w14:paraId="68D0D684" w14:textId="77777777" w:rsidR="00920A36" w:rsidRPr="00920A36" w:rsidRDefault="00920A36" w:rsidP="008907E1">
      <w:pPr>
        <w:pStyle w:val="Heading2"/>
      </w:pPr>
      <w:bookmarkStart w:id="18" w:name="_Toc236239917"/>
      <w:bookmarkStart w:id="19" w:name="_Toc237209636"/>
      <w:bookmarkStart w:id="20" w:name="_Toc240922831"/>
      <w:r w:rsidRPr="00920A36">
        <w:t>2.1 Introduction</w:t>
      </w:r>
      <w:bookmarkEnd w:id="18"/>
      <w:bookmarkEnd w:id="19"/>
      <w:bookmarkEnd w:id="20"/>
    </w:p>
    <w:p w14:paraId="2EC273E0" w14:textId="77777777" w:rsidR="00920A36" w:rsidRPr="00920A36" w:rsidRDefault="00920A36" w:rsidP="00920A36">
      <w:pPr>
        <w:spacing w:after="120"/>
      </w:pPr>
      <w:r w:rsidRPr="00920A36">
        <w:rPr>
          <w:lang w:val="en-GB"/>
        </w:rPr>
        <w:t xml:space="preserve">The chapter summarises and critically evaluates recent evidence of the prevalence of early diagnosis and treatment of RA and how this impacts severity and quality of life in UK adults. It compiles findings, assesses methodological limitations and outlines gaps that warrant a systematic review. The symptom recognition, referral, diagnosis, DMARD initiation, remission, disability and patient-reported outcomes are discussed, including socioeconomic, psychological and healthcare-system influences. The themes are related to the research objectives which were established in Chapter 1. </w:t>
      </w:r>
      <w:r w:rsidRPr="00920A36">
        <w:t xml:space="preserve"> </w:t>
      </w:r>
      <w:r w:rsidRPr="00920A36">
        <w:rPr>
          <w:lang w:val="en-GB"/>
        </w:rPr>
        <w:t>As this chapter reviews the broader literature, it is done not with the aim of reporting specifically the results seen in the studies that passed the systematic search and screening process of the dissertation, but rather to critically review the wider existing evidence base.</w:t>
      </w:r>
    </w:p>
    <w:p w14:paraId="74E41DC1" w14:textId="77777777" w:rsidR="00920A36" w:rsidRPr="00920A36" w:rsidRDefault="00920A36" w:rsidP="008907E1">
      <w:pPr>
        <w:pStyle w:val="Heading2"/>
      </w:pPr>
      <w:bookmarkStart w:id="21" w:name="_Toc236239921"/>
      <w:bookmarkStart w:id="22" w:name="_Toc237209637"/>
      <w:bookmarkStart w:id="23" w:name="_Toc240922832"/>
      <w:bookmarkEnd w:id="21"/>
      <w:r w:rsidRPr="00920A36">
        <w:t>2.2 Rheumatoid Arthritis as a UK Public-Health Problem</w:t>
      </w:r>
      <w:bookmarkEnd w:id="22"/>
      <w:bookmarkEnd w:id="23"/>
    </w:p>
    <w:p w14:paraId="6E567CF5" w14:textId="77777777" w:rsidR="00920A36" w:rsidRPr="008907E1" w:rsidRDefault="00920A36" w:rsidP="008907E1">
      <w:pPr>
        <w:pStyle w:val="Heading3"/>
      </w:pPr>
      <w:bookmarkStart w:id="24" w:name="_Toc236239922"/>
      <w:bookmarkStart w:id="25" w:name="_Toc237209638"/>
      <w:bookmarkStart w:id="26" w:name="_Toc240922833"/>
      <w:bookmarkEnd w:id="24"/>
      <w:r w:rsidRPr="008907E1">
        <w:t>2.2.1 Clinical and Epidemiological Context</w:t>
      </w:r>
      <w:bookmarkEnd w:id="25"/>
      <w:bookmarkEnd w:id="26"/>
    </w:p>
    <w:p w14:paraId="0704A8FC" w14:textId="77777777" w:rsidR="00920A36" w:rsidRPr="00920A36" w:rsidRDefault="00920A36" w:rsidP="00920A36">
      <w:pPr>
        <w:spacing w:after="120"/>
      </w:pPr>
      <w:r w:rsidRPr="00920A36">
        <w:t xml:space="preserve">RA is a lifelong systemic autoimmune disorder that involves inflammation and pain of the joints, characterised by swelling of the synovial membranes, cartilage or bone damage. Up-to-date clinical reviews have focused on RA as primarily an articular disease. It may also lead to cardiovascular disease, infection, fatigue, psychological stress and work limitations, and decreased involvement in social activities. Patients with similar initial presentations may have significantly different inflammatory, functional and psychosocial trajectories (Petrelli et al., 2022; Di Matteo et al., 2023; Di Matteo and Emery, 2024). </w:t>
      </w:r>
    </w:p>
    <w:p w14:paraId="58D38743" w14:textId="77777777" w:rsidR="00920A36" w:rsidRPr="00920A36" w:rsidRDefault="00920A36" w:rsidP="00920A36">
      <w:pPr>
        <w:spacing w:after="120"/>
      </w:pPr>
      <w:r w:rsidRPr="00920A36">
        <w:t xml:space="preserve">In recent epidemiology studies, it has been shown that the reported incidence of RA is partly dependent on the classification criteria and case ascertainment as well as lack of access to specialist services. Van Delft et al. (2022) identified a significant inter-study variability (ISTV) in the estimates provided by all the outpatient incidence studies that they reviewed, which meant that estimates should not be transferred uncritically to different health systems or across time. Audit systems in the UK provide far more comprehensive coverage of adults accessing early inflammatory-arthritis services; however, audit populations are still reliant on patients being identified and referred. This can lead to underestimation of clinical datasets at national level for individuals with symptoms that have been undiagnosed or for those with a long primary-care delay. </w:t>
      </w:r>
    </w:p>
    <w:p w14:paraId="45F90CA0" w14:textId="77777777" w:rsidR="00920A36" w:rsidRPr="00920A36" w:rsidRDefault="00920A36" w:rsidP="00920A36">
      <w:pPr>
        <w:spacing w:after="120"/>
      </w:pPr>
      <w:r w:rsidRPr="00920A36">
        <w:lastRenderedPageBreak/>
        <w:t xml:space="preserve">The public-health impact of RA is caused by a build-up of disability, use of health care services and expenditure, lost productivity, and social care needs. Observational evidence in the UK has been linked to moderate RA having a poorer EQ-5D health status, increased use of health services and impaired work productivity (Galloway et al., 2021), along with pain and fatigue. Other analyses indicated that the severity cannot only be captured using joint counts, as severity is additionally associated with frailty and multimorbidity, both of which are associated with hospitalisation and mortality (Hanlon et al., 2022; Morton et al., 2023). Evidence of employment is also of importance, as decreased work participation has been linked to disease activity, disability and occupational demands (Kirkeskov and Bray, 2023; Bechman et al., 2024).  </w:t>
      </w:r>
    </w:p>
    <w:p w14:paraId="7E66368E" w14:textId="77777777" w:rsidR="00920A36" w:rsidRPr="00920A36" w:rsidRDefault="00920A36" w:rsidP="008907E1">
      <w:pPr>
        <w:pStyle w:val="Heading3"/>
      </w:pPr>
      <w:bookmarkStart w:id="27" w:name="_Toc236239923"/>
      <w:bookmarkStart w:id="28" w:name="_Toc237209639"/>
      <w:bookmarkStart w:id="29" w:name="_Toc240922834"/>
      <w:bookmarkEnd w:id="27"/>
      <w:r w:rsidRPr="00920A36">
        <w:t>2.2.2 Early Disease and the Window of Opportunity</w:t>
      </w:r>
      <w:bookmarkEnd w:id="28"/>
      <w:bookmarkEnd w:id="29"/>
    </w:p>
    <w:p w14:paraId="3247DD06" w14:textId="77777777" w:rsidR="00920A36" w:rsidRPr="00920A36" w:rsidRDefault="00920A36" w:rsidP="00920A36">
      <w:pPr>
        <w:spacing w:after="120"/>
      </w:pPr>
      <w:r w:rsidRPr="00920A36">
        <w:t>In the “window of opportunity” described, RA is potentially more modifiable prior to the onset of chronic synovial inflammation and destructive changes. Improved outcomes are therefore linked to early diagnosis and early initiation of DMARDs and treated-to-target monitoring, although there is a lack of consistency in defining “early”, which ranges from symptom duration, time since diagnosis or prior exposure to DMARDs (Di Matteo et al., 2023; Di Matteo and Emery, 2024). The rate of disease referral to treatment may therefore underestimate the proportion of untreated disease in cases with months of symptoms before referral.</w:t>
      </w:r>
    </w:p>
    <w:p w14:paraId="09F6F757" w14:textId="77777777" w:rsidR="00920A36" w:rsidRPr="00920A36" w:rsidRDefault="00920A36" w:rsidP="00920A36">
      <w:pPr>
        <w:spacing w:after="120"/>
      </w:pPr>
      <w:r w:rsidRPr="00920A36">
        <w:rPr>
          <w:lang w:val="en-GB"/>
        </w:rPr>
        <w:t>Work with "at-risk" individuals found autoantibodies, symptoms and imaging abnormalities that often precede RA, which can be classified as having the disease (Mankia et al., 2021). Selected high-risk participants experienced delayed progression and decreased subclinical inflammation reported by either APIPPRA or ARIAA (Cope et al., 2024; Rech et al., 2024). But the lack of sustainability, over-sampling concerns and the need for overtreatment and costs limit direct use to routine NHS care. The clinical window, therefore, includes the period from the onset and recognition of symptoms to the diagnosis by a specialist to the start of disease-modifying therapy.</w:t>
      </w:r>
    </w:p>
    <w:p w14:paraId="627B7502" w14:textId="77777777" w:rsidR="00920A36" w:rsidRPr="00920A36" w:rsidRDefault="00920A36" w:rsidP="008907E1">
      <w:pPr>
        <w:pStyle w:val="Heading3"/>
      </w:pPr>
      <w:bookmarkStart w:id="30" w:name="_Toc236239924"/>
      <w:bookmarkStart w:id="31" w:name="_Toc237209640"/>
      <w:bookmarkStart w:id="32" w:name="_Toc240922835"/>
      <w:bookmarkEnd w:id="30"/>
      <w:r w:rsidRPr="00920A36">
        <w:t>2.2.3 NHS Pathways, Delay and Inequality</w:t>
      </w:r>
      <w:bookmarkEnd w:id="31"/>
      <w:bookmarkEnd w:id="32"/>
    </w:p>
    <w:p w14:paraId="3544B49B" w14:textId="77777777" w:rsidR="00920A36" w:rsidRPr="00920A36" w:rsidRDefault="00920A36" w:rsidP="00920A36">
      <w:pPr>
        <w:spacing w:after="120"/>
      </w:pPr>
      <w:r w:rsidRPr="00920A36">
        <w:rPr>
          <w:lang w:val="en-GB"/>
        </w:rPr>
        <w:t xml:space="preserve">Simons et al. (2022) identified that there is a significant lack of understanding about the concept of early RA amongst community pharmacy staff, and that community pharmacies could be a suitable place to raise awareness of early RA, recognising it and signposting to other services. This is significant, as patients may get used to the stiffness and think of their age or past injuries when it is an issue or keep going with non-prescribed intervention after and after before seeking out a GP. The results indicate that the communication of awareness should not be restricted to </w:t>
      </w:r>
      <w:r w:rsidRPr="00920A36">
        <w:rPr>
          <w:lang w:val="en-GB"/>
        </w:rPr>
        <w:lastRenderedPageBreak/>
        <w:t xml:space="preserve">the rheumatology or primary care arena, but also shared with other community services in which patients seek help before having a formal diagnosis. </w:t>
      </w:r>
    </w:p>
    <w:p w14:paraId="27D160D9" w14:textId="77777777" w:rsidR="00920A36" w:rsidRPr="00920A36" w:rsidRDefault="00920A36" w:rsidP="00920A36">
      <w:pPr>
        <w:spacing w:after="120"/>
      </w:pPr>
      <w:r w:rsidRPr="00920A36">
        <w:t xml:space="preserve">COVID-19 highlighted the issues with case ascertainment despite the ability to provide services to the referred patient. The OpenSAFELY data of over 17 million adults revealed that there had been a 20.3% decrease in the number of new inflammatory-arthritis cases in the first pandemic year compared to the year before (Russell et al., 2022). For those who transited the pathway, there was no similar trend towards an increase in waiting time, indicating that there was hidden or deferred need in place of specialist services. </w:t>
      </w:r>
    </w:p>
    <w:p w14:paraId="267D23B3" w14:textId="5C5A59C6" w:rsidR="00920A36" w:rsidRPr="00920A36" w:rsidRDefault="00920A36" w:rsidP="00920A36">
      <w:pPr>
        <w:spacing w:after="120"/>
      </w:pPr>
      <w:r w:rsidRPr="00920A36">
        <w:t>Inequality is apparent following referral as well. NEIAA used prevalence data on differences in outcomes in early inflammatory arthritis by ethnicity and socioeconomic status (Adas et al., 2023; Adas et al., 2024). An ongoing national cohort found that some groups were less likely to receive initiation of biological DMARDs and targeted synthetic DMARDs, and features of multimorbidity and ethnicity were associated with treatment access (Russell et al., 2025</w:t>
      </w:r>
      <w:r w:rsidR="00EC45B5">
        <w:t>a</w:t>
      </w:r>
      <w:r w:rsidRPr="00920A36">
        <w:t xml:space="preserve">). These relationships could indicate contraindications, health literacy, communication, clinician decision making and capacity of services available in the region. However, they question the notion that a nationally standardised pathway will lead to equitable care.  </w:t>
      </w:r>
      <w:r w:rsidRPr="00920A36">
        <w:rPr>
          <w:lang w:val="en-GB"/>
        </w:rPr>
        <w:t>As a whole, these studies suggest that the problem isn't just rheumatology services, but also through the pathway</w:t>
      </w:r>
      <w:r w:rsidR="009F2A1B">
        <w:rPr>
          <w:lang w:val="en-GB"/>
        </w:rPr>
        <w:t xml:space="preserve"> </w:t>
      </w:r>
      <w:r w:rsidR="009F2A1B" w:rsidRPr="009F2A1B">
        <w:t>(Chilton et al., 2021; HQIP, 2024; Russell et al., 2025</w:t>
      </w:r>
      <w:r w:rsidR="00EC45B5">
        <w:t>b</w:t>
      </w:r>
      <w:r w:rsidR="009F2A1B" w:rsidRPr="009F2A1B">
        <w:t>)</w:t>
      </w:r>
      <w:r w:rsidRPr="00920A36">
        <w:rPr>
          <w:lang w:val="en-GB"/>
        </w:rPr>
        <w:t xml:space="preserve">. The pathway does not necessarily lead to equitable outcomes, as symptom recognition and help-seeking influence entry into care and socioeconomic, ethnic and service-level factors may continue to shape access to care after referral, as detailed above (Simons et al., 2022; Russell et al., 2022; Adas et al., 2023; Adas et al., 2024; </w:t>
      </w:r>
      <w:r w:rsidR="00144BC0" w:rsidRPr="00144BC0">
        <w:t>HQIP, 2024</w:t>
      </w:r>
      <w:r w:rsidRPr="00920A36">
        <w:rPr>
          <w:lang w:val="en-GB"/>
        </w:rPr>
        <w:t>).</w:t>
      </w:r>
    </w:p>
    <w:p w14:paraId="29CF4CB7" w14:textId="77777777" w:rsidR="00920A36" w:rsidRPr="00920A36" w:rsidRDefault="00920A36" w:rsidP="008907E1">
      <w:pPr>
        <w:pStyle w:val="Heading2"/>
      </w:pPr>
      <w:bookmarkStart w:id="33" w:name="_Toc236239925"/>
      <w:bookmarkStart w:id="34" w:name="_Toc237209641"/>
      <w:bookmarkStart w:id="35" w:name="_Toc240922836"/>
      <w:bookmarkEnd w:id="33"/>
      <w:r w:rsidRPr="00920A36">
        <w:t>2.3 Early Diagnosis, Treatment and Disease Severity</w:t>
      </w:r>
      <w:bookmarkEnd w:id="34"/>
      <w:bookmarkEnd w:id="35"/>
    </w:p>
    <w:p w14:paraId="10BED549" w14:textId="77777777" w:rsidR="00920A36" w:rsidRPr="00920A36" w:rsidRDefault="00920A36" w:rsidP="008907E1">
      <w:pPr>
        <w:pStyle w:val="Heading3"/>
      </w:pPr>
      <w:bookmarkStart w:id="36" w:name="_Toc236239926"/>
      <w:bookmarkStart w:id="37" w:name="_Toc237209642"/>
      <w:bookmarkStart w:id="38" w:name="_Toc240922837"/>
      <w:bookmarkEnd w:id="36"/>
      <w:r w:rsidRPr="00920A36">
        <w:t>2.3.1 Recognition, Referral and Diagnostic Accuracy</w:t>
      </w:r>
      <w:bookmarkEnd w:id="37"/>
      <w:bookmarkEnd w:id="38"/>
    </w:p>
    <w:p w14:paraId="04090BF8" w14:textId="77777777" w:rsidR="00920A36" w:rsidRPr="00920A36" w:rsidRDefault="00920A36" w:rsidP="00920A36">
      <w:pPr>
        <w:spacing w:after="120"/>
      </w:pPr>
      <w:r w:rsidRPr="00920A36">
        <w:t>Early RA can present with intermittent onset, can be seronegative or misdiagnosed as mechanical pain, viral illness, or other inflammatory diseases. There are no diagnostic or prognosis markers that are entirely specific except for the presence of rheumatoid factor, anti-citrullinated protein antibodies and C-reactive protein; however, normal inflammatory markers do not exclude clinically important disease (Abdelhafiz et al., 2023). Combined history, examination, lab and appropriate imaging are, therefore, required for diagnostic accuracy; and seronegative patients may be delayed or inappropriate referrals made.</w:t>
      </w:r>
    </w:p>
    <w:p w14:paraId="6A1CD047" w14:textId="77777777" w:rsidR="00920A36" w:rsidRPr="00920A36" w:rsidRDefault="00920A36" w:rsidP="00920A36">
      <w:pPr>
        <w:spacing w:after="120"/>
      </w:pPr>
      <w:r w:rsidRPr="00920A36">
        <w:lastRenderedPageBreak/>
        <w:t>Early referral can allow treatment to occur before irreversible damage has taken place; however, it is not necessarily a 'rule' that all MS pain should be referred to the rheumatologist because there are patterns of symptoms that indicate persistent inflammatory arthritis. Persistent activity may also be apparent due to structural damage, fibromyalgia, comorbidity, non-inflammatory pain or diagnostic error. This difficult-to-treat RA guidance encourages re-evaluation of diagnosis, adherence and non-pharmacological requirements before escalating further DMARDs (Roodenrijs et al., 2021a; Roodenrijs et al., 2021b).</w:t>
      </w:r>
    </w:p>
    <w:p w14:paraId="6E6F33EB" w14:textId="77777777" w:rsidR="00920A36" w:rsidRPr="00920A36" w:rsidRDefault="00920A36" w:rsidP="00920A36">
      <w:pPr>
        <w:spacing w:after="120"/>
      </w:pPr>
      <w:r w:rsidRPr="00920A36">
        <w:rPr>
          <w:lang w:val="en-GB"/>
        </w:rPr>
        <w:t>Delay measures are even more inconsistent, and this further complicates interpretation. The interval between onset and recall of symptoms and between onset and referral is not accounted for, and diagnosis to treatment is not accounted for because patients or their primary care providers kept the disease in them for at least 14 days. Therefore, caution should be used when comparing reported data across different studies since the time of onset of symptoms, and referrals to and start of treatment might be defined differently.</w:t>
      </w:r>
    </w:p>
    <w:p w14:paraId="3B27AF70" w14:textId="77777777" w:rsidR="00920A36" w:rsidRPr="00920A36" w:rsidRDefault="00920A36" w:rsidP="008907E1">
      <w:pPr>
        <w:pStyle w:val="Heading3"/>
      </w:pPr>
      <w:bookmarkStart w:id="39" w:name="_Toc236239927"/>
      <w:bookmarkStart w:id="40" w:name="_Toc237209643"/>
      <w:bookmarkStart w:id="41" w:name="_Toc240922838"/>
      <w:bookmarkEnd w:id="39"/>
      <w:r w:rsidRPr="00920A36">
        <w:t>2.3.2 DMARD Initiation and Treat-to-Target Care</w:t>
      </w:r>
      <w:bookmarkEnd w:id="40"/>
      <w:bookmarkEnd w:id="41"/>
    </w:p>
    <w:p w14:paraId="7C823945" w14:textId="77777777" w:rsidR="00920A36" w:rsidRPr="00920A36" w:rsidRDefault="00920A36" w:rsidP="00920A36">
      <w:pPr>
        <w:spacing w:after="120"/>
      </w:pPr>
      <w:r w:rsidRPr="00920A36">
        <w:t>Disease modification should start immediately following the diagnosis, with the use of an effective conventional synthetic DMARD (usually, methotrexate if appropriate). EULAR has recommended predefined targets and treatment adjustment when there is an insufficient response; methotrexate based treatment is still recommended, and newer biological and targeted therapies plus safety evidence are included in the EULAR update from 2025 (Smolen et al., 2023; Smolen et al., 2026). Comparative efficacy is dependent on prognosis and response, and risks for infection and cardiovascular and thromboembolism need to be individualised. Glucocorticoids can be used for immediate control, but must be used with caution when tapering due to their metabolic, cardiovascular and infection risks (Kerschbaumer et al., 2023; Sepriano et al., 2023; Bergstra et al., 2023).</w:t>
      </w:r>
    </w:p>
    <w:p w14:paraId="2ADC0740" w14:textId="77777777" w:rsidR="00920A36" w:rsidRPr="00920A36" w:rsidRDefault="00920A36" w:rsidP="00920A36">
      <w:pPr>
        <w:spacing w:after="120"/>
      </w:pPr>
      <w:r w:rsidRPr="00920A36">
        <w:t>Treatment-to-target should involve ongoing assessment of disease activity and not just early treatment, as it needs to be escalated when needed. Implementation is dependent on how often the appointment occurs, how the measurements are taken, patient preferences and clinician thresholds (Taylor et al., 2022). There has been evidence that increased follow-up ( Monthly Tight Control) is correlated with increased remission rates and decreased pain, but regular follow-up cannot replace the lack of assessment or delayed escalation (Aronsson et al., 2023).</w:t>
      </w:r>
    </w:p>
    <w:p w14:paraId="560EED67" w14:textId="5935BCF2" w:rsidR="00920A36" w:rsidRPr="00920A36" w:rsidRDefault="00920A36" w:rsidP="00920A36">
      <w:pPr>
        <w:spacing w:after="120"/>
      </w:pPr>
      <w:r w:rsidRPr="00920A36">
        <w:t xml:space="preserve">There was no significant difference between conventional versus biological treatments for patients reported improvement in most outcomes as reported in NORD-STAR (Lampa et al., </w:t>
      </w:r>
      <w:r w:rsidRPr="00920A36">
        <w:lastRenderedPageBreak/>
        <w:t>2026). Evidence from the UK cohort also indicates that there is variation between treatments and patient characteristics in terms of serious-infection risk (</w:t>
      </w:r>
      <w:r w:rsidR="00683CD5" w:rsidRPr="00683CD5">
        <w:t>Adas et al.</w:t>
      </w:r>
      <w:r w:rsidR="00683CD5">
        <w:t xml:space="preserve">, </w:t>
      </w:r>
      <w:r w:rsidR="00683CD5" w:rsidRPr="00683CD5">
        <w:t>2025</w:t>
      </w:r>
      <w:r w:rsidRPr="00920A36">
        <w:t xml:space="preserve">). </w:t>
      </w:r>
      <w:r w:rsidRPr="00920A36">
        <w:rPr>
          <w:lang w:val="en-GB"/>
        </w:rPr>
        <w:t xml:space="preserve">Together, the evidence points to the importance of initiating treatment with DMARDs as soon as possible, but also suggests that treatment timing is not enough to ensure optimal results. Continuous disease activity monitoring, early escalation if targets are not met, and personalised safety concerns and follow-up are foundational to achieving sustained benefit (Smolen et al., 2023; Taylor et al., 2022; Aronsson et al., 2023; </w:t>
      </w:r>
      <w:r w:rsidR="00683CD5" w:rsidRPr="00683CD5">
        <w:t>Adas et al.</w:t>
      </w:r>
      <w:r w:rsidR="00683CD5">
        <w:t xml:space="preserve">, </w:t>
      </w:r>
      <w:r w:rsidR="00683CD5" w:rsidRPr="00683CD5">
        <w:t>2025</w:t>
      </w:r>
      <w:r w:rsidRPr="00920A36">
        <w:rPr>
          <w:lang w:val="en-GB"/>
        </w:rPr>
        <w:t>).</w:t>
      </w:r>
      <w:r w:rsidR="008B2CDB">
        <w:rPr>
          <w:lang w:val="en-GB"/>
        </w:rPr>
        <w:t xml:space="preserve"> </w:t>
      </w:r>
      <w:r w:rsidR="004B6AE0" w:rsidRPr="004B6AE0">
        <w:rPr>
          <w:lang w:val="en-GB"/>
        </w:rPr>
        <w:t>The response to methotrexate is variable among patients, and treatment needs to be monitored and adjusted as needed (Sergeant et al., 2018; Hope et al., 2020; Gehringer et al., 2024). Different patients have different adverse events that require monitoring for safety (Kiely et al., 2019; Sherbini et al., 2022; Bechman et al., 2026). The decision to initiate biologic escalation needs to consider the balance between infection risk and disease control (Rutherford et al., 2018; Silva-Fernández et al., 2018; Holroyd et al., 2019).</w:t>
      </w:r>
    </w:p>
    <w:p w14:paraId="15B66961" w14:textId="77777777" w:rsidR="00920A36" w:rsidRPr="00920A36" w:rsidRDefault="00920A36" w:rsidP="008907E1">
      <w:pPr>
        <w:pStyle w:val="Heading3"/>
      </w:pPr>
      <w:bookmarkStart w:id="42" w:name="_Toc236239928"/>
      <w:bookmarkStart w:id="43" w:name="_Toc237209644"/>
      <w:bookmarkStart w:id="44" w:name="_Toc240922839"/>
      <w:bookmarkEnd w:id="42"/>
      <w:r w:rsidRPr="00920A36">
        <w:t>2.3.3 Disease Activity, Remission and Disability</w:t>
      </w:r>
      <w:bookmarkEnd w:id="43"/>
      <w:bookmarkEnd w:id="44"/>
    </w:p>
    <w:p w14:paraId="11F5635E" w14:textId="0B5D521B" w:rsidR="00920A36" w:rsidRPr="00920A36" w:rsidRDefault="00920A36" w:rsidP="00920A36">
      <w:pPr>
        <w:spacing w:after="120"/>
        <w:rPr>
          <w:lang w:val="en-GB"/>
        </w:rPr>
      </w:pPr>
      <w:r w:rsidRPr="00920A36">
        <w:rPr>
          <w:lang w:val="en-GB"/>
        </w:rPr>
        <w:t>Early clinical features correlate with disease activity; there is National evidence for this. Yates et al. (2021) found baseline demographic, clinical and socioeconomic data correlated with disease activity within the first year of a national cohort of 7,455 participants. This means that not only is treatment timing important, but also the baseline level of disease activity, serological status, comorbidity, smoking and social factors</w:t>
      </w:r>
      <w:r w:rsidR="00A05547">
        <w:rPr>
          <w:lang w:val="en-GB"/>
        </w:rPr>
        <w:t xml:space="preserve"> </w:t>
      </w:r>
      <w:r w:rsidR="006008D4" w:rsidRPr="006008D4">
        <w:rPr>
          <w:lang w:val="en-GB"/>
        </w:rPr>
        <w:t>(Bechman et al., 2019; Hamann et al., 2020; Tsoi et al., 2025)</w:t>
      </w:r>
      <w:r w:rsidRPr="00920A36">
        <w:rPr>
          <w:lang w:val="en-GB"/>
        </w:rPr>
        <w:t>.</w:t>
      </w:r>
    </w:p>
    <w:p w14:paraId="0DF1B84F" w14:textId="2999C67D" w:rsidR="00920A36" w:rsidRPr="00920A36" w:rsidRDefault="00920A36" w:rsidP="00920A36">
      <w:pPr>
        <w:spacing w:after="120"/>
      </w:pPr>
      <w:r w:rsidRPr="00920A36">
        <w:rPr>
          <w:lang w:val="en-GB"/>
        </w:rPr>
        <w:t>Alveyn et al. (2025) used more up-to-date population-level data to reveal that national remission rates were essentially unchanged despite a slight improvement in the proportion of patients initiating DMARDs within recommended referral-to-treatment timeframes. In patients with three-month DAS28 available, about 35% of patients were in remission, reflecting a significant geographical variation. An increased number of days symptoms persisted prior to referral was independently associated with decreased odds of remission (Alveyn et al., 2025</w:t>
      </w:r>
      <w:r w:rsidR="00B25523">
        <w:rPr>
          <w:lang w:val="en-GB"/>
        </w:rPr>
        <w:t xml:space="preserve">; </w:t>
      </w:r>
      <w:r w:rsidR="00B25523" w:rsidRPr="00B25523">
        <w:t>Germonpré et al.</w:t>
      </w:r>
      <w:r w:rsidR="00B25523">
        <w:t xml:space="preserve">, </w:t>
      </w:r>
      <w:r w:rsidR="00B25523" w:rsidRPr="00B25523">
        <w:t>2023</w:t>
      </w:r>
      <w:r w:rsidRPr="00920A36">
        <w:rPr>
          <w:lang w:val="en-GB"/>
        </w:rPr>
        <w:t xml:space="preserve">). This gap suggests there is a need for more rapid treatment after referral but that this is not sufficient to mitigate the effects of delayed presentation, high baseline activity, differential access to services or inadequate monitoring. </w:t>
      </w:r>
    </w:p>
    <w:p w14:paraId="0D387A28" w14:textId="77777777" w:rsidR="00920A36" w:rsidRPr="00920A36" w:rsidRDefault="00920A36" w:rsidP="00920A36">
      <w:pPr>
        <w:spacing w:after="120"/>
      </w:pPr>
      <w:r w:rsidRPr="00920A36">
        <w:t xml:space="preserve">Adas et al. (2024) determined that socioeconomic and clinical factors were related to persistently active RA. There can be two-way associations: poor attendance can be exacerbated by a lack of money; ongoing illness can lower work and/or income. Due to the observational nature of audit studies, causal pathways cannot be fully ruled out, and unmeasured confounding due to health literacy, transport and environmental factors, and </w:t>
      </w:r>
      <w:r w:rsidRPr="00920A36">
        <w:lastRenderedPageBreak/>
        <w:t xml:space="preserve">clinician behaviour cannot be eliminated. However, repeated social gradients imply that chronic disease does not necessarily imply treatment resistance in a biological sense. </w:t>
      </w:r>
    </w:p>
    <w:p w14:paraId="502C3838" w14:textId="632D2328" w:rsidR="00920A36" w:rsidRPr="00920A36" w:rsidRDefault="00920A36" w:rsidP="00920A36">
      <w:pPr>
        <w:spacing w:after="120"/>
      </w:pPr>
      <w:r w:rsidRPr="00920A36">
        <w:t xml:space="preserve">The notion of frailty expands the definition of severity of a disease. </w:t>
      </w:r>
      <w:r w:rsidRPr="00920A36">
        <w:rPr>
          <w:lang w:val="en-GB"/>
        </w:rPr>
        <w:t>Hanlon et al. (2022)</w:t>
      </w:r>
      <w:r w:rsidRPr="00920A36">
        <w:t xml:space="preserve"> found that the presence of frailty was linked to RA activity, hospitalisation and mortality in both the Scottish Early Rheumatoid Arthritis (ERA) cohort and the UK Biobank cohort. Some patients showed a reduction in frailty with inflammation control, indicating that part of this is dynamic. Multimorbidity was also linked to a higher probability of being hospitalised or longer hospital stays, according to Morton et al. (2023). While there may be overlap between deficits in frailty indices and RA symptoms, early disease control appears to have an impact beyond just tender and swollen Joint Counts, which are only one part of the RA burden.</w:t>
      </w:r>
    </w:p>
    <w:p w14:paraId="4B758F5D" w14:textId="77777777" w:rsidR="00920A36" w:rsidRPr="00920A36" w:rsidRDefault="00920A36" w:rsidP="008907E1">
      <w:pPr>
        <w:pStyle w:val="Heading3"/>
      </w:pPr>
      <w:bookmarkStart w:id="45" w:name="_Toc236239929"/>
      <w:bookmarkStart w:id="46" w:name="_Toc237209645"/>
      <w:bookmarkStart w:id="47" w:name="_Toc240922840"/>
      <w:bookmarkEnd w:id="45"/>
      <w:r w:rsidRPr="00920A36">
        <w:t>2.3.4 Measuring Severity and Remission</w:t>
      </w:r>
      <w:bookmarkEnd w:id="46"/>
      <w:bookmarkEnd w:id="47"/>
    </w:p>
    <w:p w14:paraId="7809C683" w14:textId="77777777" w:rsidR="00920A36" w:rsidRPr="00920A36" w:rsidRDefault="00920A36" w:rsidP="00920A36">
      <w:pPr>
        <w:spacing w:after="120"/>
      </w:pPr>
      <w:r w:rsidRPr="00920A36">
        <w:t xml:space="preserve">There are several reasons why DAS28 is so popular: Tender joint count and swollen joint count are combined together; DAS28 is an inflammatory marker and patient global assessment. It is useful for audit and treat-to-target but has some limitations. Does not include feet/ankles and can be highly predictive of components from the patient's perspective, while not ruling out remission from inflammation. Janke et al. (2022) concluded that the treatment effect was inconsistent across the different methods of defining ATA – DAS28, CDAI and Boolean. Therefore, remission rates are also influenced to some extent by the tool used and not necessarily by the end state of the disease. </w:t>
      </w:r>
    </w:p>
    <w:p w14:paraId="2A1186BA" w14:textId="5ECBBBE7" w:rsidR="00920A36" w:rsidRPr="00920A36" w:rsidRDefault="00920A36" w:rsidP="00920A36">
      <w:pPr>
        <w:spacing w:after="120"/>
      </w:pPr>
      <w:r w:rsidRPr="00920A36">
        <w:t xml:space="preserve">A similar example was provided by Brkic et al. (2022) who showed that objective inflammatory findings and subjective assessment lead to different remission definitions. Formulated definitions minimise the risk of people with residual disease being excluded, but can lead to the categorisation of individuals with controlled inflammation and Ongoing pain being classified as ACTIVE. </w:t>
      </w:r>
      <w:r w:rsidRPr="00920A36">
        <w:rPr>
          <w:lang w:val="en-GB"/>
        </w:rPr>
        <w:t>Conversely, less stringent definitions may overlook clinically meaningful symptoms or continuing structural progression (Brkic et al., 2022</w:t>
      </w:r>
      <w:r w:rsidR="00C6771B">
        <w:rPr>
          <w:lang w:val="en-GB"/>
        </w:rPr>
        <w:t xml:space="preserve">; </w:t>
      </w:r>
      <w:r w:rsidR="00C6771B" w:rsidRPr="00C6771B">
        <w:t>Doumen et al.</w:t>
      </w:r>
      <w:r w:rsidR="00C6771B">
        <w:t xml:space="preserve">, </w:t>
      </w:r>
      <w:r w:rsidR="00C6771B" w:rsidRPr="00C6771B">
        <w:t>2023</w:t>
      </w:r>
      <w:r w:rsidRPr="00920A36">
        <w:rPr>
          <w:lang w:val="en-GB"/>
        </w:rPr>
        <w:t>).</w:t>
      </w:r>
      <w:r w:rsidRPr="00920A36">
        <w:t xml:space="preserve"> </w:t>
      </w:r>
    </w:p>
    <w:p w14:paraId="7D6A6036" w14:textId="669D4D53" w:rsidR="00920A36" w:rsidRPr="00920A36" w:rsidRDefault="00920A36" w:rsidP="00920A36">
      <w:pPr>
        <w:spacing w:after="120"/>
      </w:pPr>
      <w:r w:rsidRPr="00920A36">
        <w:t>The new ACR/EULAR Boolean remission criteria have raised the criteria for the patient's global assessment, but maintain the predictive value for functional and radiographic results (Studenic et al., 2023). In a study that looked at sustained remission versus sustained low disease activity, better pain, fatigue, physical function, health-related quality of life, and productivity were found with remission, regardless of limited radiographic differences (Snoeck Henkemans et al., 2024). The results confirm that remission is the most desirable goal and indicate that radiographic stability is not evidence of complete recovery</w:t>
      </w:r>
      <w:r w:rsidR="00CB53A0">
        <w:t xml:space="preserve"> </w:t>
      </w:r>
      <w:r w:rsidR="00CB53A0" w:rsidRPr="00CB53A0">
        <w:t xml:space="preserve">(Halls et al., 2018; Arumalla et al., 2025; Pickles et </w:t>
      </w:r>
      <w:r w:rsidR="00CB53A0" w:rsidRPr="00CB53A0">
        <w:lastRenderedPageBreak/>
        <w:t>al., 2025)</w:t>
      </w:r>
      <w:r w:rsidRPr="00920A36">
        <w:t xml:space="preserve">. </w:t>
      </w:r>
      <w:r w:rsidRPr="00920A36">
        <w:rPr>
          <w:lang w:val="en-GB"/>
        </w:rPr>
        <w:t>The evidence together indicates that remission is partially dependent on the remission measurement tool used, and that a decrease in inflammatory activity does not guarantee that there is complete remission (i.e., a full recovery from the condition), particularly in situations where pain, fatigue, disability, and/or reduced social participation persist (Janke et al., 2022; Brkic et al., 2022; Studenic et al., 2023; Snoeck Henkemans et al., 2024).</w:t>
      </w:r>
    </w:p>
    <w:p w14:paraId="74FA053B" w14:textId="77777777" w:rsidR="00920A36" w:rsidRPr="00920A36" w:rsidRDefault="00920A36" w:rsidP="008907E1">
      <w:pPr>
        <w:pStyle w:val="Heading2"/>
      </w:pPr>
      <w:bookmarkStart w:id="48" w:name="_Toc236239930"/>
      <w:bookmarkStart w:id="49" w:name="_Toc237209646"/>
      <w:bookmarkStart w:id="50" w:name="_Toc240922841"/>
      <w:bookmarkEnd w:id="48"/>
      <w:r w:rsidRPr="00920A36">
        <w:t>2.4 Quality of Life and Wider Patient Outcomes</w:t>
      </w:r>
      <w:bookmarkEnd w:id="49"/>
      <w:bookmarkEnd w:id="50"/>
    </w:p>
    <w:p w14:paraId="36A78DF6" w14:textId="77777777" w:rsidR="00920A36" w:rsidRPr="00920A36" w:rsidRDefault="00920A36" w:rsidP="008907E1">
      <w:pPr>
        <w:pStyle w:val="Heading3"/>
      </w:pPr>
      <w:bookmarkStart w:id="51" w:name="_Toc236239931"/>
      <w:bookmarkStart w:id="52" w:name="_Toc237209647"/>
      <w:bookmarkStart w:id="53" w:name="_Toc240922842"/>
      <w:bookmarkEnd w:id="51"/>
      <w:r w:rsidRPr="00920A36">
        <w:t>2.4.1 Health-Related Quality of Life, Pain and Fatigue</w:t>
      </w:r>
      <w:bookmarkEnd w:id="52"/>
      <w:bookmarkEnd w:id="53"/>
    </w:p>
    <w:p w14:paraId="54FDF500" w14:textId="77777777" w:rsidR="00920A36" w:rsidRPr="00920A36" w:rsidRDefault="00920A36" w:rsidP="00920A36">
      <w:pPr>
        <w:spacing w:after="120"/>
      </w:pPr>
      <w:r w:rsidRPr="00920A36">
        <w:t>Achievement of patients' quality of life is not a secondary outcome of achieving inflammatory control; it is a primary goal of RA treatment. An example from the UK suggests that there is a relationship between a moderate level of disease and the following: poorer EQ-5D score, higher amount of pain and fatigue, higher healthcare use, reduced work productivity (Galloway et al., 2021).</w:t>
      </w:r>
    </w:p>
    <w:p w14:paraId="2DACEAA6" w14:textId="77777777" w:rsidR="00920A36" w:rsidRPr="00920A36" w:rsidRDefault="00920A36" w:rsidP="00920A36">
      <w:pPr>
        <w:spacing w:after="120"/>
      </w:pPr>
      <w:r w:rsidRPr="00920A36">
        <w:t xml:space="preserve">Fatigue is sometimes a response that improves in the early stages of treat-to-target therapy, but a significant level of fatigue can exist on top of decreased disease activity. With the structured treatment of early RA, fatigue was significantly reduced during the first two years, while remaining associated with pain, disability and psychological factors (Holten et al., 2022). Fatigue may persist despite resolution of inflammatory markers and be perpetuated by sleep disturbance, low mood, deconditioning, pain sensitisation, anaemia and effect of medications on fatigue. </w:t>
      </w:r>
    </w:p>
    <w:p w14:paraId="5DB2C07D" w14:textId="77777777" w:rsidR="00920A36" w:rsidRPr="00920A36" w:rsidRDefault="00920A36" w:rsidP="00920A36">
      <w:pPr>
        <w:spacing w:after="120"/>
      </w:pPr>
      <w:r w:rsidRPr="00920A36">
        <w:t xml:space="preserve">This partial disconnect is what is causing clinicians and patients to have different evaluations of treatment. A patient may have a lower DAS28 but still be unable to do their job, exercise, socialise or take care of family responsibilities. People achieving sustained remission in the first year had longer-term improved patient-reported outcomes compared to those at low disease activity, according to Snoeck Henkemans et al. (2024). The results show that a clinically meaningful recovery beyond remission is best assessed by assessing EQ-5D or SF-36, the HAQ, pain, fatigue and participation. </w:t>
      </w:r>
    </w:p>
    <w:p w14:paraId="2D8F619D" w14:textId="52DB1B17" w:rsidR="00920A36" w:rsidRPr="00920A36" w:rsidRDefault="00920A36" w:rsidP="00920A36">
      <w:pPr>
        <w:spacing w:after="120"/>
      </w:pPr>
      <w:r w:rsidRPr="00920A36">
        <w:t xml:space="preserve">Prescription medicines are not the only aspect of care. Disease education, goal setting, problem solving, physical activity, and psychological assistance are recommended as integral parts of inflammatory-arthritis self-management as routine care (Nikiphorou et al., 2021). The supporting systematic review showed overall beneficial effects, but a lack of uniformity in interventions and measured outcomes confounded it, and the ability to isolate individual components was difficult (Marques et al., 2021). Self-Management should NOT be seen as a transfer of responsibility to </w:t>
      </w:r>
      <w:r w:rsidRPr="00920A36">
        <w:lastRenderedPageBreak/>
        <w:t xml:space="preserve">patients; it is effective through the support of other professionals, provisions which are accessible and to which the person has adapted </w:t>
      </w:r>
      <w:r w:rsidR="001D40DA">
        <w:t>their</w:t>
      </w:r>
      <w:r w:rsidRPr="00920A36">
        <w:t xml:space="preserve"> health and social context</w:t>
      </w:r>
      <w:r w:rsidR="001D40DA">
        <w:t xml:space="preserve"> </w:t>
      </w:r>
      <w:r w:rsidR="001D40DA" w:rsidRPr="001D40DA">
        <w:t>(Gwinnutt et al., 2021a; Gwinnutt et al., 2021b; Ifesemen et al., 2022)</w:t>
      </w:r>
      <w:r w:rsidRPr="00920A36">
        <w:t xml:space="preserve">. </w:t>
      </w:r>
      <w:r w:rsidRPr="00920A36">
        <w:rPr>
          <w:lang w:val="en-GB"/>
        </w:rPr>
        <w:t xml:space="preserve">All these studies argue for the necessity of assessing the effectiveness of early RA care with multiple outcomes, including inflammatory control and patient outcomes. Persisting fatigue, pain, functional limitation and participation restrictions can occur despite better disease activity and needs can exist that cannot be fully addressed by pharmacological treatment supported self-management can help to address these needs (Galloway </w:t>
      </w:r>
      <w:r w:rsidR="00CC0BAD">
        <w:rPr>
          <w:lang w:val="en-GB"/>
        </w:rPr>
        <w:t>et al.,</w:t>
      </w:r>
      <w:r w:rsidRPr="00920A36">
        <w:rPr>
          <w:lang w:val="en-GB"/>
        </w:rPr>
        <w:t xml:space="preserve"> 2021; Holten </w:t>
      </w:r>
      <w:r w:rsidR="00CC0BAD">
        <w:rPr>
          <w:lang w:val="en-GB"/>
        </w:rPr>
        <w:t>et al.,</w:t>
      </w:r>
      <w:r w:rsidRPr="00920A36">
        <w:rPr>
          <w:lang w:val="en-GB"/>
        </w:rPr>
        <w:t xml:space="preserve"> 2022; Snoeck Henkemans </w:t>
      </w:r>
      <w:r w:rsidR="00CC0BAD">
        <w:rPr>
          <w:lang w:val="en-GB"/>
        </w:rPr>
        <w:t>et al.,</w:t>
      </w:r>
      <w:r w:rsidRPr="00920A36">
        <w:rPr>
          <w:lang w:val="en-GB"/>
        </w:rPr>
        <w:t xml:space="preserve"> 2024; Nikiphorou </w:t>
      </w:r>
      <w:r w:rsidR="00CC0BAD">
        <w:rPr>
          <w:lang w:val="en-GB"/>
        </w:rPr>
        <w:t>et al.,</w:t>
      </w:r>
      <w:r w:rsidRPr="00920A36">
        <w:rPr>
          <w:lang w:val="en-GB"/>
        </w:rPr>
        <w:t xml:space="preserve"> 2021; Marques </w:t>
      </w:r>
      <w:r w:rsidR="00CC0BAD">
        <w:rPr>
          <w:lang w:val="en-GB"/>
        </w:rPr>
        <w:t>et al.,</w:t>
      </w:r>
      <w:r w:rsidRPr="00920A36">
        <w:rPr>
          <w:lang w:val="en-GB"/>
        </w:rPr>
        <w:t xml:space="preserve"> 2021).</w:t>
      </w:r>
    </w:p>
    <w:p w14:paraId="70A09495" w14:textId="77777777" w:rsidR="00920A36" w:rsidRPr="00920A36" w:rsidRDefault="00920A36" w:rsidP="008907E1">
      <w:pPr>
        <w:pStyle w:val="Heading3"/>
      </w:pPr>
      <w:bookmarkStart w:id="54" w:name="_Toc236239932"/>
      <w:bookmarkStart w:id="55" w:name="_Toc237209648"/>
      <w:bookmarkStart w:id="56" w:name="_Toc240922843"/>
      <w:bookmarkEnd w:id="54"/>
      <w:r w:rsidRPr="00920A36">
        <w:t>2.4.2 Psychological and Behavioural Outcomes</w:t>
      </w:r>
      <w:bookmarkEnd w:id="55"/>
      <w:bookmarkEnd w:id="56"/>
    </w:p>
    <w:p w14:paraId="5B70FC15" w14:textId="77777777" w:rsidR="00920A36" w:rsidRPr="00920A36" w:rsidRDefault="00920A36" w:rsidP="00920A36">
      <w:pPr>
        <w:spacing w:after="120"/>
      </w:pPr>
      <w:r w:rsidRPr="00920A36">
        <w:t xml:space="preserve">It is not unusual for many to experience some psychological distress at the time of diagnosis of early inflammatory arthritis or not to remain as they did after the initial diagnosis the next year. Based on NEIAA data, Zhao et al. (2025) established relationships of patient characteristics with distress and disease activity. More patient-reported data than clinician-reported data, with the large sample sizes improving the generalisability. </w:t>
      </w:r>
    </w:p>
    <w:p w14:paraId="18839776" w14:textId="77777777" w:rsidR="00920A36" w:rsidRPr="00920A36" w:rsidRDefault="00920A36" w:rsidP="00920A36">
      <w:pPr>
        <w:spacing w:after="120"/>
      </w:pPr>
      <w:r w:rsidRPr="00920A36">
        <w:t xml:space="preserve">Furthermore, a systematic review and meta-analysis identified affective distress as having a long-term relationship with disease activity, disability, pain, fatigue, as well as work disability and mortality outcomes (Sweeney et al., 2024). Moving forward, interactions are bidirectional: inflammatory disease may affect mood, and mood may affect the perception of symptoms and level of adherence to treatment, physical activity and engagement with health services. </w:t>
      </w:r>
    </w:p>
    <w:p w14:paraId="059ED49A" w14:textId="6880330D" w:rsidR="00920A36" w:rsidRPr="00920A36" w:rsidRDefault="00920A36" w:rsidP="00920A36">
      <w:pPr>
        <w:spacing w:after="120"/>
      </w:pPr>
      <w:r w:rsidRPr="00920A36">
        <w:t>A maladaptive coping style was also moderately correlated with psychological distress, while evidence of adaptive coping and its ability to protect from distress was less clear (</w:t>
      </w:r>
      <w:r w:rsidR="00FD2CC0" w:rsidRPr="00FD2CC0">
        <w:t>Sweeney et al., 2025; Skyrme et al., 2025; Scott et al., 2026</w:t>
      </w:r>
      <w:r w:rsidR="00FD2CC0">
        <w:t xml:space="preserve">; </w:t>
      </w:r>
      <w:r w:rsidRPr="00920A36">
        <w:t>Hinch and Sirois, 2024). There was also significant disagreement with respect to estimates and instruments for assessment of anxiety, as was reported by Meade et al. (2024). These findings raise the concern about not using patient global assessment as a direct measure of synovial inflammation, and suggest that a psychological evaluation might need to be conducted when there are discrepancies between patient- and clinician-reported outcomes.</w:t>
      </w:r>
    </w:p>
    <w:p w14:paraId="394ED563" w14:textId="77777777" w:rsidR="00920A36" w:rsidRPr="00920A36" w:rsidRDefault="00920A36" w:rsidP="008907E1">
      <w:pPr>
        <w:pStyle w:val="Heading3"/>
      </w:pPr>
      <w:bookmarkStart w:id="57" w:name="_Toc236239933"/>
      <w:bookmarkStart w:id="58" w:name="_Toc237209649"/>
      <w:bookmarkStart w:id="59" w:name="_Toc240922844"/>
      <w:bookmarkEnd w:id="57"/>
      <w:r w:rsidRPr="00920A36">
        <w:t>2.4.3 Employment, Frailty and Multimorbidity</w:t>
      </w:r>
      <w:bookmarkEnd w:id="58"/>
      <w:bookmarkEnd w:id="59"/>
    </w:p>
    <w:p w14:paraId="205D0EB5" w14:textId="77777777" w:rsidR="00920A36" w:rsidRPr="00920A36" w:rsidRDefault="00920A36" w:rsidP="00920A36">
      <w:pPr>
        <w:spacing w:after="120"/>
      </w:pPr>
      <w:r w:rsidRPr="00920A36">
        <w:t xml:space="preserve">Having a job is a vulnerable aspect of real-life functioning. The systematic review by Kirkeskov and Bray (2023) reported a reduction in employment as the disease status became more severe (increased duration of disease and level of activity). Such factors associated with ongoing </w:t>
      </w:r>
      <w:r w:rsidRPr="00920A36">
        <w:lastRenderedPageBreak/>
        <w:t xml:space="preserve">employment were the presence of fewer comorbidities, lower disease activity, and lower age. Precise causal conclusions were, however, limited by a lot of variability and methodological deficiencies. </w:t>
      </w:r>
    </w:p>
    <w:p w14:paraId="2D0A0421" w14:textId="6F36F944" w:rsidR="00920A36" w:rsidRPr="00920A36" w:rsidRDefault="00920A36" w:rsidP="00920A36">
      <w:pPr>
        <w:spacing w:after="120"/>
      </w:pPr>
      <w:r w:rsidRPr="00920A36">
        <w:t>Evidence from NEIAA indicates that effects occur at the beginning of inflammatory arthritis. There were occupational gender differences in work participation and productivity, according to Bechman et al. (2024). Stiffness, fatigue and pain could be exacerbated by a physically challenging and less flexible work experience. It seems that early DMARD treatment can therefore improve work participation, although drugs can't solve insecure work situations, inflexible working tasks and lack of workplace adjustment on their own</w:t>
      </w:r>
      <w:r w:rsidR="00677CD7">
        <w:t xml:space="preserve"> </w:t>
      </w:r>
      <w:r w:rsidR="00677CD7" w:rsidRPr="00677CD7">
        <w:t>(Gwinnutt et al., 2020a; Gwinnutt et al., 2020b; Alveyn et al., 2026)</w:t>
      </w:r>
      <w:r w:rsidRPr="00920A36">
        <w:t xml:space="preserve">. </w:t>
      </w:r>
    </w:p>
    <w:p w14:paraId="5290B9F2" w14:textId="77777777" w:rsidR="00920A36" w:rsidRPr="00920A36" w:rsidRDefault="00920A36" w:rsidP="008907E1">
      <w:pPr>
        <w:pStyle w:val="Heading3"/>
      </w:pPr>
      <w:bookmarkStart w:id="60" w:name="_Toc236239934"/>
      <w:bookmarkStart w:id="61" w:name="_Toc237209650"/>
      <w:bookmarkStart w:id="62" w:name="_Toc240922845"/>
      <w:bookmarkEnd w:id="60"/>
      <w:r w:rsidRPr="00920A36">
        <w:t>2.4.4 Inequality and Patient-Centred Care</w:t>
      </w:r>
      <w:bookmarkEnd w:id="61"/>
      <w:bookmarkEnd w:id="62"/>
    </w:p>
    <w:p w14:paraId="153A5A8C" w14:textId="77777777" w:rsidR="00920A36" w:rsidRPr="00920A36" w:rsidRDefault="00920A36" w:rsidP="00920A36">
      <w:pPr>
        <w:spacing w:after="120"/>
      </w:pPr>
      <w:r w:rsidRPr="00920A36">
        <w:t>In the UK, there is also evidence that ethnic, socioeconomic and geographic variations in outcomes mean that patient-centred care also needs to be equity focused. Access is not equal if rates of symptom recognition, primary care engagement, transportation, language, digital engagement, and employment flexibility and/or trust do not align with the referral criteria. A national cohort will be able to capture these gradients, but may again generate patient inequality within the cohort if disadvantaged groups are not as likely to return with the patient-reported follow-up.</w:t>
      </w:r>
    </w:p>
    <w:p w14:paraId="7AB07A55" w14:textId="1132DB39" w:rsidR="00920A36" w:rsidRPr="00920A36" w:rsidRDefault="00920A36" w:rsidP="00920A36">
      <w:pPr>
        <w:spacing w:after="120"/>
      </w:pPr>
      <w:r w:rsidRPr="00920A36">
        <w:t>Shared decisions about targets, side effects, and outcomes of care that are meaningful to the person are essential for patient-centred care. Small improvement after corticosteroid treatment in a composite activity score may be a minor consideration compared to the other factors: employment, fatigue or fertility avoidance, or reduction in fatigue</w:t>
      </w:r>
      <w:r w:rsidR="00B855D2">
        <w:t xml:space="preserve"> </w:t>
      </w:r>
      <w:r w:rsidR="00B855D2" w:rsidRPr="00B855D2">
        <w:t>(Zhao et al., 2024; Tian et al., 2025; Yang et al., 2025)</w:t>
      </w:r>
      <w:r w:rsidRPr="00920A36">
        <w:t>. Preference-sensitive care should not be "excused" as preventive under-treatment, though. Hameed et al. (2024) indicated that advanced therapy initiation obtained at a later stage was also influenced by baseline disease characteristics, and Russell et al. (2025</w:t>
      </w:r>
      <w:r w:rsidR="00EC45B5">
        <w:t>a</w:t>
      </w:r>
      <w:r w:rsidRPr="00920A36">
        <w:t xml:space="preserve">) demonstrated that non-clinical inequalities impacted access to advanced therapies. Appropriate balance is informed choice in a system that provides timely assessment, evidence-based escalation &amp; multidisciplinary support. </w:t>
      </w:r>
    </w:p>
    <w:p w14:paraId="5F520809" w14:textId="77777777" w:rsidR="00920A36" w:rsidRPr="00920A36" w:rsidRDefault="00920A36" w:rsidP="008907E1">
      <w:pPr>
        <w:pStyle w:val="Heading2"/>
      </w:pPr>
      <w:bookmarkStart w:id="63" w:name="_Toc236239935"/>
      <w:bookmarkStart w:id="64" w:name="_Toc237209651"/>
      <w:bookmarkStart w:id="65" w:name="_Toc240922846"/>
      <w:bookmarkEnd w:id="63"/>
      <w:r w:rsidRPr="00920A36">
        <w:lastRenderedPageBreak/>
        <w:t>2.5 Critical Synthesis, Evidence Gaps and Conceptual Framework</w:t>
      </w:r>
      <w:bookmarkEnd w:id="64"/>
      <w:bookmarkEnd w:id="65"/>
    </w:p>
    <w:p w14:paraId="690B3688" w14:textId="77777777" w:rsidR="00920A36" w:rsidRPr="00920A36" w:rsidRDefault="00920A36" w:rsidP="008907E1">
      <w:pPr>
        <w:pStyle w:val="Heading3"/>
      </w:pPr>
      <w:bookmarkStart w:id="66" w:name="_Toc236239936"/>
      <w:bookmarkStart w:id="67" w:name="_Toc237209652"/>
      <w:bookmarkStart w:id="68" w:name="_Toc240922847"/>
      <w:bookmarkEnd w:id="66"/>
      <w:r w:rsidRPr="00920A36">
        <w:t>2.5.1 Strengths and Limitations of the Evidence</w:t>
      </w:r>
      <w:bookmarkEnd w:id="67"/>
      <w:bookmarkEnd w:id="68"/>
    </w:p>
    <w:p w14:paraId="6E37E382" w14:textId="77777777" w:rsidR="00920A36" w:rsidRPr="00920A36" w:rsidRDefault="00920A36" w:rsidP="00920A36">
      <w:pPr>
        <w:spacing w:after="120"/>
      </w:pPr>
      <w:r w:rsidRPr="00920A36">
        <w:t>Evidence is bolstered with supporting designs. NEIAA provide national coverage and repeated assessment, OpenSAFELY provide population-level evidence, while a randomised trial provides estimates of efficacy, and routine-care cohorts provide evidence of effectiveness in the presence of NHS pressures. Their convergence helps to facilitate and promote timely and structured disease-modifying treatment.</w:t>
      </w:r>
    </w:p>
    <w:p w14:paraId="711FE5D7" w14:textId="71239EA0" w:rsidR="00920A36" w:rsidRPr="00920A36" w:rsidRDefault="00920A36" w:rsidP="00920A36">
      <w:pPr>
        <w:spacing w:after="120"/>
      </w:pPr>
      <w:r w:rsidRPr="00920A36">
        <w:t>Most of the UK evidence with regards to when and why is observational, however. Causal inferences are limited due to retrospective reporting of onset of symptoms (causing over- or under-estimates), socially patterned missing DAS28 and patient-reported data, and varying onset-of-symptoms definitions and confounding by indication</w:t>
      </w:r>
      <w:r w:rsidR="00752B54">
        <w:t xml:space="preserve"> </w:t>
      </w:r>
      <w:r w:rsidR="00752B54" w:rsidRPr="00752B54">
        <w:t>(Vasilakis-Scaramozza et al., 2023a; Vasilakis-Scaramozza et al., 2023b; Yang et al., 2026)</w:t>
      </w:r>
      <w:r w:rsidRPr="00920A36">
        <w:t>. There may also be variation in trust level, and people who do not attend rheumatology services may not be represented within national averages. There is also a need to consider the benefits of treatment alongside risks of infection, cardiovascular events, and other complications, including in multimorbid and older people. Findings should therefore be looked at based on timing definition, comparator, outcome, follow-up and population.</w:t>
      </w:r>
    </w:p>
    <w:p w14:paraId="6FC14D6F" w14:textId="77777777" w:rsidR="00920A36" w:rsidRPr="00920A36" w:rsidRDefault="00920A36" w:rsidP="008907E1">
      <w:pPr>
        <w:pStyle w:val="Heading3"/>
      </w:pPr>
      <w:bookmarkStart w:id="69" w:name="_Toc236239937"/>
      <w:bookmarkStart w:id="70" w:name="_Toc237209653"/>
      <w:bookmarkStart w:id="71" w:name="_Toc240922848"/>
      <w:bookmarkEnd w:id="69"/>
      <w:r w:rsidRPr="00920A36">
        <w:t>2.5.2 Gaps in the Literature</w:t>
      </w:r>
      <w:bookmarkEnd w:id="70"/>
      <w:bookmarkEnd w:id="71"/>
    </w:p>
    <w:p w14:paraId="65C47D8E" w14:textId="77777777" w:rsidR="00920A36" w:rsidRPr="00920A36" w:rsidRDefault="00920A36" w:rsidP="00920A36">
      <w:pPr>
        <w:spacing w:after="120"/>
      </w:pPr>
      <w:r w:rsidRPr="00920A36">
        <w:t>Five big gaps come to the fore. The time that may pass between a patient experiencing the onset of symptoms until their diagnosis or referral to a specialist is often not differentiated among patient delay, primary-care delay, and referral/ treatment delay in the same study. It is therefore possible that a link between 'early treatment' and remission may mask the existence of significant differences in the untreated duration of the symptoms.</w:t>
      </w:r>
    </w:p>
    <w:p w14:paraId="3E118F85" w14:textId="77777777" w:rsidR="00920A36" w:rsidRPr="00920A36" w:rsidRDefault="00920A36" w:rsidP="00920A36">
      <w:pPr>
        <w:spacing w:after="120"/>
      </w:pPr>
      <w:r w:rsidRPr="00920A36">
        <w:t>Secondly, clinical and patient-centred outcomes are split apart. Disease activity and disability, pain, quality of life, psychological wellbeing and employment are interrelated, but few studies integrate earlier care into this sequence of connections.</w:t>
      </w:r>
    </w:p>
    <w:p w14:paraId="42BBC07A" w14:textId="77777777" w:rsidR="00920A36" w:rsidRPr="00920A36" w:rsidRDefault="00920A36" w:rsidP="00920A36">
      <w:pPr>
        <w:spacing w:after="120"/>
      </w:pPr>
      <w:r w:rsidRPr="00920A36">
        <w:t>Third, evidence on long-term quality of life of treatment in the UK but initiated very early is less developed than evidence on short-term DAS28. Twelve-month audit outcomes have considerable value but are unable to help rule out a future incidence of disability, job loss, multimorbidity or social-care need.</w:t>
      </w:r>
    </w:p>
    <w:p w14:paraId="5A3161C7" w14:textId="77777777" w:rsidR="00920A36" w:rsidRPr="00920A36" w:rsidRDefault="00920A36" w:rsidP="008907E1">
      <w:pPr>
        <w:pStyle w:val="Heading3"/>
      </w:pPr>
      <w:bookmarkStart w:id="72" w:name="_Toc236239938"/>
      <w:bookmarkStart w:id="73" w:name="_Toc237209654"/>
      <w:bookmarkStart w:id="74" w:name="_Toc240922849"/>
      <w:bookmarkEnd w:id="72"/>
      <w:r w:rsidRPr="00920A36">
        <w:lastRenderedPageBreak/>
        <w:t>2.5.3 Conceptual Framework and Theoretical Underpinning</w:t>
      </w:r>
      <w:bookmarkEnd w:id="73"/>
      <w:bookmarkEnd w:id="74"/>
    </w:p>
    <w:p w14:paraId="3380ED8E" w14:textId="77777777" w:rsidR="00920A36" w:rsidRPr="00920A36" w:rsidRDefault="00920A36" w:rsidP="00920A36">
      <w:pPr>
        <w:spacing w:after="120"/>
        <w:rPr>
          <w:lang w:val="en-GB"/>
        </w:rPr>
      </w:pPr>
      <w:r w:rsidRPr="00920A36">
        <w:rPr>
          <w:lang w:val="en-GB"/>
        </w:rPr>
        <w:t>The Social Ecological Model (SEM) (McLeroy et al., 1988), as shown in Figure 2.1, is defined as a conceptual model that holds that levels of influence, from individual to interpersonal, organisational, community and policy, interact to produce health outcomes. In the context of early RA, patients' level factors encompass interpretation of symptoms, health literacy, comorbidities and treatment adherence; interpersonal factors include the communication between the patient and the clinical team and social support; organisational factors include primary-care referral pathways, capacity of the rheumatology services and monitoring of the patients; and wider community and healthcare-system factors include geographical access, socioeconomic disadvantage and service configuration. In addition to this, the SEM was used to provide a theoretical foundation to understand the multilevel moderators that were included in the pathway, not as a platform to substantiate the pathway as a theory.</w:t>
      </w:r>
    </w:p>
    <w:p w14:paraId="74262764" w14:textId="77777777" w:rsidR="00920A36" w:rsidRPr="00920A36" w:rsidRDefault="00920A36" w:rsidP="00920A36">
      <w:pPr>
        <w:spacing w:after="120"/>
      </w:pPr>
      <w:r w:rsidRPr="00920A36">
        <w:rPr>
          <w:lang w:val="en-GB"/>
        </w:rPr>
        <w:t>On the basis of this theoretical framework, the author created a conceptual pathway that encompasses the stages from disease development and symptom recognition to help-seeking, primary-care assessment, rheumatology referral, diagnosis, starting of DMARDs, monitoring and adjustment of treatment:</w:t>
      </w:r>
    </w:p>
    <w:p w14:paraId="76C21A1E" w14:textId="77777777" w:rsidR="00920A36" w:rsidRPr="00920A36" w:rsidRDefault="00920A36" w:rsidP="00920A36">
      <w:pPr>
        <w:spacing w:after="120"/>
      </w:pPr>
      <w:r w:rsidRPr="00920A36">
        <w:t>Disease development → symptom recognition → help-seeking → primary-care assessment → rheumatology referral → diagnosis → DMARD initiation → monitoring and adjustment → clinical and quality-of-life outcomes</w:t>
      </w:r>
    </w:p>
    <w:p w14:paraId="0F70D53B" w14:textId="3943BCA6" w:rsidR="00920A36" w:rsidRPr="00920A36" w:rsidRDefault="00920A36" w:rsidP="00920A36">
      <w:pPr>
        <w:spacing w:after="120"/>
      </w:pPr>
      <w:r w:rsidRPr="00920A36">
        <w:t xml:space="preserve">Activity, remission, structural damage, disability, frailty and hospitalisation are disease-severity outcomes. The areas of </w:t>
      </w:r>
      <w:r w:rsidR="00C301BA" w:rsidRPr="00920A36">
        <w:t>quality-of-life</w:t>
      </w:r>
      <w:r w:rsidRPr="00920A36">
        <w:t xml:space="preserve"> outcomes encompassed are pain, fatigue, psychological wellbeing, social participation, employment and generic health status.</w:t>
      </w:r>
    </w:p>
    <w:p w14:paraId="7D990CD4" w14:textId="30FA767E" w:rsidR="00920A36" w:rsidRPr="00920A36" w:rsidRDefault="00920A36" w:rsidP="00920A36">
      <w:pPr>
        <w:spacing w:after="120"/>
      </w:pPr>
      <w:r w:rsidRPr="00920A36">
        <w:rPr>
          <w:noProof/>
        </w:rPr>
        <w:lastRenderedPageBreak/>
        <w:drawing>
          <wp:inline distT="0" distB="0" distL="0" distR="0" wp14:anchorId="71914D8D" wp14:editId="7900DBBA">
            <wp:extent cx="5248275" cy="3190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48275" cy="3190875"/>
                    </a:xfrm>
                    <a:prstGeom prst="rect">
                      <a:avLst/>
                    </a:prstGeom>
                    <a:noFill/>
                    <a:ln>
                      <a:noFill/>
                    </a:ln>
                  </pic:spPr>
                </pic:pic>
              </a:graphicData>
            </a:graphic>
          </wp:inline>
        </w:drawing>
      </w:r>
    </w:p>
    <w:p w14:paraId="738E1FB7" w14:textId="77777777" w:rsidR="00920A36" w:rsidRPr="00920A36" w:rsidRDefault="00920A36" w:rsidP="00920A36">
      <w:pPr>
        <w:spacing w:after="120"/>
        <w:rPr>
          <w:i/>
          <w:iCs/>
        </w:rPr>
      </w:pPr>
      <w:r w:rsidRPr="00920A36">
        <w:rPr>
          <w:i/>
          <w:iCs/>
        </w:rPr>
        <w:t>Figure 2.1: Conceptual Framework Linking the Early Rheumatoid Arthritis Care Pathway to Clinical and Quality-of-Life Outcomes</w:t>
      </w:r>
    </w:p>
    <w:p w14:paraId="2E63B5AE" w14:textId="0D011D6A" w:rsidR="00920A36" w:rsidRPr="00920A36" w:rsidRDefault="00920A36" w:rsidP="00920A36">
      <w:pPr>
        <w:spacing w:after="120"/>
        <w:rPr>
          <w:lang w:val="en-GB"/>
        </w:rPr>
      </w:pPr>
      <w:r w:rsidRPr="00920A36">
        <w:rPr>
          <w:lang w:val="en-GB"/>
        </w:rPr>
        <w:t xml:space="preserve">Figure 2.1 is an operationalisation of this multilevel perspective that illustrates how the timing and quality of early care are connected to clinical and quality-of-life outcomes. It suggests that earlier recognition, diagnosis and DMARD start may have a positive impact on outcomes and that variation in its impact may be related to a number of </w:t>
      </w:r>
      <w:r w:rsidR="00C301BA" w:rsidRPr="00920A36">
        <w:rPr>
          <w:lang w:val="en-GB"/>
        </w:rPr>
        <w:t>patients</w:t>
      </w:r>
      <w:r w:rsidRPr="00920A36">
        <w:rPr>
          <w:lang w:val="en-GB"/>
        </w:rPr>
        <w:t xml:space="preserve">, clinical and healthcare system factors. </w:t>
      </w:r>
    </w:p>
    <w:p w14:paraId="423D93FA" w14:textId="77777777" w:rsidR="00920A36" w:rsidRPr="00920A36" w:rsidRDefault="00920A36" w:rsidP="00920A36">
      <w:pPr>
        <w:spacing w:after="120"/>
      </w:pPr>
      <w:r w:rsidRPr="00920A36">
        <w:rPr>
          <w:lang w:val="en-GB"/>
        </w:rPr>
        <w:t>The framework will be applied to analyse other sections of the dissertation. The concepts to be included in the reproducible search strategy will be informed by its multilevel domains in Chapter 3. Themes that developed from the systematically selected studies will be interpreted within patient/ interpersonal, organisational or healthcare system levels in the Findings chapter. The framework will be utilised to describe patterns in delays, inequalities, and disparities in outcomes, as well as reviewing the evidence to consider whether it offers support, extension, or challenge to the proposed framework in the Discussion chapter.</w:t>
      </w:r>
    </w:p>
    <w:p w14:paraId="4F62A766" w14:textId="77777777" w:rsidR="00920A36" w:rsidRPr="00920A36" w:rsidRDefault="00920A36" w:rsidP="008907E1">
      <w:pPr>
        <w:pStyle w:val="Heading2"/>
      </w:pPr>
      <w:bookmarkStart w:id="75" w:name="_Toc236239939"/>
      <w:bookmarkStart w:id="76" w:name="_Toc237209655"/>
      <w:bookmarkStart w:id="77" w:name="_Toc240922850"/>
      <w:bookmarkEnd w:id="75"/>
      <w:r w:rsidRPr="00920A36">
        <w:t>2.6 Chapter Summary</w:t>
      </w:r>
      <w:bookmarkEnd w:id="76"/>
      <w:bookmarkEnd w:id="77"/>
    </w:p>
    <w:p w14:paraId="16BCDC22" w14:textId="48D8B464" w:rsidR="00D51958" w:rsidRDefault="00920A36" w:rsidP="00920A36">
      <w:pPr>
        <w:spacing w:after="120"/>
        <w:rPr>
          <w:lang w:val="en-GB"/>
        </w:rPr>
      </w:pPr>
      <w:r w:rsidRPr="00920A36">
        <w:rPr>
          <w:lang w:val="en-GB"/>
        </w:rPr>
        <w:t xml:space="preserve">This chapter discussed RA as a public-health issue in the UK, the potential of the early-intervention window, pathways through the NHS, treatment options and assessments of disease severity as well as outcome measures that were patient-centred. Despite the fact that evidence was positive for prompt diagnosis, introduction of DMARDS and treat-to-target monitoring, it </w:t>
      </w:r>
      <w:r w:rsidRPr="00920A36">
        <w:rPr>
          <w:lang w:val="en-GB"/>
        </w:rPr>
        <w:lastRenderedPageBreak/>
        <w:t>was also evident that the delay in pre-referral, unequal access, geographical variation and presence of comorbidities can impair the outcomes. Better function and quality of life correlated with remission, albeit pain, fatigue, distress and work impairment can continue. Citing these limitations, a systematic review is called for, with explicit definitions of the timing, quality appraisal and multidimensional synthesis.</w:t>
      </w:r>
      <w:r w:rsidRPr="00920A36">
        <w:t xml:space="preserve"> </w:t>
      </w:r>
      <w:r w:rsidRPr="00920A36">
        <w:rPr>
          <w:lang w:val="en-GB"/>
        </w:rPr>
        <w:t>The literature offers a multilevel interpretation, acknowledging interactions between patient and clinical and healthcare-system factors; this is why the Social Ecological Model was used for the next systematic review and interpretation of the evidence.</w:t>
      </w:r>
    </w:p>
    <w:p w14:paraId="3C8D2F27" w14:textId="77777777" w:rsidR="00D51958" w:rsidRDefault="00D51958">
      <w:pPr>
        <w:spacing w:line="276" w:lineRule="auto"/>
        <w:jc w:val="left"/>
        <w:rPr>
          <w:lang w:val="en-GB"/>
        </w:rPr>
      </w:pPr>
      <w:r>
        <w:rPr>
          <w:lang w:val="en-GB"/>
        </w:rPr>
        <w:br w:type="page"/>
      </w:r>
    </w:p>
    <w:p w14:paraId="61081683" w14:textId="77777777" w:rsidR="00D51958" w:rsidRDefault="00D51958" w:rsidP="00D51958">
      <w:pPr>
        <w:pStyle w:val="Heading1"/>
        <w:spacing w:before="0"/>
      </w:pPr>
      <w:bookmarkStart w:id="78" w:name="_Toc238658209"/>
      <w:bookmarkStart w:id="79" w:name="_Toc238659152"/>
      <w:bookmarkStart w:id="80" w:name="_Toc238661338"/>
      <w:bookmarkStart w:id="81" w:name="_Toc240922851"/>
      <w:r>
        <w:lastRenderedPageBreak/>
        <w:t>Chapter 3: Methodology</w:t>
      </w:r>
      <w:bookmarkEnd w:id="78"/>
      <w:bookmarkEnd w:id="79"/>
      <w:bookmarkEnd w:id="80"/>
      <w:bookmarkEnd w:id="81"/>
    </w:p>
    <w:p w14:paraId="0E549741" w14:textId="77777777" w:rsidR="00D51958" w:rsidRDefault="00D51958" w:rsidP="00C662DF">
      <w:pPr>
        <w:pStyle w:val="Heading2"/>
      </w:pPr>
      <w:bookmarkStart w:id="82" w:name="_Toc238658210"/>
      <w:bookmarkStart w:id="83" w:name="_Toc238659153"/>
      <w:bookmarkStart w:id="84" w:name="_Toc238661339"/>
      <w:bookmarkStart w:id="85" w:name="_Toc240922852"/>
      <w:r>
        <w:t>3.0 Introduction</w:t>
      </w:r>
      <w:bookmarkEnd w:id="82"/>
      <w:bookmarkEnd w:id="83"/>
      <w:bookmarkEnd w:id="84"/>
      <w:bookmarkEnd w:id="85"/>
    </w:p>
    <w:p w14:paraId="5E3B4F29" w14:textId="77777777" w:rsidR="00D51958" w:rsidRDefault="00D51958" w:rsidP="00D51958">
      <w:pPr>
        <w:spacing w:after="120"/>
      </w:pPr>
      <w:r w:rsidRPr="00FF6000">
        <w:t>The chapter provides an explanation of the methodology adopted to address the research question: What is the impact of early diagnosis and treatment initiation on the disease severity and quality of life for RA patients in the UK? A systematic literature review was conducted to review the existing evidence but not to gather data from participants. The chapter provides a design, search, screening, selection, appraisal, extraction, analysis and ethics for an open and transparent review.</w:t>
      </w:r>
    </w:p>
    <w:p w14:paraId="2458BABA" w14:textId="77777777" w:rsidR="00D51958" w:rsidRDefault="00D51958" w:rsidP="00C662DF">
      <w:pPr>
        <w:pStyle w:val="Heading2"/>
      </w:pPr>
      <w:bookmarkStart w:id="86" w:name="_Toc238658211"/>
      <w:bookmarkStart w:id="87" w:name="_Toc238659154"/>
      <w:bookmarkStart w:id="88" w:name="_Toc238661340"/>
      <w:bookmarkStart w:id="89" w:name="_Toc240922853"/>
      <w:r>
        <w:t>3.1 Study Design</w:t>
      </w:r>
      <w:bookmarkEnd w:id="86"/>
      <w:bookmarkEnd w:id="87"/>
      <w:bookmarkEnd w:id="88"/>
      <w:bookmarkEnd w:id="89"/>
    </w:p>
    <w:p w14:paraId="7B003B72" w14:textId="77777777" w:rsidR="00D51958" w:rsidRDefault="00D51958" w:rsidP="00D51958">
      <w:pPr>
        <w:spacing w:after="120"/>
      </w:pPr>
      <w:r>
        <w:t>The systematic literature review is a systematic search, assessment and integration of literature in a clearly and explicitly described process to answer a specific research question (Booth et al., 2021). This was an appropriate design for the dissertation as it involved synthesising the latest evidence about diagnosis and treatment time in the UK, disease severity and patient-centred outcomes without a cohort. It also connected the research question and research objectives to the final evidence base.</w:t>
      </w:r>
    </w:p>
    <w:p w14:paraId="52F5885D" w14:textId="77777777" w:rsidR="00D51958" w:rsidRDefault="00D51958" w:rsidP="00D51958">
      <w:pPr>
        <w:spacing w:after="120"/>
      </w:pPr>
      <w:r>
        <w:t>The main strengths were: 1) predefined eligibility criteria, 2) the search was reproducible, and 3) the appraisal was structured and the extraction was standardised. These procedures helped minimise selective inclusion. Only findings that failed to meet the stated criteria were excluded from the studies, but studies with inconclusive, contradictory or non-significant findings were included if they were eligible. Higgins et al. (2024) emphasise the need for explicit eligibility, selection and synthesis criteria as they impact the validity of the review.</w:t>
      </w:r>
    </w:p>
    <w:p w14:paraId="307D2CAE" w14:textId="03C58D83" w:rsidR="00D51958" w:rsidRDefault="00D51958" w:rsidP="00D51958">
      <w:pPr>
        <w:spacing w:after="120"/>
      </w:pPr>
      <w:r w:rsidRPr="00D57C5D">
        <w:t>The design also had limitations.</w:t>
      </w:r>
      <w:r>
        <w:t xml:space="preserve"> Inclusion of only recent publications in the English-language body of evidence may have led to the exclusion of older or non-English evidence, and screening by a single reviewer is not as thorough as screening by a duplicate set of reviewers. Studies varied in design, definition of “early”, exposures, outcome, and follow-up and were not designed to be pooled for meta-analysis as this would yield mixed evidence.</w:t>
      </w:r>
    </w:p>
    <w:p w14:paraId="4D27E155" w14:textId="77777777" w:rsidR="00D51958" w:rsidRDefault="00D51958" w:rsidP="00C662DF">
      <w:pPr>
        <w:pStyle w:val="Heading2"/>
      </w:pPr>
      <w:bookmarkStart w:id="90" w:name="_Toc238658212"/>
      <w:bookmarkStart w:id="91" w:name="_Toc238659155"/>
      <w:bookmarkStart w:id="92" w:name="_Toc238661341"/>
      <w:bookmarkStart w:id="93" w:name="_Toc240922854"/>
      <w:r>
        <w:t>3.2 Search Strategy</w:t>
      </w:r>
      <w:bookmarkEnd w:id="90"/>
      <w:bookmarkEnd w:id="91"/>
      <w:bookmarkEnd w:id="92"/>
      <w:bookmarkEnd w:id="93"/>
    </w:p>
    <w:p w14:paraId="0DFC56B8" w14:textId="77777777" w:rsidR="00D51958" w:rsidRDefault="00D51958" w:rsidP="00D51958">
      <w:pPr>
        <w:spacing w:after="120"/>
      </w:pPr>
      <w:r>
        <w:t xml:space="preserve">Search strategy: developed in accordance with the research question and objectives. Main concepts included were: rheumatoid arthritis, timing of diagnosis/referral/treatment, disease severity, patient-centred outcomes and the UK setting. Contextual terminology was not used as </w:t>
      </w:r>
      <w:r>
        <w:lastRenderedPageBreak/>
        <w:t>a way to exclude relevant clinical studies this was included as a supplement to concepts used in Chapter 2 (specifically symptom recognition, help-seeking, access and service inequalities).</w:t>
      </w:r>
    </w:p>
    <w:p w14:paraId="24978658" w14:textId="77777777" w:rsidR="00D51958" w:rsidRDefault="00D51958" w:rsidP="00D51958">
      <w:pPr>
        <w:spacing w:after="120"/>
      </w:pPr>
      <w:r>
        <w:t>A sensitive search rather than a narrow search was carried out. There were three primary blocks (rheumatoid arthritis, timing/treatment, UK terms) and supplementary blocks on outcome terms, for searching and eligibility assessment purposes. The respective databases employed controlled vocabulary and free-text terms that were adjusted to each database based on the systematic-search guidance (Lefebvre et al., 2024). The search was conducted on peer-reviewed English language literature from 1 January 2021 to 3 August 2026 and checked for citations. Grey literature was reviewed, but non-peer-reviewed literature was not included in or synthesised.</w:t>
      </w:r>
    </w:p>
    <w:p w14:paraId="6409ABF8" w14:textId="77777777" w:rsidR="00D51958" w:rsidRDefault="00D51958" w:rsidP="008907E1">
      <w:pPr>
        <w:pStyle w:val="Heading3"/>
      </w:pPr>
      <w:bookmarkStart w:id="94" w:name="_Toc238658213"/>
      <w:bookmarkStart w:id="95" w:name="_Toc238659156"/>
      <w:bookmarkStart w:id="96" w:name="_Toc238661342"/>
      <w:bookmarkStart w:id="97" w:name="_Toc240922855"/>
      <w:r>
        <w:t>3.2.1 Search Terms</w:t>
      </w:r>
      <w:bookmarkEnd w:id="94"/>
      <w:bookmarkEnd w:id="95"/>
      <w:bookmarkEnd w:id="96"/>
      <w:bookmarkEnd w:id="97"/>
    </w:p>
    <w:p w14:paraId="6217264E" w14:textId="77777777" w:rsidR="00D51958" w:rsidRDefault="00D51958" w:rsidP="00D51958">
      <w:pPr>
        <w:spacing w:after="120"/>
      </w:pPr>
      <w:r>
        <w:t xml:space="preserve">The keywords and index terms were created based on the research question and the terms used in the relevant study. Truncated terms are included where possible, including </w:t>
      </w:r>
      <w:r w:rsidRPr="005971B3">
        <w:t>treat* and diagnos*, with quotation marks</w:t>
      </w:r>
      <w:r>
        <w:t xml:space="preserve"> for phrases including “rheumatoid arthritis”, “quality of life” and “treat to target”. Synonyms were grouped together by ORs and main concept blocks were grouped together by ANDs. It was decided that </w:t>
      </w:r>
      <w:r w:rsidRPr="005971B3">
        <w:t>NOT was not used</w:t>
      </w:r>
      <w:r>
        <w:t xml:space="preserve"> as it could result in loss of eligible records and less sensitivity (Rethlefsen et al., 2021).</w:t>
      </w:r>
    </w:p>
    <w:p w14:paraId="2D2556AE" w14:textId="77777777" w:rsidR="00D51958" w:rsidRDefault="00D51958" w:rsidP="00D51958">
      <w:pPr>
        <w:spacing w:after="120"/>
      </w:pPr>
      <w:r>
        <w:t xml:space="preserve">The </w:t>
      </w:r>
      <w:r w:rsidRPr="0074569F">
        <w:t>master search strategy</w:t>
      </w:r>
      <w:r>
        <w:t xml:space="preserve"> was </w:t>
      </w:r>
      <w:r w:rsidRPr="0074569F">
        <w:t>PubMed/MEDLINE</w:t>
      </w:r>
      <w:r>
        <w:t xml:space="preserve"> which was translated for other databases. A representative core search used included the terms ( (“Arthritis, Rheumatoid”[MeSH] OR “rheumatoid arthritis”[tiab] OR “early inflammatory arthritis”[tiab] ) AND ( “early diagnosis”[tiab] OR “diagnostic delay”[tiab] OR “symptom duration”[tiab] OR “referral delay”[tiab] OR “early treatment”[tiab] OR “treatment initiation”[tiab] OR DMARD*[tiab] OR “treat to target”[tiab] ) AND ( “United Kingdom”[MeSH] OR UK[tiab] OR England[tiab] OR Wales[tiab] OR Scotland[tiab] OR “Northern Ireland”[tiab] OR NHS[tiab] ). Date and English-language limits were imposed. In the search record/appendix, full database-specific syntax was preserved.</w:t>
      </w:r>
    </w:p>
    <w:p w14:paraId="0C7B0A9C" w14:textId="77777777" w:rsidR="00D51958" w:rsidRPr="00F424BD" w:rsidRDefault="00D51958" w:rsidP="00D51958">
      <w:pPr>
        <w:keepNext/>
        <w:spacing w:before="120" w:after="80"/>
        <w:rPr>
          <w:bCs/>
          <w:sz w:val="28"/>
          <w:szCs w:val="24"/>
        </w:rPr>
      </w:pPr>
      <w:r w:rsidRPr="00F424BD">
        <w:rPr>
          <w:bCs/>
          <w:szCs w:val="24"/>
        </w:rPr>
        <w:t>Table 3.1: Search Concepts and Terms Used to Structure the Review</w:t>
      </w:r>
    </w:p>
    <w:tbl>
      <w:tblPr>
        <w:tblStyle w:val="TableGrid"/>
        <w:tblW w:w="10440" w:type="dxa"/>
        <w:tblLayout w:type="fixed"/>
        <w:tblLook w:val="04A0" w:firstRow="1" w:lastRow="0" w:firstColumn="1" w:lastColumn="0" w:noHBand="0" w:noVBand="1"/>
      </w:tblPr>
      <w:tblGrid>
        <w:gridCol w:w="1943"/>
        <w:gridCol w:w="5616"/>
        <w:gridCol w:w="2881"/>
      </w:tblGrid>
      <w:tr w:rsidR="00D51958" w14:paraId="4948689C" w14:textId="77777777" w:rsidTr="00455A12">
        <w:tc>
          <w:tcPr>
            <w:tcW w:w="1943" w:type="dxa"/>
          </w:tcPr>
          <w:p w14:paraId="6752BB64" w14:textId="77777777" w:rsidR="00D51958" w:rsidRDefault="00D51958" w:rsidP="00455A12">
            <w:pPr>
              <w:rPr>
                <w:sz w:val="20"/>
                <w:szCs w:val="28"/>
              </w:rPr>
            </w:pPr>
            <w:r>
              <w:rPr>
                <w:b/>
                <w:sz w:val="20"/>
                <w:szCs w:val="28"/>
              </w:rPr>
              <w:t>Concept</w:t>
            </w:r>
          </w:p>
        </w:tc>
        <w:tc>
          <w:tcPr>
            <w:tcW w:w="5616" w:type="dxa"/>
          </w:tcPr>
          <w:p w14:paraId="6BEBD86C" w14:textId="77777777" w:rsidR="00D51958" w:rsidRDefault="00D51958" w:rsidP="00455A12">
            <w:pPr>
              <w:rPr>
                <w:sz w:val="20"/>
                <w:szCs w:val="28"/>
              </w:rPr>
            </w:pPr>
            <w:r>
              <w:rPr>
                <w:b/>
                <w:sz w:val="20"/>
                <w:szCs w:val="28"/>
              </w:rPr>
              <w:t>Keywords / index terms</w:t>
            </w:r>
          </w:p>
        </w:tc>
        <w:tc>
          <w:tcPr>
            <w:tcW w:w="2881" w:type="dxa"/>
          </w:tcPr>
          <w:p w14:paraId="51DA930E" w14:textId="77777777" w:rsidR="00D51958" w:rsidRDefault="00D51958" w:rsidP="00455A12">
            <w:pPr>
              <w:rPr>
                <w:sz w:val="20"/>
                <w:szCs w:val="28"/>
              </w:rPr>
            </w:pPr>
            <w:r>
              <w:rPr>
                <w:b/>
                <w:sz w:val="20"/>
                <w:szCs w:val="28"/>
              </w:rPr>
              <w:t>Role in search</w:t>
            </w:r>
          </w:p>
        </w:tc>
      </w:tr>
      <w:tr w:rsidR="00D51958" w14:paraId="0FDBD875" w14:textId="77777777" w:rsidTr="00455A12">
        <w:tc>
          <w:tcPr>
            <w:tcW w:w="1943" w:type="dxa"/>
          </w:tcPr>
          <w:p w14:paraId="79E2116B" w14:textId="77777777" w:rsidR="00D51958" w:rsidRDefault="00D51958" w:rsidP="00455A12">
            <w:pPr>
              <w:rPr>
                <w:sz w:val="20"/>
                <w:szCs w:val="28"/>
              </w:rPr>
            </w:pPr>
            <w:r>
              <w:rPr>
                <w:sz w:val="20"/>
                <w:szCs w:val="28"/>
              </w:rPr>
              <w:t>Population / condition</w:t>
            </w:r>
          </w:p>
        </w:tc>
        <w:tc>
          <w:tcPr>
            <w:tcW w:w="5616" w:type="dxa"/>
          </w:tcPr>
          <w:p w14:paraId="70C33386" w14:textId="77777777" w:rsidR="00D51958" w:rsidRDefault="00D51958" w:rsidP="00455A12">
            <w:pPr>
              <w:rPr>
                <w:sz w:val="20"/>
                <w:szCs w:val="28"/>
              </w:rPr>
            </w:pPr>
            <w:r>
              <w:rPr>
                <w:sz w:val="20"/>
                <w:szCs w:val="28"/>
              </w:rPr>
              <w:t>rheumatoid arthritis; early inflammatory arthritis; Arthritis, Rheumatoid (MeSH)</w:t>
            </w:r>
          </w:p>
        </w:tc>
        <w:tc>
          <w:tcPr>
            <w:tcW w:w="2881" w:type="dxa"/>
          </w:tcPr>
          <w:p w14:paraId="0B9C8D0D" w14:textId="77777777" w:rsidR="00D51958" w:rsidRDefault="00D51958" w:rsidP="00455A12">
            <w:pPr>
              <w:rPr>
                <w:sz w:val="20"/>
                <w:szCs w:val="28"/>
              </w:rPr>
            </w:pPr>
            <w:r>
              <w:rPr>
                <w:sz w:val="20"/>
                <w:szCs w:val="28"/>
              </w:rPr>
              <w:t>Mandatory RA block</w:t>
            </w:r>
          </w:p>
        </w:tc>
      </w:tr>
      <w:tr w:rsidR="00D51958" w14:paraId="7CF762C2" w14:textId="77777777" w:rsidTr="00455A12">
        <w:tc>
          <w:tcPr>
            <w:tcW w:w="1943" w:type="dxa"/>
          </w:tcPr>
          <w:p w14:paraId="000BC4D8" w14:textId="77777777" w:rsidR="00D51958" w:rsidRDefault="00D51958" w:rsidP="00455A12">
            <w:pPr>
              <w:rPr>
                <w:sz w:val="20"/>
                <w:szCs w:val="28"/>
              </w:rPr>
            </w:pPr>
            <w:r>
              <w:rPr>
                <w:sz w:val="20"/>
                <w:szCs w:val="28"/>
              </w:rPr>
              <w:t>Exposure / timing</w:t>
            </w:r>
          </w:p>
        </w:tc>
        <w:tc>
          <w:tcPr>
            <w:tcW w:w="5616" w:type="dxa"/>
          </w:tcPr>
          <w:p w14:paraId="5E8B38C1" w14:textId="77777777" w:rsidR="00D51958" w:rsidRDefault="00D51958" w:rsidP="00455A12">
            <w:pPr>
              <w:rPr>
                <w:sz w:val="20"/>
                <w:szCs w:val="28"/>
              </w:rPr>
            </w:pPr>
            <w:r>
              <w:rPr>
                <w:sz w:val="20"/>
                <w:szCs w:val="28"/>
              </w:rPr>
              <w:t>early diagnosis; diagnostic delay; referral delay; symptom duration; early treatment; DMARD*; treat-to-target</w:t>
            </w:r>
          </w:p>
        </w:tc>
        <w:tc>
          <w:tcPr>
            <w:tcW w:w="2881" w:type="dxa"/>
          </w:tcPr>
          <w:p w14:paraId="1E0D3D5A" w14:textId="77777777" w:rsidR="00D51958" w:rsidRDefault="00D51958" w:rsidP="00455A12">
            <w:pPr>
              <w:rPr>
                <w:sz w:val="20"/>
                <w:szCs w:val="28"/>
              </w:rPr>
            </w:pPr>
            <w:r>
              <w:rPr>
                <w:sz w:val="20"/>
                <w:szCs w:val="28"/>
              </w:rPr>
              <w:t>Mandatory timing/treatment block</w:t>
            </w:r>
          </w:p>
        </w:tc>
      </w:tr>
      <w:tr w:rsidR="00D51958" w14:paraId="339D52A2" w14:textId="77777777" w:rsidTr="00455A12">
        <w:tc>
          <w:tcPr>
            <w:tcW w:w="1943" w:type="dxa"/>
          </w:tcPr>
          <w:p w14:paraId="3994AE1A" w14:textId="77777777" w:rsidR="00D51958" w:rsidRDefault="00D51958" w:rsidP="00455A12">
            <w:pPr>
              <w:rPr>
                <w:sz w:val="20"/>
                <w:szCs w:val="28"/>
              </w:rPr>
            </w:pPr>
            <w:r>
              <w:rPr>
                <w:sz w:val="20"/>
                <w:szCs w:val="28"/>
              </w:rPr>
              <w:t>Comparator</w:t>
            </w:r>
          </w:p>
        </w:tc>
        <w:tc>
          <w:tcPr>
            <w:tcW w:w="5616" w:type="dxa"/>
          </w:tcPr>
          <w:p w14:paraId="17E7FE94" w14:textId="77777777" w:rsidR="00D51958" w:rsidRDefault="00D51958" w:rsidP="00455A12">
            <w:pPr>
              <w:rPr>
                <w:sz w:val="20"/>
                <w:szCs w:val="28"/>
              </w:rPr>
            </w:pPr>
            <w:r>
              <w:rPr>
                <w:sz w:val="20"/>
                <w:szCs w:val="28"/>
              </w:rPr>
              <w:t>delayed care; longer symptom duration; usual care</w:t>
            </w:r>
          </w:p>
        </w:tc>
        <w:tc>
          <w:tcPr>
            <w:tcW w:w="2881" w:type="dxa"/>
          </w:tcPr>
          <w:p w14:paraId="3A1E3328" w14:textId="77777777" w:rsidR="00D51958" w:rsidRDefault="00D51958" w:rsidP="00455A12">
            <w:pPr>
              <w:rPr>
                <w:sz w:val="20"/>
                <w:szCs w:val="28"/>
              </w:rPr>
            </w:pPr>
            <w:r>
              <w:rPr>
                <w:sz w:val="20"/>
                <w:szCs w:val="28"/>
              </w:rPr>
              <w:t>Screening/extraction only</w:t>
            </w:r>
          </w:p>
        </w:tc>
      </w:tr>
      <w:tr w:rsidR="00D51958" w14:paraId="31BF5F87" w14:textId="77777777" w:rsidTr="00455A12">
        <w:tc>
          <w:tcPr>
            <w:tcW w:w="1943" w:type="dxa"/>
          </w:tcPr>
          <w:p w14:paraId="3577E72C" w14:textId="77777777" w:rsidR="00D51958" w:rsidRDefault="00D51958" w:rsidP="00455A12">
            <w:pPr>
              <w:rPr>
                <w:sz w:val="20"/>
                <w:szCs w:val="28"/>
              </w:rPr>
            </w:pPr>
            <w:r>
              <w:rPr>
                <w:sz w:val="20"/>
                <w:szCs w:val="28"/>
              </w:rPr>
              <w:lastRenderedPageBreak/>
              <w:t>Outcomes</w:t>
            </w:r>
          </w:p>
        </w:tc>
        <w:tc>
          <w:tcPr>
            <w:tcW w:w="5616" w:type="dxa"/>
          </w:tcPr>
          <w:p w14:paraId="53EC400D" w14:textId="77777777" w:rsidR="00D51958" w:rsidRDefault="00D51958" w:rsidP="00455A12">
            <w:pPr>
              <w:rPr>
                <w:sz w:val="20"/>
                <w:szCs w:val="28"/>
              </w:rPr>
            </w:pPr>
            <w:r>
              <w:rPr>
                <w:sz w:val="20"/>
                <w:szCs w:val="28"/>
              </w:rPr>
              <w:t>DAS28; remission; disability; HAQ; QoL; EQ-5D; pain; fatigue; employment</w:t>
            </w:r>
          </w:p>
        </w:tc>
        <w:tc>
          <w:tcPr>
            <w:tcW w:w="2881" w:type="dxa"/>
          </w:tcPr>
          <w:p w14:paraId="29620DFD" w14:textId="77777777" w:rsidR="00D51958" w:rsidRDefault="00D51958" w:rsidP="00455A12">
            <w:pPr>
              <w:rPr>
                <w:sz w:val="20"/>
                <w:szCs w:val="28"/>
              </w:rPr>
            </w:pPr>
            <w:r>
              <w:rPr>
                <w:sz w:val="20"/>
                <w:szCs w:val="28"/>
              </w:rPr>
              <w:t>Supplementary outcome terms</w:t>
            </w:r>
          </w:p>
        </w:tc>
      </w:tr>
      <w:tr w:rsidR="00D51958" w14:paraId="27D24D8B" w14:textId="77777777" w:rsidTr="00455A12">
        <w:tc>
          <w:tcPr>
            <w:tcW w:w="1943" w:type="dxa"/>
          </w:tcPr>
          <w:p w14:paraId="15C095DD" w14:textId="77777777" w:rsidR="00D51958" w:rsidRDefault="00D51958" w:rsidP="00455A12">
            <w:pPr>
              <w:rPr>
                <w:sz w:val="20"/>
                <w:szCs w:val="28"/>
              </w:rPr>
            </w:pPr>
            <w:r>
              <w:rPr>
                <w:sz w:val="20"/>
                <w:szCs w:val="28"/>
              </w:rPr>
              <w:t>Setting</w:t>
            </w:r>
          </w:p>
        </w:tc>
        <w:tc>
          <w:tcPr>
            <w:tcW w:w="5616" w:type="dxa"/>
          </w:tcPr>
          <w:p w14:paraId="1841EE45" w14:textId="77777777" w:rsidR="00D51958" w:rsidRDefault="00D51958" w:rsidP="00455A12">
            <w:pPr>
              <w:rPr>
                <w:sz w:val="20"/>
                <w:szCs w:val="28"/>
              </w:rPr>
            </w:pPr>
            <w:r>
              <w:rPr>
                <w:sz w:val="20"/>
                <w:szCs w:val="28"/>
              </w:rPr>
              <w:t>UK; England; Wales; Scotland; Northern Ireland; NHS</w:t>
            </w:r>
          </w:p>
        </w:tc>
        <w:tc>
          <w:tcPr>
            <w:tcW w:w="2881" w:type="dxa"/>
          </w:tcPr>
          <w:p w14:paraId="345E7C46" w14:textId="77777777" w:rsidR="00D51958" w:rsidRDefault="00D51958" w:rsidP="00455A12">
            <w:pPr>
              <w:rPr>
                <w:sz w:val="20"/>
                <w:szCs w:val="28"/>
              </w:rPr>
            </w:pPr>
            <w:r>
              <w:rPr>
                <w:sz w:val="20"/>
                <w:szCs w:val="28"/>
              </w:rPr>
              <w:t>Mandatory UK block</w:t>
            </w:r>
          </w:p>
        </w:tc>
      </w:tr>
      <w:tr w:rsidR="00D51958" w14:paraId="49F4242C" w14:textId="77777777" w:rsidTr="00455A12">
        <w:tc>
          <w:tcPr>
            <w:tcW w:w="1943" w:type="dxa"/>
          </w:tcPr>
          <w:p w14:paraId="49F5853E" w14:textId="77777777" w:rsidR="00D51958" w:rsidRDefault="00D51958" w:rsidP="00455A12">
            <w:pPr>
              <w:rPr>
                <w:sz w:val="20"/>
                <w:szCs w:val="28"/>
              </w:rPr>
            </w:pPr>
            <w:r>
              <w:rPr>
                <w:sz w:val="20"/>
                <w:szCs w:val="28"/>
              </w:rPr>
              <w:t>Framework context</w:t>
            </w:r>
          </w:p>
        </w:tc>
        <w:tc>
          <w:tcPr>
            <w:tcW w:w="5616" w:type="dxa"/>
          </w:tcPr>
          <w:p w14:paraId="6B057AC1" w14:textId="77777777" w:rsidR="00D51958" w:rsidRDefault="00D51958" w:rsidP="00455A12">
            <w:pPr>
              <w:rPr>
                <w:sz w:val="20"/>
                <w:szCs w:val="28"/>
              </w:rPr>
            </w:pPr>
            <w:r>
              <w:rPr>
                <w:sz w:val="20"/>
                <w:szCs w:val="28"/>
              </w:rPr>
              <w:t>access; referral; inequality; service capacity; monitoring; socioeconomic*</w:t>
            </w:r>
          </w:p>
        </w:tc>
        <w:tc>
          <w:tcPr>
            <w:tcW w:w="2881" w:type="dxa"/>
          </w:tcPr>
          <w:p w14:paraId="4C433925" w14:textId="77777777" w:rsidR="00D51958" w:rsidRDefault="00D51958" w:rsidP="00455A12">
            <w:pPr>
              <w:rPr>
                <w:sz w:val="20"/>
                <w:szCs w:val="28"/>
              </w:rPr>
            </w:pPr>
            <w:r>
              <w:rPr>
                <w:sz w:val="20"/>
                <w:szCs w:val="28"/>
              </w:rPr>
              <w:t>Supplementary contextual terms</w:t>
            </w:r>
          </w:p>
        </w:tc>
      </w:tr>
    </w:tbl>
    <w:p w14:paraId="361C7CC2" w14:textId="77777777" w:rsidR="00D51958" w:rsidRDefault="00D51958" w:rsidP="008907E1">
      <w:pPr>
        <w:pStyle w:val="Heading3"/>
      </w:pPr>
      <w:bookmarkStart w:id="98" w:name="_Toc238658214"/>
      <w:bookmarkStart w:id="99" w:name="_Toc238659157"/>
      <w:bookmarkStart w:id="100" w:name="_Toc238661343"/>
      <w:bookmarkStart w:id="101" w:name="_Toc240922856"/>
      <w:r>
        <w:t>3.2.2 Databases</w:t>
      </w:r>
      <w:bookmarkEnd w:id="98"/>
      <w:bookmarkEnd w:id="99"/>
      <w:bookmarkEnd w:id="100"/>
      <w:bookmarkEnd w:id="101"/>
    </w:p>
    <w:p w14:paraId="7DEAF0F8" w14:textId="77777777" w:rsidR="00D51958" w:rsidRDefault="00D51958" w:rsidP="00D51958">
      <w:pPr>
        <w:spacing w:after="120"/>
      </w:pPr>
      <w:r>
        <w:t xml:space="preserve">The following databases were searched: MEDLINE (PubMed), CINAHL Complete, Embase, Scopus, Web of Science Core Collection and Cochrane Library/CENTRAL databases. Biomedical evidence was covered by MEDLINE and Embase, nursing/service literature by CINAHL, intervention studies by CENTRAL and multidisciplinary by Scopus and Web of Science. </w:t>
      </w:r>
      <w:r w:rsidRPr="00A50072">
        <w:t>No single database was assumed to provide complete coverage.</w:t>
      </w:r>
      <w:r>
        <w:t xml:space="preserve"> Google Scholar is a less reproducible systematic-search database that can be used for citation checking (Gusenbauer and Haddaway, 2020), but it was not considered a primary systematic-search database.</w:t>
      </w:r>
    </w:p>
    <w:p w14:paraId="392B59C6" w14:textId="322CAC44" w:rsidR="00D51958" w:rsidRDefault="00F55B4C" w:rsidP="00D51958">
      <w:pPr>
        <w:spacing w:after="120"/>
      </w:pPr>
      <w:r w:rsidRPr="00F55B4C">
        <w:t>All six searches were conducted between 1 and 14 August 2026</w:t>
      </w:r>
      <w:r w:rsidR="00D51958">
        <w:t xml:space="preserve"> and with the same publication period and English-language restrictions. They were able to identify 330 records: MEDLINE 78, CINAHL 42, Embase 67, Scopus 54, Web of Science 51 and CENTRAL 38. Database, platform, date, limits, search string and yield were documented as per PRISMA-S (Rethlefsen et al., 2021).</w:t>
      </w:r>
    </w:p>
    <w:p w14:paraId="4F1FC830" w14:textId="77777777" w:rsidR="00D51958" w:rsidRDefault="00D51958" w:rsidP="00D51958">
      <w:pPr>
        <w:keepNext/>
        <w:spacing w:before="120" w:after="80"/>
        <w:rPr>
          <w:bCs/>
          <w:szCs w:val="24"/>
        </w:rPr>
      </w:pPr>
      <w:r>
        <w:rPr>
          <w:bCs/>
          <w:szCs w:val="24"/>
        </w:rPr>
        <w:t>Table 3.2: Summary of Database Searches and Records Identified</w:t>
      </w:r>
    </w:p>
    <w:tbl>
      <w:tblPr>
        <w:tblStyle w:val="TableGrid"/>
        <w:tblW w:w="0" w:type="auto"/>
        <w:tblLook w:val="04A0" w:firstRow="1" w:lastRow="0" w:firstColumn="1" w:lastColumn="0" w:noHBand="0" w:noVBand="1"/>
      </w:tblPr>
      <w:tblGrid>
        <w:gridCol w:w="2466"/>
        <w:gridCol w:w="4122"/>
        <w:gridCol w:w="1891"/>
        <w:gridCol w:w="1097"/>
      </w:tblGrid>
      <w:tr w:rsidR="004139B5" w:rsidRPr="004139B5" w14:paraId="2B83C276" w14:textId="77777777" w:rsidTr="004139B5">
        <w:tc>
          <w:tcPr>
            <w:tcW w:w="0" w:type="auto"/>
            <w:hideMark/>
          </w:tcPr>
          <w:p w14:paraId="7520772C" w14:textId="77777777" w:rsidR="004139B5" w:rsidRPr="004139B5" w:rsidRDefault="004139B5" w:rsidP="004139B5">
            <w:pPr>
              <w:rPr>
                <w:b/>
                <w:bCs/>
              </w:rPr>
            </w:pPr>
            <w:r w:rsidRPr="004139B5">
              <w:rPr>
                <w:b/>
                <w:bCs/>
              </w:rPr>
              <w:t>Database / platform</w:t>
            </w:r>
          </w:p>
        </w:tc>
        <w:tc>
          <w:tcPr>
            <w:tcW w:w="4122" w:type="dxa"/>
            <w:hideMark/>
          </w:tcPr>
          <w:p w14:paraId="7988D222" w14:textId="77777777" w:rsidR="004139B5" w:rsidRPr="004139B5" w:rsidRDefault="004139B5" w:rsidP="004139B5">
            <w:pPr>
              <w:rPr>
                <w:b/>
                <w:bCs/>
              </w:rPr>
            </w:pPr>
            <w:r w:rsidRPr="004139B5">
              <w:rPr>
                <w:b/>
                <w:bCs/>
              </w:rPr>
              <w:t>Short search strategy</w:t>
            </w:r>
          </w:p>
        </w:tc>
        <w:tc>
          <w:tcPr>
            <w:tcW w:w="1891" w:type="dxa"/>
            <w:hideMark/>
          </w:tcPr>
          <w:p w14:paraId="10F26BFF" w14:textId="77777777" w:rsidR="004139B5" w:rsidRPr="004139B5" w:rsidRDefault="004139B5" w:rsidP="004139B5">
            <w:pPr>
              <w:rPr>
                <w:b/>
                <w:bCs/>
              </w:rPr>
            </w:pPr>
            <w:r w:rsidRPr="004139B5">
              <w:rPr>
                <w:b/>
                <w:bCs/>
              </w:rPr>
              <w:t>Search date</w:t>
            </w:r>
          </w:p>
        </w:tc>
        <w:tc>
          <w:tcPr>
            <w:tcW w:w="0" w:type="auto"/>
            <w:hideMark/>
          </w:tcPr>
          <w:p w14:paraId="3F25E30A" w14:textId="77777777" w:rsidR="004139B5" w:rsidRPr="004139B5" w:rsidRDefault="004139B5" w:rsidP="004139B5">
            <w:pPr>
              <w:rPr>
                <w:b/>
                <w:bCs/>
              </w:rPr>
            </w:pPr>
            <w:r w:rsidRPr="004139B5">
              <w:rPr>
                <w:b/>
                <w:bCs/>
              </w:rPr>
              <w:t>Records</w:t>
            </w:r>
          </w:p>
        </w:tc>
      </w:tr>
      <w:tr w:rsidR="004139B5" w:rsidRPr="004139B5" w14:paraId="5894C54D" w14:textId="77777777" w:rsidTr="004139B5">
        <w:tc>
          <w:tcPr>
            <w:tcW w:w="0" w:type="auto"/>
            <w:hideMark/>
          </w:tcPr>
          <w:p w14:paraId="78C7FBCF" w14:textId="77777777" w:rsidR="004139B5" w:rsidRPr="004139B5" w:rsidRDefault="004139B5" w:rsidP="004139B5">
            <w:r w:rsidRPr="004139B5">
              <w:t>MEDLINE via PubMed</w:t>
            </w:r>
          </w:p>
        </w:tc>
        <w:tc>
          <w:tcPr>
            <w:tcW w:w="4122" w:type="dxa"/>
            <w:hideMark/>
          </w:tcPr>
          <w:p w14:paraId="2B143753" w14:textId="77777777" w:rsidR="004139B5" w:rsidRPr="004139B5" w:rsidRDefault="004139B5" w:rsidP="004139B5">
            <w:r w:rsidRPr="004139B5">
              <w:t>RA + early diagnosis/treatment + UK; 2021–2026; English</w:t>
            </w:r>
          </w:p>
        </w:tc>
        <w:tc>
          <w:tcPr>
            <w:tcW w:w="1891" w:type="dxa"/>
            <w:hideMark/>
          </w:tcPr>
          <w:p w14:paraId="419B4032" w14:textId="77777777" w:rsidR="004139B5" w:rsidRPr="004139B5" w:rsidRDefault="004139B5" w:rsidP="004139B5">
            <w:r w:rsidRPr="004139B5">
              <w:t>9 Aug 2026</w:t>
            </w:r>
          </w:p>
        </w:tc>
        <w:tc>
          <w:tcPr>
            <w:tcW w:w="0" w:type="auto"/>
            <w:hideMark/>
          </w:tcPr>
          <w:p w14:paraId="7BFA9E38" w14:textId="77777777" w:rsidR="004139B5" w:rsidRPr="004139B5" w:rsidRDefault="004139B5" w:rsidP="004139B5">
            <w:r w:rsidRPr="004139B5">
              <w:t>78</w:t>
            </w:r>
          </w:p>
        </w:tc>
      </w:tr>
      <w:tr w:rsidR="004139B5" w:rsidRPr="004139B5" w14:paraId="15AFB468" w14:textId="77777777" w:rsidTr="004139B5">
        <w:tc>
          <w:tcPr>
            <w:tcW w:w="0" w:type="auto"/>
            <w:hideMark/>
          </w:tcPr>
          <w:p w14:paraId="5E61F7A8" w14:textId="77777777" w:rsidR="004139B5" w:rsidRPr="004139B5" w:rsidRDefault="004139B5" w:rsidP="004139B5">
            <w:r w:rsidRPr="004139B5">
              <w:t>CINAHL Complete</w:t>
            </w:r>
          </w:p>
        </w:tc>
        <w:tc>
          <w:tcPr>
            <w:tcW w:w="4122" w:type="dxa"/>
            <w:hideMark/>
          </w:tcPr>
          <w:p w14:paraId="6F66DC51" w14:textId="77777777" w:rsidR="004139B5" w:rsidRPr="004139B5" w:rsidRDefault="004139B5" w:rsidP="004139B5">
            <w:r w:rsidRPr="004139B5">
              <w:t>RA + early diagnosis/treatment + UK; 2021–2026; English</w:t>
            </w:r>
          </w:p>
        </w:tc>
        <w:tc>
          <w:tcPr>
            <w:tcW w:w="1891" w:type="dxa"/>
            <w:hideMark/>
          </w:tcPr>
          <w:p w14:paraId="581F0C08" w14:textId="77777777" w:rsidR="004139B5" w:rsidRPr="004139B5" w:rsidRDefault="004139B5" w:rsidP="004139B5">
            <w:r w:rsidRPr="004139B5">
              <w:t>1 Aug 2026</w:t>
            </w:r>
          </w:p>
        </w:tc>
        <w:tc>
          <w:tcPr>
            <w:tcW w:w="0" w:type="auto"/>
            <w:hideMark/>
          </w:tcPr>
          <w:p w14:paraId="3A1D6B72" w14:textId="77777777" w:rsidR="004139B5" w:rsidRPr="004139B5" w:rsidRDefault="004139B5" w:rsidP="004139B5">
            <w:r w:rsidRPr="004139B5">
              <w:t>42</w:t>
            </w:r>
          </w:p>
        </w:tc>
      </w:tr>
      <w:tr w:rsidR="004139B5" w:rsidRPr="004139B5" w14:paraId="2BF37876" w14:textId="77777777" w:rsidTr="004139B5">
        <w:tc>
          <w:tcPr>
            <w:tcW w:w="0" w:type="auto"/>
            <w:hideMark/>
          </w:tcPr>
          <w:p w14:paraId="10A8B1E8" w14:textId="77777777" w:rsidR="004139B5" w:rsidRPr="004139B5" w:rsidRDefault="004139B5" w:rsidP="004139B5">
            <w:r w:rsidRPr="004139B5">
              <w:t>Embase</w:t>
            </w:r>
          </w:p>
        </w:tc>
        <w:tc>
          <w:tcPr>
            <w:tcW w:w="4122" w:type="dxa"/>
            <w:hideMark/>
          </w:tcPr>
          <w:p w14:paraId="32BDC6A2" w14:textId="77777777" w:rsidR="004139B5" w:rsidRPr="004139B5" w:rsidRDefault="004139B5" w:rsidP="004139B5">
            <w:r w:rsidRPr="004139B5">
              <w:t>RA + early diagnosis/treatment + UK; 2021–2026; English</w:t>
            </w:r>
          </w:p>
        </w:tc>
        <w:tc>
          <w:tcPr>
            <w:tcW w:w="1891" w:type="dxa"/>
            <w:hideMark/>
          </w:tcPr>
          <w:p w14:paraId="3579F4EB" w14:textId="77777777" w:rsidR="004139B5" w:rsidRPr="004139B5" w:rsidRDefault="004139B5" w:rsidP="004139B5">
            <w:r w:rsidRPr="004139B5">
              <w:t>8 Aug 2026</w:t>
            </w:r>
          </w:p>
        </w:tc>
        <w:tc>
          <w:tcPr>
            <w:tcW w:w="0" w:type="auto"/>
            <w:hideMark/>
          </w:tcPr>
          <w:p w14:paraId="22B59A76" w14:textId="77777777" w:rsidR="004139B5" w:rsidRPr="004139B5" w:rsidRDefault="004139B5" w:rsidP="004139B5">
            <w:r w:rsidRPr="004139B5">
              <w:t>67</w:t>
            </w:r>
          </w:p>
        </w:tc>
      </w:tr>
      <w:tr w:rsidR="004139B5" w:rsidRPr="004139B5" w14:paraId="3BEBA361" w14:textId="77777777" w:rsidTr="004139B5">
        <w:tc>
          <w:tcPr>
            <w:tcW w:w="0" w:type="auto"/>
            <w:hideMark/>
          </w:tcPr>
          <w:p w14:paraId="3661074E" w14:textId="77777777" w:rsidR="004139B5" w:rsidRPr="004139B5" w:rsidRDefault="004139B5" w:rsidP="004139B5">
            <w:r w:rsidRPr="004139B5">
              <w:t>Scopus</w:t>
            </w:r>
          </w:p>
        </w:tc>
        <w:tc>
          <w:tcPr>
            <w:tcW w:w="4122" w:type="dxa"/>
            <w:hideMark/>
          </w:tcPr>
          <w:p w14:paraId="43621D44" w14:textId="77777777" w:rsidR="004139B5" w:rsidRPr="004139B5" w:rsidRDefault="004139B5" w:rsidP="004139B5">
            <w:r w:rsidRPr="004139B5">
              <w:t>RA + early diagnosis/treatment + UK; 2021–2026; English</w:t>
            </w:r>
          </w:p>
        </w:tc>
        <w:tc>
          <w:tcPr>
            <w:tcW w:w="1891" w:type="dxa"/>
            <w:hideMark/>
          </w:tcPr>
          <w:p w14:paraId="2609A30E" w14:textId="77777777" w:rsidR="004139B5" w:rsidRPr="004139B5" w:rsidRDefault="004139B5" w:rsidP="004139B5">
            <w:r w:rsidRPr="004139B5">
              <w:t>6 Aug 2026</w:t>
            </w:r>
          </w:p>
        </w:tc>
        <w:tc>
          <w:tcPr>
            <w:tcW w:w="0" w:type="auto"/>
            <w:hideMark/>
          </w:tcPr>
          <w:p w14:paraId="5AC11265" w14:textId="77777777" w:rsidR="004139B5" w:rsidRPr="004139B5" w:rsidRDefault="004139B5" w:rsidP="004139B5">
            <w:r w:rsidRPr="004139B5">
              <w:t>54</w:t>
            </w:r>
          </w:p>
        </w:tc>
      </w:tr>
      <w:tr w:rsidR="004139B5" w:rsidRPr="004139B5" w14:paraId="276DFFE4" w14:textId="77777777" w:rsidTr="004139B5">
        <w:tc>
          <w:tcPr>
            <w:tcW w:w="0" w:type="auto"/>
            <w:hideMark/>
          </w:tcPr>
          <w:p w14:paraId="59E78F49" w14:textId="77777777" w:rsidR="004139B5" w:rsidRPr="004139B5" w:rsidRDefault="004139B5" w:rsidP="004139B5">
            <w:r w:rsidRPr="004139B5">
              <w:t>Web of Science</w:t>
            </w:r>
          </w:p>
        </w:tc>
        <w:tc>
          <w:tcPr>
            <w:tcW w:w="4122" w:type="dxa"/>
            <w:hideMark/>
          </w:tcPr>
          <w:p w14:paraId="2370D590" w14:textId="77777777" w:rsidR="004139B5" w:rsidRPr="004139B5" w:rsidRDefault="004139B5" w:rsidP="004139B5">
            <w:r w:rsidRPr="004139B5">
              <w:t>RA + early diagnosis/treatment + UK; 2021–2026; English</w:t>
            </w:r>
          </w:p>
        </w:tc>
        <w:tc>
          <w:tcPr>
            <w:tcW w:w="1891" w:type="dxa"/>
            <w:hideMark/>
          </w:tcPr>
          <w:p w14:paraId="3ABDBA52" w14:textId="77777777" w:rsidR="004139B5" w:rsidRPr="004139B5" w:rsidRDefault="004139B5" w:rsidP="004139B5">
            <w:r w:rsidRPr="004139B5">
              <w:t>14 Aug 2026</w:t>
            </w:r>
          </w:p>
        </w:tc>
        <w:tc>
          <w:tcPr>
            <w:tcW w:w="0" w:type="auto"/>
            <w:hideMark/>
          </w:tcPr>
          <w:p w14:paraId="1BA1C0CC" w14:textId="77777777" w:rsidR="004139B5" w:rsidRPr="004139B5" w:rsidRDefault="004139B5" w:rsidP="004139B5">
            <w:r w:rsidRPr="004139B5">
              <w:t>51</w:t>
            </w:r>
          </w:p>
        </w:tc>
      </w:tr>
      <w:tr w:rsidR="004139B5" w:rsidRPr="004139B5" w14:paraId="0DE96BFC" w14:textId="77777777" w:rsidTr="004139B5">
        <w:tc>
          <w:tcPr>
            <w:tcW w:w="0" w:type="auto"/>
            <w:hideMark/>
          </w:tcPr>
          <w:p w14:paraId="41FEA6FE" w14:textId="77777777" w:rsidR="004139B5" w:rsidRPr="004139B5" w:rsidRDefault="004139B5" w:rsidP="004139B5">
            <w:r w:rsidRPr="004139B5">
              <w:t xml:space="preserve">Cochrane Library / </w:t>
            </w:r>
            <w:r w:rsidRPr="004139B5">
              <w:lastRenderedPageBreak/>
              <w:t>CENTRAL</w:t>
            </w:r>
          </w:p>
        </w:tc>
        <w:tc>
          <w:tcPr>
            <w:tcW w:w="4122" w:type="dxa"/>
            <w:hideMark/>
          </w:tcPr>
          <w:p w14:paraId="61593DF5" w14:textId="77777777" w:rsidR="004139B5" w:rsidRPr="004139B5" w:rsidRDefault="004139B5" w:rsidP="004139B5">
            <w:r w:rsidRPr="004139B5">
              <w:lastRenderedPageBreak/>
              <w:t xml:space="preserve">RA + early diagnosis/treatment + UK; </w:t>
            </w:r>
            <w:r w:rsidRPr="004139B5">
              <w:lastRenderedPageBreak/>
              <w:t>2021–2026</w:t>
            </w:r>
          </w:p>
        </w:tc>
        <w:tc>
          <w:tcPr>
            <w:tcW w:w="1891" w:type="dxa"/>
            <w:hideMark/>
          </w:tcPr>
          <w:p w14:paraId="37AAB81F" w14:textId="77777777" w:rsidR="004139B5" w:rsidRPr="004139B5" w:rsidRDefault="004139B5" w:rsidP="004139B5">
            <w:r w:rsidRPr="004139B5">
              <w:lastRenderedPageBreak/>
              <w:t>8 Aug 2026</w:t>
            </w:r>
          </w:p>
        </w:tc>
        <w:tc>
          <w:tcPr>
            <w:tcW w:w="0" w:type="auto"/>
            <w:hideMark/>
          </w:tcPr>
          <w:p w14:paraId="2B66481E" w14:textId="77777777" w:rsidR="004139B5" w:rsidRPr="004139B5" w:rsidRDefault="004139B5" w:rsidP="004139B5">
            <w:r w:rsidRPr="004139B5">
              <w:t>38</w:t>
            </w:r>
          </w:p>
        </w:tc>
      </w:tr>
      <w:tr w:rsidR="004139B5" w:rsidRPr="004139B5" w14:paraId="5FE28B0B" w14:textId="77777777" w:rsidTr="004139B5">
        <w:tc>
          <w:tcPr>
            <w:tcW w:w="0" w:type="auto"/>
            <w:hideMark/>
          </w:tcPr>
          <w:p w14:paraId="4EE06828" w14:textId="77777777" w:rsidR="004139B5" w:rsidRPr="004139B5" w:rsidRDefault="004139B5" w:rsidP="004139B5">
            <w:r w:rsidRPr="004139B5">
              <w:t>Total</w:t>
            </w:r>
          </w:p>
        </w:tc>
        <w:tc>
          <w:tcPr>
            <w:tcW w:w="4122" w:type="dxa"/>
            <w:hideMark/>
          </w:tcPr>
          <w:p w14:paraId="1208968F" w14:textId="77777777" w:rsidR="004139B5" w:rsidRPr="004139B5" w:rsidRDefault="004139B5" w:rsidP="004139B5">
            <w:r w:rsidRPr="004139B5">
              <w:t>All six database searches combined</w:t>
            </w:r>
          </w:p>
        </w:tc>
        <w:tc>
          <w:tcPr>
            <w:tcW w:w="1891" w:type="dxa"/>
            <w:hideMark/>
          </w:tcPr>
          <w:p w14:paraId="6E849F1F" w14:textId="77777777" w:rsidR="004139B5" w:rsidRPr="004139B5" w:rsidRDefault="004139B5" w:rsidP="004139B5">
            <w:r w:rsidRPr="004139B5">
              <w:t>1–14 Aug 2026</w:t>
            </w:r>
          </w:p>
        </w:tc>
        <w:tc>
          <w:tcPr>
            <w:tcW w:w="0" w:type="auto"/>
            <w:hideMark/>
          </w:tcPr>
          <w:p w14:paraId="70D96AC9" w14:textId="77777777" w:rsidR="004139B5" w:rsidRPr="004139B5" w:rsidRDefault="004139B5" w:rsidP="004139B5">
            <w:r w:rsidRPr="004139B5">
              <w:t>330</w:t>
            </w:r>
          </w:p>
        </w:tc>
      </w:tr>
    </w:tbl>
    <w:p w14:paraId="0D0FB13D" w14:textId="77777777" w:rsidR="004139B5" w:rsidRDefault="004139B5" w:rsidP="00D51958">
      <w:pPr>
        <w:keepNext/>
        <w:spacing w:before="120" w:after="80"/>
        <w:rPr>
          <w:bCs/>
          <w:sz w:val="28"/>
          <w:szCs w:val="24"/>
        </w:rPr>
      </w:pPr>
    </w:p>
    <w:p w14:paraId="045616CB" w14:textId="77777777" w:rsidR="00D51958" w:rsidRDefault="00D51958" w:rsidP="00C662DF">
      <w:pPr>
        <w:pStyle w:val="Heading2"/>
      </w:pPr>
      <w:bookmarkStart w:id="102" w:name="_Toc238658215"/>
      <w:bookmarkStart w:id="103" w:name="_Toc238659158"/>
      <w:bookmarkStart w:id="104" w:name="_Toc238661344"/>
      <w:bookmarkStart w:id="105" w:name="_Toc240922857"/>
      <w:r>
        <w:t>3.3 Screening Process</w:t>
      </w:r>
      <w:bookmarkEnd w:id="102"/>
      <w:bookmarkEnd w:id="103"/>
      <w:bookmarkEnd w:id="104"/>
      <w:bookmarkEnd w:id="105"/>
    </w:p>
    <w:p w14:paraId="75B5247D" w14:textId="77777777" w:rsidR="00D51958" w:rsidRDefault="00D51958" w:rsidP="00D51958">
      <w:pPr>
        <w:spacing w:after="120"/>
      </w:pPr>
      <w:r>
        <w:t xml:space="preserve">All 330 were </w:t>
      </w:r>
      <w:r w:rsidRPr="00A50072">
        <w:t>entered into a reference-management library and checked for duplicates using</w:t>
      </w:r>
      <w:r>
        <w:t xml:space="preserve"> title, author, year and DOI. Manual verification was used in addition to electronic matching because there are differences in the data which can be recorded in a database that cannot be matched automatically (Bramer et al., 2016). The log of decisions for the remaining records was a structured screening log, and all decisions were traceable.</w:t>
      </w:r>
    </w:p>
    <w:p w14:paraId="4145B8D6" w14:textId="77777777" w:rsidR="00D51958" w:rsidRDefault="00D51958" w:rsidP="00D51958">
      <w:pPr>
        <w:spacing w:after="120"/>
      </w:pPr>
      <w:r>
        <w:t xml:space="preserve">All screening took place in three phases. Titles eliminated effectively irrelevant documents. Abstracts were evaluated with respect to the eligibility criteria, and </w:t>
      </w:r>
      <w:r w:rsidRPr="0035344E">
        <w:t>records with uncertain eligibility were retained</w:t>
      </w:r>
      <w:r>
        <w:t>. All full texts were then assessed against all criteria, and one main exclusion criterion was noted: wrong population, no timing exposure, no eligible outcome, unusable non-UK evidence or ineligible publication type. This was in accordance with the principles in PRISMA 2020 (Page et al., 2021a).</w:t>
      </w:r>
    </w:p>
    <w:p w14:paraId="2AD0B319" w14:textId="773B4A11" w:rsidR="00D51958" w:rsidRDefault="00D51958" w:rsidP="00D51958">
      <w:pPr>
        <w:spacing w:after="120"/>
      </w:pPr>
      <w:r>
        <w:t xml:space="preserve">One reviewer had completed the screening as this was an individual MSc dissertation. There were several measures taken to make it more consistent: eligibility criteria were detailed before full-text selection, </w:t>
      </w:r>
      <w:r w:rsidRPr="0035344E">
        <w:t>a small sample was piloted before full screening</w:t>
      </w:r>
      <w:r>
        <w:t xml:space="preserve">, some borderline cases were re-evaluated based on the research question and objectives, and a decision log was kept. </w:t>
      </w:r>
    </w:p>
    <w:p w14:paraId="23739941" w14:textId="77777777" w:rsidR="00D51958" w:rsidRDefault="00D51958" w:rsidP="008907E1">
      <w:pPr>
        <w:pStyle w:val="Heading3"/>
      </w:pPr>
      <w:bookmarkStart w:id="106" w:name="_Toc238658216"/>
      <w:bookmarkStart w:id="107" w:name="_Toc238659159"/>
      <w:bookmarkStart w:id="108" w:name="_Toc238661345"/>
      <w:bookmarkStart w:id="109" w:name="_Toc240922858"/>
      <w:r>
        <w:t>3.3.1 Inclusion and Exclusion Criteria</w:t>
      </w:r>
      <w:bookmarkEnd w:id="106"/>
      <w:bookmarkEnd w:id="107"/>
      <w:bookmarkEnd w:id="108"/>
      <w:bookmarkEnd w:id="109"/>
    </w:p>
    <w:p w14:paraId="24CB1DEB" w14:textId="689218DE" w:rsidR="00D51958" w:rsidRDefault="00D51958" w:rsidP="00D51958">
      <w:pPr>
        <w:spacing w:after="120"/>
      </w:pPr>
      <w:r>
        <w:t xml:space="preserve">Eligibility criteria based on a modified PICOS framework: Population, Intervention/exposure, Comparator, Outcomes, Setting and Design. The main population consisted of adults (18 years of age or older) diagnosed with rheumatoid arthritis. Two studies were not part of this population: Cope et al. (2024) included adults who were at high risk of RA, and Simons et al. (2022) included community pharmacy staff. The only contextual evidence included was: Cope et al. for very-early-intervention </w:t>
      </w:r>
      <w:r w:rsidR="00B25523" w:rsidRPr="00B25523">
        <w:t>before developing RA</w:t>
      </w:r>
      <w:r>
        <w:t xml:space="preserve">; Simons et al. for symptom recognition, help-seeking and referral delay. </w:t>
      </w:r>
      <w:r w:rsidRPr="007B0106">
        <w:t>Neither was treated as direct treatment-effect evidenc</w:t>
      </w:r>
      <w:r>
        <w:t>e for diagnosed RA, but were not considered as direct evidence.</w:t>
      </w:r>
    </w:p>
    <w:p w14:paraId="1F4788E7" w14:textId="77777777" w:rsidR="00D51958" w:rsidRDefault="00D51958" w:rsidP="00D51958">
      <w:pPr>
        <w:spacing w:after="120"/>
      </w:pPr>
      <w:r>
        <w:t xml:space="preserve">Studies that described inflammatory arthritis at an early stage were eligible only if an explicit representation of RA was made and evidence could be interpreted appropriately for the RA pathway. The results were not specific to RA, but if they were not separable, they were listed as </w:t>
      </w:r>
      <w:r>
        <w:lastRenderedPageBreak/>
        <w:t xml:space="preserve">mixed inflammatory-arthritis results. </w:t>
      </w:r>
      <w:r w:rsidRPr="007B0106">
        <w:t>This distinction was maintained</w:t>
      </w:r>
      <w:r>
        <w:t xml:space="preserve"> in the extraction or synthesis.</w:t>
      </w:r>
    </w:p>
    <w:p w14:paraId="165BD92B" w14:textId="77777777" w:rsidR="00D51958" w:rsidRDefault="00D51958" w:rsidP="00D51958">
      <w:pPr>
        <w:spacing w:after="120"/>
      </w:pPr>
      <w:r>
        <w:t xml:space="preserve">Eligible exposures were time from symptom recognition, time to referral, specialist evaluation, diagnosis, start of DMARD, escalation of DMARD, and "treat to target" care. Core studies were required to report on at least one clinical or patient-centred outcome such as disease activity/DAS28, remission, disability/HAQ, frailty, hospitalisation, quality of life, pain, fatigue, psychological wellbeing, employment or social participation. Only the contextual studies were retained where relevant to an early care pathway objective and where the study was </w:t>
      </w:r>
      <w:r w:rsidRPr="00304F6B">
        <w:t>not used to infer causality without an appropriate exposure</w:t>
      </w:r>
      <w:r>
        <w:t>-</w:t>
      </w:r>
      <w:r w:rsidRPr="00304F6B">
        <w:t>outcome relationship</w:t>
      </w:r>
      <w:r>
        <w:t>.</w:t>
      </w:r>
    </w:p>
    <w:p w14:paraId="5CA6F287" w14:textId="77777777" w:rsidR="00D51958" w:rsidRDefault="00D51958" w:rsidP="00D51958">
      <w:pPr>
        <w:spacing w:after="120"/>
      </w:pPr>
      <w:r>
        <w:t>The criteria for inclusion were peer-reviewed primary empirical research published in English, between 1 January 2021 and 3 August 2026. Priority was given to studies conducted in the UK; studies with a multinational design were accepted when UK data could be separated or, if not, when they were relevant, or UK data were pulled out and were a major part of the study. Reviews, guidelines, editorials, protocols, case reports, conference abstracts and commentaries were excluded from synthesis but may be included to aid citation searching or provide context to the methodological process. Enough methods and outcomes for appraisal and extraction were provided for the full text.</w:t>
      </w:r>
    </w:p>
    <w:p w14:paraId="0BB30FD2" w14:textId="77777777" w:rsidR="00D51958" w:rsidRPr="0063535C" w:rsidRDefault="00D51958" w:rsidP="00D51958">
      <w:pPr>
        <w:keepNext/>
        <w:spacing w:before="120" w:after="80"/>
        <w:rPr>
          <w:bCs/>
          <w:sz w:val="32"/>
          <w:szCs w:val="28"/>
        </w:rPr>
      </w:pPr>
      <w:r w:rsidRPr="0063535C">
        <w:rPr>
          <w:bCs/>
          <w:szCs w:val="28"/>
        </w:rPr>
        <w:t>Table 3.3: Inclusion and Exclusion Criteria</w:t>
      </w:r>
    </w:p>
    <w:tbl>
      <w:tblPr>
        <w:tblStyle w:val="TableGrid"/>
        <w:tblW w:w="10368" w:type="dxa"/>
        <w:tblLayout w:type="fixed"/>
        <w:tblLook w:val="04A0" w:firstRow="1" w:lastRow="0" w:firstColumn="1" w:lastColumn="0" w:noHBand="0" w:noVBand="1"/>
      </w:tblPr>
      <w:tblGrid>
        <w:gridCol w:w="1728"/>
        <w:gridCol w:w="5184"/>
        <w:gridCol w:w="3456"/>
      </w:tblGrid>
      <w:tr w:rsidR="00D51958" w14:paraId="09445479" w14:textId="77777777" w:rsidTr="00455A12">
        <w:tc>
          <w:tcPr>
            <w:tcW w:w="1728" w:type="dxa"/>
          </w:tcPr>
          <w:p w14:paraId="6F72988B" w14:textId="77777777" w:rsidR="00D51958" w:rsidRDefault="00D51958" w:rsidP="00455A12">
            <w:pPr>
              <w:rPr>
                <w:sz w:val="20"/>
                <w:szCs w:val="28"/>
              </w:rPr>
            </w:pPr>
            <w:r>
              <w:rPr>
                <w:b/>
                <w:sz w:val="20"/>
                <w:szCs w:val="28"/>
              </w:rPr>
              <w:t>Domain</w:t>
            </w:r>
          </w:p>
        </w:tc>
        <w:tc>
          <w:tcPr>
            <w:tcW w:w="5184" w:type="dxa"/>
          </w:tcPr>
          <w:p w14:paraId="1A53019D" w14:textId="77777777" w:rsidR="00D51958" w:rsidRDefault="00D51958" w:rsidP="00455A12">
            <w:pPr>
              <w:rPr>
                <w:sz w:val="20"/>
                <w:szCs w:val="28"/>
              </w:rPr>
            </w:pPr>
            <w:r>
              <w:rPr>
                <w:b/>
                <w:sz w:val="20"/>
                <w:szCs w:val="28"/>
              </w:rPr>
              <w:t>Inclusion criteria</w:t>
            </w:r>
          </w:p>
        </w:tc>
        <w:tc>
          <w:tcPr>
            <w:tcW w:w="3456" w:type="dxa"/>
          </w:tcPr>
          <w:p w14:paraId="7D7193E9" w14:textId="77777777" w:rsidR="00D51958" w:rsidRDefault="00D51958" w:rsidP="00455A12">
            <w:pPr>
              <w:rPr>
                <w:sz w:val="20"/>
                <w:szCs w:val="28"/>
              </w:rPr>
            </w:pPr>
            <w:r>
              <w:rPr>
                <w:b/>
                <w:sz w:val="20"/>
                <w:szCs w:val="28"/>
              </w:rPr>
              <w:t>Exclusion criteria</w:t>
            </w:r>
          </w:p>
        </w:tc>
      </w:tr>
      <w:tr w:rsidR="00D51958" w14:paraId="1C3F8241" w14:textId="77777777" w:rsidTr="00455A12">
        <w:tc>
          <w:tcPr>
            <w:tcW w:w="1728" w:type="dxa"/>
          </w:tcPr>
          <w:p w14:paraId="1D695F21" w14:textId="77777777" w:rsidR="00D51958" w:rsidRDefault="00D51958" w:rsidP="00455A12">
            <w:pPr>
              <w:rPr>
                <w:sz w:val="20"/>
                <w:szCs w:val="28"/>
              </w:rPr>
            </w:pPr>
            <w:r>
              <w:rPr>
                <w:sz w:val="20"/>
                <w:szCs w:val="28"/>
              </w:rPr>
              <w:t>Population</w:t>
            </w:r>
          </w:p>
        </w:tc>
        <w:tc>
          <w:tcPr>
            <w:tcW w:w="5184" w:type="dxa"/>
          </w:tcPr>
          <w:p w14:paraId="6E733F2A" w14:textId="77777777" w:rsidR="00D51958" w:rsidRDefault="00D51958" w:rsidP="00455A12">
            <w:pPr>
              <w:rPr>
                <w:sz w:val="20"/>
                <w:szCs w:val="28"/>
              </w:rPr>
            </w:pPr>
            <w:r>
              <w:rPr>
                <w:sz w:val="20"/>
                <w:szCs w:val="28"/>
              </w:rPr>
              <w:t>Adults ≥18 with diagnosed RA; selected pre-RA/high-risk or healthcare-professional studies only where directly relevant to early RA pathway objectives</w:t>
            </w:r>
          </w:p>
        </w:tc>
        <w:tc>
          <w:tcPr>
            <w:tcW w:w="3456" w:type="dxa"/>
          </w:tcPr>
          <w:p w14:paraId="564B27B7" w14:textId="77777777" w:rsidR="00D51958" w:rsidRDefault="00D51958" w:rsidP="00455A12">
            <w:pPr>
              <w:rPr>
                <w:sz w:val="20"/>
                <w:szCs w:val="28"/>
              </w:rPr>
            </w:pPr>
            <w:r>
              <w:rPr>
                <w:sz w:val="20"/>
                <w:szCs w:val="28"/>
              </w:rPr>
              <w:t>Children; non-RA populations with no direct relevance to RA pathway</w:t>
            </w:r>
          </w:p>
        </w:tc>
      </w:tr>
      <w:tr w:rsidR="00D51958" w14:paraId="13F5F20A" w14:textId="77777777" w:rsidTr="00455A12">
        <w:tc>
          <w:tcPr>
            <w:tcW w:w="1728" w:type="dxa"/>
          </w:tcPr>
          <w:p w14:paraId="4B74CB3C" w14:textId="77777777" w:rsidR="00D51958" w:rsidRDefault="00D51958" w:rsidP="00455A12">
            <w:pPr>
              <w:rPr>
                <w:sz w:val="20"/>
                <w:szCs w:val="28"/>
              </w:rPr>
            </w:pPr>
            <w:r>
              <w:rPr>
                <w:sz w:val="20"/>
                <w:szCs w:val="28"/>
              </w:rPr>
              <w:t>Condition</w:t>
            </w:r>
          </w:p>
        </w:tc>
        <w:tc>
          <w:tcPr>
            <w:tcW w:w="5184" w:type="dxa"/>
          </w:tcPr>
          <w:p w14:paraId="5AA58B8C" w14:textId="77777777" w:rsidR="00D51958" w:rsidRDefault="00D51958" w:rsidP="00455A12">
            <w:pPr>
              <w:rPr>
                <w:sz w:val="20"/>
                <w:szCs w:val="28"/>
              </w:rPr>
            </w:pPr>
            <w:r>
              <w:rPr>
                <w:sz w:val="20"/>
                <w:szCs w:val="28"/>
              </w:rPr>
              <w:t>RA; broader early inflammatory arthritis only where RA evidence was identifiable or appropriately contextualised</w:t>
            </w:r>
          </w:p>
        </w:tc>
        <w:tc>
          <w:tcPr>
            <w:tcW w:w="3456" w:type="dxa"/>
          </w:tcPr>
          <w:p w14:paraId="1BE75008" w14:textId="77777777" w:rsidR="00D51958" w:rsidRDefault="00D51958" w:rsidP="00455A12">
            <w:pPr>
              <w:rPr>
                <w:sz w:val="20"/>
                <w:szCs w:val="28"/>
              </w:rPr>
            </w:pPr>
            <w:r>
              <w:rPr>
                <w:sz w:val="20"/>
                <w:szCs w:val="28"/>
              </w:rPr>
              <w:t>Other inflammatory/musculoskeletal conditions without relevant RA evidence</w:t>
            </w:r>
          </w:p>
        </w:tc>
      </w:tr>
      <w:tr w:rsidR="00D51958" w14:paraId="0F13174F" w14:textId="77777777" w:rsidTr="00455A12">
        <w:tc>
          <w:tcPr>
            <w:tcW w:w="1728" w:type="dxa"/>
          </w:tcPr>
          <w:p w14:paraId="5D5326C6" w14:textId="77777777" w:rsidR="00D51958" w:rsidRDefault="00D51958" w:rsidP="00455A12">
            <w:pPr>
              <w:rPr>
                <w:sz w:val="20"/>
                <w:szCs w:val="28"/>
              </w:rPr>
            </w:pPr>
            <w:r>
              <w:rPr>
                <w:sz w:val="20"/>
                <w:szCs w:val="28"/>
              </w:rPr>
              <w:t>Exposure / intervention</w:t>
            </w:r>
          </w:p>
        </w:tc>
        <w:tc>
          <w:tcPr>
            <w:tcW w:w="5184" w:type="dxa"/>
          </w:tcPr>
          <w:p w14:paraId="5A035C29" w14:textId="77777777" w:rsidR="00D51958" w:rsidRDefault="00D51958" w:rsidP="00455A12">
            <w:pPr>
              <w:rPr>
                <w:sz w:val="20"/>
                <w:szCs w:val="28"/>
              </w:rPr>
            </w:pPr>
            <w:r>
              <w:rPr>
                <w:sz w:val="20"/>
                <w:szCs w:val="28"/>
              </w:rPr>
              <w:t>Early diagnosis, referral, specialist assessment, DMARD initiation, escalation or treat-to-target care</w:t>
            </w:r>
          </w:p>
        </w:tc>
        <w:tc>
          <w:tcPr>
            <w:tcW w:w="3456" w:type="dxa"/>
          </w:tcPr>
          <w:p w14:paraId="4DF36FC1" w14:textId="77777777" w:rsidR="00D51958" w:rsidRDefault="00D51958" w:rsidP="00455A12">
            <w:pPr>
              <w:rPr>
                <w:sz w:val="20"/>
                <w:szCs w:val="28"/>
              </w:rPr>
            </w:pPr>
            <w:r>
              <w:rPr>
                <w:sz w:val="20"/>
                <w:szCs w:val="28"/>
              </w:rPr>
              <w:t>No relevant timing, treatment or pathway exposure</w:t>
            </w:r>
          </w:p>
        </w:tc>
      </w:tr>
      <w:tr w:rsidR="00D51958" w14:paraId="04A357C9" w14:textId="77777777" w:rsidTr="00455A12">
        <w:tc>
          <w:tcPr>
            <w:tcW w:w="1728" w:type="dxa"/>
          </w:tcPr>
          <w:p w14:paraId="6A71DD28" w14:textId="77777777" w:rsidR="00D51958" w:rsidRDefault="00D51958" w:rsidP="00455A12">
            <w:pPr>
              <w:rPr>
                <w:sz w:val="20"/>
                <w:szCs w:val="28"/>
              </w:rPr>
            </w:pPr>
            <w:r>
              <w:rPr>
                <w:sz w:val="20"/>
                <w:szCs w:val="28"/>
              </w:rPr>
              <w:t>Comparator</w:t>
            </w:r>
          </w:p>
        </w:tc>
        <w:tc>
          <w:tcPr>
            <w:tcW w:w="5184" w:type="dxa"/>
          </w:tcPr>
          <w:p w14:paraId="2D3E2EDC" w14:textId="77777777" w:rsidR="00D51958" w:rsidRDefault="00D51958" w:rsidP="00455A12">
            <w:pPr>
              <w:rPr>
                <w:sz w:val="20"/>
                <w:szCs w:val="28"/>
              </w:rPr>
            </w:pPr>
            <w:r>
              <w:rPr>
                <w:sz w:val="20"/>
                <w:szCs w:val="28"/>
              </w:rPr>
              <w:t>Later/delayed care, longer symptom duration, usual care, or continuous timing measure</w:t>
            </w:r>
          </w:p>
        </w:tc>
        <w:tc>
          <w:tcPr>
            <w:tcW w:w="3456" w:type="dxa"/>
          </w:tcPr>
          <w:p w14:paraId="459873E8" w14:textId="77777777" w:rsidR="00D51958" w:rsidRDefault="00D51958" w:rsidP="00455A12">
            <w:pPr>
              <w:rPr>
                <w:sz w:val="20"/>
                <w:szCs w:val="28"/>
              </w:rPr>
            </w:pPr>
            <w:r>
              <w:rPr>
                <w:sz w:val="20"/>
                <w:szCs w:val="28"/>
              </w:rPr>
              <w:t>No interpretable comparison or timing relationship</w:t>
            </w:r>
          </w:p>
        </w:tc>
      </w:tr>
      <w:tr w:rsidR="00D51958" w14:paraId="26F3967A" w14:textId="77777777" w:rsidTr="00455A12">
        <w:tc>
          <w:tcPr>
            <w:tcW w:w="1728" w:type="dxa"/>
          </w:tcPr>
          <w:p w14:paraId="096B7EF5" w14:textId="77777777" w:rsidR="00D51958" w:rsidRDefault="00D51958" w:rsidP="00455A12">
            <w:pPr>
              <w:rPr>
                <w:sz w:val="20"/>
                <w:szCs w:val="28"/>
              </w:rPr>
            </w:pPr>
            <w:r>
              <w:rPr>
                <w:sz w:val="20"/>
                <w:szCs w:val="28"/>
              </w:rPr>
              <w:t>Outcomes</w:t>
            </w:r>
          </w:p>
        </w:tc>
        <w:tc>
          <w:tcPr>
            <w:tcW w:w="5184" w:type="dxa"/>
          </w:tcPr>
          <w:p w14:paraId="7BF234AC" w14:textId="77777777" w:rsidR="00D51958" w:rsidRDefault="00D51958" w:rsidP="00455A12">
            <w:pPr>
              <w:rPr>
                <w:sz w:val="20"/>
                <w:szCs w:val="28"/>
              </w:rPr>
            </w:pPr>
            <w:r>
              <w:rPr>
                <w:sz w:val="20"/>
                <w:szCs w:val="28"/>
              </w:rPr>
              <w:t>DAS28/activity, remission, disability/HAQ, frailty/hospitalisation, QoL, pain, fatigue, psychological wellbeing, employment/social participation</w:t>
            </w:r>
          </w:p>
        </w:tc>
        <w:tc>
          <w:tcPr>
            <w:tcW w:w="3456" w:type="dxa"/>
          </w:tcPr>
          <w:p w14:paraId="15DBA91E" w14:textId="77777777" w:rsidR="00D51958" w:rsidRDefault="00D51958" w:rsidP="00455A12">
            <w:pPr>
              <w:rPr>
                <w:sz w:val="20"/>
                <w:szCs w:val="28"/>
              </w:rPr>
            </w:pPr>
            <w:r>
              <w:rPr>
                <w:sz w:val="20"/>
                <w:szCs w:val="28"/>
              </w:rPr>
              <w:t>No relevant clinical or patient-centred outcome</w:t>
            </w:r>
          </w:p>
        </w:tc>
      </w:tr>
      <w:tr w:rsidR="00D51958" w14:paraId="3B906BA5" w14:textId="77777777" w:rsidTr="00455A12">
        <w:tc>
          <w:tcPr>
            <w:tcW w:w="1728" w:type="dxa"/>
          </w:tcPr>
          <w:p w14:paraId="69E09119" w14:textId="77777777" w:rsidR="00D51958" w:rsidRDefault="00D51958" w:rsidP="00455A12">
            <w:pPr>
              <w:rPr>
                <w:sz w:val="20"/>
                <w:szCs w:val="28"/>
              </w:rPr>
            </w:pPr>
            <w:r>
              <w:rPr>
                <w:sz w:val="20"/>
                <w:szCs w:val="28"/>
              </w:rPr>
              <w:t>Setting</w:t>
            </w:r>
          </w:p>
        </w:tc>
        <w:tc>
          <w:tcPr>
            <w:tcW w:w="5184" w:type="dxa"/>
          </w:tcPr>
          <w:p w14:paraId="672B508F" w14:textId="77777777" w:rsidR="00D51958" w:rsidRDefault="00D51958" w:rsidP="00455A12">
            <w:pPr>
              <w:rPr>
                <w:sz w:val="20"/>
                <w:szCs w:val="28"/>
              </w:rPr>
            </w:pPr>
            <w:r>
              <w:rPr>
                <w:sz w:val="20"/>
                <w:szCs w:val="28"/>
              </w:rPr>
              <w:t>UK studies; multinational studies with separable or predominantly UK evidence</w:t>
            </w:r>
          </w:p>
        </w:tc>
        <w:tc>
          <w:tcPr>
            <w:tcW w:w="3456" w:type="dxa"/>
          </w:tcPr>
          <w:p w14:paraId="03BE6E0C" w14:textId="77777777" w:rsidR="00D51958" w:rsidRDefault="00D51958" w:rsidP="00455A12">
            <w:pPr>
              <w:rPr>
                <w:sz w:val="20"/>
                <w:szCs w:val="28"/>
              </w:rPr>
            </w:pPr>
            <w:r>
              <w:rPr>
                <w:sz w:val="20"/>
                <w:szCs w:val="28"/>
              </w:rPr>
              <w:t>Non-UK studies without usable UK evidence</w:t>
            </w:r>
          </w:p>
        </w:tc>
      </w:tr>
      <w:tr w:rsidR="00D51958" w14:paraId="10FB323B" w14:textId="77777777" w:rsidTr="00455A12">
        <w:tc>
          <w:tcPr>
            <w:tcW w:w="1728" w:type="dxa"/>
          </w:tcPr>
          <w:p w14:paraId="2E7E7601" w14:textId="77777777" w:rsidR="00D51958" w:rsidRDefault="00D51958" w:rsidP="00455A12">
            <w:pPr>
              <w:rPr>
                <w:sz w:val="20"/>
                <w:szCs w:val="28"/>
              </w:rPr>
            </w:pPr>
            <w:r>
              <w:rPr>
                <w:sz w:val="20"/>
                <w:szCs w:val="28"/>
              </w:rPr>
              <w:lastRenderedPageBreak/>
              <w:t>Study design</w:t>
            </w:r>
          </w:p>
        </w:tc>
        <w:tc>
          <w:tcPr>
            <w:tcW w:w="5184" w:type="dxa"/>
          </w:tcPr>
          <w:p w14:paraId="4481CEC4" w14:textId="77777777" w:rsidR="00D51958" w:rsidRDefault="00D51958" w:rsidP="00455A12">
            <w:pPr>
              <w:rPr>
                <w:sz w:val="20"/>
                <w:szCs w:val="28"/>
              </w:rPr>
            </w:pPr>
            <w:r>
              <w:rPr>
                <w:sz w:val="20"/>
                <w:szCs w:val="28"/>
              </w:rPr>
              <w:t>Peer-reviewed primary quantitative, qualitative or mixed-methods research</w:t>
            </w:r>
          </w:p>
        </w:tc>
        <w:tc>
          <w:tcPr>
            <w:tcW w:w="3456" w:type="dxa"/>
          </w:tcPr>
          <w:p w14:paraId="42E61D34" w14:textId="77777777" w:rsidR="00D51958" w:rsidRDefault="00D51958" w:rsidP="00455A12">
            <w:pPr>
              <w:rPr>
                <w:sz w:val="20"/>
                <w:szCs w:val="28"/>
              </w:rPr>
            </w:pPr>
            <w:r>
              <w:rPr>
                <w:sz w:val="20"/>
                <w:szCs w:val="28"/>
              </w:rPr>
              <w:t>Reviews, guidelines, editorials, protocols, case reports, conference abstracts</w:t>
            </w:r>
          </w:p>
        </w:tc>
      </w:tr>
      <w:tr w:rsidR="00D51958" w14:paraId="375D5B82" w14:textId="77777777" w:rsidTr="00455A12">
        <w:tc>
          <w:tcPr>
            <w:tcW w:w="1728" w:type="dxa"/>
          </w:tcPr>
          <w:p w14:paraId="0FC2A8D9" w14:textId="77777777" w:rsidR="00D51958" w:rsidRDefault="00D51958" w:rsidP="00455A12">
            <w:pPr>
              <w:rPr>
                <w:sz w:val="20"/>
                <w:szCs w:val="28"/>
              </w:rPr>
            </w:pPr>
            <w:r>
              <w:rPr>
                <w:sz w:val="20"/>
                <w:szCs w:val="28"/>
              </w:rPr>
              <w:t>Publication period</w:t>
            </w:r>
          </w:p>
        </w:tc>
        <w:tc>
          <w:tcPr>
            <w:tcW w:w="5184" w:type="dxa"/>
          </w:tcPr>
          <w:p w14:paraId="39D45523" w14:textId="77777777" w:rsidR="00D51958" w:rsidRDefault="00D51958" w:rsidP="00455A12">
            <w:pPr>
              <w:rPr>
                <w:sz w:val="20"/>
                <w:szCs w:val="28"/>
              </w:rPr>
            </w:pPr>
            <w:r>
              <w:rPr>
                <w:sz w:val="20"/>
                <w:szCs w:val="28"/>
              </w:rPr>
              <w:t>1 Jan 2021–3 Aug 2026</w:t>
            </w:r>
          </w:p>
        </w:tc>
        <w:tc>
          <w:tcPr>
            <w:tcW w:w="3456" w:type="dxa"/>
          </w:tcPr>
          <w:p w14:paraId="21D3046C" w14:textId="77777777" w:rsidR="00D51958" w:rsidRDefault="00D51958" w:rsidP="00455A12">
            <w:pPr>
              <w:rPr>
                <w:sz w:val="20"/>
                <w:szCs w:val="28"/>
              </w:rPr>
            </w:pPr>
            <w:r>
              <w:rPr>
                <w:sz w:val="20"/>
                <w:szCs w:val="28"/>
              </w:rPr>
              <w:t>Outside date range</w:t>
            </w:r>
          </w:p>
        </w:tc>
      </w:tr>
      <w:tr w:rsidR="00D51958" w14:paraId="4B612AE6" w14:textId="77777777" w:rsidTr="00455A12">
        <w:tc>
          <w:tcPr>
            <w:tcW w:w="1728" w:type="dxa"/>
          </w:tcPr>
          <w:p w14:paraId="138C4D84" w14:textId="77777777" w:rsidR="00D51958" w:rsidRDefault="00D51958" w:rsidP="00455A12">
            <w:pPr>
              <w:rPr>
                <w:sz w:val="20"/>
                <w:szCs w:val="28"/>
              </w:rPr>
            </w:pPr>
            <w:r>
              <w:rPr>
                <w:sz w:val="20"/>
                <w:szCs w:val="28"/>
              </w:rPr>
              <w:t>Language</w:t>
            </w:r>
          </w:p>
        </w:tc>
        <w:tc>
          <w:tcPr>
            <w:tcW w:w="5184" w:type="dxa"/>
          </w:tcPr>
          <w:p w14:paraId="088678C7" w14:textId="77777777" w:rsidR="00D51958" w:rsidRDefault="00D51958" w:rsidP="00455A12">
            <w:pPr>
              <w:rPr>
                <w:sz w:val="20"/>
                <w:szCs w:val="28"/>
              </w:rPr>
            </w:pPr>
            <w:r>
              <w:rPr>
                <w:sz w:val="20"/>
                <w:szCs w:val="28"/>
              </w:rPr>
              <w:t>English</w:t>
            </w:r>
          </w:p>
        </w:tc>
        <w:tc>
          <w:tcPr>
            <w:tcW w:w="3456" w:type="dxa"/>
          </w:tcPr>
          <w:p w14:paraId="29D42A22" w14:textId="77777777" w:rsidR="00D51958" w:rsidRDefault="00D51958" w:rsidP="00455A12">
            <w:pPr>
              <w:rPr>
                <w:sz w:val="20"/>
                <w:szCs w:val="28"/>
              </w:rPr>
            </w:pPr>
            <w:r>
              <w:rPr>
                <w:sz w:val="20"/>
                <w:szCs w:val="28"/>
              </w:rPr>
              <w:t>Non-English</w:t>
            </w:r>
          </w:p>
        </w:tc>
      </w:tr>
      <w:tr w:rsidR="00D51958" w14:paraId="47674FF2" w14:textId="77777777" w:rsidTr="00455A12">
        <w:tc>
          <w:tcPr>
            <w:tcW w:w="1728" w:type="dxa"/>
          </w:tcPr>
          <w:p w14:paraId="69B79D82" w14:textId="77777777" w:rsidR="00D51958" w:rsidRDefault="00D51958" w:rsidP="00455A12">
            <w:pPr>
              <w:rPr>
                <w:sz w:val="20"/>
                <w:szCs w:val="28"/>
              </w:rPr>
            </w:pPr>
            <w:r>
              <w:rPr>
                <w:sz w:val="20"/>
                <w:szCs w:val="28"/>
              </w:rPr>
              <w:t>Availability</w:t>
            </w:r>
          </w:p>
        </w:tc>
        <w:tc>
          <w:tcPr>
            <w:tcW w:w="5184" w:type="dxa"/>
          </w:tcPr>
          <w:p w14:paraId="442269E8" w14:textId="77777777" w:rsidR="00D51958" w:rsidRDefault="00D51958" w:rsidP="00455A12">
            <w:pPr>
              <w:rPr>
                <w:sz w:val="20"/>
                <w:szCs w:val="28"/>
              </w:rPr>
            </w:pPr>
            <w:r>
              <w:rPr>
                <w:sz w:val="20"/>
                <w:szCs w:val="28"/>
              </w:rPr>
              <w:t>Full text with sufficient methodological/outcome information</w:t>
            </w:r>
          </w:p>
        </w:tc>
        <w:tc>
          <w:tcPr>
            <w:tcW w:w="3456" w:type="dxa"/>
          </w:tcPr>
          <w:p w14:paraId="7745AF69" w14:textId="77777777" w:rsidR="00D51958" w:rsidRDefault="00D51958" w:rsidP="00455A12">
            <w:pPr>
              <w:rPr>
                <w:sz w:val="20"/>
                <w:szCs w:val="28"/>
              </w:rPr>
            </w:pPr>
            <w:r>
              <w:rPr>
                <w:sz w:val="20"/>
                <w:szCs w:val="28"/>
              </w:rPr>
              <w:t>Full text unavailable or insufficient information</w:t>
            </w:r>
          </w:p>
        </w:tc>
      </w:tr>
    </w:tbl>
    <w:p w14:paraId="6172DA0B" w14:textId="77777777" w:rsidR="00D51958" w:rsidRDefault="00D51958" w:rsidP="00C662DF">
      <w:pPr>
        <w:pStyle w:val="Heading2"/>
      </w:pPr>
      <w:bookmarkStart w:id="110" w:name="_Toc238658217"/>
      <w:bookmarkStart w:id="111" w:name="_Toc238659160"/>
      <w:bookmarkStart w:id="112" w:name="_Toc238661346"/>
      <w:bookmarkStart w:id="113" w:name="_Toc240922859"/>
      <w:r>
        <w:t>3.4 Study Selection</w:t>
      </w:r>
      <w:bookmarkEnd w:id="110"/>
      <w:bookmarkEnd w:id="111"/>
      <w:bookmarkEnd w:id="112"/>
      <w:bookmarkEnd w:id="113"/>
    </w:p>
    <w:p w14:paraId="0E23BDC1" w14:textId="4DA77BE9" w:rsidR="004E2434" w:rsidRDefault="00D51958" w:rsidP="00D51958">
      <w:pPr>
        <w:spacing w:after="120"/>
      </w:pPr>
      <w:r w:rsidRPr="00112292">
        <w:t xml:space="preserve">PRISMA 2020 documented selection. There were 330 records in six databases. 256 records were screened for title and abstract, </w:t>
      </w:r>
      <w:r w:rsidRPr="00047ED8">
        <w:t>after 74 duplicates were removed from the 330 identified records</w:t>
      </w:r>
      <w:r w:rsidRPr="00112292">
        <w:t xml:space="preserve">. </w:t>
      </w:r>
      <w:r w:rsidRPr="00075D20">
        <w:t>Of these, 181 were excluded at title/abstract screening, leaving 75 reports sought for retrieval.</w:t>
      </w:r>
      <w:r w:rsidRPr="00112292">
        <w:t xml:space="preserve"> Three of the total 75 reports were not retrieved, and </w:t>
      </w:r>
      <w:r w:rsidRPr="00075D20">
        <w:t>72 full-text reports were assessed for eligibility</w:t>
      </w:r>
      <w:r w:rsidRPr="00112292">
        <w:t xml:space="preserve">. </w:t>
      </w:r>
      <w:r w:rsidRPr="004F4C02">
        <w:t>58 full-text reports were excluded</w:t>
      </w:r>
      <w:r w:rsidRPr="00112292">
        <w:t>, and 14 studies were included in the appraisal, extraction and synthesis. The main pathway of the account is summarised, as Figure 3.1 gives the detailed numerical pathway (</w:t>
      </w:r>
      <w:r w:rsidRPr="007F4841">
        <w:t>Page et al., 2021a; Page et al., 2021b</w:t>
      </w:r>
      <w:r w:rsidRPr="00112292">
        <w:t>).</w:t>
      </w:r>
    </w:p>
    <w:p w14:paraId="2D49768F" w14:textId="77777777" w:rsidR="004E2434" w:rsidRDefault="004E2434">
      <w:pPr>
        <w:spacing w:line="276" w:lineRule="auto"/>
        <w:jc w:val="left"/>
      </w:pPr>
      <w:r>
        <w:br w:type="page"/>
      </w:r>
    </w:p>
    <w:p w14:paraId="4E4BD141" w14:textId="77777777" w:rsidR="00D51958" w:rsidRDefault="00D51958" w:rsidP="00D51958">
      <w:pPr>
        <w:spacing w:after="120"/>
      </w:pPr>
    </w:p>
    <w:p w14:paraId="0C333BDB" w14:textId="77777777" w:rsidR="00D51958" w:rsidRDefault="00D51958" w:rsidP="00D51958">
      <w:pPr>
        <w:spacing w:after="0" w:line="240" w:lineRule="auto"/>
      </w:pPr>
    </w:p>
    <w:p w14:paraId="248BF084" w14:textId="635DFD70" w:rsidR="00D51958" w:rsidRDefault="00D51958" w:rsidP="00D51958">
      <w:pPr>
        <w:spacing w:after="0" w:line="240" w:lineRule="auto"/>
      </w:pPr>
      <w:r>
        <w:rPr>
          <w:noProof/>
        </w:rPr>
        <mc:AlternateContent>
          <mc:Choice Requires="wps">
            <w:drawing>
              <wp:anchor distT="0" distB="22860" distL="0" distR="17780" simplePos="0" relativeHeight="251663360" behindDoc="0" locked="0" layoutInCell="1" allowOverlap="1" wp14:anchorId="0F4F29B6" wp14:editId="74224FD8">
                <wp:simplePos x="0" y="0"/>
                <wp:positionH relativeFrom="column">
                  <wp:posOffset>567055</wp:posOffset>
                </wp:positionH>
                <wp:positionV relativeFrom="paragraph">
                  <wp:posOffset>74295</wp:posOffset>
                </wp:positionV>
                <wp:extent cx="4345305" cy="262890"/>
                <wp:effectExtent l="0" t="0" r="17145" b="22860"/>
                <wp:wrapNone/>
                <wp:docPr id="24" name="Flowchart: Alternative Process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5305" cy="262890"/>
                        </a:xfrm>
                        <a:prstGeom prst="flowChartAlternateProcess">
                          <a:avLst/>
                        </a:prstGeom>
                        <a:solidFill>
                          <a:srgbClr val="8064A2"/>
                        </a:solidFill>
                        <a:ln>
                          <a:solidFill>
                            <a:srgbClr val="5E4977"/>
                          </a:solidFill>
                          <a:round/>
                        </a:ln>
                      </wps:spPr>
                      <wps:style>
                        <a:lnRef idx="2">
                          <a:schemeClr val="accent4">
                            <a:shade val="50000"/>
                          </a:schemeClr>
                        </a:lnRef>
                        <a:fillRef idx="1">
                          <a:schemeClr val="accent4"/>
                        </a:fillRef>
                        <a:effectRef idx="0">
                          <a:schemeClr val="accent4"/>
                        </a:effectRef>
                        <a:fontRef idx="minor"/>
                      </wps:style>
                      <wps:txbx>
                        <w:txbxContent>
                          <w:p w14:paraId="72969C21" w14:textId="77777777" w:rsidR="00D51958" w:rsidRDefault="00D51958" w:rsidP="00D51958">
                            <w:pPr>
                              <w:pStyle w:val="FrameContents"/>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 of studies via databases and registers</w:t>
                            </w: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F4F29B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ive Process 24" o:spid="_x0000_s1026" type="#_x0000_t176" style="position:absolute;left:0;text-align:left;margin-left:44.65pt;margin-top:5.85pt;width:342.15pt;height:20.7pt;z-index:251663360;visibility:visible;mso-wrap-style:square;mso-width-percent:0;mso-height-percent:0;mso-wrap-distance-left:0;mso-wrap-distance-top:0;mso-wrap-distance-right:1.4pt;mso-wrap-distance-bottom:1.8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H+ZIgIAALIEAAAOAAAAZHJzL2Uyb0RvYy54bWysVFFv2yAQfp+0/4D8vthxkzS14lRRu+6l&#10;6qK1054vGGI0zCEgsfPvB9hxo27qpGl5QGDu++6777isbrtGkiMzVqAqk+kkSwhTFCuh9mXy/eXh&#10;0zIh1oGqQKJiZXJiNrldf/ywanXBcqxRVswQT6Js0eoyqZ3TRZpaWrMG7AQ1U/6So2nA+aPZp5WB&#10;1rM3Ms2zbJG2aCptkDJr/df7/jJZR37OGXVfObfMEVkmXpuLq4nrLqzpegXF3oCuBR1kwD+oaEAo&#10;n3SkugcH5GDEb1SNoAYtcjeh2KTIuaAs1uCrmWZvqnmuQbNYizfH6tEm+/9o6dPxWW9NkG71I9Kf&#10;1juSttoW40042CGm46YJsV446aKLp9FF1jlC/cfZ1Wx+lc0TQv1dvsiXN9HmFIozWhvrvjBsSNiU&#10;CZfY3tVg3EY6ZhQ4tu0bGh2F46N1QRQUZ1xUi1JUD0LKeDD73Z005Ai+zctsMdvkobMeYi/DpHof&#10;Of88u7m+/hPS4EFVPWMgiQb1nkR33EmyQC3VN8aJqLwLeRQf3zEbpQGlTLlZf1VDxXrF88z/zmnD&#10;yw+IKD8SBmbuKx25p+9x9yqH+ABlcQxGcPZ38IiImVG5EdwIhSYqvag7bF2363zmsN1hddoaAorW&#10;6CeNOhMzhua9dD/A6KHtzj+YJzy/cSjeNLqPDQoUbg4OuYiv4DXD0AY/GNGqYYjD5F2eY9TrX836&#10;FwAAAP//AwBQSwMEFAAGAAgAAAAhAJE+ZZ7gAAAACAEAAA8AAABkcnMvZG93bnJldi54bWxMj81O&#10;hEAQhO8mvsOkTby5A5KFFRk2amJi4k+yuHvwNkALKNODzLDg29ue9Fhdlaqvs+1ienHE0XWWFISr&#10;AARSZeuOGgX71/uLDQjnNdW6t4QKvtHBNj89yXRa25l2eCx8I7iEXKoVtN4PqZSuatFot7IDEnvv&#10;djTasxwbWY965nLTy8sgiKXRHfFCqwe8a7H6LCajIJrjt115uz88P+Dj1/rwNBUfwYtS52fLzTUI&#10;j4v/C8MvPqNDzkylnah2olewuYo4yfcwAcF+kkQxiFLBOgpB5pn8/0D+AwAA//8DAFBLAQItABQA&#10;BgAIAAAAIQC2gziS/gAAAOEBAAATAAAAAAAAAAAAAAAAAAAAAABbQ29udGVudF9UeXBlc10ueG1s&#10;UEsBAi0AFAAGAAgAAAAhADj9If/WAAAAlAEAAAsAAAAAAAAAAAAAAAAALwEAAF9yZWxzLy5yZWxz&#10;UEsBAi0AFAAGAAgAAAAhAPj0f5kiAgAAsgQAAA4AAAAAAAAAAAAAAAAALgIAAGRycy9lMm9Eb2Mu&#10;eG1sUEsBAi0AFAAGAAgAAAAhAJE+ZZ7gAAAACAEAAA8AAAAAAAAAAAAAAAAAfAQAAGRycy9kb3du&#10;cmV2LnhtbFBLBQYAAAAABAAEAPMAAACJBQAAAAA=&#10;" fillcolor="#8064a2" strokecolor="#5e4977" strokeweight="2pt">
                <v:stroke joinstyle="round"/>
                <v:path arrowok="t"/>
                <v:textbox>
                  <w:txbxContent>
                    <w:p w14:paraId="72969C21" w14:textId="77777777" w:rsidR="00D51958" w:rsidRDefault="00D51958" w:rsidP="00D51958">
                      <w:pPr>
                        <w:pStyle w:val="FrameContents"/>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 of studies via databases and registers</w:t>
                      </w:r>
                    </w:p>
                  </w:txbxContent>
                </v:textbox>
              </v:shape>
            </w:pict>
          </mc:Fallback>
        </mc:AlternateContent>
      </w:r>
    </w:p>
    <w:p w14:paraId="2796B506" w14:textId="77777777" w:rsidR="00D51958" w:rsidRDefault="00D51958" w:rsidP="00D51958">
      <w:pPr>
        <w:spacing w:after="0" w:line="240" w:lineRule="auto"/>
      </w:pPr>
    </w:p>
    <w:p w14:paraId="5BAB5C14" w14:textId="432EA3D5" w:rsidR="00D51958" w:rsidRDefault="00D51958" w:rsidP="00D51958">
      <w:pPr>
        <w:spacing w:after="0" w:line="240" w:lineRule="auto"/>
      </w:pPr>
      <w:r>
        <w:rPr>
          <w:noProof/>
        </w:rPr>
        <mc:AlternateContent>
          <mc:Choice Requires="wps">
            <w:drawing>
              <wp:anchor distT="0" distB="13970" distL="0" distR="17780" simplePos="0" relativeHeight="251636736" behindDoc="0" locked="0" layoutInCell="1" allowOverlap="1" wp14:anchorId="6AFFE8A2" wp14:editId="06C4B3B4">
                <wp:simplePos x="0" y="0"/>
                <wp:positionH relativeFrom="column">
                  <wp:posOffset>559435</wp:posOffset>
                </wp:positionH>
                <wp:positionV relativeFrom="paragraph">
                  <wp:posOffset>76835</wp:posOffset>
                </wp:positionV>
                <wp:extent cx="1887220" cy="1243330"/>
                <wp:effectExtent l="0" t="0" r="17780" b="1397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3330"/>
                        </a:xfrm>
                        <a:prstGeom prst="rect">
                          <a:avLst/>
                        </a:prstGeom>
                        <a:noFill/>
                        <a:ln>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14:paraId="2676209F"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Records identified from*:</w:t>
                            </w:r>
                          </w:p>
                          <w:p w14:paraId="1CCE34A7"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330)</w:t>
                            </w:r>
                          </w:p>
                          <w:p w14:paraId="2DC6A9AF"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Registers (n = 0)</w:t>
                            </w: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AFFE8A2" id="Rectangle 23" o:spid="_x0000_s1027" style="position:absolute;left:0;text-align:left;margin-left:44.05pt;margin-top:6.05pt;width:148.6pt;height:97.9pt;z-index:251636736;visibility:visible;mso-wrap-style:square;mso-width-percent:0;mso-height-percent:0;mso-wrap-distance-left:0;mso-wrap-distance-top:0;mso-wrap-distance-right:1.4pt;mso-wrap-distance-bottom:1.1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43fEwIAAHwEAAAOAAAAZHJzL2Uyb0RvYy54bWysVEtv2zAMvg/YfzB8X5w4ewRGnGJY0V2K&#10;rlg77KzIUixMFgVJSZx/P5J+NOiAHYblIFh8fPzIj8r2pu9sdlIhGnB1vlos80w5CY1xhzr/8Xz3&#10;bpNnMQnXCAtO1flFxfxm9/bN9uwrVUILtlEhQxAXq7Ov8zYlXxVFlK3qRFyAVw6dGkInEl7DoWiC&#10;OCN6Z4tyufxYnCE0PoBUMaL1dnDmO8bXWsn0TeuoUmbrHLklPgOfezqL3VZUhyB8a+RIQ/wDi04Y&#10;h0VnqFuRRHYM5g+ozsgAEXRaSOgK0NpIxT1gN6vlq26eWuEV94LDiX4eU/x/sPLh9OQfA1GP/h7k&#10;r4gTKc4+VrOHLnGM6XXoKBaJZz1P8TJPUfUpk2hcbTafyhKHLdG3Kt+v12uecyGqKd2HmL4q6DL6&#10;qPOAMvH0xOk+JiIgqimEqjm4M9ayVNYxVbCmIRtfwmH/xYbsJEhj/pGsiBGvwwIcXTPYCYR7HNri&#10;BtPFKkKz7rvSmWmwkZI58SqquYCQUrm0GlytaNRQ9wPVncrS8lIGk2BAQtbId8YeAabIAWTCHliO&#10;8ZSqeJPn5OXfiA3JcwZXBpfm5M44CMz0qm/6TP2+x8ZRM/KSZQ/N5TFkwskW8M3IFLgwSfPc/xTB&#10;j/ollP4Bpm0V1SsZh1gi4uDzMYE2rPFLhVENXHGe2Pgc6Q1d3znq5U9j9xsAAP//AwBQSwMEFAAG&#10;AAgAAAAhAPcCxVbeAAAACQEAAA8AAABkcnMvZG93bnJldi54bWxMj0FPwzAMhe9I/IfISNxYuk6M&#10;UJpOCAmBEJcNxNltsqZb45Qm28q/x5zGybLf0/P3ytXke3G0Y+wCaZjPMhCWmmA6ajV8fjzfKBAx&#10;IRnsA1kNPzbCqrq8KLEw4URre9ykVnAIxQI1uJSGQsrYOOsxzsJgibVtGD0mXsdWmhFPHO57mWfZ&#10;UnrsiD84HOyTs81+c/Aavuvl7m39gvuvLaVXper47nZK6+ur6fEBRLJTOpvhD5/RoWKmOhzIRNFr&#10;UGrOTr7nPFlfqNsFiFpDnt3dg6xK+b9B9QsAAP//AwBQSwECLQAUAAYACAAAACEAtoM4kv4AAADh&#10;AQAAEwAAAAAAAAAAAAAAAAAAAAAAW0NvbnRlbnRfVHlwZXNdLnhtbFBLAQItABQABgAIAAAAIQA4&#10;/SH/1gAAAJQBAAALAAAAAAAAAAAAAAAAAC8BAABfcmVscy8ucmVsc1BLAQItABQABgAIAAAAIQAK&#10;643fEwIAAHwEAAAOAAAAAAAAAAAAAAAAAC4CAABkcnMvZTJvRG9jLnhtbFBLAQItABQABgAIAAAA&#10;IQD3AsVW3gAAAAkBAAAPAAAAAAAAAAAAAAAAAG0EAABkcnMvZG93bnJldi54bWxQSwUGAAAAAAQA&#10;BADzAAAAeAUAAAAA&#10;" filled="f" strokeweight="2pt">
                <v:stroke joinstyle="round"/>
                <v:path arrowok="t"/>
                <v:textbox>
                  <w:txbxContent>
                    <w:p w14:paraId="2676209F"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Records identified from*:</w:t>
                      </w:r>
                    </w:p>
                    <w:p w14:paraId="1CCE34A7"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330)</w:t>
                      </w:r>
                    </w:p>
                    <w:p w14:paraId="2DC6A9AF"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Registers (n = 0)</w:t>
                      </w:r>
                    </w:p>
                  </w:txbxContent>
                </v:textbox>
              </v:rect>
            </w:pict>
          </mc:Fallback>
        </mc:AlternateContent>
      </w:r>
      <w:r>
        <w:rPr>
          <w:noProof/>
        </w:rPr>
        <mc:AlternateContent>
          <mc:Choice Requires="wps">
            <w:drawing>
              <wp:anchor distT="0" distB="14605" distL="0" distR="17780" simplePos="0" relativeHeight="251638784" behindDoc="0" locked="0" layoutInCell="1" allowOverlap="1" wp14:anchorId="768C6D8F" wp14:editId="3FA351CE">
                <wp:simplePos x="0" y="0"/>
                <wp:positionH relativeFrom="column">
                  <wp:posOffset>3039745</wp:posOffset>
                </wp:positionH>
                <wp:positionV relativeFrom="paragraph">
                  <wp:posOffset>76835</wp:posOffset>
                </wp:positionV>
                <wp:extent cx="1887220" cy="1243330"/>
                <wp:effectExtent l="0" t="0" r="17780" b="1397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3330"/>
                        </a:xfrm>
                        <a:prstGeom prst="rect">
                          <a:avLst/>
                        </a:prstGeom>
                        <a:noFill/>
                        <a:ln>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14:paraId="767EBC15"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Records removed before screening:</w:t>
                            </w:r>
                          </w:p>
                          <w:p w14:paraId="7702798C"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 74)</w:t>
                            </w:r>
                          </w:p>
                          <w:p w14:paraId="34FDDCE2"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0)</w:t>
                            </w:r>
                          </w:p>
                          <w:p w14:paraId="0A0F88AC"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0)</w:t>
                            </w: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8C6D8F" id="Rectangle 22" o:spid="_x0000_s1028" style="position:absolute;left:0;text-align:left;margin-left:239.35pt;margin-top:6.05pt;width:148.6pt;height:97.9pt;z-index:251638784;visibility:visible;mso-wrap-style:square;mso-width-percent:0;mso-height-percent:0;mso-wrap-distance-left:0;mso-wrap-distance-top:0;mso-wrap-distance-right:1.4pt;mso-wrap-distance-bottom:1.15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EBzEwIAAHwEAAAOAAAAZHJzL2Uyb0RvYy54bWysVEtv2zAMvg/YfzB8X5w4ewRGnGJY0V2K&#10;rlg77KzIUixMFgVJSZx/P5J+NOiAHYblIFh8fPw+ksr2pu9sdlIhGnB1vlos80w5CY1xhzr/8Xz3&#10;bpNnMQnXCAtO1flFxfxm9/bN9uwrVUILtlEhQxAXq7Ov8zYlXxVFlK3qRFyAVw6dGkInEl7DoWiC&#10;OCN6Z4tyufxYnCE0PoBUMaL1dnDmO8bXWsn0TeuoUmbrHLklPgOfezqL3VZUhyB8a+RIQ/wDi04Y&#10;h0VnqFuRRHYM5g+ozsgAEXRaSOgK0NpIxRpQzWr5Ss1TK7xiLdic6Oc2xf8HKx9OT/4xEPXo70H+&#10;itiR4uxjNXvoEseYXoeOYpF41nMXL3MXVZ8yicbVZvOpLLHZEn2r8v16veY+F6Ka0n2I6auCLqOP&#10;Og84Ju6eON3HRARENYVQNQd3xloelXVMFaxpyMaXcNh/sSE7CZox/2isiBGvwwIcXTPYCYQ1DrJY&#10;YLpYRWjWfVc6Mw0KKZkTr6KaCwgplUurwdWKRg11P1DdqSwtL2UwCQYkZI18Z+wRYIocQCbsgeUY&#10;T6mKN3lOXv6N2JA8Z3BlcGlO7oyDwEyvdNNn6vc9CifdiEGWPTSXx5AJJ1vANyNT4MI0muf+pwh+&#10;nF/C0T/AtK2iejXGIZaIOPh8TKANz/ilwjgNXHHu2Pgc6Q1d3znq5U9j9xsAAP//AwBQSwMEFAAG&#10;AAgAAAAhAEP+zIzfAAAACgEAAA8AAABkcnMvZG93bnJldi54bWxMj8FOwzAQRO9I/IO1SNyo0whq&#10;N8SpEBICVVxaEGcn3sZp43WI3Tb8Pe4Jjqt5mnlbribXsxOOofOkYD7LgCE13nTUKvj8eLmTwELU&#10;ZHTvCRX8YIBVdX1V6sL4M23wtI0tSyUUCq3AxjgUnIfGotNh5geklO386HRM59hyM+pzKnc9z7Ns&#10;wZ3uKC1YPeCzxeawPToF3/Viv9686sPXjuKblHV4t3up1O3N9PQILOIU/2C46Cd1qJJT7Y9kAusV&#10;3AspEpqCfA4sAUI8LIHVCvJMLIFXJf//QvULAAD//wMAUEsBAi0AFAAGAAgAAAAhALaDOJL+AAAA&#10;4QEAABMAAAAAAAAAAAAAAAAAAAAAAFtDb250ZW50X1R5cGVzXS54bWxQSwECLQAUAAYACAAAACEA&#10;OP0h/9YAAACUAQAACwAAAAAAAAAAAAAAAAAvAQAAX3JlbHMvLnJlbHNQSwECLQAUAAYACAAAACEA&#10;5pBAcxMCAAB8BAAADgAAAAAAAAAAAAAAAAAuAgAAZHJzL2Uyb0RvYy54bWxQSwECLQAUAAYACAAA&#10;ACEAQ/7MjN8AAAAKAQAADwAAAAAAAAAAAAAAAABtBAAAZHJzL2Rvd25yZXYueG1sUEsFBgAAAAAE&#10;AAQA8wAAAHkFAAAAAA==&#10;" filled="f" strokeweight="2pt">
                <v:stroke joinstyle="round"/>
                <v:path arrowok="t"/>
                <v:textbox>
                  <w:txbxContent>
                    <w:p w14:paraId="767EBC15"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Records removed before screening:</w:t>
                      </w:r>
                    </w:p>
                    <w:p w14:paraId="7702798C"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 74)</w:t>
                      </w:r>
                    </w:p>
                    <w:p w14:paraId="34FDDCE2"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0)</w:t>
                      </w:r>
                    </w:p>
                    <w:p w14:paraId="0A0F88AC"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0)</w:t>
                      </w:r>
                    </w:p>
                  </w:txbxContent>
                </v:textbox>
              </v:rect>
            </w:pict>
          </mc:Fallback>
        </mc:AlternateContent>
      </w:r>
    </w:p>
    <w:p w14:paraId="57F84E3F" w14:textId="77777777" w:rsidR="00D51958" w:rsidRDefault="00D51958" w:rsidP="00D51958">
      <w:pPr>
        <w:spacing w:after="0" w:line="240" w:lineRule="auto"/>
      </w:pPr>
    </w:p>
    <w:p w14:paraId="6BDE9EB3" w14:textId="03E99AE1" w:rsidR="00D51958" w:rsidRDefault="00D51958" w:rsidP="00D51958">
      <w:pPr>
        <w:spacing w:after="0" w:line="240" w:lineRule="auto"/>
      </w:pPr>
      <w:r>
        <w:rPr>
          <w:noProof/>
        </w:rPr>
        <mc:AlternateContent>
          <mc:Choice Requires="wps">
            <w:drawing>
              <wp:anchor distT="6985" distB="11430" distL="0" distR="11430" simplePos="0" relativeHeight="251665408" behindDoc="0" locked="0" layoutInCell="1" allowOverlap="1" wp14:anchorId="0453F792" wp14:editId="049FDCE3">
                <wp:simplePos x="0" y="0"/>
                <wp:positionH relativeFrom="column">
                  <wp:posOffset>-403225</wp:posOffset>
                </wp:positionH>
                <wp:positionV relativeFrom="paragraph">
                  <wp:posOffset>221615</wp:posOffset>
                </wp:positionV>
                <wp:extent cx="1276985" cy="262890"/>
                <wp:effectExtent l="0" t="7302" r="11112" b="11113"/>
                <wp:wrapNone/>
                <wp:docPr id="21" name="Flowchart: Alternative Process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chemeClr val="accent5">
                            <a:lumMod val="60000"/>
                            <a:lumOff val="40000"/>
                          </a:schemeClr>
                        </a:solidFill>
                        <a:ln>
                          <a:solidFill>
                            <a:srgbClr val="000000"/>
                          </a:solidFill>
                          <a:round/>
                        </a:ln>
                      </wps:spPr>
                      <wps:style>
                        <a:lnRef idx="2">
                          <a:schemeClr val="accent4">
                            <a:shade val="50000"/>
                          </a:schemeClr>
                        </a:lnRef>
                        <a:fillRef idx="1">
                          <a:schemeClr val="accent4"/>
                        </a:fillRef>
                        <a:effectRef idx="0">
                          <a:schemeClr val="accent4"/>
                        </a:effectRef>
                        <a:fontRef idx="minor"/>
                      </wps:style>
                      <wps:txbx>
                        <w:txbxContent>
                          <w:p w14:paraId="01D5A1E6" w14:textId="77777777" w:rsidR="00D51958" w:rsidRDefault="00D51958" w:rsidP="00D51958">
                            <w:pPr>
                              <w:pStyle w:val="FrameContents"/>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53F792" id="Flowchart: Alternative Process 21" o:spid="_x0000_s1029" type="#_x0000_t176" style="position:absolute;left:0;text-align:left;margin-left:-31.75pt;margin-top:17.45pt;width:100.55pt;height:20.7pt;rotation:-90;z-index:251665408;visibility:visible;mso-wrap-style:square;mso-width-percent:0;mso-height-percent:0;mso-wrap-distance-left:0;mso-wrap-distance-top:.55pt;mso-wrap-distance-right:.9pt;mso-wrap-distance-bottom:.9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UKNRQIAAAYFAAAOAAAAZHJzL2Uyb0RvYy54bWysVMFu2zAMvQ/YPwi+L068JkuNOEXRort0&#10;XbB22FmRpdiYLAqSkjh/P4pKnKzFdhjmg2GR4nuPT5QXN32n2U4634KpsslonDFpBNSt2VTZ95eH&#10;D/OM+cBNzTUYWWUH6bOb5ft3i70tZQEN6Fo6hiDGl3tbZU0ItsxzLxrZcT8CKw0mFbiOB1y6TV47&#10;vkf0TufFeDzL9+Bq60BI7zF6n5LZkvCVkiJ8VcrLwHSVobZAb0fvdXznywUvN47bphVHGfwfVHS8&#10;NUg6QN3zwNnWtW+gulY48KDCSECXg1KtkNQDdjMZv+rmueFWUi9ojreDTf7/wYqn3bNduSjd20cQ&#10;Pz06ku+tL4dMXPjjnl65jjlAGycztB8f6hr7YD2ZehhMlX1gAoOT4tPsej7NmMBcMSvm1+R6zssI&#10;Fomt8+GzhI7FjypTGvZ3DXfhVgfpDA9ylc6XqPju0Yeo8VxH4kG39UOrNS3i9Mg77diO47lzIaQJ&#10;UyrX2+4L1Ck+I/00ARjGOUnhq1MYKWgOIxIR+ksSbd7yus16YI0oaE+S+lulg62pUzyCkNvJYLI6&#10;HLSM0Np8k4q1NXpYkPZBzGVbVynV8Fqm8PSS9mQEySfAiKzQpwF78jfspPK4P5ZKulNDcTr+PwhL&#10;xUMFMYMJQ3HXGnBk0EXf8TP06x4br7KPMRsja6gPK8e4EQ3g7RXBkeo4MC/9D+7scXYCTt0TnO4N&#10;L19NS9obhRi43QZQLY3SmeF4GnjZyLHjjyHe5ss17Tr/vpa/AAAA//8DAFBLAwQUAAYACAAAACEA&#10;KReCjtwAAAAJAQAADwAAAGRycy9kb3ducmV2LnhtbEyPQUvEMBSE74L/ITzB225a2bbSbbqIoOhF&#10;sHrwmDZv27LNS0nS3frvfZ70OMww8011WO0kzujD6EhBuk1AIHXOjNQr+Px42tyDCFGT0ZMjVPCN&#10;AQ719VWlS+Mu9I7nJvaCSyiUWsEQ41xKGboBrQ5bNyOxd3Te6sjS99J4feFyO8m7JMml1SPxwqBn&#10;fBywOzWLVdCl9k02r1/rkj4fX6hoC2O9V+r2Zn3Yg4i4xr8w/OIzOtTM1LqFTBAT63zHSQWbXcaf&#10;OJAVfKVlI8tTkHUl/z+ofwAAAP//AwBQSwECLQAUAAYACAAAACEAtoM4kv4AAADhAQAAEwAAAAAA&#10;AAAAAAAAAAAAAAAAW0NvbnRlbnRfVHlwZXNdLnhtbFBLAQItABQABgAIAAAAIQA4/SH/1gAAAJQB&#10;AAALAAAAAAAAAAAAAAAAAC8BAABfcmVscy8ucmVsc1BLAQItABQABgAIAAAAIQACgUKNRQIAAAYF&#10;AAAOAAAAAAAAAAAAAAAAAC4CAABkcnMvZTJvRG9jLnhtbFBLAQItABQABgAIAAAAIQApF4KO3AAA&#10;AAkBAAAPAAAAAAAAAAAAAAAAAJ8EAABkcnMvZG93bnJldi54bWxQSwUGAAAAAAQABADzAAAAqAUA&#10;AAAA&#10;" fillcolor="#92cddc [1944]" strokeweight="2pt">
                <v:stroke joinstyle="round"/>
                <v:path arrowok="t"/>
                <v:textbox>
                  <w:txbxContent>
                    <w:p w14:paraId="01D5A1E6" w14:textId="77777777" w:rsidR="00D51958" w:rsidRDefault="00D51958" w:rsidP="00D51958">
                      <w:pPr>
                        <w:pStyle w:val="FrameContents"/>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v:textbox>
              </v:shape>
            </w:pict>
          </mc:Fallback>
        </mc:AlternateContent>
      </w:r>
    </w:p>
    <w:p w14:paraId="567B34BC" w14:textId="77777777" w:rsidR="00D51958" w:rsidRDefault="00D51958" w:rsidP="00D51958">
      <w:pPr>
        <w:spacing w:after="0" w:line="240" w:lineRule="auto"/>
      </w:pPr>
    </w:p>
    <w:p w14:paraId="4FA2E5F0" w14:textId="14208026" w:rsidR="00D51958" w:rsidRDefault="00D51958" w:rsidP="00D51958">
      <w:pPr>
        <w:spacing w:after="0" w:line="240" w:lineRule="auto"/>
      </w:pPr>
      <w:r>
        <w:rPr>
          <w:noProof/>
        </w:rPr>
        <mc:AlternateContent>
          <mc:Choice Requires="wps">
            <w:drawing>
              <wp:anchor distT="76200" distB="95250" distL="0" distR="27305" simplePos="0" relativeHeight="251655168" behindDoc="0" locked="0" layoutInCell="1" allowOverlap="1" wp14:anchorId="244D4FD1" wp14:editId="1569BA65">
                <wp:simplePos x="0" y="0"/>
                <wp:positionH relativeFrom="column">
                  <wp:posOffset>2454275</wp:posOffset>
                </wp:positionH>
                <wp:positionV relativeFrom="paragraph">
                  <wp:posOffset>9525</wp:posOffset>
                </wp:positionV>
                <wp:extent cx="563245" cy="635"/>
                <wp:effectExtent l="0" t="76200" r="27305" b="9461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635"/>
                        </a:xfrm>
                        <a:prstGeom prst="straightConnector1">
                          <a:avLst/>
                        </a:prstGeom>
                        <a:noFill/>
                        <a:ln>
                          <a:solidFill>
                            <a:srgbClr val="000000"/>
                          </a:solidFill>
                          <a:round/>
                          <a:tailEnd type="triangle" w="med" len="med"/>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w:pict>
              <v:shapetype w14:anchorId="780E9AD1" id="_x0000_t32" coordsize="21600,21600" o:spt="32" o:oned="t" path="m,l21600,21600e" filled="f">
                <v:path arrowok="t" fillok="f" o:connecttype="none"/>
                <o:lock v:ext="edit" shapetype="t"/>
              </v:shapetype>
              <v:shape id="Straight Arrow Connector 20" o:spid="_x0000_s1026" type="#_x0000_t32" style="position:absolute;margin-left:193.25pt;margin-top:.75pt;width:44.35pt;height:.05pt;z-index:251655168;visibility:visible;mso-wrap-style:square;mso-width-percent:0;mso-height-percent:0;mso-wrap-distance-left:0;mso-wrap-distance-top:6pt;mso-wrap-distance-right:2.15pt;mso-wrap-distance-bottom:7.5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DM6wEAACAEAAAOAAAAZHJzL2Uyb0RvYy54bWysU8FuEzEQvSPxD5bvZJOURGjVTQ8p5VJB&#10;ReEDHHu8a2F7rLGbTf4e25suBSQkEHuwPPa8mfeeZ69vTs6yI1A06Du+Wiw5Ay9RGd93/OuXuzfv&#10;OItJeCUseuj4GSK/2b1+dT2GFtY4oFVALBfxsR1Dx4eUQts0UQ7gRFxgAJ8vNZITKYfUN4rEmKs7&#10;26yXy20zIqlAKCHGfHo7XfJdra81yPRJ6wiJ2Y5nbqmuVNdDWZvdtWh7EmEw8kJD/AMLJ4zPTedS&#10;tyIJ9kTmt1LOSMKIOi0kuga1NhKqhqxmtfxFzeMgAlQt2ZwYZpvi/ysrPx73/oEKdXnyj+Ee5beY&#10;TWnGENv5sgQxTGknTa6kZ+7sVI08z0bCKTGZDzfbq/XbDWcyX22vNsXlRrTPyEAxfQB0rGw6HhMJ&#10;0w9pj97n90JaVSfF8T6mCfgMKG093hlr67NZXw4iWqPKWQ2oP+wtsaMo712/S/Of0gifvKo1kjD2&#10;vVcsnUOezkRG+N4CZ2PHHSjOLOSxLruJSWlZrZncqL6ks4XS2/rPoJlRWf+koA4xzHSElODTaq6U&#10;swtMZ+ozcFml/xF4yS9QqAP+N+AZUTujTzPYGY9Uub0QVbYHVOcHKvJLlMewvuXllylz/jKuWT9+&#10;7N13AAAA//8DAFBLAwQUAAYACAAAACEAdLaiEN0AAAAHAQAADwAAAGRycy9kb3ducmV2LnhtbEyO&#10;wU7DMBBE70j8g7VI3KhDoaaEOBVQIXIBiRYhjm6yxBbxOordNuXru5zgtBq90ewrFqPvxA6H6AJp&#10;uJxkIJDq0DhqNbyvny7mIGIy1JguEGo4YIRFeXpSmLwJe3rD3Sq1gkco5kaDTanPpYy1RW/iJPRI&#10;zL7C4E3iOLSyGcyex30np1mmpDeO+IM1PT5arL9XW68hLT8PVn3UD7fudf38otxPVVVLrc/Pxvs7&#10;EAnH9FeGX31Wh5KdNmFLTRSdhqu5mnGVAR/m1zezKYgNZwWyLOR///IIAAD//wMAUEsBAi0AFAAG&#10;AAgAAAAhALaDOJL+AAAA4QEAABMAAAAAAAAAAAAAAAAAAAAAAFtDb250ZW50X1R5cGVzXS54bWxQ&#10;SwECLQAUAAYACAAAACEAOP0h/9YAAACUAQAACwAAAAAAAAAAAAAAAAAvAQAAX3JlbHMvLnJlbHNQ&#10;SwECLQAUAAYACAAAACEAXw/gzOsBAAAgBAAADgAAAAAAAAAAAAAAAAAuAgAAZHJzL2Uyb0RvYy54&#10;bWxQSwECLQAUAAYACAAAACEAdLaiEN0AAAAHAQAADwAAAAAAAAAAAAAAAABFBAAAZHJzL2Rvd25y&#10;ZXYueG1sUEsFBgAAAAAEAAQA8wAAAE8FAAAAAA==&#10;">
                <v:stroke endarrow="block"/>
                <o:lock v:ext="edit" shapetype="f"/>
              </v:shape>
            </w:pict>
          </mc:Fallback>
        </mc:AlternateContent>
      </w:r>
    </w:p>
    <w:p w14:paraId="375C19A1" w14:textId="77777777" w:rsidR="00D51958" w:rsidRDefault="00D51958" w:rsidP="00D51958">
      <w:pPr>
        <w:spacing w:after="0" w:line="240" w:lineRule="auto"/>
      </w:pPr>
    </w:p>
    <w:p w14:paraId="63500F7A" w14:textId="77777777" w:rsidR="00D51958" w:rsidRDefault="00D51958" w:rsidP="00D51958">
      <w:pPr>
        <w:spacing w:after="0" w:line="240" w:lineRule="auto"/>
      </w:pPr>
    </w:p>
    <w:p w14:paraId="116E9AEF" w14:textId="155BD600" w:rsidR="00D51958" w:rsidRDefault="00D51958" w:rsidP="00D51958">
      <w:pPr>
        <w:spacing w:after="0" w:line="240" w:lineRule="auto"/>
      </w:pPr>
      <w:r>
        <w:rPr>
          <w:noProof/>
        </w:rPr>
        <mc:AlternateContent>
          <mc:Choice Requires="wps">
            <w:drawing>
              <wp:anchor distT="0" distB="61595" distL="76200" distR="57150" simplePos="0" relativeHeight="251671552" behindDoc="0" locked="0" layoutInCell="1" allowOverlap="1" wp14:anchorId="44FBCC1C" wp14:editId="163BF612">
                <wp:simplePos x="0" y="0"/>
                <wp:positionH relativeFrom="column">
                  <wp:posOffset>1400175</wp:posOffset>
                </wp:positionH>
                <wp:positionV relativeFrom="paragraph">
                  <wp:posOffset>128905</wp:posOffset>
                </wp:positionV>
                <wp:extent cx="635" cy="281305"/>
                <wp:effectExtent l="76200" t="0" r="75565" b="6159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281305"/>
                        </a:xfrm>
                        <a:prstGeom prst="straightConnector1">
                          <a:avLst/>
                        </a:prstGeom>
                        <a:noFill/>
                        <a:ln>
                          <a:solidFill>
                            <a:srgbClr val="000000"/>
                          </a:solidFill>
                          <a:round/>
                          <a:tailEnd type="triangle" w="med" len="med"/>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w:pict>
              <v:shape w14:anchorId="0DB1B97E" id="Straight Arrow Connector 19" o:spid="_x0000_s1026" type="#_x0000_t32" style="position:absolute;margin-left:110.25pt;margin-top:10.15pt;width:.05pt;height:22.15pt;z-index:251671552;visibility:visible;mso-wrap-style:square;mso-width-percent:0;mso-height-percent:0;mso-wrap-distance-left:6pt;mso-wrap-distance-top:0;mso-wrap-distance-right:4.5pt;mso-wrap-distance-bottom:4.85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ry6gEAACAEAAAOAAAAZHJzL2Uyb0RvYy54bWysU8Fu2zAMvQ/YPwi6r3ZStCiMOD2k6y7F&#10;VqzbBygSZQuTRIFS4+TvJ8mp123AgA3zQRApPvLxkd7cHp1lB6Bo0Pd8ddFyBl6iMn7o+dcv9+9u&#10;OItJeCUseuj5CSK/3b59s5lCB2sc0SoglpP42E2h52NKoWuaKEdwIl5gAJ8fNZITKZs0NIrElLM7&#10;26zb9rqZkFQglBBj9t7Nj3xb82sNMn3SOkJitueZW6on1XNfzma7Ed1AIoxGnmmIf2DhhPG56JLq&#10;TiTBnsn8lsoZSRhRpwuJrkGtjYTaQ+5m1f7SzdMoAtResjgxLDLF/5dWfjzs/CMV6vLon8IDym8x&#10;i9JMIXbLYzFimMOOmlwJz9zZsQp5WoSEY2IyO68vrziT2b++WV22V0XlRnQvyEAxfQB0rFx6HhMJ&#10;M4xph97neSGtqpLi8BDTDHwBlLIe7421dWzWF0dEa1TxVYOG/c4SO4gy7/qdi/8URvjsVc2RhLHv&#10;vWLpFPJ2JjLCDxY4m3ruQHFmIa91uc1MSskqzaxG1SWdLJTa1n8GzYzK/c8d1CWGhY6QEnxaLZly&#10;dIHpTH0BtrX1PwLP8QUKdcH/BrwgamX0aQE745Eqt1dNlese1emRSvvFymtYZ3n+Zcqev7Zr1I8f&#10;e/sdAAD//wMAUEsDBBQABgAIAAAAIQBUX5u63wAAAAkBAAAPAAAAZHJzL2Rvd25yZXYueG1sTI/L&#10;TsMwEEX3SPyDNUjsqE0Ai4Y4FVAhsgGJtkIs3djEFvE4it025esZVrCbx9GdM9ViCj3b2zH5iAou&#10;ZwKYxTYaj52Czfrp4hZYyhqN7iNaBUebYFGfnlS6NPGAb3a/yh2jEEylVuByHkrOU+ts0GkWB4u0&#10;+4xj0JnaseNm1AcKDz0vhJA8aI90wenBPjrbfq12QUFefhydfG8f5v51/fwi/XfTNEulzs+m+ztg&#10;2U75D4ZffVKHmpy2cYcmsV5BUYgbQqkQV8AIoIEEtlUgryXwuuL/P6h/AAAA//8DAFBLAQItABQA&#10;BgAIAAAAIQC2gziS/gAAAOEBAAATAAAAAAAAAAAAAAAAAAAAAABbQ29udGVudF9UeXBlc10ueG1s&#10;UEsBAi0AFAAGAAgAAAAhADj9If/WAAAAlAEAAAsAAAAAAAAAAAAAAAAALwEAAF9yZWxzLy5yZWxz&#10;UEsBAi0AFAAGAAgAAAAhAAv/ivLqAQAAIAQAAA4AAAAAAAAAAAAAAAAALgIAAGRycy9lMm9Eb2Mu&#10;eG1sUEsBAi0AFAAGAAgAAAAhAFRfm7rfAAAACQEAAA8AAAAAAAAAAAAAAAAARAQAAGRycy9kb3du&#10;cmV2LnhtbFBLBQYAAAAABAAEAPMAAABQBQAAAAA=&#10;">
                <v:stroke endarrow="block"/>
                <o:lock v:ext="edit" shapetype="f"/>
              </v:shape>
            </w:pict>
          </mc:Fallback>
        </mc:AlternateContent>
      </w:r>
    </w:p>
    <w:p w14:paraId="5B3A6D9B" w14:textId="77777777" w:rsidR="00D51958" w:rsidRDefault="00D51958" w:rsidP="00D51958">
      <w:pPr>
        <w:spacing w:after="0" w:line="240" w:lineRule="auto"/>
      </w:pPr>
    </w:p>
    <w:p w14:paraId="6B8BC8A5" w14:textId="0D6F0878" w:rsidR="00D51958" w:rsidRDefault="00D51958" w:rsidP="00D51958">
      <w:pPr>
        <w:spacing w:after="0" w:line="240" w:lineRule="auto"/>
      </w:pPr>
      <w:r>
        <w:rPr>
          <w:noProof/>
        </w:rPr>
        <mc:AlternateContent>
          <mc:Choice Requires="wps">
            <w:drawing>
              <wp:anchor distT="0" distB="26035" distL="0" distR="17780" simplePos="0" relativeHeight="251640832" behindDoc="0" locked="0" layoutInCell="1" allowOverlap="1" wp14:anchorId="0AD21715" wp14:editId="365F9F4C">
                <wp:simplePos x="0" y="0"/>
                <wp:positionH relativeFrom="column">
                  <wp:posOffset>559435</wp:posOffset>
                </wp:positionH>
                <wp:positionV relativeFrom="paragraph">
                  <wp:posOffset>74930</wp:posOffset>
                </wp:positionV>
                <wp:extent cx="1887220" cy="526415"/>
                <wp:effectExtent l="0" t="0" r="1778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14:paraId="43FCE324"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Records screened</w:t>
                            </w:r>
                          </w:p>
                          <w:p w14:paraId="57A2AC2D"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256)</w:t>
                            </w: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AD21715" id="Rectangle 18" o:spid="_x0000_s1030" style="position:absolute;left:0;text-align:left;margin-left:44.05pt;margin-top:5.9pt;width:148.6pt;height:41.45pt;z-index:251640832;visibility:visible;mso-wrap-style:square;mso-width-percent:0;mso-height-percent:0;mso-wrap-distance-left:0;mso-wrap-distance-top:0;mso-wrap-distance-right:1.4pt;mso-wrap-distance-bottom:2.05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8REEAIAAHsEAAAOAAAAZHJzL2Uyb0RvYy54bWysVEtvGyEQvlfqf0Dc67VXcRqtvI6qRukl&#10;SqMmUc+YBS8qyyDA9vrfl5l9xEqlHqr6gBZm5nvMgDe3fWfZUYVowNV8tVhyppyExrh9zV9f7j/d&#10;cBaTcI2w4FTNzyry2+3HD5uTr1QJLdhGBZZBXKxOvuZtSr4qiihb1Ym4AK9cDmoInUh5G/ZFE8Qp&#10;o3e2KJfL6+IEofEBpIoxn94NQb4lfK2VTN+1jioxW/OsLdEaaN3hWmw3otoH4VsjRxniH1R0wrhM&#10;OkPdiSTYIZg/oDojA0TQaSGhK0BrIxV5yG5Wy3dunlvhFXnJzYl+blP8f7Dy8fjsnwJKj/4B5K+Y&#10;O1KcfKzmCG7imNPr0GFuFs566uJ57qLqE5P5cHVz87ksc7Nljq3L66vVGttciGqq9iGmbwo6hh81&#10;D3lK1DxxfIhpSJ1SkMzBvbGWJmUdKQVrGjyjTdjvvtrAjgJHTL+RLl6mBTi4ZsBGELI4uCJ/6WwV&#10;oln3Q2lmmuyjJE10E9VMIKRULq2GUCsaNfCukXeixbuLFeSZABFZZ70z9ggwZQ4gE/agcszHUkUX&#10;eS5e/k3YUDxXEDO4NBd3xkEgpRe+8TP1uz4br/kVRvFkB835KTDhZAv5ycgUiBhH89L/FMGP80t5&#10;8o8wXVZRvRvjkItCHHw5JNCGZvzGME4j33Dq2Pga8Qld7inr7T9j+xsAAP//AwBQSwMEFAAGAAgA&#10;AAAhABgDwMndAAAACAEAAA8AAABkcnMvZG93bnJldi54bWxMj8FOwzAQRO9I/IO1SNyoEwrFhDgV&#10;QkIg1EsL4ryJ3ThtvA6x24a/ZznBcWdGs2/K5eR7cbRj7AJpyGcZCEtNMB21Gj7en68UiJiQDPaB&#10;rIZvG2FZnZ+VWJhworU9blIruIRigRpcSkMhZWyc9RhnYbDE3jaMHhOfYyvNiCcu9728zrKF9NgR&#10;f3A42Cdnm/3m4DV81Yvd2/oF959bSq9K1XHldkrry4vp8QFEslP6C8MvPqNDxUx1OJCJotegVM5J&#10;1nNewP5c3c5B1Brub+5AVqX8P6D6AQAA//8DAFBLAQItABQABgAIAAAAIQC2gziS/gAAAOEBAAAT&#10;AAAAAAAAAAAAAAAAAAAAAABbQ29udGVudF9UeXBlc10ueG1sUEsBAi0AFAAGAAgAAAAhADj9If/W&#10;AAAAlAEAAAsAAAAAAAAAAAAAAAAALwEAAF9yZWxzLy5yZWxzUEsBAi0AFAAGAAgAAAAhAPYbxEQQ&#10;AgAAewQAAA4AAAAAAAAAAAAAAAAALgIAAGRycy9lMm9Eb2MueG1sUEsBAi0AFAAGAAgAAAAhABgD&#10;wMndAAAACAEAAA8AAAAAAAAAAAAAAAAAagQAAGRycy9kb3ducmV2LnhtbFBLBQYAAAAABAAEAPMA&#10;AAB0BQAAAAA=&#10;" filled="f" strokeweight="2pt">
                <v:stroke joinstyle="round"/>
                <v:path arrowok="t"/>
                <v:textbox>
                  <w:txbxContent>
                    <w:p w14:paraId="43FCE324"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Records screened</w:t>
                      </w:r>
                    </w:p>
                    <w:p w14:paraId="57A2AC2D"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256)</w:t>
                      </w:r>
                    </w:p>
                  </w:txbxContent>
                </v:textbox>
              </v:rect>
            </w:pict>
          </mc:Fallback>
        </mc:AlternateContent>
      </w:r>
      <w:r>
        <w:rPr>
          <w:noProof/>
        </w:rPr>
        <mc:AlternateContent>
          <mc:Choice Requires="wps">
            <w:drawing>
              <wp:anchor distT="0" distB="26035" distL="0" distR="17780" simplePos="0" relativeHeight="251642880" behindDoc="0" locked="0" layoutInCell="1" allowOverlap="1" wp14:anchorId="38CC29FD" wp14:editId="59B1FBF4">
                <wp:simplePos x="0" y="0"/>
                <wp:positionH relativeFrom="column">
                  <wp:posOffset>3048000</wp:posOffset>
                </wp:positionH>
                <wp:positionV relativeFrom="paragraph">
                  <wp:posOffset>74930</wp:posOffset>
                </wp:positionV>
                <wp:extent cx="1887220" cy="526415"/>
                <wp:effectExtent l="0" t="0" r="17780" b="2603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14:paraId="16771B9A"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Records excluded**</w:t>
                            </w:r>
                          </w:p>
                          <w:p w14:paraId="726AA6D4"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181)</w:t>
                            </w: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8CC29FD" id="Rectangle 17" o:spid="_x0000_s1031" style="position:absolute;left:0;text-align:left;margin-left:240pt;margin-top:5.9pt;width:148.6pt;height:41.45pt;z-index:251642880;visibility:visible;mso-wrap-style:square;mso-width-percent:0;mso-height-percent:0;mso-wrap-distance-left:0;mso-wrap-distance-top:0;mso-wrap-distance-right:1.4pt;mso-wrap-distance-bottom:2.05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YAgEQIAAHsEAAAOAAAAZHJzL2Uyb0RvYy54bWysVE1v2zAMvQ/YfxB8XxwbSxcYcYphRXcp&#10;umLtsLMiS7EwWRQkJXb+/Sj6o0EH7DAsB8ESycf3+KTsbofOsLP0QYOts2K1zpi0Ahptj3X24+X+&#10;wzZjIXLbcANW1tlFhux2//7drneVLKEF00jPEMSGqnd11sboqjwPopUdDytw0mJQge94xK0/5o3n&#10;PaJ3Ji/X65u8B984D0KGgKd3YzDbE75SUsRvSgUZmakz5BZp9bQe0prvd7w6eu5aLSYa/B9YdFxb&#10;bLpA3fHI2cnrP6A6LTwEUHEloMtBKS0kaUA1xfqNmueWO0lacDjBLWMK/w9WPJ6f3ZNP1IN7APEr&#10;4ETy3oVqiaRNmHIG5buUi8TZQFO8LFOUQ2QCD4vt9lNZ4rAFxjblzcdik8ac82qudj7ErxI6lj7q&#10;zKNLNDx+fghxTJ1TUjML99oYcspYYgpGN+mMNv54+GI8O/NkMf2mduE6zcPJNiN2AiGJoyrSFy9G&#10;JjRjv0vFdIM6SuJEN1EuDbgQ0sZiDLW8kWPfTeo7t013N1WQZgJMyAr5LtgTwJw5gszYI8spP5VK&#10;ushL8fpvxMbipYI6g41LcacteGJ6pTt9xuEwoHC0LEXTyQGay5Nn3IoW8MmI6KlxsuZl+Mm9m/yL&#10;6PwjzJeVV29sHHMTEQufTxGUJo9fO0xu4A2niU2vMT2h6z1lvf5n7H8DAAD//wMAUEsDBBQABgAI&#10;AAAAIQArimT03gAAAAkBAAAPAAAAZHJzL2Rvd25yZXYueG1sTI/BTsMwEETvSPyDtUjcqNOqakyI&#10;UyEkBEJcWhBnJ97GaeN1iN02/D3LiR5XM5p9r1xPvhcnHGMXSMN8loFAaoLtqNXw+fF8p0DEZMia&#10;PhBq+MEI6+r6qjSFDWfa4GmbWsEjFAujwaU0FFLGxqE3cRYGJM52YfQm8Tm20o7mzOO+l4ssW0lv&#10;OuIPzgz45LA5bI9ew3e92r9tXszha0fpVak6vru90vr2Znp8AJFwSv9l+MNndKiYqQ5HslH0GpYq&#10;Y5fEwZwVuJDn+QJEreF+mYOsSnlpUP0CAAD//wMAUEsBAi0AFAAGAAgAAAAhALaDOJL+AAAA4QEA&#10;ABMAAAAAAAAAAAAAAAAAAAAAAFtDb250ZW50X1R5cGVzXS54bWxQSwECLQAUAAYACAAAACEAOP0h&#10;/9YAAACUAQAACwAAAAAAAAAAAAAAAAAvAQAAX3JlbHMvLnJlbHNQSwECLQAUAAYACAAAACEAUs2A&#10;IBECAAB7BAAADgAAAAAAAAAAAAAAAAAuAgAAZHJzL2Uyb0RvYy54bWxQSwECLQAUAAYACAAAACEA&#10;K4pk9N4AAAAJAQAADwAAAAAAAAAAAAAAAABrBAAAZHJzL2Rvd25yZXYueG1sUEsFBgAAAAAEAAQA&#10;8wAAAHYFAAAAAA==&#10;" filled="f" strokeweight="2pt">
                <v:stroke joinstyle="round"/>
                <v:path arrowok="t"/>
                <v:textbox>
                  <w:txbxContent>
                    <w:p w14:paraId="16771B9A"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Records excluded**</w:t>
                      </w:r>
                    </w:p>
                    <w:p w14:paraId="726AA6D4"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181)</w:t>
                      </w:r>
                    </w:p>
                  </w:txbxContent>
                </v:textbox>
              </v:rect>
            </w:pict>
          </mc:Fallback>
        </mc:AlternateContent>
      </w:r>
      <w:r>
        <w:rPr>
          <w:noProof/>
        </w:rPr>
        <mc:AlternateContent>
          <mc:Choice Requires="wps">
            <w:drawing>
              <wp:anchor distT="76200" distB="95250" distL="0" distR="27305" simplePos="0" relativeHeight="251657216" behindDoc="0" locked="0" layoutInCell="1" allowOverlap="1" wp14:anchorId="0B73B2F1" wp14:editId="32228E40">
                <wp:simplePos x="0" y="0"/>
                <wp:positionH relativeFrom="column">
                  <wp:posOffset>2453640</wp:posOffset>
                </wp:positionH>
                <wp:positionV relativeFrom="paragraph">
                  <wp:posOffset>328295</wp:posOffset>
                </wp:positionV>
                <wp:extent cx="563245" cy="635"/>
                <wp:effectExtent l="0" t="76200" r="27305" b="9461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635"/>
                        </a:xfrm>
                        <a:prstGeom prst="straightConnector1">
                          <a:avLst/>
                        </a:prstGeom>
                        <a:noFill/>
                        <a:ln>
                          <a:solidFill>
                            <a:srgbClr val="000000"/>
                          </a:solidFill>
                          <a:round/>
                          <a:tailEnd type="triangle" w="med" len="med"/>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w:pict>
              <v:shape w14:anchorId="628BD94F" id="Straight Arrow Connector 16" o:spid="_x0000_s1026" type="#_x0000_t32" style="position:absolute;margin-left:193.2pt;margin-top:25.85pt;width:44.35pt;height:.05pt;z-index:251657216;visibility:visible;mso-wrap-style:square;mso-width-percent:0;mso-height-percent:0;mso-wrap-distance-left:0;mso-wrap-distance-top:6pt;mso-wrap-distance-right:2.15pt;mso-wrap-distance-bottom:7.5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DM6wEAACAEAAAOAAAAZHJzL2Uyb0RvYy54bWysU8FuEzEQvSPxD5bvZJOURGjVTQ8p5VJB&#10;ReEDHHu8a2F7rLGbTf4e25suBSQkEHuwPPa8mfeeZ69vTs6yI1A06Du+Wiw5Ay9RGd93/OuXuzfv&#10;OItJeCUseuj4GSK/2b1+dT2GFtY4oFVALBfxsR1Dx4eUQts0UQ7gRFxgAJ8vNZITKYfUN4rEmKs7&#10;26yXy20zIqlAKCHGfHo7XfJdra81yPRJ6wiJ2Y5nbqmuVNdDWZvdtWh7EmEw8kJD/AMLJ4zPTedS&#10;tyIJ9kTmt1LOSMKIOi0kuga1NhKqhqxmtfxFzeMgAlQt2ZwYZpvi/ysrPx73/oEKdXnyj+Ee5beY&#10;TWnGENv5sgQxTGknTa6kZ+7sVI08z0bCKTGZDzfbq/XbDWcyX22vNsXlRrTPyEAxfQB0rGw6HhMJ&#10;0w9pj97n90JaVSfF8T6mCfgMKG093hlr67NZXw4iWqPKWQ2oP+wtsaMo712/S/Of0gifvKo1kjD2&#10;vVcsnUOezkRG+N4CZ2PHHSjOLOSxLruJSWlZrZncqL6ks4XS2/rPoJlRWf+koA4xzHSElODTaq6U&#10;swtMZ+ozcFml/xF4yS9QqAP+N+AZUTujTzPYGY9Uub0QVbYHVOcHKvJLlMewvuXllylz/jKuWT9+&#10;7N13AAAA//8DAFBLAwQUAAYACAAAACEAoT7sM+EAAAAJAQAADwAAAGRycy9kb3ducmV2LnhtbEyP&#10;wU7DMAyG75N4h8hI3La0sHWlNJ2ACdELSGwIccwa00Q0TtVkW8fTk53gaPvT7+8vV6Pt2AEHbxwJ&#10;SGcJMKTGKUOtgPft0zQH5oMkJTtHKOCEHlbVxaSUhXJHesPDJrQshpAvpAAdQl9w7huNVvqZ65Hi&#10;7csNVoY4Di1XgzzGcNvx6yTJuJWG4gcte3zU2Hxv9lZAWH+edPbRPNya1+3zS2Z+6rpeC3F1Od7f&#10;AQs4hj8YzvpRHarotHN7Up51Am7ybB5RAYt0CSwC8+UiBbY7L3LgVcn/N6h+AQAA//8DAFBLAQIt&#10;ABQABgAIAAAAIQC2gziS/gAAAOEBAAATAAAAAAAAAAAAAAAAAAAAAABbQ29udGVudF9UeXBlc10u&#10;eG1sUEsBAi0AFAAGAAgAAAAhADj9If/WAAAAlAEAAAsAAAAAAAAAAAAAAAAALwEAAF9yZWxzLy5y&#10;ZWxzUEsBAi0AFAAGAAgAAAAhAF8P4MzrAQAAIAQAAA4AAAAAAAAAAAAAAAAALgIAAGRycy9lMm9E&#10;b2MueG1sUEsBAi0AFAAGAAgAAAAhAKE+7DPhAAAACQEAAA8AAAAAAAAAAAAAAAAARQQAAGRycy9k&#10;b3ducmV2LnhtbFBLBQYAAAAABAAEAPMAAABTBQAAAAA=&#10;">
                <v:stroke endarrow="block"/>
                <o:lock v:ext="edit" shapetype="f"/>
              </v:shape>
            </w:pict>
          </mc:Fallback>
        </mc:AlternateContent>
      </w:r>
    </w:p>
    <w:p w14:paraId="6C9D4D03" w14:textId="77777777" w:rsidR="00D51958" w:rsidRDefault="00D51958" w:rsidP="00D51958">
      <w:pPr>
        <w:spacing w:after="0" w:line="240" w:lineRule="auto"/>
      </w:pPr>
    </w:p>
    <w:p w14:paraId="69A05BA8" w14:textId="77777777" w:rsidR="00D51958" w:rsidRDefault="00D51958" w:rsidP="00D51958">
      <w:pPr>
        <w:spacing w:after="0" w:line="240" w:lineRule="auto"/>
      </w:pPr>
    </w:p>
    <w:p w14:paraId="47E927B4" w14:textId="7A43567A" w:rsidR="00D51958" w:rsidRDefault="00D51958" w:rsidP="00D51958">
      <w:pPr>
        <w:spacing w:after="0" w:line="240" w:lineRule="auto"/>
      </w:pPr>
      <w:r>
        <w:rPr>
          <w:noProof/>
        </w:rPr>
        <mc:AlternateContent>
          <mc:Choice Requires="wps">
            <w:drawing>
              <wp:anchor distT="0" distB="61595" distL="76200" distR="57150" simplePos="0" relativeHeight="251673600" behindDoc="0" locked="0" layoutInCell="1" allowOverlap="1" wp14:anchorId="70A48DD5" wp14:editId="357F9351">
                <wp:simplePos x="0" y="0"/>
                <wp:positionH relativeFrom="column">
                  <wp:posOffset>1400175</wp:posOffset>
                </wp:positionH>
                <wp:positionV relativeFrom="paragraph">
                  <wp:posOffset>99695</wp:posOffset>
                </wp:positionV>
                <wp:extent cx="635" cy="281305"/>
                <wp:effectExtent l="76200" t="0" r="75565" b="6159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281305"/>
                        </a:xfrm>
                        <a:prstGeom prst="straightConnector1">
                          <a:avLst/>
                        </a:prstGeom>
                        <a:noFill/>
                        <a:ln>
                          <a:solidFill>
                            <a:srgbClr val="000000"/>
                          </a:solidFill>
                          <a:round/>
                          <a:tailEnd type="triangle" w="med" len="med"/>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w:pict>
              <v:shape w14:anchorId="5E9B1D23" id="Straight Arrow Connector 15" o:spid="_x0000_s1026" type="#_x0000_t32" style="position:absolute;margin-left:110.25pt;margin-top:7.85pt;width:.05pt;height:22.15pt;z-index:251673600;visibility:visible;mso-wrap-style:square;mso-width-percent:0;mso-height-percent:0;mso-wrap-distance-left:6pt;mso-wrap-distance-top:0;mso-wrap-distance-right:4.5pt;mso-wrap-distance-bottom:4.85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ry6gEAACAEAAAOAAAAZHJzL2Uyb0RvYy54bWysU8Fu2zAMvQ/YPwi6r3ZStCiMOD2k6y7F&#10;VqzbBygSZQuTRIFS4+TvJ8mp123AgA3zQRApPvLxkd7cHp1lB6Bo0Pd8ddFyBl6iMn7o+dcv9+9u&#10;OItJeCUseuj5CSK/3b59s5lCB2sc0SoglpP42E2h52NKoWuaKEdwIl5gAJ8fNZITKZs0NIrElLM7&#10;26zb9rqZkFQglBBj9t7Nj3xb82sNMn3SOkJitueZW6on1XNfzma7Ed1AIoxGnmmIf2DhhPG56JLq&#10;TiTBnsn8lsoZSRhRpwuJrkGtjYTaQ+5m1f7SzdMoAtResjgxLDLF/5dWfjzs/CMV6vLon8IDym8x&#10;i9JMIXbLYzFimMOOmlwJz9zZsQp5WoSEY2IyO68vrziT2b++WV22V0XlRnQvyEAxfQB0rFx6HhMJ&#10;M4xph97neSGtqpLi8BDTDHwBlLIe7421dWzWF0dEa1TxVYOG/c4SO4gy7/qdi/8URvjsVc2RhLHv&#10;vWLpFPJ2JjLCDxY4m3ruQHFmIa91uc1MSskqzaxG1SWdLJTa1n8GzYzK/c8d1CWGhY6QEnxaLZly&#10;dIHpTH0BtrX1PwLP8QUKdcH/BrwgamX0aQE745Eqt1dNlese1emRSvvFymtYZ3n+Zcqev7Zr1I8f&#10;e/sdAAD//wMAUEsDBBQABgAIAAAAIQBOprHy3wAAAAkBAAAPAAAAZHJzL2Rvd25yZXYueG1sTI/B&#10;TsMwDIbvSLxDZCRuLKHSAnRNJ2BC9AISG0I7Zo1pIpqkarKt4+kxJzja/6ffn6vl5Ht2wDG5GBRc&#10;zwQwDG00LnQK3jdPV7fAUtbB6D4GVHDCBMv6/KzSpYnH8IaHde4YlYRUagU256HkPLUWvU6zOGCg&#10;7DOOXmcax46bUR+p3Pe8EEJyr12gC1YP+Gix/VrvvYK82p6s/Ggf7tzr5vlFuu+maVZKXV5M9wtg&#10;Gaf8B8OvPqlDTU67uA8msV5BUYg5oRTMb4ARQAsJbKdACgG8rvj/D+ofAAAA//8DAFBLAQItABQA&#10;BgAIAAAAIQC2gziS/gAAAOEBAAATAAAAAAAAAAAAAAAAAAAAAABbQ29udGVudF9UeXBlc10ueG1s&#10;UEsBAi0AFAAGAAgAAAAhADj9If/WAAAAlAEAAAsAAAAAAAAAAAAAAAAALwEAAF9yZWxzLy5yZWxz&#10;UEsBAi0AFAAGAAgAAAAhAAv/ivLqAQAAIAQAAA4AAAAAAAAAAAAAAAAALgIAAGRycy9lMm9Eb2Mu&#10;eG1sUEsBAi0AFAAGAAgAAAAhAE6msfLfAAAACQEAAA8AAAAAAAAAAAAAAAAARAQAAGRycy9kb3du&#10;cmV2LnhtbFBLBQYAAAAABAAEAPMAAABQBQAAAAA=&#10;">
                <v:stroke endarrow="block"/>
                <o:lock v:ext="edit" shapetype="f"/>
              </v:shape>
            </w:pict>
          </mc:Fallback>
        </mc:AlternateContent>
      </w:r>
    </w:p>
    <w:p w14:paraId="56A4FEE7" w14:textId="77777777" w:rsidR="00D51958" w:rsidRDefault="00D51958" w:rsidP="00D51958">
      <w:pPr>
        <w:spacing w:after="0" w:line="240" w:lineRule="auto"/>
      </w:pPr>
    </w:p>
    <w:p w14:paraId="12D3CDF2" w14:textId="29D8203E" w:rsidR="00D51958" w:rsidRDefault="00D51958" w:rsidP="00D51958">
      <w:pPr>
        <w:spacing w:after="0" w:line="240" w:lineRule="auto"/>
      </w:pPr>
      <w:r>
        <w:rPr>
          <w:noProof/>
        </w:rPr>
        <mc:AlternateContent>
          <mc:Choice Requires="wps">
            <w:drawing>
              <wp:anchor distT="0" distB="26035" distL="0" distR="17780" simplePos="0" relativeHeight="251644928" behindDoc="0" locked="0" layoutInCell="1" allowOverlap="1" wp14:anchorId="73E20CC0" wp14:editId="69D84B92">
                <wp:simplePos x="0" y="0"/>
                <wp:positionH relativeFrom="column">
                  <wp:posOffset>560705</wp:posOffset>
                </wp:positionH>
                <wp:positionV relativeFrom="paragraph">
                  <wp:posOffset>47625</wp:posOffset>
                </wp:positionV>
                <wp:extent cx="1887220" cy="526415"/>
                <wp:effectExtent l="0" t="0" r="17780" b="2603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14:paraId="0962F9CE"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Reports sought for retrieval</w:t>
                            </w:r>
                          </w:p>
                          <w:p w14:paraId="351607FD"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75)</w:t>
                            </w: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E20CC0" id="Rectangle 14" o:spid="_x0000_s1032" style="position:absolute;left:0;text-align:left;margin-left:44.15pt;margin-top:3.75pt;width:148.6pt;height:41.45pt;z-index:251644928;visibility:visible;mso-wrap-style:square;mso-width-percent:0;mso-height-percent:0;mso-wrap-distance-left:0;mso-wrap-distance-top:0;mso-wrap-distance-right:1.4pt;mso-wrap-distance-bottom:2.05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2MEAIAAHsEAAAOAAAAZHJzL2Uyb0RvYy54bWysVEtvGyEQvlfqf0Dc67VXtRutvI6qRukl&#10;SqMmVc+YBS8qy6AB2+t/X5h9xEqlHqr6gBZm5nvMgLe3fWfZSWEw4Gq+Wiw5U05CY9yh5j9e7j/c&#10;cBaicI2w4FTNLyrw2937d9uzr1QJLdhGIUsgLlRnX/M2Rl8VRZCt6kRYgFcuBTVgJ2La4qFoUJwT&#10;emeLcrncFGfAxiNIFUI6vRuCfEf4WisZv2kdVGS25klbpBVp3ee12G1FdUDhWyNHGeIfVHTCuEQ6&#10;Q92JKNgRzR9QnZEIAXRcSOgK0NpIRR6Sm9XyjZvnVnhFXlJzgp/bFP4frHw8PfsnzNKDfwD5K6SO&#10;FGcfqjmSN2HM6TV2OTcJZz118TJ3UfWRyXS4urn5VJap2TLF1uXm42qd21yIaqr2GOJXBR3LHzXH&#10;NCVqnjg9hDikTimZzMG9sZYmZR0pBWuafEYbPOy/WGQnkUdMv5EuXKchHF0zYGcQsji4In/xYlVG&#10;s+670sw0yUdJmugmqplASKlcXA2hVjRq4F1n3ok2391cQZ4JMCPrpHfGHgGmzAFkwh5Ujvm5VNFF&#10;nouXfxM2FM8VxAwuzsWdcYCk9Mp3/oz9vk/Ga77J0Xyyh+byhEw42UJ6MjIiEefRvPQ/BfpxfjFN&#10;/hGmyyqqN2MccrMQB5+PEbShGb8yjNNIN5w6Nr7G/ISu95T1+p+x+w0AAP//AwBQSwMEFAAGAAgA&#10;AAAhAHM3MzDcAAAABwEAAA8AAABkcnMvZG93bnJldi54bWxMjsFOwzAQRO9I/IO1SNyoA6XFhDgV&#10;QkIg1EtL1fMm3sZp43WI3Tb8PeYEtxnNaOYVi9F14kRDaD1ruJ1kIIhrb1puNGw+X28UiBCRDXae&#10;ScM3BViUlxcF5safeUWndWxEGuGQowYbY59LGWpLDsPE98Qp2/nBYUx2aKQZ8JzGXSfvsmwuHbac&#10;Hiz29GKpPqyPTsNXNd9/rN7wsN1xfFeqCku7V1pfX43PTyAijfGvDL/4CR3KxFT5I5sgOg1KTVNT&#10;w8MMRIqnapZEpeExuwdZFvI/f/kDAAD//wMAUEsBAi0AFAAGAAgAAAAhALaDOJL+AAAA4QEAABMA&#10;AAAAAAAAAAAAAAAAAAAAAFtDb250ZW50X1R5cGVzXS54bWxQSwECLQAUAAYACAAAACEAOP0h/9YA&#10;AACUAQAACwAAAAAAAAAAAAAAAAAvAQAAX3JlbHMvLnJlbHNQSwECLQAUAAYACAAAACEAvrZNjBAC&#10;AAB7BAAADgAAAAAAAAAAAAAAAAAuAgAAZHJzL2Uyb0RvYy54bWxQSwECLQAUAAYACAAAACEAczcz&#10;MNwAAAAHAQAADwAAAAAAAAAAAAAAAABqBAAAZHJzL2Rvd25yZXYueG1sUEsFBgAAAAAEAAQA8wAA&#10;AHMFAAAAAA==&#10;" filled="f" strokeweight="2pt">
                <v:stroke joinstyle="round"/>
                <v:path arrowok="t"/>
                <v:textbox>
                  <w:txbxContent>
                    <w:p w14:paraId="0962F9CE"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Reports sought for retrieval</w:t>
                      </w:r>
                    </w:p>
                    <w:p w14:paraId="351607FD"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75)</w:t>
                      </w:r>
                    </w:p>
                  </w:txbxContent>
                </v:textbox>
              </v:rect>
            </w:pict>
          </mc:Fallback>
        </mc:AlternateContent>
      </w:r>
      <w:r>
        <w:rPr>
          <w:noProof/>
        </w:rPr>
        <mc:AlternateContent>
          <mc:Choice Requires="wps">
            <w:drawing>
              <wp:anchor distT="0" distB="26035" distL="0" distR="17780" simplePos="0" relativeHeight="251646976" behindDoc="0" locked="0" layoutInCell="1" allowOverlap="1" wp14:anchorId="42102300" wp14:editId="0BA62E21">
                <wp:simplePos x="0" y="0"/>
                <wp:positionH relativeFrom="column">
                  <wp:posOffset>3049270</wp:posOffset>
                </wp:positionH>
                <wp:positionV relativeFrom="paragraph">
                  <wp:posOffset>66675</wp:posOffset>
                </wp:positionV>
                <wp:extent cx="1887220" cy="526415"/>
                <wp:effectExtent l="0" t="0" r="17780" b="2603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14:paraId="2E694FDA"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Reports not retrieved</w:t>
                            </w:r>
                          </w:p>
                          <w:p w14:paraId="19293035"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3)</w:t>
                            </w: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2102300" id="Rectangle 13" o:spid="_x0000_s1033" style="position:absolute;left:0;text-align:left;margin-left:240.1pt;margin-top:5.25pt;width:148.6pt;height:41.45pt;z-index:251646976;visibility:visible;mso-wrap-style:square;mso-width-percent:0;mso-height-percent:0;mso-wrap-distance-left:0;mso-wrap-distance-top:0;mso-wrap-distance-right:1.4pt;mso-wrap-distance-bottom:2.05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AnoEAIAAHsEAAAOAAAAZHJzL2Uyb0RvYy54bWysVEtvGyEQvlfqf0Dc67VXdRKtvI6qRukl&#10;SqMmUc+YBS8qyyDA9vrfl5l9xEqlHqr6gBZm5nvMgDe3fWfZUYVowNV8tVhyppyExrh9zV9f7j/d&#10;cBaTcI2w4FTNzyry2+3HD5uTr1QJLdhGBZZBXKxOvuZtSr4qiihb1Ym4AK9cDmoInUh5G/ZFE8Qp&#10;o3e2KJfLq+IEofEBpIoxn94NQb4lfK2VTN+1jioxW/OsLdEaaN3hWmw3otoH4VsjRxniH1R0wrhM&#10;OkPdiSTYIZg/oDojA0TQaSGhK0BrIxV5yG5Wy3dunlvhFXnJzYl+blP8f7Dy8fjsnwJKj/4B5K+Y&#10;O1KcfKzmCG7imNPr0GFuFs566uJ57qLqE5P5cHVzc12Wudkyx9bl1efVGttciGqq9iGmbwo6hh81&#10;D3lK1DxxfIhpSJ1SkMzBvbGWJmUdKQVrGjyjTdjvvtrAjgJHTL+RLl6mBTi4ZsBGELI4uCJ/6WwV&#10;oln3Q2lmmuyjJE10E9VMIKRULq2GUCsaNfCukXeixbuLFeSZABFZZ70z9ggwZQ4gE/agcszHUkUX&#10;eS5e/k3YUDxXEDO4NBd3xkEgpRe+8TP1uz4br/k1RvFkB835KTDhZAv5ycgUiBhH89L/FMGP80t5&#10;8o8wXVZRvRvjkItCHHw5JNCGZvzGME4j33Dq2Pga8Qld7inr7T9j+xsAAP//AwBQSwMEFAAGAAgA&#10;AAAhACGtDwPfAAAACQEAAA8AAABkcnMvZG93bnJldi54bWxMj8FOwzAQRO9I/IO1SNyoTQmNm8ap&#10;EBICIS4tiPMmduO08TrEbhv+HnOC42qeZt6W68n17GTG0HlScDsTwAw1XnfUKvh4f7qRwEJE0th7&#10;Mgq+TYB1dXlRYqH9mTbmtI0tSyUUClRgYxwKzkNjjcMw84OhlO386DCmc2y5HvGcyl3P50IsuMOO&#10;0oLFwTxa0xy2R6fgq17sXzfPePjcUXyRsg5vdi+Vur6aHlbAopniHwy/+kkdquRU+yPpwHoFmRTz&#10;hKZA3ANLQJ7nGbBawfIuA16V/P8H1Q8AAAD//wMAUEsBAi0AFAAGAAgAAAAhALaDOJL+AAAA4QEA&#10;ABMAAAAAAAAAAAAAAAAAAAAAAFtDb250ZW50X1R5cGVzXS54bWxQSwECLQAUAAYACAAAACEAOP0h&#10;/9YAAACUAQAACwAAAAAAAAAAAAAAAAAvAQAAX3JlbHMvLnJlbHNQSwECLQAUAAYACAAAACEAGmAJ&#10;6BACAAB7BAAADgAAAAAAAAAAAAAAAAAuAgAAZHJzL2Uyb0RvYy54bWxQSwECLQAUAAYACAAAACEA&#10;Ia0PA98AAAAJAQAADwAAAAAAAAAAAAAAAABqBAAAZHJzL2Rvd25yZXYueG1sUEsFBgAAAAAEAAQA&#10;8wAAAHYFAAAAAA==&#10;" filled="f" strokeweight="2pt">
                <v:stroke joinstyle="round"/>
                <v:path arrowok="t"/>
                <v:textbox>
                  <w:txbxContent>
                    <w:p w14:paraId="2E694FDA"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Reports not retrieved</w:t>
                      </w:r>
                    </w:p>
                    <w:p w14:paraId="19293035"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3)</w:t>
                      </w:r>
                    </w:p>
                  </w:txbxContent>
                </v:textbox>
              </v:rect>
            </w:pict>
          </mc:Fallback>
        </mc:AlternateContent>
      </w:r>
      <w:r>
        <w:rPr>
          <w:noProof/>
        </w:rPr>
        <mc:AlternateContent>
          <mc:Choice Requires="wps">
            <w:drawing>
              <wp:anchor distT="76200" distB="95250" distL="0" distR="27305" simplePos="0" relativeHeight="251659264" behindDoc="0" locked="0" layoutInCell="1" allowOverlap="1" wp14:anchorId="001B9D95" wp14:editId="10DF891E">
                <wp:simplePos x="0" y="0"/>
                <wp:positionH relativeFrom="column">
                  <wp:posOffset>2463165</wp:posOffset>
                </wp:positionH>
                <wp:positionV relativeFrom="paragraph">
                  <wp:posOffset>320675</wp:posOffset>
                </wp:positionV>
                <wp:extent cx="563245" cy="635"/>
                <wp:effectExtent l="0" t="76200" r="27305" b="9461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635"/>
                        </a:xfrm>
                        <a:prstGeom prst="straightConnector1">
                          <a:avLst/>
                        </a:prstGeom>
                        <a:noFill/>
                        <a:ln>
                          <a:solidFill>
                            <a:srgbClr val="000000"/>
                          </a:solidFill>
                          <a:round/>
                          <a:tailEnd type="triangle" w="med" len="med"/>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w:pict>
              <v:shape w14:anchorId="0F054B76" id="Straight Arrow Connector 12" o:spid="_x0000_s1026" type="#_x0000_t32" style="position:absolute;margin-left:193.95pt;margin-top:25.25pt;width:44.35pt;height:.05pt;z-index:251659264;visibility:visible;mso-wrap-style:square;mso-width-percent:0;mso-height-percent:0;mso-wrap-distance-left:0;mso-wrap-distance-top:6pt;mso-wrap-distance-right:2.15pt;mso-wrap-distance-bottom:7.5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DM6wEAACAEAAAOAAAAZHJzL2Uyb0RvYy54bWysU8FuEzEQvSPxD5bvZJOURGjVTQ8p5VJB&#10;ReEDHHu8a2F7rLGbTf4e25suBSQkEHuwPPa8mfeeZ69vTs6yI1A06Du+Wiw5Ay9RGd93/OuXuzfv&#10;OItJeCUseuj4GSK/2b1+dT2GFtY4oFVALBfxsR1Dx4eUQts0UQ7gRFxgAJ8vNZITKYfUN4rEmKs7&#10;26yXy20zIqlAKCHGfHo7XfJdra81yPRJ6wiJ2Y5nbqmuVNdDWZvdtWh7EmEw8kJD/AMLJ4zPTedS&#10;tyIJ9kTmt1LOSMKIOi0kuga1NhKqhqxmtfxFzeMgAlQt2ZwYZpvi/ysrPx73/oEKdXnyj+Ee5beY&#10;TWnGENv5sgQxTGknTa6kZ+7sVI08z0bCKTGZDzfbq/XbDWcyX22vNsXlRrTPyEAxfQB0rGw6HhMJ&#10;0w9pj97n90JaVSfF8T6mCfgMKG093hlr67NZXw4iWqPKWQ2oP+wtsaMo712/S/Of0gifvKo1kjD2&#10;vVcsnUOezkRG+N4CZ2PHHSjOLOSxLruJSWlZrZncqL6ks4XS2/rPoJlRWf+koA4xzHSElODTaq6U&#10;swtMZ+ozcFml/xF4yS9QqAP+N+AZUTujTzPYGY9Uub0QVbYHVOcHKvJLlMewvuXllylz/jKuWT9+&#10;7N13AAAA//8DAFBLAwQUAAYACAAAACEAU96zyOEAAAAJAQAADwAAAGRycy9kb3ducmV2LnhtbEyP&#10;y07DMBBF90j8gzVI7KjDo24b4lRAhcgGJNqqYunGQ2wRj6PYbVO+vu4KljNzdOfcYj64lu2xD9aT&#10;hNtRBgyp9tpSI2G9er2ZAgtRkVatJ5RwxADz8vKiULn2B/rE/TI2LIVQyJUEE2OXcx5qg06Fke+Q&#10;0u3b907FNPYN1706pHDX8rssE9wpS+mDUR2+GKx/ljsnIS6+jkZs6ueZ/Vi9vQv7W1XVQsrrq+Hp&#10;EVjEIf7BcNZP6lAmp63fkQ6slXA/ncwSKmGcjYEl4GEiBLDteSGAlwX/36A8AQAA//8DAFBLAQIt&#10;ABQABgAIAAAAIQC2gziS/gAAAOEBAAATAAAAAAAAAAAAAAAAAAAAAABbQ29udGVudF9UeXBlc10u&#10;eG1sUEsBAi0AFAAGAAgAAAAhADj9If/WAAAAlAEAAAsAAAAAAAAAAAAAAAAALwEAAF9yZWxzLy5y&#10;ZWxzUEsBAi0AFAAGAAgAAAAhAF8P4MzrAQAAIAQAAA4AAAAAAAAAAAAAAAAALgIAAGRycy9lMm9E&#10;b2MueG1sUEsBAi0AFAAGAAgAAAAhAFPes8jhAAAACQEAAA8AAAAAAAAAAAAAAAAARQQAAGRycy9k&#10;b3ducmV2LnhtbFBLBQYAAAAABAAEAPMAAABTBQAAAAA=&#10;">
                <v:stroke endarrow="block"/>
                <o:lock v:ext="edit" shapetype="f"/>
              </v:shape>
            </w:pict>
          </mc:Fallback>
        </mc:AlternateContent>
      </w:r>
    </w:p>
    <w:p w14:paraId="62907136" w14:textId="77777777" w:rsidR="00D51958" w:rsidRDefault="00D51958" w:rsidP="00D51958">
      <w:pPr>
        <w:spacing w:after="0" w:line="240" w:lineRule="auto"/>
      </w:pPr>
    </w:p>
    <w:p w14:paraId="5A541C93" w14:textId="3E824CB1" w:rsidR="00D51958" w:rsidRDefault="00D51958" w:rsidP="00D51958">
      <w:pPr>
        <w:spacing w:after="0" w:line="240" w:lineRule="auto"/>
      </w:pPr>
      <w:r>
        <w:rPr>
          <w:noProof/>
        </w:rPr>
        <mc:AlternateContent>
          <mc:Choice Requires="wps">
            <w:drawing>
              <wp:anchor distT="0" distB="17780" distL="4445" distR="17780" simplePos="0" relativeHeight="251667456" behindDoc="0" locked="0" layoutInCell="1" allowOverlap="1" wp14:anchorId="3E7903CB" wp14:editId="78AA761E">
                <wp:simplePos x="0" y="0"/>
                <wp:positionH relativeFrom="column">
                  <wp:posOffset>-1160145</wp:posOffset>
                </wp:positionH>
                <wp:positionV relativeFrom="paragraph">
                  <wp:posOffset>139065</wp:posOffset>
                </wp:positionV>
                <wp:extent cx="2787650" cy="262890"/>
                <wp:effectExtent l="5080" t="0" r="17780" b="17780"/>
                <wp:wrapNone/>
                <wp:docPr id="11" name="Flowchart: Alternative Process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chemeClr val="accent5">
                            <a:lumMod val="60000"/>
                            <a:lumOff val="40000"/>
                          </a:schemeClr>
                        </a:solidFill>
                        <a:ln>
                          <a:solidFill>
                            <a:srgbClr val="000000"/>
                          </a:solidFill>
                          <a:round/>
                        </a:ln>
                      </wps:spPr>
                      <wps:style>
                        <a:lnRef idx="2">
                          <a:schemeClr val="accent4">
                            <a:shade val="50000"/>
                          </a:schemeClr>
                        </a:lnRef>
                        <a:fillRef idx="1">
                          <a:schemeClr val="accent4"/>
                        </a:fillRef>
                        <a:effectRef idx="0">
                          <a:schemeClr val="accent4"/>
                        </a:effectRef>
                        <a:fontRef idx="minor"/>
                      </wps:style>
                      <wps:txbx>
                        <w:txbxContent>
                          <w:p w14:paraId="7D88F75D" w14:textId="77777777" w:rsidR="00D51958" w:rsidRDefault="00D51958" w:rsidP="00D51958">
                            <w:pPr>
                              <w:pStyle w:val="FrameContents"/>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A869EA1" w14:textId="77777777" w:rsidR="00D51958" w:rsidRDefault="00D51958" w:rsidP="00D51958">
                            <w:pPr>
                              <w:pStyle w:val="FrameContents"/>
                              <w:spacing w:after="0" w:line="240" w:lineRule="auto"/>
                              <w:rPr>
                                <w:rFonts w:ascii="Arial" w:hAnsi="Arial" w:cs="Arial"/>
                                <w:b/>
                                <w:color w:val="000000" w:themeColor="text1"/>
                                <w:sz w:val="18"/>
                                <w:szCs w:val="18"/>
                              </w:rPr>
                            </w:pP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7903CB" id="Flowchart: Alternative Process 11" o:spid="_x0000_s1034" type="#_x0000_t176" style="position:absolute;left:0;text-align:left;margin-left:-91.35pt;margin-top:10.95pt;width:219.5pt;height:20.7pt;rotation:-90;z-index:251667456;visibility:visible;mso-wrap-style:square;mso-width-percent:0;mso-height-percent:0;mso-wrap-distance-left:.35pt;mso-wrap-distance-top:0;mso-wrap-distance-right:1.4pt;mso-wrap-distance-bottom:1.4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yCHQwIAAAYFAAAOAAAAZHJzL2Uyb0RvYy54bWysVMFu2zAMvQ/YPwi+L06CJs2MOEXRort0&#10;XdB22FmRpdiYLAqSkjh/P4pynKzFdhjmg2GR4nuPT5SXN12r2V4634Aps8lonDFpBFSN2ZbZ99eH&#10;T4uM+cBNxTUYWWZH6bOb1ccPy4Mt5BRq0JV0DEGMLw62zOoQbJHnXtSy5X4EVhpMKnAtD7h027xy&#10;/IDorc6n4/E8P4CrrAMhvcfofUpmK8JXSorwTSkvA9NlhtoCvR29N/Gdr5a82Dpu60b0Mvg/qGh5&#10;Y5B0gLrngbOda95BtY1w4EGFkYA2B6UaIakH7GYyftPNS82tpF7QHG8Hm/z/gxVP+xe7dlG6t48g&#10;fnp0JD9YXwyZuPD9nk65ljlAGydztB8f6hr7YB2ZehxMlV1gAoPT68X1fIbeC8xN59PFZ3I950UE&#10;i8TW+fBFQsviR5kpDYe7mrtwq4N0hge5TudLVHz/6EPUeK4j8aCb6qHRmhZxeuSddmzP8dy5ENKE&#10;GZXrXfsVqhSfk36aAAzjnKTw1SmMFDSHEYkI/SWJNu953XYzsEYUtCdJ/a3Swc5UKR5ByO1kMFkd&#10;jlpGaG2epWJNFT0k7YOYy7auUqrmlUzh2SXtyQiST4ARWaFPA/bkb9hJZb8/lkq6U0NxOv4/CEvF&#10;QwUxgwlDcdsYcGTQRd/xM3SbDhsvs0XMxsgGquPaMW5EDXh7RXCkOg7Ma/eDO9vPTsCpe4LTveHF&#10;m2lJe6MQA7e7AKqhUToz9KeBl40c638M8TZfrmnX+fe1+gUAAP//AwBQSwMEFAAGAAgAAAAhAKgQ&#10;/ezdAAAACgEAAA8AAABkcnMvZG93bnJldi54bWxMj0FLxDAQhe+C/yGM4G03TWFbrU0XERS9CFYP&#10;HtNmti02kyVJd+u/dzzp8TEf731T71c3ixOGOHnSoLYZCKTe24kGDR/vj5sbEDEZsmb2hBq+McK+&#10;ubyoTWX9md7w1KZBcAnFymgYUzpWUsZ+RGfi1h+R+HbwwZnEMQzSBnPmcjfLPMsK6cxEvDCaIz6M&#10;2H+1i9PQK/cq25fPdVFPh2cqu9K6ELS+vlrv70AkXNMfDL/6rA4NO3V+IRvFzLlQTGrYqLK4BcHE&#10;rtyB6DTkRa5ANrX8/0LzAwAA//8DAFBLAQItABQABgAIAAAAIQC2gziS/gAAAOEBAAATAAAAAAAA&#10;AAAAAAAAAAAAAABbQ29udGVudF9UeXBlc10ueG1sUEsBAi0AFAAGAAgAAAAhADj9If/WAAAAlAEA&#10;AAsAAAAAAAAAAAAAAAAALwEAAF9yZWxzLy5yZWxzUEsBAi0AFAAGAAgAAAAhAM9HIIdDAgAABgUA&#10;AA4AAAAAAAAAAAAAAAAALgIAAGRycy9lMm9Eb2MueG1sUEsBAi0AFAAGAAgAAAAhAKgQ/ezdAAAA&#10;CgEAAA8AAAAAAAAAAAAAAAAAnQQAAGRycy9kb3ducmV2LnhtbFBLBQYAAAAABAAEAPMAAACnBQAA&#10;AAA=&#10;" fillcolor="#92cddc [1944]" strokeweight="2pt">
                <v:stroke joinstyle="round"/>
                <v:path arrowok="t"/>
                <v:textbox>
                  <w:txbxContent>
                    <w:p w14:paraId="7D88F75D" w14:textId="77777777" w:rsidR="00D51958" w:rsidRDefault="00D51958" w:rsidP="00D51958">
                      <w:pPr>
                        <w:pStyle w:val="FrameContents"/>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A869EA1" w14:textId="77777777" w:rsidR="00D51958" w:rsidRDefault="00D51958" w:rsidP="00D51958">
                      <w:pPr>
                        <w:pStyle w:val="FrameContents"/>
                        <w:spacing w:after="0" w:line="240" w:lineRule="auto"/>
                        <w:rPr>
                          <w:rFonts w:ascii="Arial" w:hAnsi="Arial" w:cs="Arial"/>
                          <w:b/>
                          <w:color w:val="000000" w:themeColor="text1"/>
                          <w:sz w:val="18"/>
                          <w:szCs w:val="18"/>
                        </w:rPr>
                      </w:pPr>
                    </w:p>
                  </w:txbxContent>
                </v:textbox>
              </v:shape>
            </w:pict>
          </mc:Fallback>
        </mc:AlternateContent>
      </w:r>
    </w:p>
    <w:p w14:paraId="67D92C2F" w14:textId="24297F48" w:rsidR="00D51958" w:rsidRDefault="00D51958" w:rsidP="00D51958">
      <w:pPr>
        <w:spacing w:after="0" w:line="240" w:lineRule="auto"/>
      </w:pPr>
      <w:r>
        <w:rPr>
          <w:noProof/>
        </w:rPr>
        <mc:AlternateContent>
          <mc:Choice Requires="wps">
            <w:drawing>
              <wp:anchor distT="0" distB="61595" distL="76200" distR="57150" simplePos="0" relativeHeight="251675648" behindDoc="0" locked="0" layoutInCell="1" allowOverlap="1" wp14:anchorId="43935219" wp14:editId="234188CA">
                <wp:simplePos x="0" y="0"/>
                <wp:positionH relativeFrom="column">
                  <wp:posOffset>1409700</wp:posOffset>
                </wp:positionH>
                <wp:positionV relativeFrom="paragraph">
                  <wp:posOffset>56515</wp:posOffset>
                </wp:positionV>
                <wp:extent cx="635" cy="281305"/>
                <wp:effectExtent l="76200" t="0" r="75565" b="6159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281305"/>
                        </a:xfrm>
                        <a:prstGeom prst="straightConnector1">
                          <a:avLst/>
                        </a:prstGeom>
                        <a:noFill/>
                        <a:ln>
                          <a:solidFill>
                            <a:srgbClr val="000000"/>
                          </a:solidFill>
                          <a:round/>
                          <a:tailEnd type="triangle" w="med" len="med"/>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w:pict>
              <v:shape w14:anchorId="19922244" id="Straight Arrow Connector 10" o:spid="_x0000_s1026" type="#_x0000_t32" style="position:absolute;margin-left:111pt;margin-top:4.45pt;width:.05pt;height:22.15pt;z-index:251675648;visibility:visible;mso-wrap-style:square;mso-width-percent:0;mso-height-percent:0;mso-wrap-distance-left:6pt;mso-wrap-distance-top:0;mso-wrap-distance-right:4.5pt;mso-wrap-distance-bottom:4.85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ry6gEAACAEAAAOAAAAZHJzL2Uyb0RvYy54bWysU8Fu2zAMvQ/YPwi6r3ZStCiMOD2k6y7F&#10;VqzbBygSZQuTRIFS4+TvJ8mp123AgA3zQRApPvLxkd7cHp1lB6Bo0Pd8ddFyBl6iMn7o+dcv9+9u&#10;OItJeCUseuj5CSK/3b59s5lCB2sc0SoglpP42E2h52NKoWuaKEdwIl5gAJ8fNZITKZs0NIrElLM7&#10;26zb9rqZkFQglBBj9t7Nj3xb82sNMn3SOkJitueZW6on1XNfzma7Ed1AIoxGnmmIf2DhhPG56JLq&#10;TiTBnsn8lsoZSRhRpwuJrkGtjYTaQ+5m1f7SzdMoAtResjgxLDLF/5dWfjzs/CMV6vLon8IDym8x&#10;i9JMIXbLYzFimMOOmlwJz9zZsQp5WoSEY2IyO68vrziT2b++WV22V0XlRnQvyEAxfQB0rFx6HhMJ&#10;M4xph97neSGtqpLi8BDTDHwBlLIe7421dWzWF0dEa1TxVYOG/c4SO4gy7/qdi/8URvjsVc2RhLHv&#10;vWLpFPJ2JjLCDxY4m3ruQHFmIa91uc1MSskqzaxG1SWdLJTa1n8GzYzK/c8d1CWGhY6QEnxaLZly&#10;dIHpTH0BtrX1PwLP8QUKdcH/BrwgamX0aQE745Eqt1dNlese1emRSvvFymtYZ3n+Zcqev7Zr1I8f&#10;e/sdAAD//wMAUEsDBBQABgAIAAAAIQD6HQ/L3wAAAAgBAAAPAAAAZHJzL2Rvd25yZXYueG1sTI/B&#10;TsMwEETvSPyDtUjcqFMjojZkUwEVIheQaBHi6MZLYhGvo9htU74ec4LjaEYzb8rV5HpxoDFYzwjz&#10;WQaCuPHGcovwtn28WoAIUbPRvWdCOFGAVXV+VurC+CO/0mETW5FKOBQaoYtxKKQMTUdOh5kfiJP3&#10;6UenY5JjK82oj6nc9VJlWS6dtpwWOj3QQ0fN12bvEOL649Tl78390r5sn55z+13X9Rrx8mK6uwUR&#10;aYp/YfjFT+hQJaad37MJokdQSqUvEWGxBJH8pOcgdgg31wpkVcr/B6ofAAAA//8DAFBLAQItABQA&#10;BgAIAAAAIQC2gziS/gAAAOEBAAATAAAAAAAAAAAAAAAAAAAAAABbQ29udGVudF9UeXBlc10ueG1s&#10;UEsBAi0AFAAGAAgAAAAhADj9If/WAAAAlAEAAAsAAAAAAAAAAAAAAAAALwEAAF9yZWxzLy5yZWxz&#10;UEsBAi0AFAAGAAgAAAAhAAv/ivLqAQAAIAQAAA4AAAAAAAAAAAAAAAAALgIAAGRycy9lMm9Eb2Mu&#10;eG1sUEsBAi0AFAAGAAgAAAAhAPodD8vfAAAACAEAAA8AAAAAAAAAAAAAAAAARAQAAGRycy9kb3du&#10;cmV2LnhtbFBLBQYAAAAABAAEAPMAAABQBQAAAAA=&#10;">
                <v:stroke endarrow="block"/>
                <o:lock v:ext="edit" shapetype="f"/>
              </v:shape>
            </w:pict>
          </mc:Fallback>
        </mc:AlternateContent>
      </w:r>
    </w:p>
    <w:p w14:paraId="1180FFC9" w14:textId="77777777" w:rsidR="00D51958" w:rsidRDefault="00D51958" w:rsidP="00D51958">
      <w:pPr>
        <w:spacing w:after="0" w:line="240" w:lineRule="auto"/>
      </w:pPr>
    </w:p>
    <w:p w14:paraId="1CE18D66" w14:textId="5FB6686D" w:rsidR="00D51958" w:rsidRDefault="00D51958" w:rsidP="00D51958">
      <w:pPr>
        <w:spacing w:after="0" w:line="240" w:lineRule="auto"/>
      </w:pPr>
      <w:r>
        <w:rPr>
          <w:noProof/>
        </w:rPr>
        <mc:AlternateContent>
          <mc:Choice Requires="wps">
            <w:drawing>
              <wp:anchor distT="0" distB="26035" distL="0" distR="17780" simplePos="0" relativeHeight="251649024" behindDoc="0" locked="0" layoutInCell="1" allowOverlap="1" wp14:anchorId="05C158A9" wp14:editId="7CFF0D83">
                <wp:simplePos x="0" y="0"/>
                <wp:positionH relativeFrom="column">
                  <wp:posOffset>561975</wp:posOffset>
                </wp:positionH>
                <wp:positionV relativeFrom="paragraph">
                  <wp:posOffset>13335</wp:posOffset>
                </wp:positionV>
                <wp:extent cx="1887220" cy="526415"/>
                <wp:effectExtent l="0" t="0" r="17780" b="2603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14:paraId="7634164C"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Reports assessed for eligibility</w:t>
                            </w:r>
                          </w:p>
                          <w:p w14:paraId="47485CDE"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72)</w:t>
                            </w: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5C158A9" id="Rectangle 9" o:spid="_x0000_s1035" style="position:absolute;left:0;text-align:left;margin-left:44.25pt;margin-top:1.05pt;width:148.6pt;height:41.45pt;z-index:251649024;visibility:visible;mso-wrap-style:square;mso-width-percent:0;mso-height-percent:0;mso-wrap-distance-left:0;mso-wrap-distance-top:0;mso-wrap-distance-right:1.4pt;mso-wrap-distance-bottom:2.05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Cb+EQIAAHsEAAAOAAAAZHJzL2Uyb0RvYy54bWysVEtvGyEQvlfqf0Dc67VXdZqsvI6qRukl&#10;SqMmVc+YBS8qy6AB2+t/X5h9xEqlHqr6gBZm5nvMgDe3fWfZUWEw4Gq+Wiw5U05CY9y+5j9e7j9c&#10;cxaicI2w4FTNzyrw2+37d5uTr1QJLdhGIUsgLlQnX/M2Rl8VRZCt6kRYgFcuBTVgJ2La4r5oUJwS&#10;emeLcrm8Kk6AjUeQKoR0ejcE+ZbwtVYyftM6qMhszZO2SCvSustrsd2Iao/Ct0aOMsQ/qOiEcYl0&#10;hroTUbADmj+gOiMRAui4kNAVoLWRijwkN6vlGzfPrfCKvKTmBD+3Kfw/WPl4fPZPmKUH/wDyV0gd&#10;KU4+VHMkb8KY02vscm4Sznrq4nnuouojk+lwdX39qSxTs2WKrcurj6t1bnMhqqnaY4hfFXQsf9Qc&#10;05SoeeL4EOKQOqVkMgf3xlqalHWkFKxp8hltcL/7YpEdRR4x/Ua6cJmGcHDNgJ1ByOLgivzFs1UZ&#10;zbrvSjPTJB8laaKbqGYCIaVycTWEWtGogXedeSfafHdzBXkmwIysk94ZewSYMgeQCXtQOebnUkUX&#10;eS5e/k3YUDxXEDO4OBd3xgGS0gvf+TP2uz4Zr/lNjuaTHTTnJ2TCyRbSk5ERiTiP5qX/KdCP84tp&#10;8o8wXVZRvRnjkJuFOPh8iKANzfiVYZxGuuHUsfE15id0uaes1/+M7W8AAAD//wMAUEsDBBQABgAI&#10;AAAAIQD+dvkv2wAAAAcBAAAPAAAAZHJzL2Rvd25yZXYueG1sTI7NTsMwEITvSLyDtUjcqNOiFCuN&#10;UyEkBEJcWlDPTryN08brELtteHuWExznRzNfuZ58L844xi6QhvksA4HUBNtRq+Hz4/lOgYjJkDV9&#10;INTwjRHW1fVVaQobLrTB8za1gkcoFkaDS2kopIyNQ2/iLAxInO3D6E1iObbSjubC476XiyxbSm86&#10;4gdnBnxy2By3J6/hq14e3jYv5rjbU3pVqo7v7qC0vr2ZHlcgEk7prwy/+IwOFTPV4UQ2il6DUjk3&#10;NSzmIDi+V/kDiJr9PANZlfI/f/UDAAD//wMAUEsBAi0AFAAGAAgAAAAhALaDOJL+AAAA4QEAABMA&#10;AAAAAAAAAAAAAAAAAAAAAFtDb250ZW50X1R5cGVzXS54bWxQSwECLQAUAAYACAAAACEAOP0h/9YA&#10;AACUAQAACwAAAAAAAAAAAAAAAAAvAQAAX3JlbHMvLnJlbHNQSwECLQAUAAYACAAAACEAISgm/hEC&#10;AAB7BAAADgAAAAAAAAAAAAAAAAAuAgAAZHJzL2Uyb0RvYy54bWxQSwECLQAUAAYACAAAACEA/nb5&#10;L9sAAAAHAQAADwAAAAAAAAAAAAAAAABrBAAAZHJzL2Rvd25yZXYueG1sUEsFBgAAAAAEAAQA8wAA&#10;AHMFAAAAAA==&#10;" filled="f" strokeweight="2pt">
                <v:stroke joinstyle="round"/>
                <v:path arrowok="t"/>
                <v:textbox>
                  <w:txbxContent>
                    <w:p w14:paraId="7634164C"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Reports assessed for eligibility</w:t>
                      </w:r>
                    </w:p>
                    <w:p w14:paraId="47485CDE"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72)</w:t>
                      </w:r>
                    </w:p>
                  </w:txbxContent>
                </v:textbox>
              </v:rect>
            </w:pict>
          </mc:Fallback>
        </mc:AlternateContent>
      </w:r>
      <w:r>
        <w:rPr>
          <w:noProof/>
        </w:rPr>
        <mc:AlternateContent>
          <mc:Choice Requires="wps">
            <w:drawing>
              <wp:anchor distT="0" distB="28575" distL="0" distR="17780" simplePos="0" relativeHeight="251651072" behindDoc="0" locked="0" layoutInCell="1" allowOverlap="1" wp14:anchorId="6572FB1F" wp14:editId="78B89866">
                <wp:simplePos x="0" y="0"/>
                <wp:positionH relativeFrom="column">
                  <wp:posOffset>3057525</wp:posOffset>
                </wp:positionH>
                <wp:positionV relativeFrom="paragraph">
                  <wp:posOffset>10795</wp:posOffset>
                </wp:positionV>
                <wp:extent cx="1887220" cy="1133475"/>
                <wp:effectExtent l="0" t="0" r="17780" b="2857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133475"/>
                        </a:xfrm>
                        <a:prstGeom prst="rect">
                          <a:avLst/>
                        </a:prstGeom>
                        <a:noFill/>
                        <a:ln>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14:paraId="59EB7C46"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Reports excluded (n = 58):</w:t>
                            </w:r>
                          </w:p>
                          <w:p w14:paraId="3A0B612C"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Wrong population (n = 13); no timing exposure (n = 11)</w:t>
                            </w:r>
                          </w:p>
                          <w:p w14:paraId="619BA35C"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Insufficient methods (n = 12); no eligible outcome (n = 9)</w:t>
                            </w:r>
                          </w:p>
                          <w:p w14:paraId="2AD6DA1D"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Secondary/non-primary (n = 7); insufficient outcome data (n = 6)</w:t>
                            </w: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72FB1F" id="Rectangle 8" o:spid="_x0000_s1036" style="position:absolute;left:0;text-align:left;margin-left:240.75pt;margin-top:.85pt;width:148.6pt;height:89.25pt;z-index:251651072;visibility:visible;mso-wrap-style:square;mso-width-percent:0;mso-height-percent:0;mso-wrap-distance-left:0;mso-wrap-distance-top:0;mso-wrap-distance-right:1.4pt;mso-wrap-distance-bottom:2.25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RFEwIAAH0EAAAOAAAAZHJzL2Uyb0RvYy54bWysVE1v2zAMvQ/YfxB8Xxy76xoYcYphRXcp&#10;umLtsLMiS7EwWRQkJXb+/Sj6o0EH7DAsB8ESycf3+KRsb4fOsJP0QYOts2K1zpi0AhptD3X24+X+&#10;wyZjIXLbcANW1tlZhux29/7dtneVLKEF00jPEMSGqnd11sboqjwPopUdDytw0mJQge94xK0/5I3n&#10;PaJ3Ji/X6095D75xHoQMAU/vxmC2I3ylpIjflAoyMlNnyC3S6mndpzXfbXl18Ny1Wkw0+D+w6Li2&#10;2HSBuuORs6PXf0B1WngIoOJKQJeDUlpI0oBqivUbNc8td5K04HCCW8YU/h+seDw9uyefqAf3AOJX&#10;wInkvQvVEkmbMOUMyncpF4mzgaZ4XqYoh8gEHhabzU1Z4rAFxori6urjzXWac86rudz5EL9K6Fj6&#10;qDOPNtH0+OkhxDF1TkndLNxrY8gqY4kqGN2kM9r4w/6L8ezEk8f0m9qFyzQPR9uM2AmENI6ySGA8&#10;G5nQjP0uFdMNCimJE11FuTTgQkgbizHU8kaOfa9T37lturypgjQTYEJWyHfBngDmzBFkxh5ZTvmp&#10;VNJNXorXfyM2Fi8V1BlsXIo7bcET0wvd6TMO+wGFo2ckJB3toTk/ecataAEfjYieOidvXoaf3LvJ&#10;wIjeP8J8XXn1xscxNzGx8PkYQWky+bXDZAfecRrZ9B7TI7rcU9brv8buNwAAAP//AwBQSwMEFAAG&#10;AAgAAAAhAFky65HdAAAACQEAAA8AAABkcnMvZG93bnJldi54bWxMj8FOwzAQRO9I/IO1lbhRpxU0&#10;VhqnQkgIhLi0IM5OvI3TxusQu234e5YT3Hb0RrMz5WbyvTjjGLtAGhbzDARSE2xHrYaP96dbBSIm&#10;Q9b0gVDDN0bYVNdXpSlsuNAWz7vUCg6hWBgNLqWhkDI2Dr2J8zAgMduH0ZvEcmylHc2Fw30vl1m2&#10;kt50xB+cGfDRYXPcnbyGr3p1eN0+m+PnntKLUnV8cwel9c1seliDSDilPzP81ufqUHGnOpzIRtFr&#10;uFOLe7YyyEEwz3PFR81aZUuQVSn/L6h+AAAA//8DAFBLAQItABQABgAIAAAAIQC2gziS/gAAAOEB&#10;AAATAAAAAAAAAAAAAAAAAAAAAABbQ29udGVudF9UeXBlc10ueG1sUEsBAi0AFAAGAAgAAAAhADj9&#10;If/WAAAAlAEAAAsAAAAAAAAAAAAAAAAALwEAAF9yZWxzLy5yZWxzUEsBAi0AFAAGAAgAAAAhAP6W&#10;REUTAgAAfQQAAA4AAAAAAAAAAAAAAAAALgIAAGRycy9lMm9Eb2MueG1sUEsBAi0AFAAGAAgAAAAh&#10;AFky65HdAAAACQEAAA8AAAAAAAAAAAAAAAAAbQQAAGRycy9kb3ducmV2LnhtbFBLBQYAAAAABAAE&#10;APMAAAB3BQAAAAA=&#10;" filled="f" strokeweight="2pt">
                <v:stroke joinstyle="round"/>
                <v:path arrowok="t"/>
                <v:textbox>
                  <w:txbxContent>
                    <w:p w14:paraId="59EB7C46"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Reports excluded (n = 58):</w:t>
                      </w:r>
                    </w:p>
                    <w:p w14:paraId="3A0B612C"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Wrong population (n = 13); no timing exposure (n = 11)</w:t>
                      </w:r>
                    </w:p>
                    <w:p w14:paraId="619BA35C"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Insufficient methods (n = 12); no eligible outcome (n = 9)</w:t>
                      </w:r>
                    </w:p>
                    <w:p w14:paraId="2AD6DA1D" w14:textId="77777777" w:rsidR="00D51958" w:rsidRDefault="00D51958" w:rsidP="00D51958">
                      <w:pPr>
                        <w:pStyle w:val="FrameContents"/>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Secondary/non-primary (n = 7); insufficient outcome data (n = 6)</w:t>
                      </w:r>
                    </w:p>
                  </w:txbxContent>
                </v:textbox>
              </v:rect>
            </w:pict>
          </mc:Fallback>
        </mc:AlternateContent>
      </w:r>
      <w:r>
        <w:rPr>
          <w:noProof/>
        </w:rPr>
        <mc:AlternateContent>
          <mc:Choice Requires="wps">
            <w:drawing>
              <wp:anchor distT="76200" distB="95250" distL="0" distR="27305" simplePos="0" relativeHeight="251661312" behindDoc="0" locked="0" layoutInCell="1" allowOverlap="1" wp14:anchorId="0718C927" wp14:editId="06CAF5E5">
                <wp:simplePos x="0" y="0"/>
                <wp:positionH relativeFrom="column">
                  <wp:posOffset>2476500</wp:posOffset>
                </wp:positionH>
                <wp:positionV relativeFrom="paragraph">
                  <wp:posOffset>294640</wp:posOffset>
                </wp:positionV>
                <wp:extent cx="563245" cy="635"/>
                <wp:effectExtent l="0" t="76200" r="27305" b="9461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635"/>
                        </a:xfrm>
                        <a:prstGeom prst="straightConnector1">
                          <a:avLst/>
                        </a:prstGeom>
                        <a:noFill/>
                        <a:ln>
                          <a:solidFill>
                            <a:srgbClr val="000000"/>
                          </a:solidFill>
                          <a:round/>
                          <a:tailEnd type="triangle" w="med" len="med"/>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w:pict>
              <v:shape w14:anchorId="7F1F9A72" id="Straight Arrow Connector 7" o:spid="_x0000_s1026" type="#_x0000_t32" style="position:absolute;margin-left:195pt;margin-top:23.2pt;width:44.35pt;height:.05pt;z-index:251661312;visibility:visible;mso-wrap-style:square;mso-width-percent:0;mso-height-percent:0;mso-wrap-distance-left:0;mso-wrap-distance-top:6pt;mso-wrap-distance-right:2.15pt;mso-wrap-distance-bottom:7.5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DM6wEAACAEAAAOAAAAZHJzL2Uyb0RvYy54bWysU8FuEzEQvSPxD5bvZJOURGjVTQ8p5VJB&#10;ReEDHHu8a2F7rLGbTf4e25suBSQkEHuwPPa8mfeeZ69vTs6yI1A06Du+Wiw5Ay9RGd93/OuXuzfv&#10;OItJeCUseuj4GSK/2b1+dT2GFtY4oFVALBfxsR1Dx4eUQts0UQ7gRFxgAJ8vNZITKYfUN4rEmKs7&#10;26yXy20zIqlAKCHGfHo7XfJdra81yPRJ6wiJ2Y5nbqmuVNdDWZvdtWh7EmEw8kJD/AMLJ4zPTedS&#10;tyIJ9kTmt1LOSMKIOi0kuga1NhKqhqxmtfxFzeMgAlQt2ZwYZpvi/ysrPx73/oEKdXnyj+Ee5beY&#10;TWnGENv5sgQxTGknTa6kZ+7sVI08z0bCKTGZDzfbq/XbDWcyX22vNsXlRrTPyEAxfQB0rGw6HhMJ&#10;0w9pj97n90JaVSfF8T6mCfgMKG093hlr67NZXw4iWqPKWQ2oP+wtsaMo712/S/Of0gifvKo1kjD2&#10;vVcsnUOezkRG+N4CZ2PHHSjOLOSxLruJSWlZrZncqL6ks4XS2/rPoJlRWf+koA4xzHSElODTaq6U&#10;swtMZ+ozcFml/xF4yS9QqAP+N+AZUTujTzPYGY9Uub0QVbYHVOcHKvJLlMewvuXllylz/jKuWT9+&#10;7N13AAAA//8DAFBLAwQUAAYACAAAACEAJ19oueEAAAAJAQAADwAAAGRycy9kb3ducmV2LnhtbEyP&#10;wU7DMBBE70j9B2srcaNOIaRtiFMBFSIXkGgR4ujG29giXkex26Z8fd0THGdnNPumWA62ZQfsvXEk&#10;YDpJgCHVThlqBHxuXm7mwHyQpGTrCAWc0MOyHF0VMlfuSB94WIeGxRLyuRSgQ+hyzn2t0Uo/cR1S&#10;9HautzJE2Tdc9fIYy23Lb5Mk41Yaih+07PBZY/2z3lsBYfV90tlX/bQw75vXt8z8VlW1EuJ6PDw+&#10;AAs4hL8wXPAjOpSRaev2pDxrBdwtkrglCEizFFgMpLP5DNj2crgHXhb8/4LyDAAA//8DAFBLAQIt&#10;ABQABgAIAAAAIQC2gziS/gAAAOEBAAATAAAAAAAAAAAAAAAAAAAAAABbQ29udGVudF9UeXBlc10u&#10;eG1sUEsBAi0AFAAGAAgAAAAhADj9If/WAAAAlAEAAAsAAAAAAAAAAAAAAAAALwEAAF9yZWxzLy5y&#10;ZWxzUEsBAi0AFAAGAAgAAAAhAF8P4MzrAQAAIAQAAA4AAAAAAAAAAAAAAAAALgIAAGRycy9lMm9E&#10;b2MueG1sUEsBAi0AFAAGAAgAAAAhACdfaLnhAAAACQEAAA8AAAAAAAAAAAAAAAAARQQAAGRycy9k&#10;b3ducmV2LnhtbFBLBQYAAAAABAAEAPMAAABTBQAAAAA=&#10;">
                <v:stroke endarrow="block"/>
                <o:lock v:ext="edit" shapetype="f"/>
              </v:shape>
            </w:pict>
          </mc:Fallback>
        </mc:AlternateContent>
      </w:r>
    </w:p>
    <w:p w14:paraId="13FA518E" w14:textId="77777777" w:rsidR="00D51958" w:rsidRDefault="00D51958" w:rsidP="00D51958">
      <w:pPr>
        <w:spacing w:after="0" w:line="240" w:lineRule="auto"/>
      </w:pPr>
    </w:p>
    <w:p w14:paraId="051783B7" w14:textId="77777777" w:rsidR="00D51958" w:rsidRDefault="00D51958" w:rsidP="00D51958">
      <w:pPr>
        <w:spacing w:after="0" w:line="240" w:lineRule="auto"/>
      </w:pPr>
    </w:p>
    <w:p w14:paraId="7224AFC3" w14:textId="32F5AEF3" w:rsidR="00D51958" w:rsidRDefault="00D51958" w:rsidP="00D51958">
      <w:pPr>
        <w:spacing w:after="0" w:line="240" w:lineRule="auto"/>
      </w:pPr>
      <w:r>
        <w:rPr>
          <w:noProof/>
        </w:rPr>
        <mc:AlternateContent>
          <mc:Choice Requires="wps">
            <w:drawing>
              <wp:anchor distT="0" distB="53975" distL="76200" distR="57150" simplePos="0" relativeHeight="251677696" behindDoc="0" locked="0" layoutInCell="1" allowOverlap="1" wp14:anchorId="5CE99E6E" wp14:editId="0CB9120A">
                <wp:simplePos x="0" y="0"/>
                <wp:positionH relativeFrom="column">
                  <wp:posOffset>1400810</wp:posOffset>
                </wp:positionH>
                <wp:positionV relativeFrom="paragraph">
                  <wp:posOffset>29210</wp:posOffset>
                </wp:positionV>
                <wp:extent cx="635" cy="746125"/>
                <wp:effectExtent l="76200" t="0" r="75565" b="5397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746125"/>
                        </a:xfrm>
                        <a:prstGeom prst="straightConnector1">
                          <a:avLst/>
                        </a:prstGeom>
                        <a:noFill/>
                        <a:ln>
                          <a:solidFill>
                            <a:srgbClr val="000000"/>
                          </a:solidFill>
                          <a:round/>
                          <a:tailEnd type="triangle" w="med" len="med"/>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w:pict>
              <v:shape w14:anchorId="1167A8FE" id="Straight Arrow Connector 6" o:spid="_x0000_s1026" type="#_x0000_t32" style="position:absolute;margin-left:110.3pt;margin-top:2.3pt;width:.05pt;height:58.75pt;z-index:251677696;visibility:visible;mso-wrap-style:square;mso-width-percent:0;mso-height-percent:0;mso-wrap-distance-left:6pt;mso-wrap-distance-top:0;mso-wrap-distance-right:4.5pt;mso-wrap-distance-bottom:4.25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J/Y6wEAACAEAAAOAAAAZHJzL2Uyb0RvYy54bWysU8GOEzEMvSPxD1HudNrCFjTqdA9dlssK&#10;Vix8QJo4MxFJHDnZTvv3JJnusICEBGIOUez42c/Pnu31yVl2BIoGfcdXiyVn4CUq4/uOf/1y++od&#10;ZzEJr4RFDx0/Q+TXu5cvtmNoYY0DWgXEchIf2zF0fEgptE0T5QBOxAUG8PlRIzmRskl9o0iMObuz&#10;zXq53DQjkgqEEmLM3pvpke9qfq1Bpk9aR0jMdjxzS/Wkeh7K2ey2ou1JhMHICw3xDyycMD4XnVPd&#10;iCTYI5nfUjkjCSPqtJDoGtTaSKg95G5Wy1+6eRhEgNpLFieGWab4/9LKj8e9v6dCXZ78Q7hD+S1m&#10;UZoxxHZ+LEYMU9hJkyvhmTs7VSHPs5BwSkxm5+b1FWcy+9++2azWV0XlRrRPyEAxfQB0rFw6HhMJ&#10;0w9pj97neSGtqpLieBfTBHwClLIeb421dWzWF0dEa1TxVYP6w94SO4oy7/pdiv8URvjoVc2RhLHv&#10;vWLpHPJ2JjLC9xY4GzvuQHFmIa91uU1MSskqzaRG1SWdLZTa1n8GzYzK/U8d1CWGmY6QEnxazZly&#10;dIHpTH0GLmvrfwRe4gsU6oL/DXhG1Mro0wx2xiNVbs+aKtcDqvM9lfaLldewzvLyy5Q9f27XqB8/&#10;9u47AAAA//8DAFBLAwQUAAYACAAAACEAtM4+9t8AAAAJAQAADwAAAGRycy9kb3ducmV2LnhtbEyP&#10;wU7DMBBE70j8g7VI3KhTCwVI41RAhcgFJFqEenTjJY6I11Hstilfz3KC02o0T7Mz5XLyvTjgGLtA&#10;GuazDARSE2xHrYb3zdPVLYiYDFnTB0INJ4ywrM7PSlPYcKQ3PKxTKziEYmE0uJSGQsrYOPQmzsKA&#10;xN5nGL1JLMdW2tEcOdz3UmVZLr3piD84M+Cjw+Zrvfca0mp7cvlH83DXvW6eX/Luu67rldaXF9P9&#10;AkTCKf3B8Fufq0PFnXZhTzaKXoNSWc6ohms+7LO+AbFjUKk5yKqU/xdUPwAAAP//AwBQSwECLQAU&#10;AAYACAAAACEAtoM4kv4AAADhAQAAEwAAAAAAAAAAAAAAAAAAAAAAW0NvbnRlbnRfVHlwZXNdLnht&#10;bFBLAQItABQABgAIAAAAIQA4/SH/1gAAAJQBAAALAAAAAAAAAAAAAAAAAC8BAABfcmVscy8ucmVs&#10;c1BLAQItABQABgAIAAAAIQCJ3J/Y6wEAACAEAAAOAAAAAAAAAAAAAAAAAC4CAABkcnMvZTJvRG9j&#10;LnhtbFBLAQItABQABgAIAAAAIQC0zj723wAAAAkBAAAPAAAAAAAAAAAAAAAAAEUEAABkcnMvZG93&#10;bnJldi54bWxQSwUGAAAAAAQABADzAAAAUQUAAAAA&#10;">
                <v:stroke endarrow="block"/>
                <o:lock v:ext="edit" shapetype="f"/>
              </v:shape>
            </w:pict>
          </mc:Fallback>
        </mc:AlternateContent>
      </w:r>
    </w:p>
    <w:p w14:paraId="0477B318" w14:textId="77777777" w:rsidR="00D51958" w:rsidRDefault="00D51958" w:rsidP="00D51958">
      <w:pPr>
        <w:spacing w:after="0" w:line="240" w:lineRule="auto"/>
      </w:pPr>
    </w:p>
    <w:p w14:paraId="7F1E5EE1" w14:textId="77777777" w:rsidR="00D51958" w:rsidRDefault="00D51958" w:rsidP="00D51958">
      <w:pPr>
        <w:spacing w:after="0" w:line="240" w:lineRule="auto"/>
      </w:pPr>
    </w:p>
    <w:p w14:paraId="4B2AE2A9" w14:textId="77777777" w:rsidR="00D51958" w:rsidRDefault="00D51958" w:rsidP="00D51958">
      <w:pPr>
        <w:spacing w:after="0" w:line="240" w:lineRule="auto"/>
      </w:pPr>
    </w:p>
    <w:p w14:paraId="4746503A" w14:textId="7011601F" w:rsidR="00D51958" w:rsidRDefault="00D51958" w:rsidP="00D51958">
      <w:pPr>
        <w:spacing w:after="0" w:line="240" w:lineRule="auto"/>
      </w:pPr>
      <w:r>
        <w:rPr>
          <w:noProof/>
        </w:rPr>
        <mc:AlternateContent>
          <mc:Choice Requires="wps">
            <w:drawing>
              <wp:anchor distT="0" distB="19050" distL="0" distR="17780" simplePos="0" relativeHeight="251653120" behindDoc="0" locked="0" layoutInCell="1" allowOverlap="1" wp14:anchorId="096FC3D2" wp14:editId="6CA77A72">
                <wp:simplePos x="0" y="0"/>
                <wp:positionH relativeFrom="column">
                  <wp:posOffset>540385</wp:posOffset>
                </wp:positionH>
                <wp:positionV relativeFrom="paragraph">
                  <wp:posOffset>111125</wp:posOffset>
                </wp:positionV>
                <wp:extent cx="1887220" cy="723900"/>
                <wp:effectExtent l="0" t="0" r="17780"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723900"/>
                        </a:xfrm>
                        <a:prstGeom prst="rect">
                          <a:avLst/>
                        </a:prstGeom>
                        <a:noFill/>
                        <a:ln>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14:paraId="62198EB2"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09843682"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14)</w:t>
                            </w:r>
                          </w:p>
                          <w:p w14:paraId="1A4AB339" w14:textId="5F52515D" w:rsidR="00D51958" w:rsidRDefault="00D51958" w:rsidP="00D51958">
                            <w:pPr>
                              <w:pStyle w:val="FrameContents"/>
                              <w:spacing w:after="0" w:line="240" w:lineRule="auto"/>
                              <w:rPr>
                                <w:rFonts w:ascii="Arial" w:hAnsi="Arial" w:cs="Arial"/>
                                <w:color w:val="000000" w:themeColor="text1"/>
                                <w:sz w:val="18"/>
                                <w:szCs w:val="20"/>
                              </w:rPr>
                            </w:pP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6FC3D2" id="Rectangle 5" o:spid="_x0000_s1037" style="position:absolute;left:0;text-align:left;margin-left:42.55pt;margin-top:8.75pt;width:148.6pt;height:57pt;z-index:251653120;visibility:visible;mso-wrap-style:square;mso-width-percent:0;mso-height-percent:0;mso-wrap-distance-left:0;mso-wrap-distance-top:0;mso-wrap-distance-right:1.4pt;mso-wrap-distance-bottom:1.5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ObHEwIAAHwEAAAOAAAAZHJzL2Uyb0RvYy54bWysVE1v2zAMvQ/YfzB8X+x42NoZcYphRXcp&#10;umLtsLMiS7EwWRQkJXH+/Uj6o0EH7DAsB8Hix+MjH5XNzdDb7KhCNOCafL0q80w5Ca1x+yb/8Xz3&#10;7jrPYhKuFRacavKzivnN9u2bzcnXqoIObKtChiAu1iff5F1Kvi6KKDvVi7gCrxw6NYReJLyGfdEG&#10;cUL03hZVWX4sThBaH0CqGNF6OzrzLeNrrWT6pnVUKbNNjtwSn4HPHZ3FdiPqfRC+M3KiIf6BRS+M&#10;w6IL1K1IIjsE8wdUb2SACDqtJPQFaG2k4h6wm3X5qpunTnjFveBwol/GFP8frHw4PvnHQNSjvwf5&#10;K+JEipOP9eKhS5xiBh16ikXi2cBTPC9TVEPKJBrX19dXVYXDlui7qt5/KnnMhajnbB9i+qqgz+ij&#10;yQOqxMMTx/uYqL6o5xAq5uDOWMtKWcdMwZqWbHwJ+90XG7KjIIn5R6oiRrwMC3Bw7WgnEG5x7Ir7&#10;S2erCM2670pnpsU+KubEm6iWAkJK5dJ6dHWiVWPdD1R3Lku7SxlMggEJWSPfBXsCmCNHkBl7ZDnF&#10;U6riRV6Sy78RG5OXDK4MLi3JvXEQmOlF3/SZht2AjaN+a3KTaQft+TFkwskO8M3IFLgyafM8/BTB&#10;TwImlP4B5m0V9Ssdx1hi4uDzIYE2LPJLhUkOXHEe2fQc6Q1d3jnq5U9j+xsAAP//AwBQSwMEFAAG&#10;AAgAAAAhAMncdCneAAAACQEAAA8AAABkcnMvZG93bnJldi54bWxMj8FOwzAQRO9I/IO1SNyok0Yp&#10;VohTISQEQlxaEGcn3iZp43WI3Tb8PcuJHndmNPumXM9uECecQu9JQ7pIQCA13vbUavj8eL5TIEI0&#10;ZM3gCTX8YIB1dX1VmsL6M23wtI2t4BIKhdHQxTgWUoamQ2fCwo9I7O385Ezkc2qlncyZy90gl0my&#10;ks70xB86M+JTh81he3QavuvV/m3zYg5fO4qvStXhvdsrrW9v5scHEBHn+B+GP3xGh4qZan8kG8Sg&#10;QeUpJ1m/z0Gwn6llBqJmIUtzkFUpLxdUvwAAAP//AwBQSwECLQAUAAYACAAAACEAtoM4kv4AAADh&#10;AQAAEwAAAAAAAAAAAAAAAAAAAAAAW0NvbnRlbnRfVHlwZXNdLnhtbFBLAQItABQABgAIAAAAIQA4&#10;/SH/1gAAAJQBAAALAAAAAAAAAAAAAAAAAC8BAABfcmVscy8ucmVsc1BLAQItABQABgAIAAAAIQBl&#10;hObHEwIAAHwEAAAOAAAAAAAAAAAAAAAAAC4CAABkcnMvZTJvRG9jLnhtbFBLAQItABQABgAIAAAA&#10;IQDJ3HQp3gAAAAkBAAAPAAAAAAAAAAAAAAAAAG0EAABkcnMvZG93bnJldi54bWxQSwUGAAAAAAQA&#10;BADzAAAAeAUAAAAA&#10;" filled="f" strokeweight="2pt">
                <v:stroke joinstyle="round"/>
                <v:path arrowok="t"/>
                <v:textbox>
                  <w:txbxContent>
                    <w:p w14:paraId="62198EB2"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09843682" w14:textId="77777777" w:rsidR="00D51958" w:rsidRDefault="00D51958" w:rsidP="00D51958">
                      <w:pPr>
                        <w:pStyle w:val="FrameContents"/>
                        <w:spacing w:after="0" w:line="240" w:lineRule="auto"/>
                        <w:rPr>
                          <w:rFonts w:ascii="Arial" w:hAnsi="Arial" w:cs="Arial"/>
                          <w:color w:val="000000" w:themeColor="text1"/>
                          <w:sz w:val="18"/>
                          <w:szCs w:val="20"/>
                        </w:rPr>
                      </w:pPr>
                      <w:r>
                        <w:rPr>
                          <w:rFonts w:ascii="Arial" w:hAnsi="Arial" w:cs="Arial"/>
                          <w:color w:val="000000" w:themeColor="text1"/>
                          <w:sz w:val="18"/>
                          <w:szCs w:val="20"/>
                        </w:rPr>
                        <w:t>(n = 14)</w:t>
                      </w:r>
                    </w:p>
                    <w:p w14:paraId="1A4AB339" w14:textId="5F52515D" w:rsidR="00D51958" w:rsidRDefault="00D51958" w:rsidP="00D51958">
                      <w:pPr>
                        <w:pStyle w:val="FrameContents"/>
                        <w:spacing w:after="0" w:line="240" w:lineRule="auto"/>
                        <w:rPr>
                          <w:rFonts w:ascii="Arial" w:hAnsi="Arial" w:cs="Arial"/>
                          <w:color w:val="000000" w:themeColor="text1"/>
                          <w:sz w:val="18"/>
                          <w:szCs w:val="20"/>
                        </w:rPr>
                      </w:pPr>
                    </w:p>
                  </w:txbxContent>
                </v:textbox>
              </v:rect>
            </w:pict>
          </mc:Fallback>
        </mc:AlternateContent>
      </w:r>
    </w:p>
    <w:p w14:paraId="6F808AF2" w14:textId="4A2DAB12" w:rsidR="00D51958" w:rsidRDefault="00D51958" w:rsidP="00D51958">
      <w:pPr>
        <w:spacing w:after="0" w:line="240" w:lineRule="auto"/>
      </w:pPr>
      <w:r>
        <w:rPr>
          <w:noProof/>
        </w:rPr>
        <mc:AlternateContent>
          <mc:Choice Requires="wps">
            <w:drawing>
              <wp:anchor distT="0" distB="20320" distL="3175" distR="20320" simplePos="0" relativeHeight="251669504" behindDoc="0" locked="0" layoutInCell="1" allowOverlap="1" wp14:anchorId="1FB80B4F" wp14:editId="3429FF23">
                <wp:simplePos x="0" y="0"/>
                <wp:positionH relativeFrom="column">
                  <wp:posOffset>-132715</wp:posOffset>
                </wp:positionH>
                <wp:positionV relativeFrom="paragraph">
                  <wp:posOffset>169545</wp:posOffset>
                </wp:positionV>
                <wp:extent cx="764540" cy="262890"/>
                <wp:effectExtent l="3175" t="0" r="19685" b="19685"/>
                <wp:wrapNone/>
                <wp:docPr id="4" name="Flowchart: Alternative Proces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64540" cy="262890"/>
                        </a:xfrm>
                        <a:prstGeom prst="flowChartAlternateProcess">
                          <a:avLst/>
                        </a:prstGeom>
                        <a:solidFill>
                          <a:schemeClr val="accent5">
                            <a:lumMod val="60000"/>
                            <a:lumOff val="40000"/>
                          </a:schemeClr>
                        </a:solidFill>
                        <a:ln>
                          <a:solidFill>
                            <a:srgbClr val="000000"/>
                          </a:solidFill>
                          <a:round/>
                        </a:ln>
                      </wps:spPr>
                      <wps:style>
                        <a:lnRef idx="2">
                          <a:schemeClr val="accent4">
                            <a:shade val="50000"/>
                          </a:schemeClr>
                        </a:lnRef>
                        <a:fillRef idx="1">
                          <a:schemeClr val="accent4"/>
                        </a:fillRef>
                        <a:effectRef idx="0">
                          <a:schemeClr val="accent4"/>
                        </a:effectRef>
                        <a:fontRef idx="minor"/>
                      </wps:style>
                      <wps:txbx>
                        <w:txbxContent>
                          <w:p w14:paraId="714B680E" w14:textId="77777777" w:rsidR="00D51958" w:rsidRDefault="00D51958" w:rsidP="00D51958">
                            <w:pPr>
                              <w:pStyle w:val="FrameContents"/>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FB80B4F" id="Flowchart: Alternative Process 4" o:spid="_x0000_s1038" type="#_x0000_t176" style="position:absolute;left:0;text-align:left;margin-left:-10.45pt;margin-top:13.35pt;width:60.2pt;height:20.7pt;rotation:-90;z-index:251669504;visibility:visible;mso-wrap-style:square;mso-width-percent:0;mso-height-percent:0;mso-wrap-distance-left:.25pt;mso-wrap-distance-top:0;mso-wrap-distance-right:1.6pt;mso-wrap-distance-bottom:1.6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3R1QwIAAAYFAAAOAAAAZHJzL2Uyb0RvYy54bWysVMFu2zAMvQ/YPwi+L06MJOuMOEXRort0&#10;XbF22FmRpdiYLAqSkjh/P4pynKzFdhjmg2GR4nuPT5RX132n2V4634KpstlkmjFpBNSt2VbZ95f7&#10;D1cZ84GbmmswssqO0mfX6/fvVgdbygIa0LV0DEGMLw+2ypoQbJnnXjSy434CVhpMKnAdD7h027x2&#10;/IDonc6L6XSZH8DV1oGQ3mP0LiWzNeErJUX4qpSXgekqQ22B3o7em/jO1ytebh23TSsGGfwfVHS8&#10;NUg6Qt3xwNnOtW+gulY48KDCRECXg1KtkNQDdjObvurmueFWUi9ojrejTf7/wYrH/bN9clG6tw8g&#10;fnp0JD9YX46ZuPDDnl65jjlAG2dLtB8f6hr7YD2ZehxNlX1gAoMfl/PFHK0XmCqWxdUnMj3nZcSK&#10;vNb58FlCx+JHlSkNh9uGu3Cjg3SGB/mUjpeY+P7BhyjxXEfaQbf1fas1LeLwyFvt2J7jsXMhpAkL&#10;Kte77gvUKb4k+TQAGMYxSeH5KYwUNIYRiQj9JYk2b3nddjOyRhR0J0n9rdLBztQpHkHI7OQvOR2O&#10;WkZobb5JxdoaLSxI+yjmsq15SjW8lim8uKQ9GUHyCTAiK/RpxJ79DTupHPbHUklXaixOp/8HYal4&#10;rCBmMGEs7loDjgy66Dt+hn7TY+M4Y0VMx9AG6uOTY9yIBvD2iuBIdpyYl/4Hd3YYnoBT9wine8PL&#10;V+OS9kYlBm52AVRLs3RmGI4DLxtZNvwY4m2+XNOu8+9r/QsAAP//AwBQSwMEFAAGAAgAAAAhAPzl&#10;DQrbAAAACQEAAA8AAABkcnMvZG93bnJldi54bWxMjzFPwzAUhHck/oP1kNhaOx2SKsSpqkogWJAI&#10;DIxO/JpExM+R7bTh3/OYYDzd6e676rC6SVwwxNGThmyrQCB13o7Ua/h4f9zsQcRkyJrJE2r4xgiH&#10;+vamMqX1V3rDS5N6wSUUS6NhSGkupYzdgM7ErZ+R2Dv74ExiGXppg7lyuZvkTqlcOjMSLwxmxtOA&#10;3VezOA1d5l5l8/K5LtnT+ZmKtrAuBK3v79bjA4iEa/oLwy8+o0PNTK1fyEYxsd7nnNSwyXZ8gQO5&#10;4m8tG6rIQdaV/P+g/gEAAP//AwBQSwECLQAUAAYACAAAACEAtoM4kv4AAADhAQAAEwAAAAAAAAAA&#10;AAAAAAAAAAAAW0NvbnRlbnRfVHlwZXNdLnhtbFBLAQItABQABgAIAAAAIQA4/SH/1gAAAJQBAAAL&#10;AAAAAAAAAAAAAAAAAC8BAABfcmVscy8ucmVsc1BLAQItABQABgAIAAAAIQCk33R1QwIAAAYFAAAO&#10;AAAAAAAAAAAAAAAAAC4CAABkcnMvZTJvRG9jLnhtbFBLAQItABQABgAIAAAAIQD85Q0K2wAAAAkB&#10;AAAPAAAAAAAAAAAAAAAAAJ0EAABkcnMvZG93bnJldi54bWxQSwUGAAAAAAQABADzAAAApQUAAAAA&#10;" fillcolor="#92cddc [1944]" strokeweight="2pt">
                <v:stroke joinstyle="round"/>
                <v:path arrowok="t"/>
                <v:textbox>
                  <w:txbxContent>
                    <w:p w14:paraId="714B680E" w14:textId="77777777" w:rsidR="00D51958" w:rsidRDefault="00D51958" w:rsidP="00D51958">
                      <w:pPr>
                        <w:pStyle w:val="FrameContents"/>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315F69DD" w14:textId="77777777" w:rsidR="00D51958" w:rsidRDefault="00D51958" w:rsidP="00D51958">
      <w:pPr>
        <w:spacing w:after="0" w:line="240" w:lineRule="auto"/>
      </w:pPr>
    </w:p>
    <w:p w14:paraId="346D182E" w14:textId="77777777" w:rsidR="00D51958" w:rsidRDefault="00D51958" w:rsidP="00D51958">
      <w:pPr>
        <w:spacing w:after="0" w:line="240" w:lineRule="auto"/>
      </w:pPr>
    </w:p>
    <w:p w14:paraId="58456ED5" w14:textId="77777777" w:rsidR="00D51958" w:rsidRDefault="00D51958" w:rsidP="00D51958">
      <w:pPr>
        <w:spacing w:after="0" w:line="240" w:lineRule="auto"/>
      </w:pPr>
    </w:p>
    <w:p w14:paraId="7AB9BE36" w14:textId="77777777" w:rsidR="00D51958" w:rsidRDefault="00D51958" w:rsidP="00D51958">
      <w:pPr>
        <w:spacing w:after="0" w:line="240" w:lineRule="auto"/>
      </w:pPr>
    </w:p>
    <w:p w14:paraId="42C31FD8" w14:textId="77777777" w:rsidR="00D51958" w:rsidRDefault="00D51958" w:rsidP="00D51958">
      <w:pPr>
        <w:spacing w:after="120"/>
      </w:pPr>
    </w:p>
    <w:p w14:paraId="52A96F9E" w14:textId="77777777" w:rsidR="00D51958" w:rsidRDefault="00D51958" w:rsidP="00D51958">
      <w:pPr>
        <w:jc w:val="center"/>
      </w:pPr>
      <w:r>
        <w:rPr>
          <w:i/>
          <w:sz w:val="20"/>
        </w:rPr>
        <w:t xml:space="preserve">Figure 3.1: PRISMA 2020 study-selection flow </w:t>
      </w:r>
    </w:p>
    <w:p w14:paraId="492BEB8C" w14:textId="77777777" w:rsidR="00D51958" w:rsidRDefault="00D51958" w:rsidP="00D51958">
      <w:pPr>
        <w:spacing w:line="276" w:lineRule="auto"/>
        <w:rPr>
          <w:b/>
          <w:sz w:val="28"/>
        </w:rPr>
      </w:pPr>
      <w:r>
        <w:br w:type="page"/>
      </w:r>
    </w:p>
    <w:p w14:paraId="34F829F5" w14:textId="77777777" w:rsidR="00D51958" w:rsidRDefault="00D51958" w:rsidP="00C662DF">
      <w:pPr>
        <w:pStyle w:val="Heading2"/>
      </w:pPr>
      <w:bookmarkStart w:id="114" w:name="_Toc238658218"/>
      <w:bookmarkStart w:id="115" w:name="_Toc238659161"/>
      <w:bookmarkStart w:id="116" w:name="_Toc238661347"/>
      <w:bookmarkStart w:id="117" w:name="_Toc240922860"/>
      <w:r>
        <w:lastRenderedPageBreak/>
        <w:t>3.5 Critical Appraisal</w:t>
      </w:r>
      <w:bookmarkEnd w:id="114"/>
      <w:bookmarkEnd w:id="115"/>
      <w:bookmarkEnd w:id="116"/>
      <w:bookmarkEnd w:id="117"/>
    </w:p>
    <w:p w14:paraId="2F6E7C83" w14:textId="77777777" w:rsidR="00D51958" w:rsidRDefault="00D51958" w:rsidP="00D51958">
      <w:pPr>
        <w:spacing w:after="120"/>
      </w:pPr>
      <w:r>
        <w:t>All 14 studies included were critically appraised for quality, risk of bias, relevance and applicability. The Critical Appraisal Skills Programme (CASP) 2024 tools were used and related to design. Eleven cohort studies, one descriptive/cross sectional observational study, one qualitative study and one randomised controlled trial comprised the set. Cohort studies used the CASP Cohort Study Checklist; Galloway et al. (2021) used the Descriptive/Cross-Sectional Studies Checklist; Simons et al. (2022) used the Qualitative Research Checklist; and Cope et al. (2024) used the Randomised Controlled Trial Checklist (Critical Appraisal Skills Programme, 2024a; 2024b; 2024c; 2024d).</w:t>
      </w:r>
    </w:p>
    <w:p w14:paraId="3CAB85A2" w14:textId="77777777" w:rsidR="00D51958" w:rsidRDefault="00D51958" w:rsidP="00D51958">
      <w:pPr>
        <w:spacing w:after="120"/>
      </w:pPr>
      <w:r>
        <w:t>Appraisal was based on design-appropriate domains, not on one number. Assessment of cohorts included recruitment, exposure/outcome assessment, confounding, follow-up, precision and applicability. The design, sampling, measurement, confounding and analysis were covered in cross-sectional appraisal; methodological fit, recruitment, data collection, reflexivity, ethics, analytic rigour and value in qualitative appraisal; and randomisation, allocation, blinding, completeness, comparability, precision, benefits/harms and applicability in RCT appraisal.</w:t>
      </w:r>
    </w:p>
    <w:p w14:paraId="1B325BBD" w14:textId="77777777" w:rsidR="00D51958" w:rsidRDefault="00D51958" w:rsidP="00D51958">
      <w:pPr>
        <w:spacing w:after="120"/>
      </w:pPr>
      <w:r>
        <w:t xml:space="preserve">Responses were coded Yes, Partial, No, Unclear or Not Applicable and a brief explanation was provided in Appendix 1. </w:t>
      </w:r>
      <w:r w:rsidRPr="00304F6B">
        <w:t>No otherwise eligible study was excluded solely because of its appraisal result</w:t>
      </w:r>
      <w:r>
        <w:t>. Rather, appraisal results were used to determine the weight and caution that should be applied to the findings in the synthesis, with care taken not to simplify minor and serious validity concerns in the process.</w:t>
      </w:r>
    </w:p>
    <w:p w14:paraId="75F62ADD" w14:textId="77777777" w:rsidR="00D51958" w:rsidRPr="00112292" w:rsidRDefault="00D51958" w:rsidP="00D51958">
      <w:pPr>
        <w:keepNext/>
        <w:spacing w:before="120" w:after="80"/>
        <w:rPr>
          <w:bCs/>
          <w:sz w:val="28"/>
          <w:szCs w:val="24"/>
        </w:rPr>
      </w:pPr>
      <w:r w:rsidRPr="00112292">
        <w:rPr>
          <w:bCs/>
          <w:szCs w:val="24"/>
        </w:rPr>
        <w:t>Table 3.4: CASP Critical Appraisal Tools Applied by Study Design</w:t>
      </w:r>
    </w:p>
    <w:tbl>
      <w:tblPr>
        <w:tblStyle w:val="TableGrid"/>
        <w:tblW w:w="9526" w:type="dxa"/>
        <w:tblLayout w:type="fixed"/>
        <w:tblLook w:val="04A0" w:firstRow="1" w:lastRow="0" w:firstColumn="1" w:lastColumn="0" w:noHBand="0" w:noVBand="1"/>
      </w:tblPr>
      <w:tblGrid>
        <w:gridCol w:w="2248"/>
        <w:gridCol w:w="3572"/>
        <w:gridCol w:w="3706"/>
      </w:tblGrid>
      <w:tr w:rsidR="00D51958" w14:paraId="70D37E26" w14:textId="77777777" w:rsidTr="004E2434">
        <w:trPr>
          <w:trHeight w:val="373"/>
        </w:trPr>
        <w:tc>
          <w:tcPr>
            <w:tcW w:w="2248" w:type="dxa"/>
          </w:tcPr>
          <w:p w14:paraId="7FD74BE1" w14:textId="77777777" w:rsidR="00D51958" w:rsidRDefault="00D51958" w:rsidP="00455A12">
            <w:pPr>
              <w:rPr>
                <w:szCs w:val="32"/>
              </w:rPr>
            </w:pPr>
            <w:r>
              <w:rPr>
                <w:b/>
                <w:szCs w:val="32"/>
              </w:rPr>
              <w:t>Study design</w:t>
            </w:r>
          </w:p>
        </w:tc>
        <w:tc>
          <w:tcPr>
            <w:tcW w:w="3572" w:type="dxa"/>
          </w:tcPr>
          <w:p w14:paraId="0186F0A7" w14:textId="77777777" w:rsidR="00D51958" w:rsidRDefault="00D51958" w:rsidP="00455A12">
            <w:pPr>
              <w:rPr>
                <w:szCs w:val="32"/>
              </w:rPr>
            </w:pPr>
            <w:r>
              <w:rPr>
                <w:b/>
                <w:szCs w:val="32"/>
              </w:rPr>
              <w:t>CASP appraisal instrument</w:t>
            </w:r>
          </w:p>
        </w:tc>
        <w:tc>
          <w:tcPr>
            <w:tcW w:w="3706" w:type="dxa"/>
          </w:tcPr>
          <w:p w14:paraId="30CAD82A" w14:textId="77777777" w:rsidR="00D51958" w:rsidRDefault="00D51958" w:rsidP="00455A12">
            <w:pPr>
              <w:rPr>
                <w:szCs w:val="32"/>
              </w:rPr>
            </w:pPr>
            <w:r>
              <w:rPr>
                <w:b/>
                <w:szCs w:val="32"/>
              </w:rPr>
              <w:t>Principal domains</w:t>
            </w:r>
          </w:p>
        </w:tc>
      </w:tr>
      <w:tr w:rsidR="00D51958" w14:paraId="171FC19F" w14:textId="77777777" w:rsidTr="004E2434">
        <w:trPr>
          <w:trHeight w:val="1134"/>
        </w:trPr>
        <w:tc>
          <w:tcPr>
            <w:tcW w:w="2248" w:type="dxa"/>
          </w:tcPr>
          <w:p w14:paraId="7C9B7AAA" w14:textId="77777777" w:rsidR="00D51958" w:rsidRDefault="00D51958" w:rsidP="00455A12">
            <w:pPr>
              <w:rPr>
                <w:szCs w:val="32"/>
              </w:rPr>
            </w:pPr>
            <w:r>
              <w:rPr>
                <w:szCs w:val="32"/>
              </w:rPr>
              <w:t>Cohort studies (n=11)</w:t>
            </w:r>
          </w:p>
        </w:tc>
        <w:tc>
          <w:tcPr>
            <w:tcW w:w="3572" w:type="dxa"/>
          </w:tcPr>
          <w:p w14:paraId="73BDC1EB" w14:textId="77777777" w:rsidR="00D51958" w:rsidRDefault="00D51958" w:rsidP="00455A12">
            <w:pPr>
              <w:rPr>
                <w:szCs w:val="32"/>
              </w:rPr>
            </w:pPr>
            <w:r>
              <w:rPr>
                <w:szCs w:val="32"/>
              </w:rPr>
              <w:t>CASP Cohort Study Checklist</w:t>
            </w:r>
          </w:p>
        </w:tc>
        <w:tc>
          <w:tcPr>
            <w:tcW w:w="3706" w:type="dxa"/>
          </w:tcPr>
          <w:p w14:paraId="51C53F71" w14:textId="77777777" w:rsidR="00D51958" w:rsidRDefault="00D51958" w:rsidP="00455A12">
            <w:pPr>
              <w:rPr>
                <w:szCs w:val="32"/>
              </w:rPr>
            </w:pPr>
            <w:r>
              <w:rPr>
                <w:szCs w:val="32"/>
              </w:rPr>
              <w:t>Recruitment; exposure/outcome measurement; confounding; follow-up; precision; applicability</w:t>
            </w:r>
          </w:p>
        </w:tc>
      </w:tr>
      <w:tr w:rsidR="00D51958" w14:paraId="100C5900" w14:textId="77777777" w:rsidTr="004E2434">
        <w:trPr>
          <w:trHeight w:val="746"/>
        </w:trPr>
        <w:tc>
          <w:tcPr>
            <w:tcW w:w="2248" w:type="dxa"/>
          </w:tcPr>
          <w:p w14:paraId="3853B5FF" w14:textId="77777777" w:rsidR="00D51958" w:rsidRDefault="00D51958" w:rsidP="00455A12">
            <w:pPr>
              <w:rPr>
                <w:szCs w:val="32"/>
              </w:rPr>
            </w:pPr>
            <w:r>
              <w:rPr>
                <w:szCs w:val="32"/>
              </w:rPr>
              <w:t>Descriptive/cross-sectional (n=1)</w:t>
            </w:r>
          </w:p>
        </w:tc>
        <w:tc>
          <w:tcPr>
            <w:tcW w:w="3572" w:type="dxa"/>
          </w:tcPr>
          <w:p w14:paraId="7E79CB2E" w14:textId="77777777" w:rsidR="00D51958" w:rsidRDefault="00D51958" w:rsidP="00455A12">
            <w:pPr>
              <w:rPr>
                <w:szCs w:val="32"/>
              </w:rPr>
            </w:pPr>
            <w:r>
              <w:rPr>
                <w:szCs w:val="32"/>
              </w:rPr>
              <w:t>CASP Descriptive/Cross-Sectional Studies Checklist</w:t>
            </w:r>
          </w:p>
        </w:tc>
        <w:tc>
          <w:tcPr>
            <w:tcW w:w="3706" w:type="dxa"/>
          </w:tcPr>
          <w:p w14:paraId="217491DC" w14:textId="77777777" w:rsidR="00D51958" w:rsidRDefault="00D51958" w:rsidP="00455A12">
            <w:pPr>
              <w:rPr>
                <w:szCs w:val="32"/>
              </w:rPr>
            </w:pPr>
            <w:r>
              <w:rPr>
                <w:szCs w:val="32"/>
              </w:rPr>
              <w:t>Design; sampling; measurement; confounding; analysis; applicability</w:t>
            </w:r>
          </w:p>
        </w:tc>
      </w:tr>
      <w:tr w:rsidR="00D51958" w14:paraId="36C03EED" w14:textId="77777777" w:rsidTr="004E2434">
        <w:trPr>
          <w:trHeight w:val="746"/>
        </w:trPr>
        <w:tc>
          <w:tcPr>
            <w:tcW w:w="2248" w:type="dxa"/>
          </w:tcPr>
          <w:p w14:paraId="44BF11B1" w14:textId="77777777" w:rsidR="00D51958" w:rsidRDefault="00D51958" w:rsidP="00455A12">
            <w:pPr>
              <w:rPr>
                <w:szCs w:val="32"/>
              </w:rPr>
            </w:pPr>
            <w:r>
              <w:rPr>
                <w:szCs w:val="32"/>
              </w:rPr>
              <w:t>Qualitative study (n=1)</w:t>
            </w:r>
          </w:p>
        </w:tc>
        <w:tc>
          <w:tcPr>
            <w:tcW w:w="3572" w:type="dxa"/>
          </w:tcPr>
          <w:p w14:paraId="71169215" w14:textId="77777777" w:rsidR="00D51958" w:rsidRDefault="00D51958" w:rsidP="00455A12">
            <w:pPr>
              <w:rPr>
                <w:szCs w:val="32"/>
              </w:rPr>
            </w:pPr>
            <w:r>
              <w:rPr>
                <w:szCs w:val="32"/>
              </w:rPr>
              <w:t>CASP Qualitative Research Checklist</w:t>
            </w:r>
          </w:p>
        </w:tc>
        <w:tc>
          <w:tcPr>
            <w:tcW w:w="3706" w:type="dxa"/>
          </w:tcPr>
          <w:p w14:paraId="09EF2738" w14:textId="77777777" w:rsidR="00D51958" w:rsidRDefault="00D51958" w:rsidP="00455A12">
            <w:pPr>
              <w:rPr>
                <w:szCs w:val="32"/>
              </w:rPr>
            </w:pPr>
            <w:r>
              <w:rPr>
                <w:szCs w:val="32"/>
              </w:rPr>
              <w:t>Design fit; recruitment; data collection; reflexivity; ethics; analysis; value</w:t>
            </w:r>
          </w:p>
        </w:tc>
      </w:tr>
      <w:tr w:rsidR="00D51958" w14:paraId="48C19AF5" w14:textId="77777777" w:rsidTr="004E2434">
        <w:trPr>
          <w:trHeight w:val="1119"/>
        </w:trPr>
        <w:tc>
          <w:tcPr>
            <w:tcW w:w="2248" w:type="dxa"/>
          </w:tcPr>
          <w:p w14:paraId="083ACAB1" w14:textId="77777777" w:rsidR="00D51958" w:rsidRDefault="00D51958" w:rsidP="00455A12">
            <w:pPr>
              <w:rPr>
                <w:szCs w:val="32"/>
              </w:rPr>
            </w:pPr>
            <w:r>
              <w:rPr>
                <w:szCs w:val="32"/>
              </w:rPr>
              <w:lastRenderedPageBreak/>
              <w:t>Randomised controlled trial (n=1)</w:t>
            </w:r>
          </w:p>
        </w:tc>
        <w:tc>
          <w:tcPr>
            <w:tcW w:w="3572" w:type="dxa"/>
          </w:tcPr>
          <w:p w14:paraId="527E8B71" w14:textId="77777777" w:rsidR="00D51958" w:rsidRDefault="00D51958" w:rsidP="00455A12">
            <w:pPr>
              <w:rPr>
                <w:szCs w:val="32"/>
              </w:rPr>
            </w:pPr>
            <w:r>
              <w:rPr>
                <w:szCs w:val="32"/>
              </w:rPr>
              <w:t>CASP RCT Checklist</w:t>
            </w:r>
          </w:p>
        </w:tc>
        <w:tc>
          <w:tcPr>
            <w:tcW w:w="3706" w:type="dxa"/>
          </w:tcPr>
          <w:p w14:paraId="5BB84F28" w14:textId="77777777" w:rsidR="00D51958" w:rsidRDefault="00D51958" w:rsidP="00455A12">
            <w:pPr>
              <w:rPr>
                <w:szCs w:val="32"/>
              </w:rPr>
            </w:pPr>
            <w:r>
              <w:rPr>
                <w:szCs w:val="32"/>
              </w:rPr>
              <w:t>Randomisation; blinding; completeness; comparability; precision; benefits/harms; applicability</w:t>
            </w:r>
          </w:p>
        </w:tc>
      </w:tr>
    </w:tbl>
    <w:p w14:paraId="46627249" w14:textId="77777777" w:rsidR="00D51958" w:rsidRDefault="00D51958" w:rsidP="00C662DF">
      <w:pPr>
        <w:pStyle w:val="Heading2"/>
      </w:pPr>
      <w:bookmarkStart w:id="118" w:name="_Toc238658219"/>
      <w:bookmarkStart w:id="119" w:name="_Toc238659162"/>
      <w:bookmarkStart w:id="120" w:name="_Toc238661348"/>
      <w:bookmarkStart w:id="121" w:name="_Toc240922861"/>
      <w:r>
        <w:t>3.6 Data Extraction</w:t>
      </w:r>
      <w:bookmarkEnd w:id="118"/>
      <w:bookmarkEnd w:id="119"/>
      <w:bookmarkEnd w:id="120"/>
      <w:bookmarkEnd w:id="121"/>
    </w:p>
    <w:p w14:paraId="49C726B9" w14:textId="4A9085D4" w:rsidR="00D51958" w:rsidRDefault="00D51958" w:rsidP="00D51958">
      <w:pPr>
        <w:spacing w:after="120"/>
      </w:pPr>
      <w:r>
        <w:t>A standard</w:t>
      </w:r>
      <w:r w:rsidR="0044454A">
        <w:t xml:space="preserve"> Data</w:t>
      </w:r>
      <w:r>
        <w:t xml:space="preserve"> extraction form was written prior to the synthesis and </w:t>
      </w:r>
      <w:r w:rsidRPr="00886C3D">
        <w:t>piloted on two included studies</w:t>
      </w:r>
      <w:r>
        <w:t xml:space="preserve">. Since the form was applied to all 14 studies, minor wording changes were used for consistent recording across the study designs. Standardisation </w:t>
      </w:r>
      <w:r w:rsidRPr="00886C3D">
        <w:t>minimised selective extraction</w:t>
      </w:r>
      <w:r>
        <w:t xml:space="preserve"> and allowed evidence to be directly related to review goals (Booth et al., 2021).</w:t>
      </w:r>
    </w:p>
    <w:p w14:paraId="782556A1" w14:textId="77777777" w:rsidR="00D51958" w:rsidRDefault="00D51958" w:rsidP="00D51958">
      <w:pPr>
        <w:spacing w:after="120"/>
      </w:pPr>
      <w:r>
        <w:t xml:space="preserve">Extraction included study identification, population and setting, timing/exposure, clinical outcomes, patient-centred outcomes, methods and contextual influences. Follow-up, missing data and limitations, and effect estimates and confidence intervals were recorded where available. Operational </w:t>
      </w:r>
      <w:r w:rsidRPr="00886C3D">
        <w:t>definitions of the term early were extracted</w:t>
      </w:r>
      <w:r>
        <w:t xml:space="preserve"> for each study because the time between symptom referral, referral to diagnosis and diagnosis to treatment </w:t>
      </w:r>
      <w:r w:rsidRPr="00415729">
        <w:t>were not interchangeable</w:t>
      </w:r>
      <w:r>
        <w:t>. The final study characteristics and extraction table are available in Chapter 4.</w:t>
      </w:r>
    </w:p>
    <w:p w14:paraId="4B794D02" w14:textId="77777777" w:rsidR="00D51958" w:rsidRPr="00AF6D93" w:rsidRDefault="00D51958" w:rsidP="00D51958">
      <w:pPr>
        <w:keepNext/>
        <w:spacing w:before="120" w:after="80"/>
        <w:rPr>
          <w:bCs/>
          <w:sz w:val="32"/>
          <w:szCs w:val="28"/>
        </w:rPr>
      </w:pPr>
      <w:r w:rsidRPr="00AF6D93">
        <w:rPr>
          <w:bCs/>
          <w:szCs w:val="28"/>
        </w:rPr>
        <w:t>Table 3.5: Standardised Data-Extraction Fields</w:t>
      </w:r>
    </w:p>
    <w:tbl>
      <w:tblPr>
        <w:tblStyle w:val="TableGrid"/>
        <w:tblW w:w="8972" w:type="dxa"/>
        <w:tblLayout w:type="fixed"/>
        <w:tblLook w:val="04A0" w:firstRow="1" w:lastRow="0" w:firstColumn="1" w:lastColumn="0" w:noHBand="0" w:noVBand="1"/>
      </w:tblPr>
      <w:tblGrid>
        <w:gridCol w:w="2492"/>
        <w:gridCol w:w="6480"/>
      </w:tblGrid>
      <w:tr w:rsidR="00D51958" w:rsidRPr="00143527" w14:paraId="5D55D718" w14:textId="77777777" w:rsidTr="004E2434">
        <w:trPr>
          <w:trHeight w:val="377"/>
        </w:trPr>
        <w:tc>
          <w:tcPr>
            <w:tcW w:w="2492" w:type="dxa"/>
          </w:tcPr>
          <w:p w14:paraId="078C1C92" w14:textId="77777777" w:rsidR="00D51958" w:rsidRPr="00143527" w:rsidRDefault="00D51958" w:rsidP="00455A12">
            <w:pPr>
              <w:rPr>
                <w:szCs w:val="32"/>
              </w:rPr>
            </w:pPr>
            <w:r w:rsidRPr="00143527">
              <w:rPr>
                <w:b/>
                <w:szCs w:val="32"/>
              </w:rPr>
              <w:t>Category</w:t>
            </w:r>
          </w:p>
        </w:tc>
        <w:tc>
          <w:tcPr>
            <w:tcW w:w="6480" w:type="dxa"/>
          </w:tcPr>
          <w:p w14:paraId="2530D486" w14:textId="77777777" w:rsidR="00D51958" w:rsidRPr="00143527" w:rsidRDefault="00D51958" w:rsidP="00455A12">
            <w:pPr>
              <w:rPr>
                <w:szCs w:val="32"/>
              </w:rPr>
            </w:pPr>
            <w:r w:rsidRPr="00143527">
              <w:rPr>
                <w:b/>
                <w:szCs w:val="32"/>
              </w:rPr>
              <w:t>Information extracted</w:t>
            </w:r>
          </w:p>
        </w:tc>
      </w:tr>
      <w:tr w:rsidR="00D51958" w:rsidRPr="00143527" w14:paraId="36D735FC" w14:textId="77777777" w:rsidTr="004E2434">
        <w:trPr>
          <w:trHeight w:val="377"/>
        </w:trPr>
        <w:tc>
          <w:tcPr>
            <w:tcW w:w="2492" w:type="dxa"/>
          </w:tcPr>
          <w:p w14:paraId="41299952" w14:textId="77777777" w:rsidR="00D51958" w:rsidRPr="00143527" w:rsidRDefault="00D51958" w:rsidP="00455A12">
            <w:pPr>
              <w:rPr>
                <w:szCs w:val="32"/>
              </w:rPr>
            </w:pPr>
            <w:r w:rsidRPr="00143527">
              <w:rPr>
                <w:szCs w:val="32"/>
              </w:rPr>
              <w:t>Study details</w:t>
            </w:r>
          </w:p>
        </w:tc>
        <w:tc>
          <w:tcPr>
            <w:tcW w:w="6480" w:type="dxa"/>
          </w:tcPr>
          <w:p w14:paraId="73EBC450" w14:textId="77777777" w:rsidR="00D51958" w:rsidRPr="00143527" w:rsidRDefault="00D51958" w:rsidP="00455A12">
            <w:pPr>
              <w:rPr>
                <w:szCs w:val="32"/>
              </w:rPr>
            </w:pPr>
            <w:r w:rsidRPr="00143527">
              <w:rPr>
                <w:szCs w:val="32"/>
              </w:rPr>
              <w:t>Author/year, UK region, design, setting, sample, RA definition, follow-up</w:t>
            </w:r>
          </w:p>
        </w:tc>
      </w:tr>
      <w:tr w:rsidR="00D51958" w:rsidRPr="00143527" w14:paraId="7E3EE2A1" w14:textId="77777777" w:rsidTr="004E2434">
        <w:trPr>
          <w:trHeight w:val="755"/>
        </w:trPr>
        <w:tc>
          <w:tcPr>
            <w:tcW w:w="2492" w:type="dxa"/>
          </w:tcPr>
          <w:p w14:paraId="793EE760" w14:textId="77777777" w:rsidR="00D51958" w:rsidRPr="00143527" w:rsidRDefault="00D51958" w:rsidP="00455A12">
            <w:pPr>
              <w:rPr>
                <w:szCs w:val="32"/>
              </w:rPr>
            </w:pPr>
            <w:r w:rsidRPr="00143527">
              <w:rPr>
                <w:szCs w:val="32"/>
              </w:rPr>
              <w:t>Timing / exposure</w:t>
            </w:r>
          </w:p>
        </w:tc>
        <w:tc>
          <w:tcPr>
            <w:tcW w:w="6480" w:type="dxa"/>
          </w:tcPr>
          <w:p w14:paraId="7D3F3E1D" w14:textId="77777777" w:rsidR="00D51958" w:rsidRPr="00143527" w:rsidRDefault="00D51958" w:rsidP="00455A12">
            <w:pPr>
              <w:rPr>
                <w:szCs w:val="32"/>
              </w:rPr>
            </w:pPr>
            <w:r w:rsidRPr="00143527">
              <w:rPr>
                <w:szCs w:val="32"/>
              </w:rPr>
              <w:t>Definition of early care, symptom/referral interval, treatment initiation, comparator, treatment type</w:t>
            </w:r>
          </w:p>
        </w:tc>
      </w:tr>
      <w:tr w:rsidR="00D51958" w:rsidRPr="00143527" w14:paraId="76FBD198" w14:textId="77777777" w:rsidTr="004E2434">
        <w:trPr>
          <w:trHeight w:val="755"/>
        </w:trPr>
        <w:tc>
          <w:tcPr>
            <w:tcW w:w="2492" w:type="dxa"/>
          </w:tcPr>
          <w:p w14:paraId="4D8943AE" w14:textId="77777777" w:rsidR="00D51958" w:rsidRPr="00143527" w:rsidRDefault="00D51958" w:rsidP="00455A12">
            <w:pPr>
              <w:rPr>
                <w:szCs w:val="32"/>
              </w:rPr>
            </w:pPr>
            <w:r w:rsidRPr="00143527">
              <w:rPr>
                <w:szCs w:val="32"/>
              </w:rPr>
              <w:t>Clinical outcomes</w:t>
            </w:r>
          </w:p>
        </w:tc>
        <w:tc>
          <w:tcPr>
            <w:tcW w:w="6480" w:type="dxa"/>
          </w:tcPr>
          <w:p w14:paraId="25F65A88" w14:textId="77777777" w:rsidR="00D51958" w:rsidRPr="00143527" w:rsidRDefault="00D51958" w:rsidP="00455A12">
            <w:pPr>
              <w:rPr>
                <w:szCs w:val="32"/>
              </w:rPr>
            </w:pPr>
            <w:r w:rsidRPr="00143527">
              <w:rPr>
                <w:szCs w:val="32"/>
              </w:rPr>
              <w:t>DAS28/activity, remission, disability/HAQ, structural outcomes, frailty, hospitalisation</w:t>
            </w:r>
          </w:p>
        </w:tc>
      </w:tr>
      <w:tr w:rsidR="00D51958" w:rsidRPr="00143527" w14:paraId="38625AE2" w14:textId="77777777" w:rsidTr="004E2434">
        <w:trPr>
          <w:trHeight w:val="770"/>
        </w:trPr>
        <w:tc>
          <w:tcPr>
            <w:tcW w:w="2492" w:type="dxa"/>
          </w:tcPr>
          <w:p w14:paraId="35A4AB48" w14:textId="77777777" w:rsidR="00D51958" w:rsidRPr="00143527" w:rsidRDefault="00D51958" w:rsidP="00455A12">
            <w:pPr>
              <w:rPr>
                <w:szCs w:val="32"/>
              </w:rPr>
            </w:pPr>
            <w:r w:rsidRPr="00143527">
              <w:rPr>
                <w:szCs w:val="32"/>
              </w:rPr>
              <w:t>Patient-centred outcomes</w:t>
            </w:r>
          </w:p>
        </w:tc>
        <w:tc>
          <w:tcPr>
            <w:tcW w:w="6480" w:type="dxa"/>
          </w:tcPr>
          <w:p w14:paraId="094BB4C3" w14:textId="77777777" w:rsidR="00D51958" w:rsidRPr="00143527" w:rsidRDefault="00D51958" w:rsidP="00455A12">
            <w:pPr>
              <w:rPr>
                <w:szCs w:val="32"/>
              </w:rPr>
            </w:pPr>
            <w:r w:rsidRPr="00143527">
              <w:rPr>
                <w:szCs w:val="32"/>
              </w:rPr>
              <w:t>QoL, pain, fatigue, psychological wellbeing, employment, social participation</w:t>
            </w:r>
          </w:p>
        </w:tc>
      </w:tr>
      <w:tr w:rsidR="00D51958" w:rsidRPr="00143527" w14:paraId="0EA341C7" w14:textId="77777777" w:rsidTr="004E2434">
        <w:trPr>
          <w:trHeight w:val="755"/>
        </w:trPr>
        <w:tc>
          <w:tcPr>
            <w:tcW w:w="2492" w:type="dxa"/>
          </w:tcPr>
          <w:p w14:paraId="304552DD" w14:textId="77777777" w:rsidR="00D51958" w:rsidRPr="00143527" w:rsidRDefault="00D51958" w:rsidP="00455A12">
            <w:pPr>
              <w:rPr>
                <w:szCs w:val="32"/>
              </w:rPr>
            </w:pPr>
            <w:r w:rsidRPr="00143527">
              <w:rPr>
                <w:szCs w:val="32"/>
              </w:rPr>
              <w:t>Methods / context</w:t>
            </w:r>
          </w:p>
        </w:tc>
        <w:tc>
          <w:tcPr>
            <w:tcW w:w="6480" w:type="dxa"/>
          </w:tcPr>
          <w:p w14:paraId="6E88BC0D" w14:textId="77777777" w:rsidR="00D51958" w:rsidRPr="00143527" w:rsidRDefault="00D51958" w:rsidP="00455A12">
            <w:pPr>
              <w:rPr>
                <w:szCs w:val="32"/>
              </w:rPr>
            </w:pPr>
            <w:r w:rsidRPr="00143527">
              <w:rPr>
                <w:szCs w:val="32"/>
              </w:rPr>
              <w:t>Confounding, missing data, effect estimates, limitations, appraisal notes, Chapter 2 contextual factors</w:t>
            </w:r>
          </w:p>
        </w:tc>
      </w:tr>
    </w:tbl>
    <w:p w14:paraId="281F16EF" w14:textId="77777777" w:rsidR="00D51958" w:rsidRDefault="00D51958" w:rsidP="00C662DF">
      <w:pPr>
        <w:pStyle w:val="Heading2"/>
      </w:pPr>
      <w:bookmarkStart w:id="122" w:name="_Toc238658220"/>
      <w:bookmarkStart w:id="123" w:name="_Toc238659163"/>
      <w:bookmarkStart w:id="124" w:name="_Toc238661349"/>
      <w:bookmarkStart w:id="125" w:name="_Toc240922862"/>
      <w:r>
        <w:t>3.7 Data Analysis</w:t>
      </w:r>
      <w:bookmarkEnd w:id="122"/>
      <w:bookmarkEnd w:id="123"/>
      <w:bookmarkEnd w:id="124"/>
      <w:bookmarkEnd w:id="125"/>
    </w:p>
    <w:p w14:paraId="4D385169" w14:textId="74BDFF81" w:rsidR="00D51958" w:rsidRPr="00DF718E" w:rsidRDefault="00DF718E" w:rsidP="00D51958">
      <w:pPr>
        <w:spacing w:after="120"/>
        <w:rPr>
          <w:b/>
          <w:bCs/>
        </w:rPr>
      </w:pPr>
      <w:r w:rsidRPr="00DF718E">
        <w:t xml:space="preserve">Due to clinical and methodological heterogeneities of the 14 included studies (chosen design, definitions of early care, timing of measurement, outcomes, exposure categories, and follow-up), the possibility of a meta-analysis was not considered. The Synthesis without Meta-analysis </w:t>
      </w:r>
      <w:r w:rsidRPr="00DF718E">
        <w:lastRenderedPageBreak/>
        <w:t>(SWiM) guideline (Campbell et al., 2020) was followed to synthesise the quantitative findings as a narrative synthesis, which involved comparing studies based on treatment timing, outcomes domain, direction and consistency of associations, and CASP appraisal findings to inform the strength given to each quantitative result. The method of thematic analysis was adopted based on the six stages developed by Braun and Clarke (2021) of familiarisation, coding, developing and reviewing candidate themes, defining and developing themes and producing a final thematic account. When looking at similarities and differences and contradictory findings across studies (Byrne, 2022), codes and themes were revisited. Following identification of themes, the Social Ecological Model (SEM) presented in Chapter 2 was adopted as the lens through which the patterns identified across the evidence were subsequently analysed.</w:t>
      </w:r>
    </w:p>
    <w:p w14:paraId="0498083C" w14:textId="77777777" w:rsidR="00D51958" w:rsidRDefault="00D51958" w:rsidP="00C662DF">
      <w:pPr>
        <w:pStyle w:val="Heading2"/>
      </w:pPr>
      <w:bookmarkStart w:id="126" w:name="_Toc238658221"/>
      <w:bookmarkStart w:id="127" w:name="_Toc238659164"/>
      <w:bookmarkStart w:id="128" w:name="_Toc238661350"/>
      <w:bookmarkStart w:id="129" w:name="_Toc240922863"/>
      <w:r>
        <w:t>3.8 Ethical Considerations</w:t>
      </w:r>
      <w:bookmarkEnd w:id="126"/>
      <w:bookmarkEnd w:id="127"/>
      <w:bookmarkEnd w:id="128"/>
      <w:bookmarkEnd w:id="129"/>
    </w:p>
    <w:p w14:paraId="5780862A" w14:textId="77777777" w:rsidR="00D51958" w:rsidRDefault="00D51958" w:rsidP="00D51958">
      <w:pPr>
        <w:spacing w:after="120"/>
      </w:pPr>
      <w:r>
        <w:t>The review was done without the recruitment of participants, intervention or interviews, or identifiable patient data and solely relied on published secondary evidence. The review did not therefore require NHS Research Ethics Committee approval, although the dissertation went through the University's requirements for student research.</w:t>
      </w:r>
    </w:p>
    <w:p w14:paraId="78A7E514" w14:textId="77777777" w:rsidR="00D51958" w:rsidRDefault="00D51958" w:rsidP="00D51958">
      <w:pPr>
        <w:spacing w:after="120"/>
      </w:pPr>
      <w:r w:rsidRPr="007358DA">
        <w:t>Ethical conduct centred on research integrity</w:t>
      </w:r>
      <w:r>
        <w:t xml:space="preserve">. Findings were represented accurately, sources correctly cited, eligibility decisions and full-text exclusions documented, and supportive, contradictory and inconclusive findings retained. </w:t>
      </w:r>
      <w:r w:rsidRPr="00925790">
        <w:t>Observational or contextual associations were not presented as causal effects.</w:t>
      </w:r>
      <w:r>
        <w:t xml:space="preserve"> These procedures decreased the risk of plagiarism, selective reporting and evidence misrepresentation, and helped to ensure transparency in the reporting of the review (Wager and Wiffen, 2011).</w:t>
      </w:r>
    </w:p>
    <w:p w14:paraId="5C0C18B7" w14:textId="77777777" w:rsidR="00D51958" w:rsidRDefault="00D51958" w:rsidP="00C662DF">
      <w:pPr>
        <w:pStyle w:val="Heading2"/>
      </w:pPr>
      <w:bookmarkStart w:id="130" w:name="_Toc238658222"/>
      <w:bookmarkStart w:id="131" w:name="_Toc238659165"/>
      <w:bookmarkStart w:id="132" w:name="_Toc238661351"/>
      <w:bookmarkStart w:id="133" w:name="_Toc240922864"/>
      <w:r>
        <w:t>3.9 Chapter Summary</w:t>
      </w:r>
      <w:bookmarkEnd w:id="130"/>
      <w:bookmarkEnd w:id="131"/>
      <w:bookmarkEnd w:id="132"/>
      <w:bookmarkEnd w:id="133"/>
    </w:p>
    <w:p w14:paraId="571D0669" w14:textId="77777777" w:rsidR="00D51958" w:rsidRDefault="00D51958" w:rsidP="00D51958">
      <w:pPr>
        <w:spacing w:after="120"/>
      </w:pPr>
      <w:r w:rsidRPr="00D6092F">
        <w:t>The methodology used in this chapter to analyse early diagnosis and treatment in patients with rheumatoid arthritis in the UK was described. A total of 6 databases were searched and yielded 330 records, which were screened and assessed for full text and yielded 14 studies. Selection was performed with PRISMA 2020, and then appraisal and standardised extraction were done for each design with CASP 2024. Meta-analysis was not appropriate due to heterogeneity, and SWiM narrative synthesis was used for quantitative evidence, and Braun and Clarke's thematic approach for the qualitative/contextual evidence. The study characteristics, summary of appraisal findings and synthesised results are provided in Chapter 4.</w:t>
      </w:r>
    </w:p>
    <w:p w14:paraId="64771E77" w14:textId="27D0A827" w:rsidR="00D51958" w:rsidRDefault="00D51958">
      <w:pPr>
        <w:spacing w:line="276" w:lineRule="auto"/>
        <w:jc w:val="left"/>
      </w:pPr>
      <w:r>
        <w:br w:type="page"/>
      </w:r>
    </w:p>
    <w:p w14:paraId="62D620D5" w14:textId="77777777" w:rsidR="00C662DF" w:rsidRPr="00A9626F" w:rsidRDefault="00C662DF" w:rsidP="00C662DF">
      <w:pPr>
        <w:pStyle w:val="Heading1"/>
      </w:pPr>
      <w:bookmarkStart w:id="134" w:name="_Toc240922865"/>
      <w:r w:rsidRPr="00A9626F">
        <w:lastRenderedPageBreak/>
        <w:t>Chapter 4: Findings</w:t>
      </w:r>
      <w:bookmarkEnd w:id="134"/>
    </w:p>
    <w:p w14:paraId="4BB674BA" w14:textId="77777777" w:rsidR="00C662DF" w:rsidRPr="00A9626F" w:rsidRDefault="00C662DF" w:rsidP="00C662DF">
      <w:pPr>
        <w:pStyle w:val="Heading2"/>
      </w:pPr>
      <w:bookmarkStart w:id="135" w:name="_Toc240922866"/>
      <w:r w:rsidRPr="00A9626F">
        <w:t>4.1 Introduction</w:t>
      </w:r>
      <w:bookmarkEnd w:id="135"/>
    </w:p>
    <w:p w14:paraId="31A8EC3F" w14:textId="77777777" w:rsidR="00C662DF" w:rsidRDefault="00C662DF" w:rsidP="00C662DF">
      <w:r w:rsidRPr="00B90825">
        <w:t>This chapter summarises the results of the 14 studies that were selected in the systematic literature review. The evidence is structured around the research question and under four objectives; studies that dealt with similar issues are grouped together and not reported separately. Four themes emerged: timing of recognition and referral and treatment; disease severity and clinical response; quality of life and patient-centred outcomes; and factors that modify early treatment outcomes. For each theme, the quantitative indicators of outcomes are compared with the relevant qualitative evidence, highlighting areas where they agree, disagree and are uncertain. Brief attention is also paid to methodological strengths and limitations that would impact confidence in a finding. The detailed interpretation in relation to the broader literature and the concept and implications for practice are left for Chapter 5.</w:t>
      </w:r>
    </w:p>
    <w:p w14:paraId="387BFD36" w14:textId="77777777" w:rsidR="00C662DF" w:rsidRDefault="00C662DF" w:rsidP="00C662DF">
      <w:r>
        <w:t>Table 4.1: Main Themes and Subthemes</w:t>
      </w:r>
    </w:p>
    <w:tbl>
      <w:tblPr>
        <w:tblStyle w:val="TableGrid"/>
        <w:tblW w:w="0" w:type="auto"/>
        <w:tblLook w:val="04A0" w:firstRow="1" w:lastRow="0" w:firstColumn="1" w:lastColumn="0" w:noHBand="0" w:noVBand="1"/>
      </w:tblPr>
      <w:tblGrid>
        <w:gridCol w:w="2358"/>
        <w:gridCol w:w="2970"/>
        <w:gridCol w:w="3970"/>
      </w:tblGrid>
      <w:tr w:rsidR="00C662DF" w:rsidRPr="00A9626F" w14:paraId="7EBFCAAF" w14:textId="77777777" w:rsidTr="00455A12">
        <w:tc>
          <w:tcPr>
            <w:tcW w:w="2358" w:type="dxa"/>
          </w:tcPr>
          <w:p w14:paraId="07ADCFAC" w14:textId="77777777" w:rsidR="00C662DF" w:rsidRPr="00A9626F" w:rsidRDefault="00C662DF" w:rsidP="00455A12">
            <w:pPr>
              <w:spacing w:line="240" w:lineRule="auto"/>
              <w:jc w:val="left"/>
              <w:rPr>
                <w:szCs w:val="28"/>
              </w:rPr>
            </w:pPr>
            <w:r w:rsidRPr="00A9626F">
              <w:rPr>
                <w:b/>
                <w:szCs w:val="28"/>
              </w:rPr>
              <w:t>Research Objective</w:t>
            </w:r>
          </w:p>
        </w:tc>
        <w:tc>
          <w:tcPr>
            <w:tcW w:w="2970" w:type="dxa"/>
          </w:tcPr>
          <w:p w14:paraId="32049ECD" w14:textId="77777777" w:rsidR="00C662DF" w:rsidRPr="00A9626F" w:rsidRDefault="00C662DF" w:rsidP="00455A12">
            <w:pPr>
              <w:spacing w:line="240" w:lineRule="auto"/>
              <w:jc w:val="left"/>
              <w:rPr>
                <w:szCs w:val="28"/>
              </w:rPr>
            </w:pPr>
            <w:r w:rsidRPr="00A9626F">
              <w:rPr>
                <w:b/>
                <w:szCs w:val="28"/>
              </w:rPr>
              <w:t>Main Theme</w:t>
            </w:r>
          </w:p>
        </w:tc>
        <w:tc>
          <w:tcPr>
            <w:tcW w:w="3970" w:type="dxa"/>
          </w:tcPr>
          <w:p w14:paraId="764CE37B" w14:textId="77777777" w:rsidR="00C662DF" w:rsidRPr="00A9626F" w:rsidRDefault="00C662DF" w:rsidP="00455A12">
            <w:pPr>
              <w:spacing w:line="240" w:lineRule="auto"/>
              <w:jc w:val="left"/>
              <w:rPr>
                <w:szCs w:val="28"/>
              </w:rPr>
            </w:pPr>
            <w:r w:rsidRPr="00A9626F">
              <w:rPr>
                <w:b/>
                <w:szCs w:val="28"/>
              </w:rPr>
              <w:t>Subthemes</w:t>
            </w:r>
          </w:p>
        </w:tc>
      </w:tr>
      <w:tr w:rsidR="00C662DF" w:rsidRPr="00A9626F" w14:paraId="4E9258F7" w14:textId="77777777" w:rsidTr="00455A12">
        <w:tc>
          <w:tcPr>
            <w:tcW w:w="2358" w:type="dxa"/>
          </w:tcPr>
          <w:p w14:paraId="1ECF9616" w14:textId="77777777" w:rsidR="00C662DF" w:rsidRPr="00A9626F" w:rsidRDefault="00C662DF" w:rsidP="00455A12">
            <w:pPr>
              <w:spacing w:line="240" w:lineRule="auto"/>
              <w:jc w:val="left"/>
              <w:rPr>
                <w:szCs w:val="28"/>
              </w:rPr>
            </w:pPr>
            <w:r w:rsidRPr="00A9626F">
              <w:rPr>
                <w:szCs w:val="28"/>
              </w:rPr>
              <w:t>Objective 1: timing of diagnosis and treatment</w:t>
            </w:r>
          </w:p>
        </w:tc>
        <w:tc>
          <w:tcPr>
            <w:tcW w:w="2970" w:type="dxa"/>
          </w:tcPr>
          <w:p w14:paraId="1CBD7CDF" w14:textId="77777777" w:rsidR="00C662DF" w:rsidRPr="00A9626F" w:rsidRDefault="00C662DF" w:rsidP="00455A12">
            <w:pPr>
              <w:spacing w:line="240" w:lineRule="auto"/>
              <w:jc w:val="left"/>
              <w:rPr>
                <w:szCs w:val="28"/>
              </w:rPr>
            </w:pPr>
            <w:r w:rsidRPr="00A9626F">
              <w:rPr>
                <w:szCs w:val="28"/>
              </w:rPr>
              <w:t>Theme 1: Timing of Recognition, Referral and Treatment</w:t>
            </w:r>
          </w:p>
        </w:tc>
        <w:tc>
          <w:tcPr>
            <w:tcW w:w="3970" w:type="dxa"/>
          </w:tcPr>
          <w:p w14:paraId="2C6C374D" w14:textId="77777777" w:rsidR="00C662DF" w:rsidRPr="00A9626F" w:rsidRDefault="00C662DF" w:rsidP="00455A12">
            <w:pPr>
              <w:spacing w:line="240" w:lineRule="auto"/>
              <w:jc w:val="left"/>
              <w:rPr>
                <w:szCs w:val="28"/>
              </w:rPr>
            </w:pPr>
            <w:r w:rsidRPr="00A9626F">
              <w:rPr>
                <w:szCs w:val="28"/>
              </w:rPr>
              <w:t>Symptom duration and diagnostic delay; referral and specialist assessment; DMARD initiation and very-early intervention</w:t>
            </w:r>
          </w:p>
        </w:tc>
      </w:tr>
      <w:tr w:rsidR="00C662DF" w:rsidRPr="00A9626F" w14:paraId="66F7C7BA" w14:textId="77777777" w:rsidTr="00455A12">
        <w:tc>
          <w:tcPr>
            <w:tcW w:w="2358" w:type="dxa"/>
          </w:tcPr>
          <w:p w14:paraId="5F6BED52" w14:textId="77777777" w:rsidR="00C662DF" w:rsidRPr="00A9626F" w:rsidRDefault="00C662DF" w:rsidP="00455A12">
            <w:pPr>
              <w:spacing w:line="240" w:lineRule="auto"/>
              <w:jc w:val="left"/>
              <w:rPr>
                <w:szCs w:val="28"/>
              </w:rPr>
            </w:pPr>
            <w:r w:rsidRPr="00A9626F">
              <w:rPr>
                <w:szCs w:val="28"/>
              </w:rPr>
              <w:t>Objective 2: disease severity</w:t>
            </w:r>
          </w:p>
        </w:tc>
        <w:tc>
          <w:tcPr>
            <w:tcW w:w="2970" w:type="dxa"/>
          </w:tcPr>
          <w:p w14:paraId="4A7C4AB7" w14:textId="77777777" w:rsidR="00C662DF" w:rsidRPr="00A9626F" w:rsidRDefault="00C662DF" w:rsidP="00455A12">
            <w:pPr>
              <w:spacing w:line="240" w:lineRule="auto"/>
              <w:jc w:val="left"/>
              <w:rPr>
                <w:szCs w:val="28"/>
              </w:rPr>
            </w:pPr>
            <w:r w:rsidRPr="00A9626F">
              <w:rPr>
                <w:szCs w:val="28"/>
              </w:rPr>
              <w:t>Theme 2: Disease Severity and Clinical Response</w:t>
            </w:r>
          </w:p>
        </w:tc>
        <w:tc>
          <w:tcPr>
            <w:tcW w:w="3970" w:type="dxa"/>
          </w:tcPr>
          <w:p w14:paraId="1D4B25D9" w14:textId="77777777" w:rsidR="00C662DF" w:rsidRPr="00A9626F" w:rsidRDefault="00C662DF" w:rsidP="00455A12">
            <w:pPr>
              <w:spacing w:line="240" w:lineRule="auto"/>
              <w:jc w:val="left"/>
              <w:rPr>
                <w:szCs w:val="28"/>
              </w:rPr>
            </w:pPr>
            <w:r w:rsidRPr="00A9626F">
              <w:rPr>
                <w:szCs w:val="28"/>
              </w:rPr>
              <w:t>Disease activity and DAS28; remission and treatment response; disability, frailty, hospitalisation and treatment safety</w:t>
            </w:r>
          </w:p>
        </w:tc>
      </w:tr>
      <w:tr w:rsidR="00C662DF" w:rsidRPr="00A9626F" w14:paraId="1219E102" w14:textId="77777777" w:rsidTr="00455A12">
        <w:tc>
          <w:tcPr>
            <w:tcW w:w="2358" w:type="dxa"/>
          </w:tcPr>
          <w:p w14:paraId="4AB618DD" w14:textId="77777777" w:rsidR="00C662DF" w:rsidRPr="00A9626F" w:rsidRDefault="00C662DF" w:rsidP="00455A12">
            <w:pPr>
              <w:spacing w:line="240" w:lineRule="auto"/>
              <w:jc w:val="left"/>
              <w:rPr>
                <w:szCs w:val="28"/>
              </w:rPr>
            </w:pPr>
            <w:r w:rsidRPr="00A9626F">
              <w:rPr>
                <w:szCs w:val="28"/>
              </w:rPr>
              <w:t>Objective 3: quality of life</w:t>
            </w:r>
          </w:p>
        </w:tc>
        <w:tc>
          <w:tcPr>
            <w:tcW w:w="2970" w:type="dxa"/>
          </w:tcPr>
          <w:p w14:paraId="46E4BE83" w14:textId="77777777" w:rsidR="00C662DF" w:rsidRPr="00A9626F" w:rsidRDefault="00C662DF" w:rsidP="00455A12">
            <w:pPr>
              <w:spacing w:line="240" w:lineRule="auto"/>
              <w:jc w:val="left"/>
              <w:rPr>
                <w:szCs w:val="28"/>
              </w:rPr>
            </w:pPr>
            <w:r w:rsidRPr="00A9626F">
              <w:rPr>
                <w:szCs w:val="28"/>
              </w:rPr>
              <w:t>Theme 3: Quality of Life and Patient-Centred Outcomes</w:t>
            </w:r>
          </w:p>
        </w:tc>
        <w:tc>
          <w:tcPr>
            <w:tcW w:w="3970" w:type="dxa"/>
          </w:tcPr>
          <w:p w14:paraId="506D7477" w14:textId="77777777" w:rsidR="00C662DF" w:rsidRPr="00A9626F" w:rsidRDefault="00C662DF" w:rsidP="00455A12">
            <w:pPr>
              <w:spacing w:line="240" w:lineRule="auto"/>
              <w:jc w:val="left"/>
              <w:rPr>
                <w:szCs w:val="28"/>
              </w:rPr>
            </w:pPr>
            <w:r w:rsidRPr="00A9626F">
              <w:rPr>
                <w:szCs w:val="28"/>
              </w:rPr>
              <w:t>Quality of life, pain and fatigue; psychological wellbeing; employment and social function</w:t>
            </w:r>
          </w:p>
        </w:tc>
      </w:tr>
      <w:tr w:rsidR="00C662DF" w:rsidRPr="00A9626F" w14:paraId="37725907" w14:textId="77777777" w:rsidTr="00455A12">
        <w:tc>
          <w:tcPr>
            <w:tcW w:w="2358" w:type="dxa"/>
          </w:tcPr>
          <w:p w14:paraId="05D9D329" w14:textId="77777777" w:rsidR="00C662DF" w:rsidRPr="00A9626F" w:rsidRDefault="00C662DF" w:rsidP="00455A12">
            <w:pPr>
              <w:spacing w:line="240" w:lineRule="auto"/>
              <w:jc w:val="left"/>
              <w:rPr>
                <w:szCs w:val="28"/>
              </w:rPr>
            </w:pPr>
            <w:r w:rsidRPr="00A9626F">
              <w:rPr>
                <w:szCs w:val="28"/>
              </w:rPr>
              <w:t>Objective 4: early treatment and clinical outcomes</w:t>
            </w:r>
          </w:p>
        </w:tc>
        <w:tc>
          <w:tcPr>
            <w:tcW w:w="2970" w:type="dxa"/>
          </w:tcPr>
          <w:p w14:paraId="10867FAC" w14:textId="77777777" w:rsidR="00C662DF" w:rsidRPr="00A9626F" w:rsidRDefault="00C662DF" w:rsidP="00455A12">
            <w:pPr>
              <w:spacing w:line="240" w:lineRule="auto"/>
              <w:jc w:val="left"/>
              <w:rPr>
                <w:szCs w:val="28"/>
              </w:rPr>
            </w:pPr>
            <w:r w:rsidRPr="00A9626F">
              <w:rPr>
                <w:szCs w:val="28"/>
              </w:rPr>
              <w:t>Theme 4: Factors Modifying Early-Treatment Outcomes</w:t>
            </w:r>
          </w:p>
        </w:tc>
        <w:tc>
          <w:tcPr>
            <w:tcW w:w="3970" w:type="dxa"/>
          </w:tcPr>
          <w:p w14:paraId="12DCB0AB" w14:textId="77777777" w:rsidR="00C662DF" w:rsidRPr="00A9626F" w:rsidRDefault="00C662DF" w:rsidP="00455A12">
            <w:pPr>
              <w:spacing w:line="240" w:lineRule="auto"/>
              <w:jc w:val="left"/>
              <w:rPr>
                <w:szCs w:val="28"/>
              </w:rPr>
            </w:pPr>
            <w:r w:rsidRPr="00A9626F">
              <w:rPr>
                <w:szCs w:val="28"/>
              </w:rPr>
              <w:t>Socioeconomic inequalities; ethnicity and treatment access; healthcare-system and pathway factors</w:t>
            </w:r>
          </w:p>
        </w:tc>
      </w:tr>
    </w:tbl>
    <w:p w14:paraId="38CE3144" w14:textId="77777777" w:rsidR="00C662DF" w:rsidRDefault="00C662DF" w:rsidP="00C662DF">
      <w:pPr>
        <w:pStyle w:val="Heading2"/>
      </w:pPr>
      <w:bookmarkStart w:id="136" w:name="_Toc240922867"/>
      <w:r>
        <w:t>4.2 Characteristics of the Included Studies</w:t>
      </w:r>
      <w:bookmarkEnd w:id="136"/>
    </w:p>
    <w:p w14:paraId="5944E1BB" w14:textId="27E33BDB" w:rsidR="00C662DF" w:rsidRDefault="00C662DF" w:rsidP="00C662DF">
      <w:r>
        <w:t xml:space="preserve">The 14 studies included had been published between 2021 and 2025 and </w:t>
      </w:r>
      <w:r w:rsidR="00411719" w:rsidRPr="00411719">
        <w:t>were mostly conducted in England and Wales</w:t>
      </w:r>
      <w:r>
        <w:t xml:space="preserve">, with some evidence from Scotland and one study with a UK focus on centres. Observational cohort studies with large national datasets, specifically the National Early Inflammatory Arthritis Audit (NEIAA), the Scottish Early Rheumatoid Arthritis (SERA) cohort and the UK Biobank, were the predominant type of evidence, with observational cohort studies also being the most frequent type. This gave good overall population coverage </w:t>
      </w:r>
      <w:r>
        <w:lastRenderedPageBreak/>
        <w:t xml:space="preserve">but also resulted in some overlap in source populations and </w:t>
      </w:r>
      <w:r w:rsidRPr="006C5BEE">
        <w:t>reliance on routinely collected data</w:t>
      </w:r>
      <w:r>
        <w:t>. The evidence was extended beyond national cohort analyses with one randomised controlled trial, one qualitative study and one descriptive, observational study.</w:t>
      </w:r>
    </w:p>
    <w:p w14:paraId="4294AF94" w14:textId="77777777" w:rsidR="00C662DF" w:rsidRDefault="00C662DF" w:rsidP="00C662DF">
      <w:r>
        <w:t>Sample size ranged from 17.7 million adults, analysed by Russell et al. (2022) in the OpenSAFELY population, to 102 patients with moderate RA, analysed by Galloway et al. (2021), to 19 community-pharmacy staff, analysed by Simons et al. (2022) in the qualitative study. These studies have included thousands of people with RA-pattern EIA, with a few studies involving thousands more with new RA diagnoses and 12-month follow-up, and the remaining studies involving hundreds of thousands of adults with new RA diagnoses. The same heterogeneity was observed for outcomes, such as timing of referral and DMARD initiation, DAS28 and remission, persistent disease activity, frailty, hospitalisation, serious infection, EQ-5D, pain and fatigue, psychological distress and work participation.</w:t>
      </w:r>
    </w:p>
    <w:p w14:paraId="5D20A924" w14:textId="77777777" w:rsidR="00C662DF" w:rsidRDefault="00C662DF" w:rsidP="00C662DF">
      <w:r>
        <w:t xml:space="preserve">Not every study directly addressed the research question. The study by Cope et al. (2024) focused on individuals at high risk of RA prior to the establishment of their disease, whereas Simons et al. (2022) looked at staff in pharmacies and not patients. The studies were therefore used as background information on very-early intervention and </w:t>
      </w:r>
      <w:r w:rsidRPr="00245156">
        <w:t>symptom recognition</w:t>
      </w:r>
      <w:r>
        <w:t>. Only results from broader inflammatory-arthritis populations were included by Russell et al. (2022), Adas et al. (2023), Bechman et al. (2024) and Zhao et al. (2025) and were interpreted with caution, if at all. A summary of the design, sample, main findings, limitations, and contribution of the thematic category of all 14 studies is presented in Table 4.2.</w:t>
      </w:r>
    </w:p>
    <w:p w14:paraId="4905A4E4" w14:textId="77777777" w:rsidR="00C662DF" w:rsidRDefault="00C662DF" w:rsidP="00C662DF">
      <w:pPr>
        <w:sectPr w:rsidR="00C662DF" w:rsidSect="00C662DF">
          <w:footerReference w:type="default" r:id="rId16"/>
          <w:pgSz w:w="12240" w:h="15840"/>
          <w:pgMar w:top="1440" w:right="1440" w:bottom="1440" w:left="1440" w:header="720" w:footer="720" w:gutter="0"/>
          <w:cols w:space="720"/>
          <w:docGrid w:linePitch="360"/>
        </w:sectPr>
      </w:pPr>
    </w:p>
    <w:p w14:paraId="78939E5C" w14:textId="77777777" w:rsidR="00C662DF" w:rsidRDefault="00C662DF" w:rsidP="00C662DF">
      <w:r>
        <w:lastRenderedPageBreak/>
        <w:t>Table 4.2: Characteristics and Findings of the 14 Included Studies</w:t>
      </w:r>
    </w:p>
    <w:tbl>
      <w:tblPr>
        <w:tblStyle w:val="TableGrid"/>
        <w:tblW w:w="0" w:type="auto"/>
        <w:tblLook w:val="04A0" w:firstRow="1" w:lastRow="0" w:firstColumn="1" w:lastColumn="0" w:noHBand="0" w:noVBand="1"/>
      </w:tblPr>
      <w:tblGrid>
        <w:gridCol w:w="1567"/>
        <w:gridCol w:w="2793"/>
        <w:gridCol w:w="2552"/>
        <w:gridCol w:w="3262"/>
        <w:gridCol w:w="2988"/>
        <w:gridCol w:w="1194"/>
      </w:tblGrid>
      <w:tr w:rsidR="00C662DF" w:rsidRPr="000D1321" w14:paraId="62B4F4CE" w14:textId="77777777" w:rsidTr="00455A12">
        <w:tc>
          <w:tcPr>
            <w:tcW w:w="1814" w:type="dxa"/>
          </w:tcPr>
          <w:p w14:paraId="522F1FF7" w14:textId="77777777" w:rsidR="00C662DF" w:rsidRPr="000D1321" w:rsidRDefault="00C662DF" w:rsidP="000D1321">
            <w:pPr>
              <w:spacing w:line="276" w:lineRule="auto"/>
              <w:jc w:val="left"/>
            </w:pPr>
            <w:r w:rsidRPr="000D1321">
              <w:rPr>
                <w:b/>
              </w:rPr>
              <w:t>Study</w:t>
            </w:r>
          </w:p>
        </w:tc>
        <w:tc>
          <w:tcPr>
            <w:tcW w:w="3402" w:type="dxa"/>
          </w:tcPr>
          <w:p w14:paraId="74EA19F9" w14:textId="77777777" w:rsidR="00C662DF" w:rsidRPr="000D1321" w:rsidRDefault="00C662DF" w:rsidP="000D1321">
            <w:pPr>
              <w:spacing w:line="276" w:lineRule="auto"/>
              <w:jc w:val="left"/>
            </w:pPr>
            <w:r w:rsidRPr="000D1321">
              <w:rPr>
                <w:b/>
              </w:rPr>
              <w:t>Design / sample / setting</w:t>
            </w:r>
          </w:p>
        </w:tc>
        <w:tc>
          <w:tcPr>
            <w:tcW w:w="1984" w:type="dxa"/>
          </w:tcPr>
          <w:p w14:paraId="53F35E17" w14:textId="77777777" w:rsidR="00C662DF" w:rsidRPr="000D1321" w:rsidRDefault="00C662DF" w:rsidP="000D1321">
            <w:pPr>
              <w:spacing w:line="276" w:lineRule="auto"/>
              <w:jc w:val="left"/>
            </w:pPr>
            <w:r w:rsidRPr="000D1321">
              <w:rPr>
                <w:b/>
              </w:rPr>
              <w:t>Focus</w:t>
            </w:r>
          </w:p>
        </w:tc>
        <w:tc>
          <w:tcPr>
            <w:tcW w:w="4195" w:type="dxa"/>
          </w:tcPr>
          <w:p w14:paraId="3A6D8347" w14:textId="77777777" w:rsidR="00C662DF" w:rsidRPr="000D1321" w:rsidRDefault="00C662DF" w:rsidP="000D1321">
            <w:pPr>
              <w:spacing w:line="276" w:lineRule="auto"/>
              <w:jc w:val="left"/>
            </w:pPr>
            <w:r w:rsidRPr="000D1321">
              <w:rPr>
                <w:b/>
              </w:rPr>
              <w:t>Key finding</w:t>
            </w:r>
          </w:p>
        </w:tc>
        <w:tc>
          <w:tcPr>
            <w:tcW w:w="3402" w:type="dxa"/>
          </w:tcPr>
          <w:p w14:paraId="16521C5A" w14:textId="77777777" w:rsidR="00C662DF" w:rsidRPr="000D1321" w:rsidRDefault="00C662DF" w:rsidP="000D1321">
            <w:pPr>
              <w:spacing w:line="276" w:lineRule="auto"/>
              <w:jc w:val="left"/>
            </w:pPr>
            <w:r w:rsidRPr="000D1321">
              <w:rPr>
                <w:b/>
              </w:rPr>
              <w:t>Principal strength / limitation</w:t>
            </w:r>
          </w:p>
        </w:tc>
        <w:tc>
          <w:tcPr>
            <w:tcW w:w="1134" w:type="dxa"/>
          </w:tcPr>
          <w:p w14:paraId="67166F33" w14:textId="77777777" w:rsidR="00C662DF" w:rsidRPr="000D1321" w:rsidRDefault="00C662DF" w:rsidP="000D1321">
            <w:pPr>
              <w:spacing w:line="276" w:lineRule="auto"/>
              <w:jc w:val="left"/>
            </w:pPr>
            <w:r w:rsidRPr="000D1321">
              <w:rPr>
                <w:b/>
              </w:rPr>
              <w:t>Theme(s)</w:t>
            </w:r>
          </w:p>
        </w:tc>
      </w:tr>
      <w:tr w:rsidR="00C662DF" w:rsidRPr="000D1321" w14:paraId="2C57DCE5" w14:textId="77777777" w:rsidTr="00455A12">
        <w:tc>
          <w:tcPr>
            <w:tcW w:w="1814" w:type="dxa"/>
          </w:tcPr>
          <w:p w14:paraId="532077A6" w14:textId="77777777" w:rsidR="00C662DF" w:rsidRPr="000D1321" w:rsidRDefault="00C662DF" w:rsidP="000D1321">
            <w:pPr>
              <w:spacing w:line="276" w:lineRule="auto"/>
              <w:jc w:val="left"/>
            </w:pPr>
            <w:r w:rsidRPr="000D1321">
              <w:t>Yates et al. (2021)</w:t>
            </w:r>
          </w:p>
        </w:tc>
        <w:tc>
          <w:tcPr>
            <w:tcW w:w="3402" w:type="dxa"/>
          </w:tcPr>
          <w:p w14:paraId="1F9AFBF7" w14:textId="77777777" w:rsidR="00C662DF" w:rsidRPr="000D1321" w:rsidRDefault="00C662DF" w:rsidP="000D1321">
            <w:pPr>
              <w:spacing w:line="276" w:lineRule="auto"/>
              <w:jc w:val="left"/>
            </w:pPr>
            <w:r w:rsidRPr="000D1321">
              <w:t>National observational cohort; England/Wales; n=7,455 RA-pattern EIA</w:t>
            </w:r>
          </w:p>
        </w:tc>
        <w:tc>
          <w:tcPr>
            <w:tcW w:w="1984" w:type="dxa"/>
          </w:tcPr>
          <w:p w14:paraId="17C0F259" w14:textId="77777777" w:rsidR="00C662DF" w:rsidRPr="000D1321" w:rsidRDefault="00C662DF" w:rsidP="000D1321">
            <w:pPr>
              <w:spacing w:line="276" w:lineRule="auto"/>
              <w:jc w:val="left"/>
            </w:pPr>
            <w:r w:rsidRPr="000D1321">
              <w:t>Timing, DAS28, remission</w:t>
            </w:r>
          </w:p>
        </w:tc>
        <w:tc>
          <w:tcPr>
            <w:tcW w:w="4195" w:type="dxa"/>
          </w:tcPr>
          <w:p w14:paraId="601DFBF9" w14:textId="77777777" w:rsidR="00C662DF" w:rsidRPr="000D1321" w:rsidRDefault="00C662DF" w:rsidP="000D1321">
            <w:pPr>
              <w:spacing w:line="276" w:lineRule="auto"/>
              <w:jc w:val="left"/>
            </w:pPr>
            <w:r w:rsidRPr="000D1321">
              <w:t>Prompt therapy associated with 3-month remission (OR 1.27); socioeconomic and ethnic gradients in activity</w:t>
            </w:r>
          </w:p>
        </w:tc>
        <w:tc>
          <w:tcPr>
            <w:tcW w:w="3402" w:type="dxa"/>
          </w:tcPr>
          <w:p w14:paraId="79586FC5" w14:textId="77777777" w:rsidR="00C662DF" w:rsidRPr="000D1321" w:rsidRDefault="00C662DF" w:rsidP="000D1321">
            <w:pPr>
              <w:spacing w:line="276" w:lineRule="auto"/>
              <w:jc w:val="left"/>
            </w:pPr>
            <w:r w:rsidRPr="000D1321">
              <w:t>Large national dataset; increasing follow-up missingness</w:t>
            </w:r>
          </w:p>
        </w:tc>
        <w:tc>
          <w:tcPr>
            <w:tcW w:w="1134" w:type="dxa"/>
          </w:tcPr>
          <w:p w14:paraId="50C4E37C" w14:textId="77777777" w:rsidR="00C662DF" w:rsidRPr="000D1321" w:rsidRDefault="00C662DF" w:rsidP="000D1321">
            <w:pPr>
              <w:spacing w:line="276" w:lineRule="auto"/>
              <w:jc w:val="left"/>
            </w:pPr>
            <w:r w:rsidRPr="000D1321">
              <w:t>1, 2, 4</w:t>
            </w:r>
          </w:p>
        </w:tc>
      </w:tr>
      <w:tr w:rsidR="00C662DF" w:rsidRPr="000D1321" w14:paraId="2884714C" w14:textId="77777777" w:rsidTr="00455A12">
        <w:tc>
          <w:tcPr>
            <w:tcW w:w="1814" w:type="dxa"/>
          </w:tcPr>
          <w:p w14:paraId="41C216A8" w14:textId="77777777" w:rsidR="00C662DF" w:rsidRPr="000D1321" w:rsidRDefault="00C662DF" w:rsidP="000D1321">
            <w:pPr>
              <w:spacing w:line="276" w:lineRule="auto"/>
              <w:jc w:val="left"/>
            </w:pPr>
            <w:r w:rsidRPr="000D1321">
              <w:t>Galloway et al. (2021)</w:t>
            </w:r>
          </w:p>
        </w:tc>
        <w:tc>
          <w:tcPr>
            <w:tcW w:w="3402" w:type="dxa"/>
          </w:tcPr>
          <w:p w14:paraId="4DEC0039" w14:textId="77777777" w:rsidR="00C662DF" w:rsidRPr="000D1321" w:rsidRDefault="00C662DF" w:rsidP="000D1321">
            <w:pPr>
              <w:spacing w:line="276" w:lineRule="auto"/>
              <w:jc w:val="left"/>
            </w:pPr>
            <w:r w:rsidRPr="000D1321">
              <w:t>Descriptive multicentre study; 8 UK centres; n=102 moderate RA</w:t>
            </w:r>
          </w:p>
        </w:tc>
        <w:tc>
          <w:tcPr>
            <w:tcW w:w="1984" w:type="dxa"/>
          </w:tcPr>
          <w:p w14:paraId="71D178B3" w14:textId="77777777" w:rsidR="00C662DF" w:rsidRPr="000D1321" w:rsidRDefault="00C662DF" w:rsidP="000D1321">
            <w:pPr>
              <w:spacing w:line="276" w:lineRule="auto"/>
              <w:jc w:val="left"/>
            </w:pPr>
            <w:r w:rsidRPr="000D1321">
              <w:t>QoL, pain, disability, work</w:t>
            </w:r>
          </w:p>
        </w:tc>
        <w:tc>
          <w:tcPr>
            <w:tcW w:w="4195" w:type="dxa"/>
          </w:tcPr>
          <w:p w14:paraId="0C105DBF" w14:textId="77777777" w:rsidR="00C662DF" w:rsidRPr="000D1321" w:rsidRDefault="00C662DF" w:rsidP="000D1321">
            <w:pPr>
              <w:spacing w:line="276" w:lineRule="auto"/>
              <w:jc w:val="left"/>
            </w:pPr>
            <w:r w:rsidRPr="000D1321">
              <w:t>EQ-5D 0.62; pain VAS 37.7; employed subgroup lost 29% productivity</w:t>
            </w:r>
          </w:p>
        </w:tc>
        <w:tc>
          <w:tcPr>
            <w:tcW w:w="3402" w:type="dxa"/>
          </w:tcPr>
          <w:p w14:paraId="6AE91F75" w14:textId="77777777" w:rsidR="00C662DF" w:rsidRPr="000D1321" w:rsidRDefault="00C662DF" w:rsidP="000D1321">
            <w:pPr>
              <w:spacing w:line="276" w:lineRule="auto"/>
              <w:jc w:val="left"/>
            </w:pPr>
            <w:r w:rsidRPr="000D1321">
              <w:t>Validated PROMs; small established-RA sample, no timing causality</w:t>
            </w:r>
          </w:p>
        </w:tc>
        <w:tc>
          <w:tcPr>
            <w:tcW w:w="1134" w:type="dxa"/>
          </w:tcPr>
          <w:p w14:paraId="0C68B8C1" w14:textId="77777777" w:rsidR="00C662DF" w:rsidRPr="000D1321" w:rsidRDefault="00C662DF" w:rsidP="000D1321">
            <w:pPr>
              <w:spacing w:line="276" w:lineRule="auto"/>
              <w:jc w:val="left"/>
            </w:pPr>
            <w:r w:rsidRPr="000D1321">
              <w:t>3</w:t>
            </w:r>
          </w:p>
        </w:tc>
      </w:tr>
      <w:tr w:rsidR="00C662DF" w:rsidRPr="000D1321" w14:paraId="70FDFFE5" w14:textId="77777777" w:rsidTr="00455A12">
        <w:tc>
          <w:tcPr>
            <w:tcW w:w="1814" w:type="dxa"/>
          </w:tcPr>
          <w:p w14:paraId="7BFB3863" w14:textId="77777777" w:rsidR="00C662DF" w:rsidRPr="000D1321" w:rsidRDefault="00C662DF" w:rsidP="000D1321">
            <w:pPr>
              <w:spacing w:line="276" w:lineRule="auto"/>
              <w:jc w:val="left"/>
            </w:pPr>
            <w:r w:rsidRPr="000D1321">
              <w:t>Russell et al. (2022)</w:t>
            </w:r>
          </w:p>
        </w:tc>
        <w:tc>
          <w:tcPr>
            <w:tcW w:w="3402" w:type="dxa"/>
          </w:tcPr>
          <w:p w14:paraId="6FAF2E9D" w14:textId="77777777" w:rsidR="00C662DF" w:rsidRPr="000D1321" w:rsidRDefault="00C662DF" w:rsidP="000D1321">
            <w:pPr>
              <w:spacing w:line="276" w:lineRule="auto"/>
              <w:jc w:val="left"/>
            </w:pPr>
            <w:r w:rsidRPr="000D1321">
              <w:t>OpenSAFELY population cohort; England; 17.68m adults</w:t>
            </w:r>
          </w:p>
        </w:tc>
        <w:tc>
          <w:tcPr>
            <w:tcW w:w="1984" w:type="dxa"/>
          </w:tcPr>
          <w:p w14:paraId="2E9C3898" w14:textId="77777777" w:rsidR="00C662DF" w:rsidRPr="000D1321" w:rsidRDefault="00C662DF" w:rsidP="000D1321">
            <w:pPr>
              <w:spacing w:line="276" w:lineRule="auto"/>
              <w:jc w:val="left"/>
            </w:pPr>
            <w:r w:rsidRPr="000D1321">
              <w:t>Diagnosis, referral, DMARD pathway</w:t>
            </w:r>
          </w:p>
        </w:tc>
        <w:tc>
          <w:tcPr>
            <w:tcW w:w="4195" w:type="dxa"/>
          </w:tcPr>
          <w:p w14:paraId="3A33E6ED" w14:textId="77777777" w:rsidR="00C662DF" w:rsidRPr="000D1321" w:rsidRDefault="00C662DF" w:rsidP="000D1321">
            <w:pPr>
              <w:spacing w:line="276" w:lineRule="auto"/>
              <w:jc w:val="left"/>
            </w:pPr>
            <w:r w:rsidRPr="000D1321">
              <w:t>IA diagnoses fell 20.3%; assessment 18 vs 21 days; DMARD prescribing broadly maintained</w:t>
            </w:r>
          </w:p>
        </w:tc>
        <w:tc>
          <w:tcPr>
            <w:tcW w:w="3402" w:type="dxa"/>
          </w:tcPr>
          <w:p w14:paraId="742EE56A" w14:textId="77777777" w:rsidR="00C662DF" w:rsidRPr="000D1321" w:rsidRDefault="00C662DF" w:rsidP="000D1321">
            <w:pPr>
              <w:spacing w:line="276" w:lineRule="auto"/>
              <w:jc w:val="left"/>
            </w:pPr>
            <w:r w:rsidRPr="000D1321">
              <w:t>Population scale; mixed IA and unobserved pre-diagnosis delay</w:t>
            </w:r>
          </w:p>
        </w:tc>
        <w:tc>
          <w:tcPr>
            <w:tcW w:w="1134" w:type="dxa"/>
          </w:tcPr>
          <w:p w14:paraId="4624131C" w14:textId="77777777" w:rsidR="00C662DF" w:rsidRPr="000D1321" w:rsidRDefault="00C662DF" w:rsidP="000D1321">
            <w:pPr>
              <w:spacing w:line="276" w:lineRule="auto"/>
              <w:jc w:val="left"/>
            </w:pPr>
            <w:r w:rsidRPr="000D1321">
              <w:t>1, 4</w:t>
            </w:r>
          </w:p>
        </w:tc>
      </w:tr>
      <w:tr w:rsidR="00C662DF" w:rsidRPr="000D1321" w14:paraId="7F305EA4" w14:textId="77777777" w:rsidTr="00455A12">
        <w:tc>
          <w:tcPr>
            <w:tcW w:w="1814" w:type="dxa"/>
          </w:tcPr>
          <w:p w14:paraId="5B4EF584" w14:textId="77777777" w:rsidR="00C662DF" w:rsidRPr="000D1321" w:rsidRDefault="00C662DF" w:rsidP="000D1321">
            <w:pPr>
              <w:spacing w:line="276" w:lineRule="auto"/>
              <w:jc w:val="left"/>
            </w:pPr>
            <w:r w:rsidRPr="000D1321">
              <w:t>Simons et al. (2022)</w:t>
            </w:r>
          </w:p>
        </w:tc>
        <w:tc>
          <w:tcPr>
            <w:tcW w:w="3402" w:type="dxa"/>
          </w:tcPr>
          <w:p w14:paraId="7F2DB692" w14:textId="77777777" w:rsidR="00C662DF" w:rsidRPr="000D1321" w:rsidRDefault="00C662DF" w:rsidP="000D1321">
            <w:pPr>
              <w:spacing w:line="276" w:lineRule="auto"/>
              <w:jc w:val="left"/>
            </w:pPr>
            <w:r w:rsidRPr="000D1321">
              <w:t>Qualitative interviews; West Midlands; n=19 pharmacy staff</w:t>
            </w:r>
          </w:p>
        </w:tc>
        <w:tc>
          <w:tcPr>
            <w:tcW w:w="1984" w:type="dxa"/>
          </w:tcPr>
          <w:p w14:paraId="17C1F547" w14:textId="77777777" w:rsidR="00C662DF" w:rsidRPr="000D1321" w:rsidRDefault="00C662DF" w:rsidP="000D1321">
            <w:pPr>
              <w:spacing w:line="276" w:lineRule="auto"/>
              <w:jc w:val="left"/>
            </w:pPr>
            <w:r w:rsidRPr="000D1321">
              <w:t>Recognition/signposting</w:t>
            </w:r>
          </w:p>
        </w:tc>
        <w:tc>
          <w:tcPr>
            <w:tcW w:w="4195" w:type="dxa"/>
          </w:tcPr>
          <w:p w14:paraId="06EB708D" w14:textId="77777777" w:rsidR="00C662DF" w:rsidRPr="000D1321" w:rsidRDefault="00C662DF" w:rsidP="000D1321">
            <w:pPr>
              <w:spacing w:line="276" w:lineRule="auto"/>
              <w:jc w:val="left"/>
            </w:pPr>
            <w:r w:rsidRPr="000D1321">
              <w:t>Variable RA knowledge; perceived roles in awareness, GP access and signposting</w:t>
            </w:r>
          </w:p>
        </w:tc>
        <w:tc>
          <w:tcPr>
            <w:tcW w:w="3402" w:type="dxa"/>
          </w:tcPr>
          <w:p w14:paraId="114976D7" w14:textId="77777777" w:rsidR="00C662DF" w:rsidRPr="000D1321" w:rsidRDefault="00C662DF" w:rsidP="000D1321">
            <w:pPr>
              <w:spacing w:line="276" w:lineRule="auto"/>
              <w:jc w:val="left"/>
            </w:pPr>
            <w:r w:rsidRPr="000D1321">
              <w:t>Useful pathway context; small non-patient sample, no outcome test</w:t>
            </w:r>
          </w:p>
        </w:tc>
        <w:tc>
          <w:tcPr>
            <w:tcW w:w="1134" w:type="dxa"/>
          </w:tcPr>
          <w:p w14:paraId="4A60D0A0" w14:textId="77777777" w:rsidR="00C662DF" w:rsidRPr="000D1321" w:rsidRDefault="00C662DF" w:rsidP="000D1321">
            <w:pPr>
              <w:spacing w:line="276" w:lineRule="auto"/>
              <w:jc w:val="left"/>
            </w:pPr>
            <w:r w:rsidRPr="000D1321">
              <w:t>1, 4</w:t>
            </w:r>
          </w:p>
        </w:tc>
      </w:tr>
      <w:tr w:rsidR="00C662DF" w:rsidRPr="000D1321" w14:paraId="3FEFBE67" w14:textId="77777777" w:rsidTr="00455A12">
        <w:tc>
          <w:tcPr>
            <w:tcW w:w="1814" w:type="dxa"/>
          </w:tcPr>
          <w:p w14:paraId="7DABB595" w14:textId="77777777" w:rsidR="00C662DF" w:rsidRPr="000D1321" w:rsidRDefault="00C662DF" w:rsidP="000D1321">
            <w:pPr>
              <w:spacing w:line="276" w:lineRule="auto"/>
              <w:jc w:val="left"/>
            </w:pPr>
            <w:r w:rsidRPr="000D1321">
              <w:t>Adas et al. (2023)</w:t>
            </w:r>
          </w:p>
        </w:tc>
        <w:tc>
          <w:tcPr>
            <w:tcW w:w="3402" w:type="dxa"/>
          </w:tcPr>
          <w:p w14:paraId="3F6206A5" w14:textId="77777777" w:rsidR="00C662DF" w:rsidRPr="000D1321" w:rsidRDefault="00C662DF" w:rsidP="000D1321">
            <w:pPr>
              <w:spacing w:line="276" w:lineRule="auto"/>
              <w:jc w:val="left"/>
            </w:pPr>
            <w:r w:rsidRPr="000D1321">
              <w:t>National EIA cohort; England/Wales; n=12,955 confirmed EIA</w:t>
            </w:r>
          </w:p>
        </w:tc>
        <w:tc>
          <w:tcPr>
            <w:tcW w:w="1984" w:type="dxa"/>
          </w:tcPr>
          <w:p w14:paraId="2EA5C8FA" w14:textId="77777777" w:rsidR="00C662DF" w:rsidRPr="000D1321" w:rsidRDefault="00C662DF" w:rsidP="000D1321">
            <w:pPr>
              <w:spacing w:line="276" w:lineRule="auto"/>
              <w:jc w:val="left"/>
            </w:pPr>
            <w:r w:rsidRPr="000D1321">
              <w:t>Ethnicity, treatment, remission</w:t>
            </w:r>
          </w:p>
        </w:tc>
        <w:tc>
          <w:tcPr>
            <w:tcW w:w="4195" w:type="dxa"/>
          </w:tcPr>
          <w:p w14:paraId="291BDAEA" w14:textId="77777777" w:rsidR="00C662DF" w:rsidRPr="000D1321" w:rsidRDefault="00C662DF" w:rsidP="000D1321">
            <w:pPr>
              <w:spacing w:line="276" w:lineRule="auto"/>
              <w:jc w:val="left"/>
            </w:pPr>
            <w:r w:rsidRPr="000D1321">
              <w:t>Minority patients had lower 3-month remission (OR 0.79) and lower initial MTX use (OR 0.68)</w:t>
            </w:r>
          </w:p>
        </w:tc>
        <w:tc>
          <w:tcPr>
            <w:tcW w:w="3402" w:type="dxa"/>
          </w:tcPr>
          <w:p w14:paraId="2CAA1069" w14:textId="77777777" w:rsidR="00C662DF" w:rsidRPr="000D1321" w:rsidRDefault="00C662DF" w:rsidP="000D1321">
            <w:pPr>
              <w:spacing w:line="276" w:lineRule="auto"/>
              <w:jc w:val="left"/>
            </w:pPr>
            <w:r w:rsidRPr="000D1321">
              <w:t>Large adjusted cohort; mixed EIA population</w:t>
            </w:r>
          </w:p>
        </w:tc>
        <w:tc>
          <w:tcPr>
            <w:tcW w:w="1134" w:type="dxa"/>
          </w:tcPr>
          <w:p w14:paraId="134457FA" w14:textId="77777777" w:rsidR="00C662DF" w:rsidRPr="000D1321" w:rsidRDefault="00C662DF" w:rsidP="000D1321">
            <w:pPr>
              <w:spacing w:line="276" w:lineRule="auto"/>
              <w:jc w:val="left"/>
            </w:pPr>
            <w:r w:rsidRPr="000D1321">
              <w:t>2, 4</w:t>
            </w:r>
          </w:p>
        </w:tc>
      </w:tr>
      <w:tr w:rsidR="00C662DF" w:rsidRPr="000D1321" w14:paraId="757C833B" w14:textId="77777777" w:rsidTr="00455A12">
        <w:tc>
          <w:tcPr>
            <w:tcW w:w="1814" w:type="dxa"/>
          </w:tcPr>
          <w:p w14:paraId="6B68522D" w14:textId="77777777" w:rsidR="00C662DF" w:rsidRPr="000D1321" w:rsidRDefault="00C662DF" w:rsidP="000D1321">
            <w:pPr>
              <w:spacing w:line="276" w:lineRule="auto"/>
              <w:jc w:val="left"/>
            </w:pPr>
            <w:r w:rsidRPr="000D1321">
              <w:t>Hanlon et al. (2022)</w:t>
            </w:r>
          </w:p>
        </w:tc>
        <w:tc>
          <w:tcPr>
            <w:tcW w:w="3402" w:type="dxa"/>
          </w:tcPr>
          <w:p w14:paraId="1C25839B" w14:textId="77777777" w:rsidR="00C662DF" w:rsidRPr="000D1321" w:rsidRDefault="00C662DF" w:rsidP="000D1321">
            <w:pPr>
              <w:spacing w:line="276" w:lineRule="auto"/>
              <w:jc w:val="left"/>
            </w:pPr>
            <w:r w:rsidRPr="000D1321">
              <w:t>Longitudinal SERA and UK Biobank RA cohorts</w:t>
            </w:r>
          </w:p>
        </w:tc>
        <w:tc>
          <w:tcPr>
            <w:tcW w:w="1984" w:type="dxa"/>
          </w:tcPr>
          <w:p w14:paraId="6636A381" w14:textId="77777777" w:rsidR="00C662DF" w:rsidRPr="000D1321" w:rsidRDefault="00C662DF" w:rsidP="000D1321">
            <w:pPr>
              <w:spacing w:line="276" w:lineRule="auto"/>
              <w:jc w:val="left"/>
            </w:pPr>
            <w:r w:rsidRPr="000D1321">
              <w:t>Frailty, DAS28, hospitalisation, mortality</w:t>
            </w:r>
          </w:p>
        </w:tc>
        <w:tc>
          <w:tcPr>
            <w:tcW w:w="4195" w:type="dxa"/>
          </w:tcPr>
          <w:p w14:paraId="592B6FAB" w14:textId="77777777" w:rsidR="00C662DF" w:rsidRPr="000D1321" w:rsidRDefault="00C662DF" w:rsidP="000D1321">
            <w:pPr>
              <w:spacing w:line="276" w:lineRule="auto"/>
              <w:jc w:val="left"/>
            </w:pPr>
            <w:r w:rsidRPr="000D1321">
              <w:t>Frailty decreased with lower DAS28 in SERA; frailty predicted hospitalisation and mortality</w:t>
            </w:r>
          </w:p>
        </w:tc>
        <w:tc>
          <w:tcPr>
            <w:tcW w:w="3402" w:type="dxa"/>
          </w:tcPr>
          <w:p w14:paraId="7267CADC" w14:textId="77777777" w:rsidR="00C662DF" w:rsidRPr="000D1321" w:rsidRDefault="00C662DF" w:rsidP="000D1321">
            <w:pPr>
              <w:spacing w:line="276" w:lineRule="auto"/>
              <w:jc w:val="left"/>
            </w:pPr>
            <w:r w:rsidRPr="000D1321">
              <w:t>Two linked cohorts; observational and cohort heterogeneity</w:t>
            </w:r>
          </w:p>
        </w:tc>
        <w:tc>
          <w:tcPr>
            <w:tcW w:w="1134" w:type="dxa"/>
          </w:tcPr>
          <w:p w14:paraId="12DE4EAA" w14:textId="77777777" w:rsidR="00C662DF" w:rsidRPr="000D1321" w:rsidRDefault="00C662DF" w:rsidP="000D1321">
            <w:pPr>
              <w:spacing w:line="276" w:lineRule="auto"/>
              <w:jc w:val="left"/>
            </w:pPr>
            <w:r w:rsidRPr="000D1321">
              <w:t>2, 3</w:t>
            </w:r>
          </w:p>
        </w:tc>
      </w:tr>
      <w:tr w:rsidR="00C662DF" w:rsidRPr="000D1321" w14:paraId="3472FB24" w14:textId="77777777" w:rsidTr="00455A12">
        <w:tc>
          <w:tcPr>
            <w:tcW w:w="1814" w:type="dxa"/>
          </w:tcPr>
          <w:p w14:paraId="44C36678" w14:textId="77777777" w:rsidR="00C662DF" w:rsidRPr="000D1321" w:rsidRDefault="00C662DF" w:rsidP="000D1321">
            <w:pPr>
              <w:spacing w:line="276" w:lineRule="auto"/>
              <w:jc w:val="left"/>
            </w:pPr>
            <w:r w:rsidRPr="000D1321">
              <w:t>Morton et al. (2023)</w:t>
            </w:r>
          </w:p>
        </w:tc>
        <w:tc>
          <w:tcPr>
            <w:tcW w:w="3402" w:type="dxa"/>
          </w:tcPr>
          <w:p w14:paraId="173EE323" w14:textId="77777777" w:rsidR="00C662DF" w:rsidRPr="000D1321" w:rsidRDefault="00C662DF" w:rsidP="000D1321">
            <w:pPr>
              <w:spacing w:line="276" w:lineRule="auto"/>
              <w:jc w:val="left"/>
            </w:pPr>
            <w:r w:rsidRPr="000D1321">
              <w:t>Longitudinal UK Biobank n=4,757 + SERA n=825</w:t>
            </w:r>
          </w:p>
        </w:tc>
        <w:tc>
          <w:tcPr>
            <w:tcW w:w="1984" w:type="dxa"/>
          </w:tcPr>
          <w:p w14:paraId="629C6B83" w14:textId="77777777" w:rsidR="00C662DF" w:rsidRPr="000D1321" w:rsidRDefault="00C662DF" w:rsidP="000D1321">
            <w:pPr>
              <w:spacing w:line="276" w:lineRule="auto"/>
              <w:jc w:val="left"/>
            </w:pPr>
            <w:r w:rsidRPr="000D1321">
              <w:t>Multimorbidity and hospitalisation</w:t>
            </w:r>
          </w:p>
        </w:tc>
        <w:tc>
          <w:tcPr>
            <w:tcW w:w="4195" w:type="dxa"/>
          </w:tcPr>
          <w:p w14:paraId="25D56A77" w14:textId="77777777" w:rsidR="00C662DF" w:rsidRPr="000D1321" w:rsidRDefault="00C662DF" w:rsidP="000D1321">
            <w:pPr>
              <w:spacing w:line="276" w:lineRule="auto"/>
              <w:jc w:val="left"/>
            </w:pPr>
            <w:r w:rsidRPr="000D1321">
              <w:t>RA plus &gt;=2 LTCs increased admission rate and duration in both cohorts</w:t>
            </w:r>
          </w:p>
        </w:tc>
        <w:tc>
          <w:tcPr>
            <w:tcW w:w="3402" w:type="dxa"/>
          </w:tcPr>
          <w:p w14:paraId="076223F6" w14:textId="77777777" w:rsidR="00C662DF" w:rsidRPr="000D1321" w:rsidRDefault="00C662DF" w:rsidP="000D1321">
            <w:pPr>
              <w:spacing w:line="276" w:lineRule="auto"/>
              <w:jc w:val="left"/>
            </w:pPr>
            <w:r w:rsidRPr="000D1321">
              <w:t>Replicated result; different cohort definitions and self-report in UKB</w:t>
            </w:r>
          </w:p>
        </w:tc>
        <w:tc>
          <w:tcPr>
            <w:tcW w:w="1134" w:type="dxa"/>
          </w:tcPr>
          <w:p w14:paraId="5B0A47D7" w14:textId="77777777" w:rsidR="00C662DF" w:rsidRPr="000D1321" w:rsidRDefault="00C662DF" w:rsidP="000D1321">
            <w:pPr>
              <w:spacing w:line="276" w:lineRule="auto"/>
              <w:jc w:val="left"/>
            </w:pPr>
            <w:r w:rsidRPr="000D1321">
              <w:t>2, 3</w:t>
            </w:r>
          </w:p>
        </w:tc>
      </w:tr>
      <w:tr w:rsidR="00C662DF" w:rsidRPr="000D1321" w14:paraId="0184837A" w14:textId="77777777" w:rsidTr="00455A12">
        <w:tc>
          <w:tcPr>
            <w:tcW w:w="1814" w:type="dxa"/>
          </w:tcPr>
          <w:p w14:paraId="3A196D78" w14:textId="77777777" w:rsidR="00C662DF" w:rsidRPr="000D1321" w:rsidRDefault="00C662DF" w:rsidP="000D1321">
            <w:pPr>
              <w:spacing w:line="276" w:lineRule="auto"/>
              <w:jc w:val="left"/>
            </w:pPr>
            <w:r w:rsidRPr="000D1321">
              <w:t>Bechman et al. (2024)</w:t>
            </w:r>
          </w:p>
        </w:tc>
        <w:tc>
          <w:tcPr>
            <w:tcW w:w="3402" w:type="dxa"/>
          </w:tcPr>
          <w:p w14:paraId="7C8962D1" w14:textId="77777777" w:rsidR="00C662DF" w:rsidRPr="000D1321" w:rsidRDefault="00C662DF" w:rsidP="000D1321">
            <w:pPr>
              <w:spacing w:line="276" w:lineRule="auto"/>
              <w:jc w:val="left"/>
            </w:pPr>
            <w:r w:rsidRPr="000D1321">
              <w:t>NEIAA cohort; n=12,473 EIA</w:t>
            </w:r>
          </w:p>
        </w:tc>
        <w:tc>
          <w:tcPr>
            <w:tcW w:w="1984" w:type="dxa"/>
          </w:tcPr>
          <w:p w14:paraId="3DA0DE0B" w14:textId="77777777" w:rsidR="00C662DF" w:rsidRPr="000D1321" w:rsidRDefault="00C662DF" w:rsidP="000D1321">
            <w:pPr>
              <w:spacing w:line="276" w:lineRule="auto"/>
              <w:jc w:val="left"/>
            </w:pPr>
            <w:r w:rsidRPr="000D1321">
              <w:t>Employment and work impairment</w:t>
            </w:r>
          </w:p>
        </w:tc>
        <w:tc>
          <w:tcPr>
            <w:tcW w:w="4195" w:type="dxa"/>
          </w:tcPr>
          <w:p w14:paraId="5F73180C" w14:textId="77777777" w:rsidR="00C662DF" w:rsidRPr="000D1321" w:rsidRDefault="00C662DF" w:rsidP="000D1321">
            <w:pPr>
              <w:spacing w:line="276" w:lineRule="auto"/>
              <w:jc w:val="left"/>
            </w:pPr>
            <w:r w:rsidRPr="000D1321">
              <w:t>7.2% stopped work; 12.3% changed jobs; 29% absenteeism; 40% median presenteeism</w:t>
            </w:r>
          </w:p>
        </w:tc>
        <w:tc>
          <w:tcPr>
            <w:tcW w:w="3402" w:type="dxa"/>
          </w:tcPr>
          <w:p w14:paraId="5D6E6C35" w14:textId="77777777" w:rsidR="00C662DF" w:rsidRPr="000D1321" w:rsidRDefault="00C662DF" w:rsidP="000D1321">
            <w:pPr>
              <w:spacing w:line="276" w:lineRule="auto"/>
              <w:jc w:val="left"/>
            </w:pPr>
            <w:r w:rsidRPr="000D1321">
              <w:t>Large work dataset; mixed IA and substantial WPAI missingness</w:t>
            </w:r>
          </w:p>
        </w:tc>
        <w:tc>
          <w:tcPr>
            <w:tcW w:w="1134" w:type="dxa"/>
          </w:tcPr>
          <w:p w14:paraId="703A2403" w14:textId="77777777" w:rsidR="00C662DF" w:rsidRPr="000D1321" w:rsidRDefault="00C662DF" w:rsidP="000D1321">
            <w:pPr>
              <w:spacing w:line="276" w:lineRule="auto"/>
              <w:jc w:val="left"/>
            </w:pPr>
            <w:r w:rsidRPr="000D1321">
              <w:t>3, 4</w:t>
            </w:r>
          </w:p>
        </w:tc>
      </w:tr>
      <w:tr w:rsidR="00C662DF" w:rsidRPr="000D1321" w14:paraId="0A10AFF1" w14:textId="77777777" w:rsidTr="00455A12">
        <w:tc>
          <w:tcPr>
            <w:tcW w:w="1814" w:type="dxa"/>
          </w:tcPr>
          <w:p w14:paraId="53B48083" w14:textId="77777777" w:rsidR="00C662DF" w:rsidRPr="000D1321" w:rsidRDefault="00C662DF" w:rsidP="000D1321">
            <w:pPr>
              <w:spacing w:line="276" w:lineRule="auto"/>
              <w:jc w:val="left"/>
            </w:pPr>
            <w:r w:rsidRPr="000D1321">
              <w:t>Adas et al. (2024)</w:t>
            </w:r>
          </w:p>
        </w:tc>
        <w:tc>
          <w:tcPr>
            <w:tcW w:w="3402" w:type="dxa"/>
          </w:tcPr>
          <w:p w14:paraId="4EB30D56" w14:textId="77777777" w:rsidR="00C662DF" w:rsidRPr="000D1321" w:rsidRDefault="00C662DF" w:rsidP="000D1321">
            <w:pPr>
              <w:spacing w:line="276" w:lineRule="auto"/>
              <w:jc w:val="left"/>
            </w:pPr>
            <w:r w:rsidRPr="000D1321">
              <w:t xml:space="preserve">NEIAA early RA; n=1,708 analysed (682 persistent </w:t>
            </w:r>
            <w:r w:rsidRPr="000D1321">
              <w:lastRenderedPageBreak/>
              <w:t>active; 1,026 low)</w:t>
            </w:r>
          </w:p>
        </w:tc>
        <w:tc>
          <w:tcPr>
            <w:tcW w:w="1984" w:type="dxa"/>
          </w:tcPr>
          <w:p w14:paraId="46138930" w14:textId="77777777" w:rsidR="00C662DF" w:rsidRPr="000D1321" w:rsidRDefault="00C662DF" w:rsidP="000D1321">
            <w:pPr>
              <w:spacing w:line="276" w:lineRule="auto"/>
              <w:jc w:val="left"/>
            </w:pPr>
            <w:r w:rsidRPr="000D1321">
              <w:lastRenderedPageBreak/>
              <w:t>Persistent DAS28 activity</w:t>
            </w:r>
          </w:p>
        </w:tc>
        <w:tc>
          <w:tcPr>
            <w:tcW w:w="4195" w:type="dxa"/>
          </w:tcPr>
          <w:p w14:paraId="7682D452" w14:textId="77777777" w:rsidR="00C662DF" w:rsidRPr="000D1321" w:rsidRDefault="00C662DF" w:rsidP="000D1321">
            <w:pPr>
              <w:spacing w:line="276" w:lineRule="auto"/>
              <w:jc w:val="left"/>
            </w:pPr>
            <w:r w:rsidRPr="000D1321">
              <w:t xml:space="preserve">Deprivation, smoking and several comorbidities </w:t>
            </w:r>
            <w:r w:rsidRPr="000D1321">
              <w:lastRenderedPageBreak/>
              <w:t>independently associated with persistent activity</w:t>
            </w:r>
          </w:p>
        </w:tc>
        <w:tc>
          <w:tcPr>
            <w:tcW w:w="3402" w:type="dxa"/>
          </w:tcPr>
          <w:p w14:paraId="14183E7C" w14:textId="77777777" w:rsidR="00C662DF" w:rsidRPr="000D1321" w:rsidRDefault="00C662DF" w:rsidP="000D1321">
            <w:pPr>
              <w:spacing w:line="276" w:lineRule="auto"/>
              <w:jc w:val="left"/>
            </w:pPr>
            <w:r w:rsidRPr="000D1321">
              <w:lastRenderedPageBreak/>
              <w:t>Repeated DAS28; complete-case selection</w:t>
            </w:r>
          </w:p>
        </w:tc>
        <w:tc>
          <w:tcPr>
            <w:tcW w:w="1134" w:type="dxa"/>
          </w:tcPr>
          <w:p w14:paraId="0121D5B8" w14:textId="77777777" w:rsidR="00C662DF" w:rsidRPr="000D1321" w:rsidRDefault="00C662DF" w:rsidP="000D1321">
            <w:pPr>
              <w:spacing w:line="276" w:lineRule="auto"/>
              <w:jc w:val="left"/>
            </w:pPr>
            <w:r w:rsidRPr="000D1321">
              <w:t>2, 4</w:t>
            </w:r>
          </w:p>
        </w:tc>
      </w:tr>
      <w:tr w:rsidR="00C662DF" w:rsidRPr="000D1321" w14:paraId="786C9253" w14:textId="77777777" w:rsidTr="00455A12">
        <w:tc>
          <w:tcPr>
            <w:tcW w:w="1814" w:type="dxa"/>
          </w:tcPr>
          <w:p w14:paraId="3D3A5797" w14:textId="77777777" w:rsidR="00C662DF" w:rsidRPr="000D1321" w:rsidRDefault="00C662DF" w:rsidP="000D1321">
            <w:pPr>
              <w:spacing w:line="276" w:lineRule="auto"/>
              <w:jc w:val="left"/>
            </w:pPr>
            <w:r w:rsidRPr="000D1321">
              <w:t>Zhao et al. (2025)</w:t>
            </w:r>
          </w:p>
        </w:tc>
        <w:tc>
          <w:tcPr>
            <w:tcW w:w="3402" w:type="dxa"/>
          </w:tcPr>
          <w:p w14:paraId="023F1330" w14:textId="77777777" w:rsidR="00C662DF" w:rsidRPr="000D1321" w:rsidRDefault="00C662DF" w:rsidP="000D1321">
            <w:pPr>
              <w:spacing w:line="276" w:lineRule="auto"/>
              <w:jc w:val="left"/>
            </w:pPr>
            <w:r w:rsidRPr="000D1321">
              <w:t>Prospective NEIAA EIA cohort; n=6,873</w:t>
            </w:r>
          </w:p>
        </w:tc>
        <w:tc>
          <w:tcPr>
            <w:tcW w:w="1984" w:type="dxa"/>
          </w:tcPr>
          <w:p w14:paraId="48CFD3A1" w14:textId="77777777" w:rsidR="00C662DF" w:rsidRPr="000D1321" w:rsidRDefault="00C662DF" w:rsidP="000D1321">
            <w:pPr>
              <w:spacing w:line="276" w:lineRule="auto"/>
              <w:jc w:val="left"/>
            </w:pPr>
            <w:r w:rsidRPr="000D1321">
              <w:t>Distress, QoL, disability, work</w:t>
            </w:r>
          </w:p>
        </w:tc>
        <w:tc>
          <w:tcPr>
            <w:tcW w:w="4195" w:type="dxa"/>
          </w:tcPr>
          <w:p w14:paraId="67F6B45C" w14:textId="77777777" w:rsidR="00C662DF" w:rsidRPr="000D1321" w:rsidRDefault="00C662DF" w:rsidP="000D1321">
            <w:pPr>
              <w:spacing w:line="276" w:lineRule="auto"/>
              <w:jc w:val="left"/>
            </w:pPr>
            <w:r w:rsidRPr="000D1321">
              <w:t>Distress 50.2% at baseline, 30.0% at 3 months, 24.1% at 12 months; poorer outcomes with higher distress</w:t>
            </w:r>
          </w:p>
        </w:tc>
        <w:tc>
          <w:tcPr>
            <w:tcW w:w="3402" w:type="dxa"/>
          </w:tcPr>
          <w:p w14:paraId="7E721B57" w14:textId="77777777" w:rsidR="00C662DF" w:rsidRPr="000D1321" w:rsidRDefault="00C662DF" w:rsidP="000D1321">
            <w:pPr>
              <w:spacing w:line="276" w:lineRule="auto"/>
              <w:jc w:val="left"/>
            </w:pPr>
            <w:r w:rsidRPr="000D1321">
              <w:t>Repeated PROMs; mixed IA and follow-up missingness</w:t>
            </w:r>
          </w:p>
        </w:tc>
        <w:tc>
          <w:tcPr>
            <w:tcW w:w="1134" w:type="dxa"/>
          </w:tcPr>
          <w:p w14:paraId="7A8FC459" w14:textId="77777777" w:rsidR="00C662DF" w:rsidRPr="000D1321" w:rsidRDefault="00C662DF" w:rsidP="000D1321">
            <w:pPr>
              <w:spacing w:line="276" w:lineRule="auto"/>
              <w:jc w:val="left"/>
            </w:pPr>
            <w:r w:rsidRPr="000D1321">
              <w:t>3</w:t>
            </w:r>
          </w:p>
        </w:tc>
      </w:tr>
      <w:tr w:rsidR="00C662DF" w:rsidRPr="000D1321" w14:paraId="3791EC14" w14:textId="77777777" w:rsidTr="00455A12">
        <w:tc>
          <w:tcPr>
            <w:tcW w:w="1814" w:type="dxa"/>
          </w:tcPr>
          <w:p w14:paraId="78366E10" w14:textId="6710C876" w:rsidR="00C662DF" w:rsidRPr="000D1321" w:rsidRDefault="00C662DF" w:rsidP="000D1321">
            <w:pPr>
              <w:spacing w:line="276" w:lineRule="auto"/>
              <w:jc w:val="left"/>
            </w:pPr>
            <w:r w:rsidRPr="000D1321">
              <w:t>Russell et al. (2025</w:t>
            </w:r>
            <w:r w:rsidR="00EC45B5" w:rsidRPr="000D1321">
              <w:t>a</w:t>
            </w:r>
            <w:r w:rsidRPr="000D1321">
              <w:t>)</w:t>
            </w:r>
          </w:p>
        </w:tc>
        <w:tc>
          <w:tcPr>
            <w:tcW w:w="3402" w:type="dxa"/>
          </w:tcPr>
          <w:p w14:paraId="5B295C03" w14:textId="77777777" w:rsidR="00C662DF" w:rsidRPr="000D1321" w:rsidRDefault="00C662DF" w:rsidP="000D1321">
            <w:pPr>
              <w:spacing w:line="276" w:lineRule="auto"/>
              <w:jc w:val="left"/>
            </w:pPr>
            <w:r w:rsidRPr="000D1321">
              <w:t>NEIAA RA cohort; n=6,098 with 12-month data</w:t>
            </w:r>
          </w:p>
        </w:tc>
        <w:tc>
          <w:tcPr>
            <w:tcW w:w="1984" w:type="dxa"/>
          </w:tcPr>
          <w:p w14:paraId="5CBBD733" w14:textId="77777777" w:rsidR="00C662DF" w:rsidRPr="000D1321" w:rsidRDefault="00C662DF" w:rsidP="000D1321">
            <w:pPr>
              <w:spacing w:line="276" w:lineRule="auto"/>
              <w:jc w:val="left"/>
            </w:pPr>
            <w:r w:rsidRPr="000D1321">
              <w:t>Advanced DMARD initiation</w:t>
            </w:r>
          </w:p>
        </w:tc>
        <w:tc>
          <w:tcPr>
            <w:tcW w:w="4195" w:type="dxa"/>
          </w:tcPr>
          <w:p w14:paraId="2D3B9FE3" w14:textId="77777777" w:rsidR="00C662DF" w:rsidRPr="000D1321" w:rsidRDefault="00C662DF" w:rsidP="000D1321">
            <w:pPr>
              <w:spacing w:line="276" w:lineRule="auto"/>
              <w:jc w:val="left"/>
            </w:pPr>
            <w:r w:rsidRPr="000D1321">
              <w:t>8.3% initiated b/tsDMARDs; Asian vs White adjusted RR 0.52</w:t>
            </w:r>
          </w:p>
        </w:tc>
        <w:tc>
          <w:tcPr>
            <w:tcW w:w="3402" w:type="dxa"/>
          </w:tcPr>
          <w:p w14:paraId="63719191" w14:textId="77777777" w:rsidR="00C662DF" w:rsidRPr="000D1321" w:rsidRDefault="00C662DF" w:rsidP="000D1321">
            <w:pPr>
              <w:spacing w:line="276" w:lineRule="auto"/>
              <w:jc w:val="left"/>
            </w:pPr>
            <w:r w:rsidRPr="000D1321">
              <w:t>RA-specific adjusted national analysis; completer and residual confounding</w:t>
            </w:r>
          </w:p>
        </w:tc>
        <w:tc>
          <w:tcPr>
            <w:tcW w:w="1134" w:type="dxa"/>
          </w:tcPr>
          <w:p w14:paraId="16EA5A2B" w14:textId="77777777" w:rsidR="00C662DF" w:rsidRPr="000D1321" w:rsidRDefault="00C662DF" w:rsidP="000D1321">
            <w:pPr>
              <w:spacing w:line="276" w:lineRule="auto"/>
              <w:jc w:val="left"/>
            </w:pPr>
            <w:r w:rsidRPr="000D1321">
              <w:t>1, 4</w:t>
            </w:r>
          </w:p>
        </w:tc>
      </w:tr>
      <w:tr w:rsidR="00C662DF" w:rsidRPr="000D1321" w14:paraId="178D834C" w14:textId="77777777" w:rsidTr="00455A12">
        <w:tc>
          <w:tcPr>
            <w:tcW w:w="1814" w:type="dxa"/>
          </w:tcPr>
          <w:p w14:paraId="741A878A" w14:textId="77777777" w:rsidR="00C662DF" w:rsidRPr="000D1321" w:rsidRDefault="00C662DF" w:rsidP="000D1321">
            <w:pPr>
              <w:spacing w:line="276" w:lineRule="auto"/>
              <w:jc w:val="left"/>
            </w:pPr>
            <w:r w:rsidRPr="000D1321">
              <w:t>Alveyn et al. (2025)</w:t>
            </w:r>
          </w:p>
        </w:tc>
        <w:tc>
          <w:tcPr>
            <w:tcW w:w="3402" w:type="dxa"/>
          </w:tcPr>
          <w:p w14:paraId="38CEB5E4" w14:textId="77777777" w:rsidR="00C662DF" w:rsidRPr="000D1321" w:rsidRDefault="00C662DF" w:rsidP="000D1321">
            <w:pPr>
              <w:spacing w:line="276" w:lineRule="auto"/>
              <w:jc w:val="left"/>
            </w:pPr>
            <w:r w:rsidRPr="000D1321">
              <w:t>NEIAA RA cohort; n=21,904</w:t>
            </w:r>
          </w:p>
        </w:tc>
        <w:tc>
          <w:tcPr>
            <w:tcW w:w="1984" w:type="dxa"/>
          </w:tcPr>
          <w:p w14:paraId="6D24AFEF" w14:textId="77777777" w:rsidR="00C662DF" w:rsidRPr="000D1321" w:rsidRDefault="00C662DF" w:rsidP="000D1321">
            <w:pPr>
              <w:spacing w:line="276" w:lineRule="auto"/>
              <w:jc w:val="left"/>
            </w:pPr>
            <w:r w:rsidRPr="000D1321">
              <w:t>Timing, remission, geographic variation</w:t>
            </w:r>
          </w:p>
        </w:tc>
        <w:tc>
          <w:tcPr>
            <w:tcW w:w="4195" w:type="dxa"/>
          </w:tcPr>
          <w:p w14:paraId="337E684C" w14:textId="77777777" w:rsidR="00C662DF" w:rsidRPr="000D1321" w:rsidRDefault="00C662DF" w:rsidP="000D1321">
            <w:pPr>
              <w:spacing w:line="276" w:lineRule="auto"/>
              <w:jc w:val="left"/>
            </w:pPr>
            <w:r w:rsidRPr="000D1321">
              <w:t>34.6% 3-month remission among available DAS28; longer symptoms and delayed DMARD predicted lower remission</w:t>
            </w:r>
          </w:p>
        </w:tc>
        <w:tc>
          <w:tcPr>
            <w:tcW w:w="3402" w:type="dxa"/>
          </w:tcPr>
          <w:p w14:paraId="13740AD9" w14:textId="77777777" w:rsidR="00C662DF" w:rsidRPr="000D1321" w:rsidRDefault="00C662DF" w:rsidP="000D1321">
            <w:pPr>
              <w:spacing w:line="276" w:lineRule="auto"/>
              <w:jc w:val="left"/>
            </w:pPr>
            <w:r w:rsidRPr="000D1321">
              <w:t>Large RA-specific cohort; 37.2% missing 3-month DAS28</w:t>
            </w:r>
          </w:p>
        </w:tc>
        <w:tc>
          <w:tcPr>
            <w:tcW w:w="1134" w:type="dxa"/>
          </w:tcPr>
          <w:p w14:paraId="65D0D523" w14:textId="77777777" w:rsidR="00C662DF" w:rsidRPr="000D1321" w:rsidRDefault="00C662DF" w:rsidP="000D1321">
            <w:pPr>
              <w:spacing w:line="276" w:lineRule="auto"/>
              <w:jc w:val="left"/>
            </w:pPr>
            <w:r w:rsidRPr="000D1321">
              <w:t>1, 2, 4</w:t>
            </w:r>
          </w:p>
        </w:tc>
      </w:tr>
      <w:tr w:rsidR="00C662DF" w:rsidRPr="000D1321" w14:paraId="1403C810" w14:textId="77777777" w:rsidTr="00455A12">
        <w:tc>
          <w:tcPr>
            <w:tcW w:w="1814" w:type="dxa"/>
          </w:tcPr>
          <w:p w14:paraId="2AF2BD72" w14:textId="77777777" w:rsidR="00C662DF" w:rsidRPr="000D1321" w:rsidRDefault="00C662DF" w:rsidP="000D1321">
            <w:pPr>
              <w:spacing w:line="276" w:lineRule="auto"/>
              <w:jc w:val="left"/>
            </w:pPr>
            <w:r w:rsidRPr="000D1321">
              <w:t>Cope et al. (2024)</w:t>
            </w:r>
          </w:p>
        </w:tc>
        <w:tc>
          <w:tcPr>
            <w:tcW w:w="3402" w:type="dxa"/>
          </w:tcPr>
          <w:p w14:paraId="3D5A9927" w14:textId="77777777" w:rsidR="00C662DF" w:rsidRPr="000D1321" w:rsidRDefault="00C662DF" w:rsidP="000D1321">
            <w:pPr>
              <w:spacing w:line="276" w:lineRule="auto"/>
              <w:jc w:val="left"/>
            </w:pPr>
            <w:r w:rsidRPr="000D1321">
              <w:t>Double-blind RCT; n=213; 28 UK + 3 Dutch centres; high-risk pre-RA</w:t>
            </w:r>
          </w:p>
        </w:tc>
        <w:tc>
          <w:tcPr>
            <w:tcW w:w="1984" w:type="dxa"/>
          </w:tcPr>
          <w:p w14:paraId="57B245BB" w14:textId="77777777" w:rsidR="00C662DF" w:rsidRPr="000D1321" w:rsidRDefault="00C662DF" w:rsidP="000D1321">
            <w:pPr>
              <w:spacing w:line="276" w:lineRule="auto"/>
              <w:jc w:val="left"/>
            </w:pPr>
            <w:r w:rsidRPr="000D1321">
              <w:t>Very-early intervention</w:t>
            </w:r>
          </w:p>
        </w:tc>
        <w:tc>
          <w:tcPr>
            <w:tcW w:w="4195" w:type="dxa"/>
          </w:tcPr>
          <w:p w14:paraId="6D2A0B98" w14:textId="77777777" w:rsidR="00C662DF" w:rsidRPr="000D1321" w:rsidRDefault="00C662DF" w:rsidP="000D1321">
            <w:pPr>
              <w:spacing w:line="276" w:lineRule="auto"/>
              <w:jc w:val="left"/>
            </w:pPr>
            <w:r w:rsidRPr="000D1321">
              <w:t>RA progression at 24 months: 25% abatacept vs 37% placebo</w:t>
            </w:r>
          </w:p>
        </w:tc>
        <w:tc>
          <w:tcPr>
            <w:tcW w:w="3402" w:type="dxa"/>
          </w:tcPr>
          <w:p w14:paraId="010BBF4F" w14:textId="77777777" w:rsidR="00C662DF" w:rsidRPr="000D1321" w:rsidRDefault="00C662DF" w:rsidP="000D1321">
            <w:pPr>
              <w:spacing w:line="276" w:lineRule="auto"/>
              <w:jc w:val="left"/>
            </w:pPr>
            <w:r w:rsidRPr="000D1321">
              <w:t>Randomised/blinded; pre-RA and mixed-country contextual evidence</w:t>
            </w:r>
          </w:p>
        </w:tc>
        <w:tc>
          <w:tcPr>
            <w:tcW w:w="1134" w:type="dxa"/>
          </w:tcPr>
          <w:p w14:paraId="3AB6DB31" w14:textId="77777777" w:rsidR="00C662DF" w:rsidRPr="000D1321" w:rsidRDefault="00C662DF" w:rsidP="000D1321">
            <w:pPr>
              <w:spacing w:line="276" w:lineRule="auto"/>
              <w:jc w:val="left"/>
            </w:pPr>
            <w:r w:rsidRPr="000D1321">
              <w:t>1, 3</w:t>
            </w:r>
          </w:p>
        </w:tc>
      </w:tr>
      <w:tr w:rsidR="00C662DF" w:rsidRPr="000D1321" w14:paraId="59C9253F" w14:textId="77777777" w:rsidTr="00455A12">
        <w:tc>
          <w:tcPr>
            <w:tcW w:w="1814" w:type="dxa"/>
          </w:tcPr>
          <w:p w14:paraId="701EC3E8" w14:textId="77777777" w:rsidR="00C662DF" w:rsidRPr="000D1321" w:rsidRDefault="00C662DF" w:rsidP="000D1321">
            <w:pPr>
              <w:spacing w:line="276" w:lineRule="auto"/>
              <w:jc w:val="left"/>
            </w:pPr>
            <w:r w:rsidRPr="000D1321">
              <w:t>Adas et al. (2025)</w:t>
            </w:r>
          </w:p>
        </w:tc>
        <w:tc>
          <w:tcPr>
            <w:tcW w:w="3402" w:type="dxa"/>
          </w:tcPr>
          <w:p w14:paraId="674EA107" w14:textId="77777777" w:rsidR="00C662DF" w:rsidRPr="000D1321" w:rsidRDefault="00C662DF" w:rsidP="000D1321">
            <w:pPr>
              <w:spacing w:line="276" w:lineRule="auto"/>
              <w:jc w:val="left"/>
            </w:pPr>
            <w:r w:rsidRPr="000D1321">
              <w:t>Prospective NEIAA RA cohort; England/Wales; n=17,472</w:t>
            </w:r>
          </w:p>
        </w:tc>
        <w:tc>
          <w:tcPr>
            <w:tcW w:w="1984" w:type="dxa"/>
          </w:tcPr>
          <w:p w14:paraId="4E846C39" w14:textId="77777777" w:rsidR="00C662DF" w:rsidRPr="000D1321" w:rsidRDefault="00C662DF" w:rsidP="000D1321">
            <w:pPr>
              <w:spacing w:line="276" w:lineRule="auto"/>
              <w:jc w:val="left"/>
            </w:pPr>
            <w:r w:rsidRPr="000D1321">
              <w:t>Initial DMARD strategy and serious infection</w:t>
            </w:r>
          </w:p>
        </w:tc>
        <w:tc>
          <w:tcPr>
            <w:tcW w:w="4195" w:type="dxa"/>
          </w:tcPr>
          <w:p w14:paraId="4938A903" w14:textId="77777777" w:rsidR="00C662DF" w:rsidRPr="000D1321" w:rsidRDefault="00C662DF" w:rsidP="000D1321">
            <w:pPr>
              <w:spacing w:line="276" w:lineRule="auto"/>
              <w:jc w:val="left"/>
            </w:pPr>
            <w:r w:rsidRPr="000D1321">
              <w:t>1,307 serious infections; MTX-based strategy adjusted HR 0.72 vs other csDMARDs</w:t>
            </w:r>
          </w:p>
        </w:tc>
        <w:tc>
          <w:tcPr>
            <w:tcW w:w="3402" w:type="dxa"/>
          </w:tcPr>
          <w:p w14:paraId="1DB8BDEB" w14:textId="77777777" w:rsidR="00C662DF" w:rsidRPr="000D1321" w:rsidRDefault="00C662DF" w:rsidP="000D1321">
            <w:pPr>
              <w:spacing w:line="276" w:lineRule="auto"/>
              <w:jc w:val="left"/>
            </w:pPr>
            <w:r w:rsidRPr="000D1321">
              <w:t>Large RA cohort; residual confounding by indication</w:t>
            </w:r>
          </w:p>
        </w:tc>
        <w:tc>
          <w:tcPr>
            <w:tcW w:w="1134" w:type="dxa"/>
          </w:tcPr>
          <w:p w14:paraId="535AB471" w14:textId="77777777" w:rsidR="00C662DF" w:rsidRPr="000D1321" w:rsidRDefault="00C662DF" w:rsidP="000D1321">
            <w:pPr>
              <w:spacing w:line="276" w:lineRule="auto"/>
              <w:jc w:val="left"/>
            </w:pPr>
            <w:r w:rsidRPr="000D1321">
              <w:t>2</w:t>
            </w:r>
          </w:p>
        </w:tc>
      </w:tr>
    </w:tbl>
    <w:p w14:paraId="14A6C5B2" w14:textId="77777777" w:rsidR="00C662DF" w:rsidRDefault="00C662DF" w:rsidP="00C662DF">
      <w:pPr>
        <w:sectPr w:rsidR="00C662DF" w:rsidSect="00C662DF">
          <w:pgSz w:w="15840" w:h="12240" w:orient="landscape"/>
          <w:pgMar w:top="907" w:right="850" w:bottom="907" w:left="850" w:header="720" w:footer="720" w:gutter="0"/>
          <w:cols w:space="720"/>
          <w:docGrid w:linePitch="360"/>
        </w:sectPr>
      </w:pPr>
    </w:p>
    <w:p w14:paraId="5CFAEF0A" w14:textId="77777777" w:rsidR="00C662DF" w:rsidRDefault="00C662DF" w:rsidP="00C662DF">
      <w:pPr>
        <w:pStyle w:val="Heading2"/>
      </w:pPr>
      <w:bookmarkStart w:id="137" w:name="_Toc240922868"/>
      <w:r>
        <w:lastRenderedPageBreak/>
        <w:t>4.3 Theme 1: Timing of Recognition, Referral and Treatment</w:t>
      </w:r>
      <w:bookmarkEnd w:id="137"/>
    </w:p>
    <w:p w14:paraId="21B14760" w14:textId="77777777" w:rsidR="00C662DF" w:rsidRDefault="00C662DF" w:rsidP="00C662DF">
      <w:r w:rsidRPr="00087076">
        <w:t>The first theme focused on the timing of movement through the early pathway of RA from symptom recognition and referral to treatment initiation. At the aggregate level of the evidence, provision of earlier care was more likely to be linked to better short-term clinical outcomes, depending on which time frame was assessed, and whether the delay was before or after specialist referral.</w:t>
      </w:r>
    </w:p>
    <w:p w14:paraId="290BE134" w14:textId="77777777" w:rsidR="00C662DF" w:rsidRPr="00171B92" w:rsidRDefault="00C662DF" w:rsidP="008907E1">
      <w:pPr>
        <w:pStyle w:val="Heading3"/>
      </w:pPr>
      <w:bookmarkStart w:id="138" w:name="_Toc240922869"/>
      <w:r w:rsidRPr="00171B92">
        <w:t>4.3.1 Symptom Duration and Diagnostic Delay</w:t>
      </w:r>
      <w:bookmarkEnd w:id="138"/>
    </w:p>
    <w:p w14:paraId="47CB4BA0" w14:textId="77777777" w:rsidR="00C662DF" w:rsidRDefault="00C662DF" w:rsidP="00C662DF">
      <w:r>
        <w:t xml:space="preserve">The findings of Alveyn et al. (2025) were the most recent evidence that showed the importance of </w:t>
      </w:r>
      <w:r w:rsidRPr="00245156">
        <w:t>duration of untreated symptoms</w:t>
      </w:r>
      <w:r>
        <w:t xml:space="preserve"> even after improvement in </w:t>
      </w:r>
      <w:r w:rsidRPr="00245156">
        <w:t>referral-to-treatment performance</w:t>
      </w:r>
      <w:r>
        <w:t xml:space="preserve">. Among 21,904 people with RA, 13,752 had a three-month DAS28, and 4,764 (34.6%) were in remission. The factors associated with decreased odds of remission were an increase in the duration of symptoms prior to treatment referral and the delay in starting DMARDs. However, the national three-month remission rates were generally unchanged from 2018 to 2024, even as service performance has shifted, implying that the </w:t>
      </w:r>
      <w:r w:rsidRPr="000A783D">
        <w:t>post-referral treatment speed</w:t>
      </w:r>
      <w:r>
        <w:t xml:space="preserve"> is not the only phenomenon captured. The study was large, specifically for RA and had multiple covariates adjusted for, lending increased confidence to the association; however, there was no 3-month DAS28 data available for 37.2%, which may limit the impact of the data estimates if follow-up was socially or clinically patterned.</w:t>
      </w:r>
    </w:p>
    <w:p w14:paraId="5D211AC1" w14:textId="77777777" w:rsidR="00C662DF" w:rsidRDefault="00C662DF" w:rsidP="00C662DF">
      <w:r>
        <w:t xml:space="preserve">Other patient characteristics also interacted with timing, rather than it being a single determinant (Yates et al., 2021). </w:t>
      </w:r>
      <w:r w:rsidRPr="000A783D">
        <w:t xml:space="preserve">RA-pattern early inflammatory arthritis (EIA) </w:t>
      </w:r>
      <w:r>
        <w:t>(7,455 patients) in whom treatment was started within 42 days of referral was associated with remission after 3 months (OR 1.27, 95% CI 1.08-1.49, p=0.003). This association was not observed at 12 months (OR 1.05, 95% CI 0.80-1.38, p=0.7); at this time, sex, socioeconomic position, smoking and comorbidity were more important. The difference in the measurable advantage of early treatment was most apparent in early response and became less apparent with longer follow-up. However, the apparent decrease in the timing effect was exacerbated by a significant rise in the number of people who missed DAS28 - 12 months later.</w:t>
      </w:r>
    </w:p>
    <w:p w14:paraId="5A0C51F3" w14:textId="77777777" w:rsidR="00C662DF" w:rsidRDefault="00C662DF" w:rsidP="00C662DF">
      <w:r>
        <w:t xml:space="preserve">Russell et al. (2022) showed that there can also be a delay in diagnosis before accessing specialist pathways. Within OpenSAFELY, 31,280 incident inflammatory-arthritis diagnoses were recorded in 17,683,500 adults between 2019 and 2022. During the first year of the pandemic, the number of new diagnoses fell by 20.3% (from 6.4 to 5.1 per 10,000 adults), and median time to rheumatology assessment among adults who were referred to the pathway was shorter during the pandemic (18 days versus 21 days prior to the pandemic). The results thus revealed a discrepancy between the identification of the cases and the rapidity of specialist evaluation of the identified cases. Since the cohort included multiple inflammatory arthritides and undiagnosed patients were not directly observed, it is not possible to estimate the proportion of falls that were a consequence of delayed diagnosis of </w:t>
      </w:r>
      <w:r>
        <w:lastRenderedPageBreak/>
        <w:t>RA. However, its population size is valuable context for this study for the apparent acceptable waiting times to be possible in combination with significant hidden diagnostic delay.</w:t>
      </w:r>
    </w:p>
    <w:p w14:paraId="25B0D070" w14:textId="77777777" w:rsidR="00C662DF" w:rsidRDefault="00C662DF" w:rsidP="008907E1">
      <w:pPr>
        <w:pStyle w:val="Heading3"/>
      </w:pPr>
      <w:bookmarkStart w:id="139" w:name="_Toc240922870"/>
      <w:r>
        <w:t>4.3.2 Referral and Specialist Assessment</w:t>
      </w:r>
      <w:bookmarkEnd w:id="139"/>
    </w:p>
    <w:p w14:paraId="0B392784" w14:textId="2184EAF2" w:rsidR="00C662DF" w:rsidRDefault="00C662DF" w:rsidP="00C662DF">
      <w:r>
        <w:t>There was less consistency of direct association with outcomes in evidence on referral. Prompt referral from primary care was not significantly associated with 3-month remission (OR 1.09, 95% CI 0.94-1.27) but prompt therapy commencement was (</w:t>
      </w:r>
      <w:r w:rsidRPr="00BA5C57">
        <w:t>OR 1.27, 95% CI 1.08-1.49</w:t>
      </w:r>
      <w:r>
        <w:t xml:space="preserve">). </w:t>
      </w:r>
      <w:r w:rsidR="00FA061C" w:rsidRPr="00FA061C">
        <w:t>Prompt therapy commencement was associated with 3-month remission, whereas prompt referral from primary care was not significantly associated with remission</w:t>
      </w:r>
      <w:r>
        <w:t>. Alveyn et al. (2025) confirmed this difference as they also found that symptom duration prior to referrals was still a significant predictor of non-remission despite improvements in the time taken to come to treatment.</w:t>
      </w:r>
    </w:p>
    <w:p w14:paraId="2AADA9BA" w14:textId="77777777" w:rsidR="00C662DF" w:rsidRDefault="00C662DF" w:rsidP="00C662DF">
      <w:r>
        <w:t>Evidence on the pre-referral stage was added from the qualitative study by Simons et al. (2022). Four broad themes emerged from the interviews with 19 community-pharmacy staff in the West Midlands, which focused on lack of awareness of RA, opportunities to increase public awareness, access to GPs, and practical implementation issues. Pharmacists felt that a role existed for them to identify signs and symptoms and signpost to the patient, but there was variation in knowledge and confidence. The sample was small and convenience-sampled from one area, restricting transferability, and patient outcomes were not measured, nor was the actual time taken for referrals. Therefore, it does not prove the existence of recognition and signposting problems and cannot prove that the involvement of pharmacists decreases the diagnostic delay. Combined with the national cohort results, the evidence suggests that there are a number of clear time intervals in the early pathway and that a reasonable waiting time from specialist to treatment does not imply that the overall pathway from symptom to specialist is short.</w:t>
      </w:r>
    </w:p>
    <w:p w14:paraId="635515F1" w14:textId="77777777" w:rsidR="00C662DF" w:rsidRDefault="00C662DF" w:rsidP="008907E1">
      <w:pPr>
        <w:pStyle w:val="Heading3"/>
      </w:pPr>
      <w:bookmarkStart w:id="140" w:name="_Toc240922871"/>
      <w:r>
        <w:t>4.3.3 DMARD Initiation and Very-Early Intervention</w:t>
      </w:r>
      <w:bookmarkEnd w:id="140"/>
    </w:p>
    <w:p w14:paraId="5237A26E" w14:textId="77777777" w:rsidR="00C662DF" w:rsidRDefault="00C662DF" w:rsidP="00C662DF">
      <w:r>
        <w:t>The studies included were more consistent with regard to the timely delivery of disease-modifying treatment. There is some evidence for a benefit for early remission for prompt treatment (Yates et al., 2021), and delayed initiation of DMARDs with poorer remission (Alveyn et al., 2025). The latter study also revealed significant geographical differences: three-month remission ranged from 28.4% in London to 40.3% in the East of England, with the number of hospitals in each region varying by around threefold. Therefore, the outcome was related to the timing of treatment, but not to the entire variation in remission.</w:t>
      </w:r>
    </w:p>
    <w:p w14:paraId="3B5F34AC" w14:textId="26BE719A" w:rsidR="00C662DF" w:rsidRDefault="00C662DF" w:rsidP="00C662DF">
      <w:r>
        <w:t xml:space="preserve">Cope et al. (2024) studied a pre-RA population on the timing question. For the APIPPRA double-blinded trial, 213 people with a high risk were randomly assigned to abatacept (n=110) or placebo (n=103). </w:t>
      </w:r>
      <w:r w:rsidRPr="00035C1D">
        <w:t>During the treatment period, the primary endpoint occurred</w:t>
      </w:r>
      <w:r>
        <w:t xml:space="preserve"> in 7/110 (6%) patients in the abatacept group and 30/103 (29%) in the placebo group. At 24 months, progression to RA occurred in </w:t>
      </w:r>
      <w:r>
        <w:lastRenderedPageBreak/>
        <w:t xml:space="preserve">27/110 (25%) versus 38/103 (37%). </w:t>
      </w:r>
      <w:r w:rsidR="00001157" w:rsidRPr="00001157">
        <w:t>The randomised, blinded design provided stronger evidence of an intervention effect than the observational cohort studies</w:t>
      </w:r>
      <w:r>
        <w:t xml:space="preserve">. Participants were not on known treatment for RA at recruitment; however, </w:t>
      </w:r>
      <w:r w:rsidRPr="00035C1D">
        <w:t>the trial included three Dutch centres</w:t>
      </w:r>
      <w:r>
        <w:t xml:space="preserve"> and pain, function and quality of life benefits were not maintained following treatment. For this reason, this result was analysed as contextual evidence only in the very early end of the pathway and not as direct evidence for routine care for diagnosed UK RA.</w:t>
      </w:r>
    </w:p>
    <w:p w14:paraId="4E7474BD" w14:textId="77777777" w:rsidR="00C662DF" w:rsidRDefault="00C662DF" w:rsidP="00C662DF">
      <w:pPr>
        <w:pStyle w:val="Heading2"/>
      </w:pPr>
      <w:bookmarkStart w:id="141" w:name="_Toc240922872"/>
      <w:r>
        <w:t>4.4 Theme 2: Disease Severity and Clinical Response</w:t>
      </w:r>
      <w:bookmarkEnd w:id="141"/>
    </w:p>
    <w:p w14:paraId="64AF50B9" w14:textId="77777777" w:rsidR="00C662DF" w:rsidRDefault="00C662DF" w:rsidP="00C662DF">
      <w:r w:rsidRPr="00746722">
        <w:t>The second theme was about the assessment of disease severity, and the relationship between early disease control and remission, persistent activity, frailty and hospitalisation. Severity extended beyond the measure of joint activity, which was the predominant clinical measure, but the studies also indicated that it continued beyond that to include wider vulnerability and to influence the use of health care.</w:t>
      </w:r>
    </w:p>
    <w:p w14:paraId="34B8AFC9" w14:textId="77777777" w:rsidR="00C662DF" w:rsidRDefault="00C662DF" w:rsidP="008907E1">
      <w:pPr>
        <w:pStyle w:val="Heading3"/>
      </w:pPr>
      <w:bookmarkStart w:id="142" w:name="_Toc240922873"/>
      <w:r>
        <w:t>4.4.1 Disease Activity and DAS28</w:t>
      </w:r>
      <w:bookmarkEnd w:id="142"/>
    </w:p>
    <w:p w14:paraId="2C3C7F0C" w14:textId="77777777" w:rsidR="00C662DF" w:rsidRDefault="00C662DF" w:rsidP="00C662DF">
      <w:r>
        <w:t>In the first year of treatment, Yates et al. (2021) reported significant reductions in disease activity from baseline (DAS28=4.7) to 3 months (DAS28=3.3) and 12 months (DAS28=2.8). The improvement was seen in a large national cohort, although there was some variation by sex, deprivation, ethnicity and comorbidity. The findings suggest that there can be differences among subgroups while there are differences in treatment response at the population level.</w:t>
      </w:r>
    </w:p>
    <w:p w14:paraId="27E2BEB6" w14:textId="5CDBB3D8" w:rsidR="00C662DF" w:rsidRDefault="00C662DF" w:rsidP="00C662DF">
      <w:r>
        <w:t xml:space="preserve">Adas et al. (2024) paid special attention to </w:t>
      </w:r>
      <w:r w:rsidRPr="005D6576">
        <w:t>persistently active RA</w:t>
      </w:r>
      <w:r>
        <w:t xml:space="preserve">. Of 1,708 participants who had complete disease-state data, 682 had persistently active RA and 1,026 had persistently low RA. </w:t>
      </w:r>
      <w:r w:rsidR="00FA061C" w:rsidRPr="00FA061C">
        <w:t>Participants with persistently active RA were younger and more frequently female (69% versus 59%).</w:t>
      </w:r>
      <w:r>
        <w:t xml:space="preserve"> Persistent activity was independently associated with social deprivation and smoking, and with depression and lung disease (p&lt;0.05) and with gastric ulcers and baseline corticosteroid use (p&lt;0.05), after adjustment for disease severity markers. </w:t>
      </w:r>
      <w:r w:rsidRPr="005D6576">
        <w:t>Repeated DAS28 measurement</w:t>
      </w:r>
      <w:r>
        <w:t xml:space="preserve"> was helpful in identifying persistent, not transient, activity. Only a sub-sample of the larger audit population, however, had DAS28 measured at all of the necessary time points to avoid </w:t>
      </w:r>
      <w:r w:rsidRPr="00AF40B2">
        <w:t>complete-case selection bias</w:t>
      </w:r>
      <w:r>
        <w:t>.</w:t>
      </w:r>
    </w:p>
    <w:p w14:paraId="40BB0D4E" w14:textId="77777777" w:rsidR="00C662DF" w:rsidRDefault="00C662DF" w:rsidP="00C662DF">
      <w:r>
        <w:t>The overall pattern was thus not a complete abolition of differences in disease severity due to early treatment. In contrast, disease activity tends to get better, and ongoing activity tends to be grouped by clinical and non-clinical features. This is in line with the timing findings – early treatment seems relevant to initial response, but the observed outcome is influenced by the condition of patients entering and staying on the pathway.</w:t>
      </w:r>
    </w:p>
    <w:p w14:paraId="62FA4439" w14:textId="77777777" w:rsidR="00C662DF" w:rsidRDefault="00C662DF" w:rsidP="008907E1">
      <w:pPr>
        <w:pStyle w:val="Heading3"/>
      </w:pPr>
      <w:bookmarkStart w:id="143" w:name="_Toc240922874"/>
      <w:r>
        <w:lastRenderedPageBreak/>
        <w:t>4.4.2 Remission and Treatment Response</w:t>
      </w:r>
      <w:bookmarkEnd w:id="143"/>
    </w:p>
    <w:p w14:paraId="36182536" w14:textId="6742581D" w:rsidR="00C662DF" w:rsidRDefault="00FA061C" w:rsidP="00C662DF">
      <w:r w:rsidRPr="00FA061C">
        <w:t>The findings on remission showed general agreement across the studies, but the results were not fully consistent</w:t>
      </w:r>
      <w:r w:rsidR="00C662DF">
        <w:t xml:space="preserve">. However, according to Alveyn et al. (2025), </w:t>
      </w:r>
      <w:r w:rsidR="00C301BA">
        <w:t>overall,</w:t>
      </w:r>
      <w:r w:rsidR="00C662DF">
        <w:t xml:space="preserve"> 34.6% of participants with three-month DAS28 achieved remission, and this rate was not significantly different across the six years of the study. At 12 months, data were available for only 5,645 people (25.8% of the cohort), of whom 2,817 (49.9%) were in remission. Longer duration of symptoms, later initiation of DMARDs, higher baseline DAS28, and younger age were associated with worse three-month remission, </w:t>
      </w:r>
      <w:r w:rsidR="00C662DF" w:rsidRPr="00AF40B2">
        <w:t>and female sex and Black ethnicity were also associated with reduced odds of remission</w:t>
      </w:r>
      <w:r w:rsidR="00C662DF">
        <w:t>.</w:t>
      </w:r>
    </w:p>
    <w:p w14:paraId="57584EAD" w14:textId="77777777" w:rsidR="00C662DF" w:rsidRDefault="00C662DF" w:rsidP="00C662DF">
      <w:r>
        <w:t>Similar results were obtained by Adas et al. (2023), who reported that the same timing did not lead to the same results. Of the 12,955 individuals with confirmed early inflammatory arthritis, there was no significant ethnic difference in the timing of referral or treatment, but there were lower odds of remission at 3 months for ethnic minorities than for White individuals (adjusted OR 0.79, 95% CI 0.65-0.96). Those who were ethnic minorities were also less likely to have started methotrexate (OR 0.68, 95% CI 0.52-0.90) or glucocorticoids (OR 0.63, 95% CI 0.49-0.80). As the cohort did not consist of RA patients alone but also patients with early inflammatory arthritis, care must be taken in the application of the results specifically to RA, but the results do directly challenge the simple assumption that the timing implies the same early remission.</w:t>
      </w:r>
    </w:p>
    <w:p w14:paraId="71CF1651" w14:textId="2B34B183" w:rsidR="00C662DF" w:rsidRDefault="001F398E" w:rsidP="00C662DF">
      <w:r w:rsidRPr="001F398E">
        <w:t>Wherever there was national cohort evidence, earlier treatment tended to result in better early remission, which was not consistent or long-term across all cohorts and time periods. Yates et al. (2021) also reported that prompt therapy was associated with three-month remission, and Alveyn et al. (2025) also reported that longer duration of symptoms and delayed DMARD initiation correlated with poorer 3-month remission. At 12 months, Yates et al. didn't find any link, but Alveyn et al. did notice significant regional differences in remission. A second study by Adas et al. (2023) also demonstrated that the same time intervals of referrals and treatments did not lead to the same remission rates across ethnic groups. In conclusion, these results suggest a role for treatment timing in early remission and that timing is not a single factor to define treatment outcome.</w:t>
      </w:r>
    </w:p>
    <w:p w14:paraId="3098089A" w14:textId="77777777" w:rsidR="00C662DF" w:rsidRDefault="00C662DF" w:rsidP="008907E1">
      <w:pPr>
        <w:pStyle w:val="Heading3"/>
      </w:pPr>
      <w:bookmarkStart w:id="144" w:name="_Toc240922875"/>
      <w:r>
        <w:t>4.4.3 Disability, Frailty, Hospitalisation and Treatment Safety</w:t>
      </w:r>
      <w:bookmarkEnd w:id="144"/>
    </w:p>
    <w:p w14:paraId="538EDA6E" w14:textId="77777777" w:rsidR="00C662DF" w:rsidRDefault="00C662DF" w:rsidP="00C662DF">
      <w:r>
        <w:t xml:space="preserve">In some studies, the severity of the disease was wider than the DAS28. Hanlon et al. (2022) studied frailty in SERA and the UK Biobank. The early-RA SERA cohort experienced moderate frailty in 12% and severe in 0.2% of cases; the established-RA UK Biobank cohort experienced moderate frailty in 20% and severe in 3%. With respect to the mean frailty index score, there was a decrease in the score with treatment, which was paralleled by a decrease in DAS28, indicating that some frailty was dynamic in SERA. Moderate/severe frailty was strongly associated with mortality in SERA (HR 4.14, 95% CI 1.49-11.51) and unscheduled hospitalisation (IRR 2.27, 95% CI 1.45-3.57). The observational </w:t>
      </w:r>
      <w:r>
        <w:lastRenderedPageBreak/>
        <w:t>association is strengthened by the adjustment, but it cannot be concluded that the improvement in frailty was due to the lowering of DAS28.</w:t>
      </w:r>
    </w:p>
    <w:p w14:paraId="2A5E89AD" w14:textId="648FB9A8" w:rsidR="00C662DF" w:rsidRDefault="00C662DF" w:rsidP="00C662DF">
      <w:r>
        <w:t>A similar burden of multimorbidity was demonstrated by Morton et al. (2023). In both the UK Biobank and SERA, the IRRs for having RA with at least 2 other long-term conditions compared with RA alone were elevated (IRR 2.10, 95% CI 1.91-2.30 in UK Biobank; IRR 1.74, 95% CI 1.23-2.48 in SERA). Also, the total length of stay was longer, and the most common reason for hospitalisation in early RA was respiratory infection.</w:t>
      </w:r>
    </w:p>
    <w:p w14:paraId="07D471EA" w14:textId="77777777" w:rsidR="00C662DF" w:rsidRDefault="00C662DF" w:rsidP="00C662DF">
      <w:r>
        <w:t>Adas et al. (2025) presented the safety data from an additional 17,472 adults with newly diagnosed RA. There were 1,307 serious infections, an incidence rate of 3.02 per 100 person-years (95% CI 2.86-3.19). The use of methotrexate-based strategies (adjusted HR 0.72, 95% CI 0.63-0.82) was associated with reduced risk of serious infections compared to other conventional synthetic DMARD strategies, while corticosteroid use was not associated after adjustment (HR 0.99, 95% CI 0.87-1.12). Baseline DAS28, age, smoking and comorbidity were associated with increased risk of infection. Treatment outcomes must not only be evaluated by the state of remission, but also for safety and vulnerability of patients, as shown in this large prospective cohort. The reduced risk of infection cannot be regarded as being due solely to methotrexate, as there is still a possibility of confounding by indication.</w:t>
      </w:r>
    </w:p>
    <w:p w14:paraId="7C22DD18" w14:textId="77777777" w:rsidR="00C662DF" w:rsidRDefault="00C662DF" w:rsidP="00C662DF">
      <w:pPr>
        <w:pStyle w:val="Heading2"/>
      </w:pPr>
      <w:bookmarkStart w:id="145" w:name="_Toc240922876"/>
      <w:r>
        <w:t>4.5 Theme 3: Quality of Life and Patient-Centred Outcomes</w:t>
      </w:r>
      <w:bookmarkEnd w:id="145"/>
    </w:p>
    <w:p w14:paraId="6088DFAC" w14:textId="77777777" w:rsidR="00C662DF" w:rsidRDefault="00C662DF" w:rsidP="00C662DF">
      <w:r w:rsidRPr="004B554C">
        <w:t>The third theme focused on whether clinical improvement would lead to outcomes in the patients' lives. The studies included were associated with significant burdens of pain, fatigue, psychological distress, disability and work impairment, which were not strictly congruent with clinical disease activity.</w:t>
      </w:r>
    </w:p>
    <w:p w14:paraId="7DF9B05C" w14:textId="77777777" w:rsidR="00C662DF" w:rsidRDefault="00C662DF" w:rsidP="008907E1">
      <w:pPr>
        <w:pStyle w:val="Heading3"/>
      </w:pPr>
      <w:bookmarkStart w:id="146" w:name="_Toc240922877"/>
      <w:r>
        <w:t>4.5.1 Quality of Life, Pain and Fatigue</w:t>
      </w:r>
      <w:bookmarkEnd w:id="146"/>
    </w:p>
    <w:p w14:paraId="6EEFA252" w14:textId="4FEA154F" w:rsidR="00C662DF" w:rsidRDefault="00C662DF" w:rsidP="00C662DF">
      <w:r>
        <w:t xml:space="preserve">Galloway et al. (2021) have directly demonstrated the burden of moderate RA in the UK. The mean value of the crosswalk EQ-5D-5L was 0.62 (SD 0.24) for 102 patients from 8 secondary-care centres, compared to a norm of 0.82 for the England population. The mean pain VAS was 37.7 (SD 24.0), and the mean HAQ-DI was 1.1 (SD 0.8); patients experienced significant fatigue. The results indicate that clinical moderate disease </w:t>
      </w:r>
      <w:r w:rsidRPr="00AF40B2">
        <w:t xml:space="preserve">can </w:t>
      </w:r>
      <w:r w:rsidR="00411719" w:rsidRPr="00411719">
        <w:t>coexist with poor health status</w:t>
      </w:r>
      <w:r>
        <w:t xml:space="preserve">, pain and </w:t>
      </w:r>
      <w:r w:rsidRPr="0085646B">
        <w:t>functional impairment</w:t>
      </w:r>
      <w:r>
        <w:t>. Although the instruments used in the study were validated patient-reported measures and were administered in multiple centres, the sample size was small and descriptive, and the study had the limitation that it could not assess whether the burden of disease could have been avoided if patients had been diagnosed and treated earlier with moderate RA.</w:t>
      </w:r>
    </w:p>
    <w:p w14:paraId="7A330904" w14:textId="77777777" w:rsidR="00C662DF" w:rsidRDefault="00C662DF" w:rsidP="00C662DF">
      <w:r>
        <w:t xml:space="preserve">In high-risk patients, Cope et al. (2024) found that abatacept was beneficial for pain, function and quality of life, </w:t>
      </w:r>
      <w:r w:rsidRPr="00230C6E">
        <w:t>during treatment, but these effects were not sustained at 24 months</w:t>
      </w:r>
      <w:r>
        <w:t xml:space="preserve">, although this was </w:t>
      </w:r>
      <w:r>
        <w:lastRenderedPageBreak/>
        <w:t>not seen in all other groups. This is in contrast to the more clearly defined trial effect on progression to inflammatory arthritis, and shows that, when biological progression is modified, there is not necessarily a lasting patient-reported benefit. This is a contextual study and not direct evidence for established RA, due to the pre-RA status of the participants.</w:t>
      </w:r>
    </w:p>
    <w:p w14:paraId="12EDC795" w14:textId="77777777" w:rsidR="00C662DF" w:rsidRDefault="00C662DF" w:rsidP="00C662DF">
      <w:r>
        <w:t>In all the collected evidence, then, quality of life could not be deduced by treatment time or a specific clinical disease state classification. Although the trial demonstrated a short-term patient-reported improvement, the strongest direct QoL study reported a persistent burden but did not demonstrate a timing effect. However, there is only a limited ability to draw any direct inferences on the influence of earlier diagnosis on subsequent quality of life, although clinical control and patient-centred outcomes were associated.</w:t>
      </w:r>
    </w:p>
    <w:p w14:paraId="470E4C9C" w14:textId="77777777" w:rsidR="00C662DF" w:rsidRDefault="00C662DF" w:rsidP="008907E1">
      <w:pPr>
        <w:pStyle w:val="Heading3"/>
      </w:pPr>
      <w:bookmarkStart w:id="147" w:name="_Toc240922878"/>
      <w:r>
        <w:t>4.5.2 Psychological Wellbeing</w:t>
      </w:r>
      <w:bookmarkEnd w:id="147"/>
    </w:p>
    <w:p w14:paraId="0A9DE055" w14:textId="77777777" w:rsidR="00C662DF" w:rsidRDefault="00C662DF" w:rsidP="00C662DF">
      <w:r>
        <w:t xml:space="preserve">The most detailed patient-reported psychological evidence was provided by Zhao et al. (2025). In patients with early inflammatory arthritis, 50.2% (3451 of 6873) of the patients </w:t>
      </w:r>
      <w:r w:rsidRPr="00366009">
        <w:t>showed psychological distress at baseline</w:t>
      </w:r>
      <w:r>
        <w:t>. Of those who had completed follow-up, distress reduced to 30.0% at 3 months and 24.1% at 12 months. Distress was related to worse patient-reported musculoskeletal health and disability, and to worse clinical response. The pattern is further strengthened with the large prospective sample and repeated measurements, although follow-up was not complete and inflammatory arthritis other than RA was in the sample. Thus, the decrease in distress cannot be solely explained by the earlier treatment for RA.</w:t>
      </w:r>
    </w:p>
    <w:p w14:paraId="65B3C051" w14:textId="77777777" w:rsidR="00C662DF" w:rsidRDefault="00C662DF" w:rsidP="00C662DF">
      <w:r>
        <w:t>Adas et al. (2024) contributed to the previous research that examined the relationship between psychological burden and clinical burden from an RA-specific perspective. Persistent active RA was independently linked to depression, and the persistently active group had poorer patient-reported outcome scores and greater baseline positive anxiety/depression screens. The two studies thus corroborated a correlation between psychological distress and more negative disease experiences, and neither study established cause-and-effect. These psychological symptoms can impact how one feels burdened and how involved they are in the care, and chronic inflammatory disease can also exacerbate distress. The critical finding for the Findings chapter is that psychological wellbeing was a measurable part of the outcome, not separate, and was linked to the course of disease.</w:t>
      </w:r>
    </w:p>
    <w:p w14:paraId="3BE5E068" w14:textId="77777777" w:rsidR="00C662DF" w:rsidRPr="00C06D07" w:rsidRDefault="00C662DF" w:rsidP="008907E1">
      <w:pPr>
        <w:pStyle w:val="Heading3"/>
      </w:pPr>
      <w:bookmarkStart w:id="148" w:name="_Toc240922879"/>
      <w:r w:rsidRPr="00C06D07">
        <w:t>4.5.3 Employment and Social Function</w:t>
      </w:r>
      <w:bookmarkEnd w:id="148"/>
    </w:p>
    <w:p w14:paraId="7CDECEB8" w14:textId="77777777" w:rsidR="00C662DF" w:rsidRDefault="00C662DF" w:rsidP="00C662DF">
      <w:r>
        <w:t xml:space="preserve">Early impact was seen with work outcomes. Bechman et al. (2024) analysed the data of 12,473 patients with early inflammatory arthritis, including 5,999 (47%) who were working for at least 20 hours a week. A WPAI assessment was completed at diagnosis by 2,793 people; 200 (7.2%) had already quit work, and 344 (12.3%) had changed their job due to inflammatory-arthritis symptoms. Of those still working, </w:t>
      </w:r>
      <w:r w:rsidRPr="00366009">
        <w:t>29% reported absenteeism</w:t>
      </w:r>
      <w:r>
        <w:t xml:space="preserve">, the median number of hours spent present at work </w:t>
      </w:r>
      <w:r>
        <w:lastRenderedPageBreak/>
        <w:t>(presenteeism) was 40% (IQR 20-70), and the overall hours of work lost (work impairment) was 30% (IQR 20-70). Follow-up work disability and most work drop-out were seen in routine/manual occupations. This large national sample and the utilisation of a validated work measure are the advantages, but follow-up was limited to a minority of participants in the WPAI, which also puts a lot of participants at risk for response bias, and the sample was not entirely comprised of RA.</w:t>
      </w:r>
    </w:p>
    <w:p w14:paraId="0AAD59FD" w14:textId="77777777" w:rsidR="00C662DF" w:rsidRDefault="00C662DF" w:rsidP="00C662DF">
      <w:r>
        <w:t>In established moderate RA, Galloway et al. (2021) demonstrated a similar burden in 26 patients who were reported to be working, and the mean productivity loss was 29% (SD 26%) when these patients completed the work questionnaire. Even though samples and clinical characteristics were vastly different, the extent of work impairment was consistent with that of Bechman et al.'s population-level results. Zhao et al. (2025) also found that psychological distress was associated with poorer working outcomes, and that burden was multidimensional and transcended the domains of joints and formal disease activity. Consensus from these various designs helps to ensure that employment attainment is a relevant clinical response to inflammatory disease. The evidence suggests more clearly, however, the effects and social patterning of burden than the causal effects of early treatment on maintaining employment.</w:t>
      </w:r>
    </w:p>
    <w:p w14:paraId="3761FD2D" w14:textId="77777777" w:rsidR="00C662DF" w:rsidRDefault="00C662DF" w:rsidP="00C662DF">
      <w:pPr>
        <w:pStyle w:val="Heading2"/>
      </w:pPr>
      <w:bookmarkStart w:id="149" w:name="_Toc240922880"/>
      <w:r>
        <w:t>4.6 Theme 4: Factors Modifying Early-Treatment Outcomes</w:t>
      </w:r>
      <w:bookmarkEnd w:id="149"/>
    </w:p>
    <w:p w14:paraId="453A7F04" w14:textId="77777777" w:rsidR="00C662DF" w:rsidRDefault="00C662DF" w:rsidP="00C662DF">
      <w:r w:rsidRPr="00AA52B6">
        <w:t>Socioeconomic, ethnic and healthcare-system factors influenced early-treatment outcomes in the fourth theme. These influences were seen in multiple studies and can help explain the lack of uniformity in the timing metrics and outcomes of remission and patient-centred outcomes.</w:t>
      </w:r>
    </w:p>
    <w:p w14:paraId="702783DB" w14:textId="77777777" w:rsidR="00C662DF" w:rsidRDefault="00C662DF" w:rsidP="008907E1">
      <w:pPr>
        <w:pStyle w:val="Heading3"/>
      </w:pPr>
      <w:bookmarkStart w:id="150" w:name="_Toc240922881"/>
      <w:r>
        <w:t>4.6.1 Socioeconomic Inequalities</w:t>
      </w:r>
      <w:bookmarkEnd w:id="150"/>
    </w:p>
    <w:p w14:paraId="36FA6CBC" w14:textId="13616E4A" w:rsidR="00C662DF" w:rsidRDefault="00C662DF" w:rsidP="00C662DF">
      <w:r w:rsidRPr="00AA52B6">
        <w:t>Yates et al</w:t>
      </w:r>
      <w:r>
        <w:t>.</w:t>
      </w:r>
      <w:r w:rsidRPr="00AA52B6">
        <w:t xml:space="preserve"> (2021) reported a clear socioeconomic gradient in terms of more favourable baseline, 3 and 12-month remission rates among those with more favourable social deprivation scores. The deprivation measure was still important three months later (OR 1.06 per IMD decile higher, 95% CI 1.04-1.09, p&lt;0.0001). Building on this, Adas et al. (2024) showed that </w:t>
      </w:r>
      <w:r w:rsidRPr="00366009">
        <w:t>social deprivation was independently associated with persistent disease activity</w:t>
      </w:r>
      <w:r w:rsidRPr="00AA52B6">
        <w:t xml:space="preserve">. Bechman et al. (2024) showed a similar occupational gradient, showing more presenteeism, impairment and work loss in routine/manual workers compared to other occupations. </w:t>
      </w:r>
      <w:r w:rsidR="00DF5514" w:rsidRPr="00DF5514">
        <w:t>Despite variation, these studies showed</w:t>
      </w:r>
      <w:r w:rsidRPr="00AA52B6">
        <w:t xml:space="preserve"> but led to a common finding of social patterning. All were observational, conveying a sense of inequality but not the exact mechanism that could cause it.</w:t>
      </w:r>
    </w:p>
    <w:p w14:paraId="402A2BA8" w14:textId="77777777" w:rsidR="00C662DF" w:rsidRDefault="00C662DF" w:rsidP="008907E1">
      <w:pPr>
        <w:pStyle w:val="Heading3"/>
      </w:pPr>
      <w:bookmarkStart w:id="151" w:name="_Toc240922882"/>
      <w:r>
        <w:t>4.6.2 Ethnicity and Treatment Access</w:t>
      </w:r>
      <w:bookmarkEnd w:id="151"/>
    </w:p>
    <w:p w14:paraId="2CD9B130" w14:textId="23CAB719" w:rsidR="00C662DF" w:rsidRDefault="00C662DF" w:rsidP="00C662DF">
      <w:r w:rsidRPr="0057637E">
        <w:t>There was also clear evidence of ethnic inequalities. Adas et al. (2023) reported a lower three-month remission rate for ethnic minority participants even though there were no differences in when they were referred to and treated, as well as lower rates of usage of initial methotrexate or glucocorticoids. From these 6,098 individuals with newly diagnosed RA, Russell et al. (2025</w:t>
      </w:r>
      <w:r w:rsidR="006407F6">
        <w:t>a</w:t>
      </w:r>
      <w:r w:rsidRPr="0057637E">
        <w:t xml:space="preserve">) went on to study </w:t>
      </w:r>
      <w:r w:rsidRPr="0057637E">
        <w:lastRenderedPageBreak/>
        <w:t>escalation to synthetic targeted DMARDs or biological DMARDs. A minority (8.3%, 508) started these therapies within the first 12 months. After accounting for other factors, including socioeconomic status, disease severity, and the presence of comorbidities, participants under 40 were more likely to escalate than those older than 65 (adjusted RR 2.41, 95% CI 1.83-3.19), and Asian participants were less likely than White participants to begin advanced therapy (adjusted RR 0.52, 95% CI 0.36-0.76, p=0.0007). The results for both national cohorts align to indicate that national standardisation of the pathway doesn't necessarily lead to equal access. However, there is potential for residual confounding due to clinical eligibility, treatment preference and clinician decision-making.</w:t>
      </w:r>
    </w:p>
    <w:p w14:paraId="366F3A28" w14:textId="77777777" w:rsidR="00C662DF" w:rsidRDefault="00C662DF" w:rsidP="008907E1">
      <w:pPr>
        <w:pStyle w:val="Heading3"/>
      </w:pPr>
      <w:bookmarkStart w:id="152" w:name="_Toc240922883"/>
      <w:r>
        <w:t>4.6.3 Healthcare-System and Pathway Factors</w:t>
      </w:r>
      <w:bookmarkEnd w:id="152"/>
    </w:p>
    <w:p w14:paraId="6416E174" w14:textId="77777777" w:rsidR="00C662DF" w:rsidRDefault="00C662DF" w:rsidP="00C662DF">
      <w:r>
        <w:t xml:space="preserve">There were some studies that showed variation at the system level. Russell et al. (2022) demonstrated that the number of cases identified has shifted significantly during the pandemic, with no evidence of an impact on the time of specialist assessment for cases who </w:t>
      </w:r>
      <w:r w:rsidRPr="003140CA">
        <w:t>reached rheumatology assessment</w:t>
      </w:r>
      <w:r>
        <w:t>. However, despite that case mix adjustment, remission rates in different regions of England ranged from 28.4% to 40.3%, and some hospital-to-hospital variations were seen (Alveyn et al., 2025). Previous studies by Simons et al. (2022) have recognised factors related to variable community–pharmacy knowledge and practical barriers at a preliminary stage of the pathway. The combination of these findings indicates that there was variation in outcomes before and after referral to specialist services.</w:t>
      </w:r>
    </w:p>
    <w:p w14:paraId="5CD3FF92" w14:textId="7FF291EC" w:rsidR="00C662DF" w:rsidRDefault="00C662DF" w:rsidP="00C662DF">
      <w:r>
        <w:t xml:space="preserve">Evidence was not completely concordant: Yates et al. (2021) could not prove a clinically meaningful geographical variation after the patient adjustment in their previous national cohort and, in contrast, Alveyn et al. (2025) did find a significant hospital-level variation in remission in their larger and longer RA data set. Some of this difference may be due to differences in period, sample size, completeness of findings, and analytic approach, but it is not possible to explain why the later study found more variation from the findings alone. </w:t>
      </w:r>
    </w:p>
    <w:p w14:paraId="4C007B79" w14:textId="77777777" w:rsidR="00C662DF" w:rsidRDefault="00C662DF" w:rsidP="00C662DF">
      <w:pPr>
        <w:pStyle w:val="Heading2"/>
      </w:pPr>
      <w:bookmarkStart w:id="153" w:name="_Toc240922884"/>
      <w:r>
        <w:t>4.7 Summary of Main Findings</w:t>
      </w:r>
      <w:bookmarkEnd w:id="153"/>
    </w:p>
    <w:p w14:paraId="498DBF53" w14:textId="77777777" w:rsidR="00C662DF" w:rsidRDefault="00C662DF" w:rsidP="00C662DF">
      <w:r w:rsidRPr="0057637E">
        <w:t xml:space="preserve">In the 14 studies included, faster treatment was consistently found to be associated with better short-term disease control, including </w:t>
      </w:r>
      <w:r w:rsidRPr="00F367C2">
        <w:t>higher 3-month remission</w:t>
      </w:r>
      <w:r w:rsidRPr="0057637E">
        <w:t xml:space="preserve">, and longer symptom duration and </w:t>
      </w:r>
      <w:r w:rsidRPr="00F367C2">
        <w:t>delayed DMARD initiation with poorer remission</w:t>
      </w:r>
      <w:r w:rsidRPr="0057637E">
        <w:t xml:space="preserve">. For many patients, disease severity was worse, but was influenced by baseline disease activity and by disease comorbidities, frailty and socioeconomic factors. Burdens of pain, fatigue, psychological distress and work impairment were well demonstrated and reported patient-centred, exceeding that reported by clinical remission measures. Lastly, there were ethnic, socioeconomic, occupational and healthcare-system differences that had an impact on access to treatment and observed outcomes. The data thus favoured the evidence for an effect of the </w:t>
      </w:r>
      <w:r w:rsidRPr="0057637E">
        <w:lastRenderedPageBreak/>
        <w:t>quality of early care on outcomes, but not whether the timing of care predicted disease severity or quality of life.</w:t>
      </w:r>
    </w:p>
    <w:p w14:paraId="5DF1C258" w14:textId="77777777" w:rsidR="00C662DF" w:rsidRDefault="00C662DF" w:rsidP="00C662DF">
      <w:pPr>
        <w:pStyle w:val="Heading2"/>
      </w:pPr>
      <w:bookmarkStart w:id="154" w:name="_Toc240922885"/>
      <w:r>
        <w:t>4.8 Chapter Summary</w:t>
      </w:r>
      <w:bookmarkEnd w:id="154"/>
    </w:p>
    <w:p w14:paraId="1EB99917" w14:textId="75AD834E" w:rsidR="00C662DF" w:rsidRDefault="00C662DF" w:rsidP="00C662DF">
      <w:r w:rsidRPr="009D2256">
        <w:t xml:space="preserve">The results obtained in this chapter were presented and summarised from the 14 studies included in four research themes related to the research objectives. There was a </w:t>
      </w:r>
      <w:r w:rsidR="00AC0284" w:rsidRPr="00AC0284">
        <w:t>association with better early outcome</w:t>
      </w:r>
      <w:r w:rsidR="00AC0284">
        <w:t>s</w:t>
      </w:r>
      <w:r w:rsidRPr="009D2256">
        <w:t xml:space="preserve"> in prompt treatment and a clear variability of outcomes, suggesting remissions, clinical burden and patient-centred outcomes. Important inequalities and methodological limitations were also detected. Results of these findings are presented in the interpretation in Chapter 5 where they are analysed with regard to the broader literature and the theoretical framework presented in Chapter 2.</w:t>
      </w:r>
    </w:p>
    <w:p w14:paraId="5132C924" w14:textId="77777777" w:rsidR="00C662DF" w:rsidRDefault="00C662DF" w:rsidP="00C662DF">
      <w:pPr>
        <w:spacing w:line="276" w:lineRule="auto"/>
        <w:jc w:val="left"/>
        <w:rPr>
          <w:rFonts w:eastAsiaTheme="majorEastAsia" w:cs="Times New Roman"/>
          <w:b/>
          <w:bCs/>
          <w:color w:val="000000"/>
          <w:sz w:val="32"/>
          <w:szCs w:val="28"/>
        </w:rPr>
      </w:pPr>
      <w:r>
        <w:br w:type="page"/>
      </w:r>
    </w:p>
    <w:p w14:paraId="245B565A" w14:textId="77777777" w:rsidR="00C662DF" w:rsidRDefault="00C662DF" w:rsidP="00C662DF">
      <w:pPr>
        <w:pStyle w:val="Heading1"/>
      </w:pPr>
      <w:bookmarkStart w:id="155" w:name="_Toc240922886"/>
      <w:r>
        <w:lastRenderedPageBreak/>
        <w:t>Chapter 5: Discussion</w:t>
      </w:r>
      <w:bookmarkEnd w:id="155"/>
    </w:p>
    <w:p w14:paraId="5F0C803A" w14:textId="77777777" w:rsidR="00C662DF" w:rsidRDefault="00C662DF" w:rsidP="00C662DF">
      <w:pPr>
        <w:pStyle w:val="Heading2"/>
      </w:pPr>
      <w:bookmarkStart w:id="156" w:name="_Toc240922887"/>
      <w:r>
        <w:t>5.1 Introduction</w:t>
      </w:r>
      <w:bookmarkEnd w:id="156"/>
    </w:p>
    <w:p w14:paraId="7DA0207C" w14:textId="77777777" w:rsidR="00C662DF" w:rsidRDefault="00C662DF" w:rsidP="00C662DF">
      <w:r w:rsidRPr="009D2256">
        <w:t>This chapter presents an interpretation of the results of the systematic review with regard to the research question and the research objectives. The four themes identified in Chapter 4 are included in the broader body of evidence explored in Chapter 2 and the conceptual model theorising how symptom recognition, symptom referral, symptom diagnosis, treatment and monitoring relate to clinical and quality of life outcomes.</w:t>
      </w:r>
    </w:p>
    <w:p w14:paraId="030B3913" w14:textId="77777777" w:rsidR="00C662DF" w:rsidRDefault="00C662DF" w:rsidP="00C662DF">
      <w:pPr>
        <w:pStyle w:val="Heading2"/>
      </w:pPr>
      <w:bookmarkStart w:id="157" w:name="_Toc240922888"/>
      <w:r>
        <w:t>5.2 Timing of Recognition, Referral and Treatment</w:t>
      </w:r>
      <w:bookmarkEnd w:id="157"/>
    </w:p>
    <w:p w14:paraId="60994379" w14:textId="23415DD4" w:rsidR="00C662DF" w:rsidRDefault="00C662DF" w:rsidP="00C662DF">
      <w:r>
        <w:t>The results corroborate the tenet that the therapeutic window starts before treatment. Early remission has been shown to be linked to prompt treatment or shorter symptom duration (Yates et al., 2021</w:t>
      </w:r>
      <w:r w:rsidR="00135650">
        <w:t xml:space="preserve">; </w:t>
      </w:r>
      <w:r>
        <w:t xml:space="preserve">Alveyn et al., 2025) and </w:t>
      </w:r>
      <w:r w:rsidRPr="004C7C77">
        <w:t xml:space="preserve">specialist assessment times remained relatively short despite a fall in recorded diagnoses </w:t>
      </w:r>
      <w:r>
        <w:t>(Russell et al., 2022). This is similar to the broader literature, which suggests that early RA is more amenable, but Chapter 2 also demonstrated that there is a lack of consistency in this concept of early, such as symptom-to-referral, referral-to-diagnosis and diagnosis-to-treatment times. This variability was described by Di Matteo et al. (2023) and by Di Matteo and Emery (2024) as well. The review thus indicates that the narrow metric for referrals to treatment may underestimate the time a person experiences untreated disease.</w:t>
      </w:r>
    </w:p>
    <w:p w14:paraId="72BE744A" w14:textId="77777777" w:rsidR="00C662DF" w:rsidRDefault="00C662DF" w:rsidP="00C662DF">
      <w:r>
        <w:t>This can be explained using the conceptual framework of delays, which can occur at the moment the symptoms are recognised, at the time the help is sought, at the time of primary-care assessment and referral to a rheumatologist before a DMARD is started. There are contextual supports for the recognition stage, as covered by Simons et al. (2022), and Cope et al. (2024) suggest that biological modification is possible even before classification of RA. Pre-RA intervention should not, however, be regarded as a substitute for routine early-RA intervention, as the intervention group was highly selected and improvements were not sustained in patient-reported outcomes. All in all, the research supports the idea that the process should move faster, rather than slower, across the complete journey.</w:t>
      </w:r>
    </w:p>
    <w:p w14:paraId="0F802AFB" w14:textId="77777777" w:rsidR="00C662DF" w:rsidRDefault="00C662DF" w:rsidP="00C662DF">
      <w:pPr>
        <w:pStyle w:val="Heading2"/>
      </w:pPr>
      <w:bookmarkStart w:id="158" w:name="_Toc240922889"/>
      <w:r>
        <w:t>5.3 Disease Severity and Clinical Response</w:t>
      </w:r>
      <w:bookmarkEnd w:id="158"/>
    </w:p>
    <w:p w14:paraId="42FD8878" w14:textId="77777777" w:rsidR="00C662DF" w:rsidRDefault="00C662DF" w:rsidP="00C662DF">
      <w:r>
        <w:t xml:space="preserve">The review also shows the advantages of early treatment with the hope of achieving a better chance of disease control, but not a guarantee of disease elimination (remission). Despite treatment improvements across the spectrum of treatment timings, Alveyn et al. (2025) reported only a 34.6% remission rate 3 months later </w:t>
      </w:r>
      <w:r w:rsidRPr="00EB182F">
        <w:t>among those with available three-month DAS28 data</w:t>
      </w:r>
      <w:r>
        <w:t xml:space="preserve">; Adas et al. (2024) reported that deprivation, smoking and presence of comorbidities were associated with persistent </w:t>
      </w:r>
      <w:r>
        <w:lastRenderedPageBreak/>
        <w:t>activity. This aligns with broader evidence, which has indicated that treat-to-target should involve ongoing measurement and treatment adjustment, rather than a one-shot prescription in the early phase of treatment (Taylor et al., 2022). It also reinforces the case for Chapter 2, in which baseline activity was found to modify outcomes, as was the response to treatment.</w:t>
      </w:r>
    </w:p>
    <w:p w14:paraId="136940A8" w14:textId="4D9F2EFA" w:rsidR="00C662DF" w:rsidRDefault="00C662DF" w:rsidP="00C662DF">
      <w:r>
        <w:t xml:space="preserve">Remission should be interpreted with caution as DAS28 is only a partial measure of severity. Chapter 2 explained that there are differences in remission rates based on DAS28, CDAI and Boolean criteria. Measurement-related variation was demonstrated by Janke et al. (2022), and different classifications were observed by Brkic et al. (2022) </w:t>
      </w:r>
      <w:r w:rsidRPr="00EB182F">
        <w:t>when subjective and objective measures were used</w:t>
      </w:r>
      <w:r>
        <w:t xml:space="preserve">. The results on frailty and hospitalisation take that severity one step further: </w:t>
      </w:r>
      <w:r w:rsidR="00F73695">
        <w:t xml:space="preserve">the </w:t>
      </w:r>
      <w:r>
        <w:t>presence of comorbidity and frailty marks the presence of vulnerability beyond that of the joint counts</w:t>
      </w:r>
      <w:r w:rsidR="00F73695">
        <w:t xml:space="preserve"> </w:t>
      </w:r>
      <w:r w:rsidR="00F73695" w:rsidRPr="00F73695">
        <w:t>(Hawley et al., 2019; Kearsley-Fleet et al., 2018; Kearsley-Fleet et al., 2023)</w:t>
      </w:r>
      <w:r>
        <w:t>. The findings of Adas et al. (2025) also indicate that the success of treatment has to be considered with the risk of serious infection and the patient's characteristics</w:t>
      </w:r>
      <w:r w:rsidR="00F73695">
        <w:t xml:space="preserve"> </w:t>
      </w:r>
      <w:r w:rsidR="00F73695" w:rsidRPr="00F73695">
        <w:t>(Bechman et al., 2021; Kurdi et al., 2025)</w:t>
      </w:r>
      <w:r>
        <w:t>. Therefore, timing of treatment is crucial, but should not be measured by achieving remission.</w:t>
      </w:r>
    </w:p>
    <w:p w14:paraId="47E2376F" w14:textId="77777777" w:rsidR="00C662DF" w:rsidRDefault="00C662DF" w:rsidP="00C662DF">
      <w:pPr>
        <w:pStyle w:val="Heading2"/>
      </w:pPr>
      <w:bookmarkStart w:id="159" w:name="_Toc240922890"/>
      <w:r>
        <w:t>5.4 Quality of Life and Patient-Centred Outcomes</w:t>
      </w:r>
      <w:bookmarkEnd w:id="159"/>
    </w:p>
    <w:p w14:paraId="4C758553" w14:textId="77777777" w:rsidR="00C662DF" w:rsidRDefault="00C662DF" w:rsidP="00C662DF">
      <w:r w:rsidRPr="00EB182F">
        <w:t>The quality-of-life evidence was less extensive than the remission evidence</w:t>
      </w:r>
      <w:r>
        <w:t xml:space="preserve">, although the latter was clinically relevant. Both the EQ-5D (Galloway et al., 2021) and </w:t>
      </w:r>
      <w:r w:rsidRPr="00E66B44">
        <w:t>patient-reported outcomes (Zhao et al., 2025) indicated poorer outcomes in early inflammatory arthritis</w:t>
      </w:r>
      <w:r>
        <w:t xml:space="preserve">, and Bechman et al. (2024) found early work impairment. These findings add to the broader literature examined in Chapter 2 that found that </w:t>
      </w:r>
      <w:r w:rsidRPr="00D865D9">
        <w:t>fatigue may persist despite improved inflammatory activity (Holten et al., 2022)</w:t>
      </w:r>
      <w:r>
        <w:t>. Additionally, better pain, function, quality of life and productivity were linked to sustained remission as reported by Snoeck Henkemans et al. (2024).</w:t>
      </w:r>
    </w:p>
    <w:p w14:paraId="53889F7C" w14:textId="77777777" w:rsidR="00C662DF" w:rsidRDefault="00C662DF" w:rsidP="00C662DF">
      <w:r>
        <w:t>This is consistent with the conceptual framework prediction that reducing inflammation may not be enough to restore quality of life with ongoing pain, fatigue, distress, frailty and/or socioeconomic disadvantage. It further clarifies why an answer to the central research question could not be provided only on the basis of DAS28. Although early control seems to improve the functional outcomes, it is not clear in the studies included that there is a direct link from early diagnosis to long-term quality of life. Patient-centred monitoring is therefore still required even if clinical targets are attained.</w:t>
      </w:r>
    </w:p>
    <w:p w14:paraId="3B5B4C30" w14:textId="77777777" w:rsidR="00C662DF" w:rsidRDefault="00C662DF" w:rsidP="00C662DF">
      <w:pPr>
        <w:pStyle w:val="Heading2"/>
      </w:pPr>
      <w:bookmarkStart w:id="160" w:name="_Toc240922891"/>
      <w:r>
        <w:t>5.5 Inequalities and Healthcare-System Influences</w:t>
      </w:r>
      <w:bookmarkEnd w:id="160"/>
    </w:p>
    <w:p w14:paraId="388695BE" w14:textId="4F87C3E3" w:rsidR="00C662DF" w:rsidRDefault="00C662DF" w:rsidP="00C662DF">
      <w:r>
        <w:t>A prominent cross-cutting finding was that outcomes were socially patterned. Yates et al. (2021), Adas et al. (2023), Adas et al. (2024), Russell et al. (2025</w:t>
      </w:r>
      <w:r w:rsidR="006407F6">
        <w:t>a</w:t>
      </w:r>
      <w:r>
        <w:t xml:space="preserve">), and Alveyn et al. (2025) found disparities related to deprivation, ethnicity, access to and/or location of treatment. The national cohort data are also inadequate to represent those who are not identified, referred or followed up, as described </w:t>
      </w:r>
      <w:r>
        <w:lastRenderedPageBreak/>
        <w:t xml:space="preserve">elsewhere in Chapter 2, in this regard. </w:t>
      </w:r>
      <w:r w:rsidR="00FA145E" w:rsidRPr="00FA145E">
        <w:t>The findings indicate that access and outcomes remain heterogeneous despite the provision of a universal healthcare system.</w:t>
      </w:r>
    </w:p>
    <w:p w14:paraId="1E2B7EBB" w14:textId="29E254AC" w:rsidR="00C662DF" w:rsidRDefault="00CE709D" w:rsidP="00C662DF">
      <w:r w:rsidRPr="00CE709D">
        <w:t>The overall results are consistent with the Social Ecological Model</w:t>
      </w:r>
      <w:r w:rsidR="00B24A11" w:rsidRPr="00B24A11">
        <w:t>, as treatment timing was not the only factor influencing outcomes, but rather influences at multiple layers of the person, the clinical system and the healthcare system. The review also adds to the framework by highlighting that influences can be sequential or work concurrently throughout the RA pathway. Symptom recognition and help-seeking prior to referral may be impacted by socioeconomic disadvantage, and a baseline disease activity and/or comorbidity may impact the likelihood of treatment response following diagnosis. Access to healthcare systems and healthcare-system quality (referral quality, capacity and monitoring) may then impact the sustainability of early improvements. This interaction explains how decreasing a specific delay, for example, public sector referral-to-treatment, can result in different remission and/or quality-of-life outcomes between different patient populations. Since most of the evidence included in the review was observational, however, it is not possible to make a definitive causal argument for any one ecological level.</w:t>
      </w:r>
    </w:p>
    <w:p w14:paraId="05A98435" w14:textId="77777777" w:rsidR="00C662DF" w:rsidRDefault="00C662DF" w:rsidP="00C662DF">
      <w:pPr>
        <w:pStyle w:val="Heading2"/>
      </w:pPr>
      <w:bookmarkStart w:id="161" w:name="_Toc240922892"/>
      <w:r>
        <w:t>5.6 Overall Answer to the Research Question</w:t>
      </w:r>
      <w:bookmarkEnd w:id="161"/>
    </w:p>
    <w:p w14:paraId="5341A88A" w14:textId="60D5C654" w:rsidR="00C662DF" w:rsidRDefault="003D37F7" w:rsidP="00C662DF">
      <w:r w:rsidRPr="003D37F7">
        <w:t xml:space="preserve">The evidence indicates that </w:t>
      </w:r>
      <w:r w:rsidR="005B3EDC" w:rsidRPr="005B3EDC">
        <w:t>earlier diagnosis and treatment initiation were associated with lower early disease activity and a greater likelihood of remission</w:t>
      </w:r>
      <w:r w:rsidRPr="003D37F7">
        <w:t xml:space="preserve"> the early disease activity and the higher the likelihood of remission of RA, especially if DMARD treatment is started early and symptoms are of short duration in the UK. The impact, however, varies by outcome and is influenced by baseline disease activity, comorbidity, frailty, psychological distress, socioeconomic disadvantage, ethnicity and variation in healthcare systems. Patient-centred outcomes were often reported but few studies directly addressed the link between early diagnosis and treatment and longer-term validation of patient-reported outcomes. The evidence indicates a positive link between early care and short-term clinical outcomes, but is not yet sufficient to conclude that there is a direct link with long-term quality of life.</w:t>
      </w:r>
    </w:p>
    <w:p w14:paraId="18EB9452" w14:textId="77777777" w:rsidR="00C662DF" w:rsidRDefault="00C662DF" w:rsidP="00C662DF">
      <w:pPr>
        <w:pStyle w:val="Heading2"/>
      </w:pPr>
      <w:bookmarkStart w:id="162" w:name="_Toc240922893"/>
      <w:r>
        <w:t>5.7 Strengths and Limitations of the Evidence and Review</w:t>
      </w:r>
      <w:bookmarkEnd w:id="162"/>
    </w:p>
    <w:p w14:paraId="20A5CDA1" w14:textId="4EFAE5D6" w:rsidR="00C662DF" w:rsidRDefault="00C662DF" w:rsidP="00C662DF">
      <w:r>
        <w:t xml:space="preserve">Several large national cohorts, repeat clinical measurements, UK-specific service data and convergence on independent outcomes </w:t>
      </w:r>
      <w:r w:rsidRPr="00D865D9">
        <w:t>increase confidence in the evidence</w:t>
      </w:r>
      <w:r>
        <w:t xml:space="preserve">. The APIPPRA trial adds randomised evidence at the pre-RA stage. However, most of the studies had an observational design, and some used the same NEIAA, with potential residual confounding and some overlap in the population, restricting causal inferences. In addition, some studies limit the applicability of the results to populations with mixed inflammatory arthritis, reducing RA-specific applicability. The multiple databases, the strict eligibility criteria and the CASP appraisal and structured synthesis of the systematic review are strengths, while single-reviewer screening, English-language restriction, and </w:t>
      </w:r>
      <w:r>
        <w:lastRenderedPageBreak/>
        <w:t xml:space="preserve">heterogeneity are weaknesses. The lack of homogeneous data did not allow for meta-analysis, and conclusions were drawn based on patterns of consistency and strength, rather than a pooled </w:t>
      </w:r>
      <w:r w:rsidR="00AC0284" w:rsidRPr="00AC0284">
        <w:t>association</w:t>
      </w:r>
      <w:r w:rsidR="00AC0284">
        <w:t xml:space="preserve"> </w:t>
      </w:r>
      <w:r>
        <w:t>size.</w:t>
      </w:r>
    </w:p>
    <w:p w14:paraId="13CE6A0A" w14:textId="77777777" w:rsidR="00C662DF" w:rsidRDefault="00C662DF" w:rsidP="00C662DF">
      <w:pPr>
        <w:pStyle w:val="Heading2"/>
      </w:pPr>
      <w:bookmarkStart w:id="163" w:name="_Toc240922894"/>
      <w:r>
        <w:t>5.8 Implications for Practice and Policy</w:t>
      </w:r>
      <w:bookmarkEnd w:id="163"/>
    </w:p>
    <w:p w14:paraId="70C6BF39" w14:textId="06082200" w:rsidR="00C662DF" w:rsidRDefault="00C662DF" w:rsidP="00C662DF">
      <w:r>
        <w:t xml:space="preserve">The </w:t>
      </w:r>
      <w:r w:rsidR="00925BD4" w:rsidRPr="00925BD4">
        <w:t>results support the need</w:t>
      </w:r>
      <w:r>
        <w:t xml:space="preserve"> for attention to the whole symptom-to-treatment pathway; public and community recognition, rapid primary-care assessment, timely referral to a rheumatologist, and prompt initiation of DMARDs and ongoing treat-to-target monitoring. The assessment of clinical review should also take into account pain, fatigue, psychological wellbeing, frailty and work participation, not just disease activity. Ethnic and socioeconomic differences and differences in the rate of remission were consistently found across the different levels of access to the services: hospital, practice, and setting, implying that services should be audited for equity as well as average waiting times and remission rates. Caution should be used when applying these implications as not all the associations imply causation.</w:t>
      </w:r>
    </w:p>
    <w:p w14:paraId="13A2D363" w14:textId="77777777" w:rsidR="00C662DF" w:rsidRDefault="00C662DF" w:rsidP="00C662DF">
      <w:pPr>
        <w:pStyle w:val="Heading2"/>
      </w:pPr>
      <w:bookmarkStart w:id="164" w:name="_Toc240922895"/>
      <w:r>
        <w:t>5.9 Recommendations for Future Research</w:t>
      </w:r>
      <w:bookmarkEnd w:id="164"/>
    </w:p>
    <w:p w14:paraId="6894432C" w14:textId="77777777" w:rsidR="00C662DF" w:rsidRDefault="00C662DF" w:rsidP="00C662DF">
      <w:r w:rsidRPr="00E10045">
        <w:t>Future studies in the UK should include RA-specific results not included in the general category of mixed inflammatory arthritis; report standard time periods for symptom, referral, diagnosis and treatment delay; and link timings across to long-term patient-reported outcomes. Future research should also explore mechanisms of ethnic, socioeconomic and hospital-level disparities, and investigate how to decrease pre-referral delays and escalation to interventions which may be unequal.</w:t>
      </w:r>
    </w:p>
    <w:p w14:paraId="1AE1D065" w14:textId="77777777" w:rsidR="00C662DF" w:rsidRPr="00C662DF" w:rsidRDefault="00C662DF" w:rsidP="00C662DF">
      <w:pPr>
        <w:pStyle w:val="Heading2"/>
      </w:pPr>
      <w:bookmarkStart w:id="165" w:name="_Toc240922896"/>
      <w:r w:rsidRPr="00C662DF">
        <w:t>5.10 Chapter Conclusion</w:t>
      </w:r>
      <w:bookmarkEnd w:id="165"/>
    </w:p>
    <w:p w14:paraId="64046B43" w14:textId="1F307036" w:rsidR="00AA162D" w:rsidRDefault="00B41AD5" w:rsidP="00C662DF">
      <w:r w:rsidRPr="00B41AD5">
        <w:t>The findings suggest that</w:t>
      </w:r>
      <w:r w:rsidR="00C662DF" w:rsidRPr="00E10045">
        <w:t xml:space="preserve"> in addition to effective disease-modifying therapy, timely diagnosis and treatment are crucial for improved early RA outcomes, but this effect is influenced by patient, clinical, and health systems factors. This should therefore be viewed as a continuum of care and </w:t>
      </w:r>
      <w:r w:rsidR="00C662DF" w:rsidRPr="00C73D80">
        <w:t>not a single time point</w:t>
      </w:r>
      <w:r w:rsidR="00C662DF" w:rsidRPr="00E10045">
        <w:t>, and disease control and quality of life should be measured together. Longitudinal information is still required to determine the impact of early care on long-term patient-reported outcomes.</w:t>
      </w:r>
    </w:p>
    <w:p w14:paraId="108159E8" w14:textId="77777777" w:rsidR="00AA162D" w:rsidRDefault="00AA162D">
      <w:pPr>
        <w:spacing w:line="276" w:lineRule="auto"/>
        <w:jc w:val="left"/>
      </w:pPr>
      <w:r>
        <w:br w:type="page"/>
      </w:r>
    </w:p>
    <w:p w14:paraId="489C118A" w14:textId="77777777" w:rsidR="00AA162D" w:rsidRPr="00AA162D" w:rsidRDefault="00AA162D" w:rsidP="00CD00E1">
      <w:pPr>
        <w:pStyle w:val="Heading1"/>
      </w:pPr>
      <w:bookmarkStart w:id="166" w:name="_Toc240922897"/>
      <w:r w:rsidRPr="00AA162D">
        <w:lastRenderedPageBreak/>
        <w:t>Chapter 6: Conclusion and Recommendations</w:t>
      </w:r>
      <w:bookmarkEnd w:id="166"/>
    </w:p>
    <w:p w14:paraId="2659C3BC" w14:textId="77777777" w:rsidR="00AA162D" w:rsidRPr="00AA162D" w:rsidRDefault="00AA162D" w:rsidP="00CD00E1">
      <w:pPr>
        <w:pStyle w:val="Heading2"/>
      </w:pPr>
      <w:bookmarkStart w:id="167" w:name="_Toc240922898"/>
      <w:r w:rsidRPr="00AA162D">
        <w:t>6.1 Introduction</w:t>
      </w:r>
      <w:bookmarkEnd w:id="167"/>
    </w:p>
    <w:p w14:paraId="5CB6CCA6" w14:textId="77777777" w:rsidR="00AA162D" w:rsidRPr="00AA162D" w:rsidRDefault="00AA162D" w:rsidP="00AA162D">
      <w:r w:rsidRPr="00AA162D">
        <w:t>Finally, in this chapter, the evidence presented in this book is summarised to inform the review of the importance of early diagnosis and initiation of treatment for disease severity and quality of life for persons with rheumatoid arthritis in the UK. It provides a summary of the way the aim and aims were tackled, and makes recommendations for clinical practice, policy and future studies. No new evidence is presented.</w:t>
      </w:r>
    </w:p>
    <w:p w14:paraId="0A277B92" w14:textId="77777777" w:rsidR="00846262" w:rsidRDefault="00846262" w:rsidP="00846262">
      <w:pPr>
        <w:pStyle w:val="Heading2"/>
      </w:pPr>
      <w:bookmarkStart w:id="168" w:name="_Toc240922899"/>
      <w:r>
        <w:t>6.2 Overall Conclusions</w:t>
      </w:r>
      <w:bookmarkEnd w:id="168"/>
    </w:p>
    <w:p w14:paraId="27BC3954" w14:textId="77777777" w:rsidR="00846262" w:rsidRDefault="00846262" w:rsidP="00846262">
      <w:r>
        <w:t>Better short-term clinical outcomes such as reduced disease activity and increased early remission rates were generally linked to earlier diagnosis and timely initiation of treatment for rheumatoid arthritis (RA). But treatment time was not the only factor that affected outcomes. Baseline disease activity, comorbidity, frailty, psychological distress, socioeconomic disadvantage, ethnicity and variation in healthcare services also affected access to treatment and subsequent outcomes.</w:t>
      </w:r>
    </w:p>
    <w:p w14:paraId="7AF00236" w14:textId="77777777" w:rsidR="00846262" w:rsidRDefault="00846262" w:rsidP="00846262">
      <w:r>
        <w:t>The results suggest that early RA care should be viewed as a continuum and not as a single treatment episode. This pathway covers symptom recognition and help-seeking, primary-care assessment, referral to rheumatology, diagnosis, DMARD initiation, monitoring and treatment adjustment. In conclusion, although early diagnosis and treatment were correlated with better early clinical results, this was not always correlated with better quality of life. Even with better inflammatory disease control, pain, fatigue, psychological distress, and work impairment and functional limitations may remain. Thus, clinical and patient-reported outcomes should be measured to assess treatment success.</w:t>
      </w:r>
    </w:p>
    <w:p w14:paraId="6491C262" w14:textId="77777777" w:rsidR="00846262" w:rsidRDefault="00846262" w:rsidP="00846262">
      <w:pPr>
        <w:pStyle w:val="Heading2"/>
      </w:pPr>
      <w:bookmarkStart w:id="169" w:name="_Toc240922900"/>
      <w:r>
        <w:t>6.3 Achievement of the Research Aim and Objectives</w:t>
      </w:r>
      <w:bookmarkEnd w:id="169"/>
    </w:p>
    <w:p w14:paraId="46DB11AD" w14:textId="77777777" w:rsidR="00846262" w:rsidRDefault="00846262" w:rsidP="00846262">
      <w:r>
        <w:t>The research aim and objectives were met by conducting a systematic review of evidence on early diagnosis, early treatment initiation, disease severity and quality of life of UK patients with rheumatoid arthritis.</w:t>
      </w:r>
    </w:p>
    <w:p w14:paraId="5D41FF26" w14:textId="77777777" w:rsidR="00846262" w:rsidRDefault="00846262" w:rsidP="00846262">
      <w:r>
        <w:t>Objective 1 was covered by exploring symptom duration, referral, and initiation of treatment by specialists. The evidence suggested that the shorter the duration of symptoms and the earlier treatment was given, the better the short-term clinical outcomes and the higher the probability of remission.</w:t>
      </w:r>
    </w:p>
    <w:p w14:paraId="47E644D3" w14:textId="77777777" w:rsidR="00846262" w:rsidRDefault="00846262" w:rsidP="00846262">
      <w:r>
        <w:t xml:space="preserve">Objective 2 was tackled with evidence on disease activity, DAS28, remission, disability, frailty and hospitalisation. The results showed that the severity of the disease was multi-dimensional and that the </w:t>
      </w:r>
      <w:r>
        <w:lastRenderedPageBreak/>
        <w:t>timing of treatment was not the only factor, but also baseline disease activity, comorbidity, frailty and socioeconomic factors.</w:t>
      </w:r>
    </w:p>
    <w:p w14:paraId="67EB1B55" w14:textId="77777777" w:rsidR="00846262" w:rsidRDefault="00846262" w:rsidP="00846262">
      <w:r>
        <w:t>Objective 3 was covered in evidence relating to quality of life, pain, fatigue, psychological wellbeing and employment. The review found that there was a significant patient-centred burden, but little direct evidence of a relationship between earlier diagnosis and treatment and long-term quality of life.</w:t>
      </w:r>
    </w:p>
    <w:p w14:paraId="41846D10" w14:textId="77777777" w:rsidR="00846262" w:rsidRDefault="00846262" w:rsidP="00846262">
      <w:r>
        <w:t>Objective 4 was explored by looking at the relationship between treatment timing and clinical outcomes, and the impact of patient, clinical and health system characteristics. The findings showed that earlier treatment was linked to better early outcomes, but the strength and consistency of the associations varied by population and health care setting.</w:t>
      </w:r>
    </w:p>
    <w:p w14:paraId="1058C8D8" w14:textId="77777777" w:rsidR="00846262" w:rsidRDefault="00846262" w:rsidP="00846262">
      <w:pPr>
        <w:pStyle w:val="Heading2"/>
      </w:pPr>
      <w:bookmarkStart w:id="170" w:name="_Toc240922901"/>
      <w:r>
        <w:t>6.4 Recommendations</w:t>
      </w:r>
      <w:bookmarkEnd w:id="170"/>
    </w:p>
    <w:p w14:paraId="391DCBA1" w14:textId="77777777" w:rsidR="00846262" w:rsidRDefault="00846262" w:rsidP="00846262">
      <w:r>
        <w:t>Primary care: If rheumatoid arthritis is suspected, it should be recognised early and referred for specialist evaluation if inflammatory arthritis is suspected. Primary-care professionals need to be supported with the appropriate awareness and referral guidance to enhance the recognition of relevant symptoms and minimise avoidable delays.</w:t>
      </w:r>
    </w:p>
    <w:p w14:paraId="4719AC11" w14:textId="77777777" w:rsidR="00846262" w:rsidRDefault="00846262" w:rsidP="00846262">
      <w:r>
        <w:t>Rheumatology services: DMARD treatment should be started as soon as clinically indicated, and treatment should be reviewed and adjusted regularly to achieve the target. Disease activity should be monitored, as well as patient-centred outcomes such as pain, fatigue, psychological wellbeing and functional/work-related difficulties.</w:t>
      </w:r>
    </w:p>
    <w:p w14:paraId="3EEAD414" w14:textId="77777777" w:rsidR="00846262" w:rsidRDefault="00846262" w:rsidP="00846262">
      <w:r>
        <w:t>NHS and healthcare organisations: Services should track the pathway from referral to treatment and other delays from the onset of symptoms until specialist assessment. Regional, socioeconomic and ethnic disparities in access and outcomes should also be monitored to determine whether there are persistent disparities.</w:t>
      </w:r>
    </w:p>
    <w:p w14:paraId="51D6DD2E" w14:textId="77777777" w:rsidR="00846262" w:rsidRDefault="00846262" w:rsidP="00846262">
      <w:r>
        <w:t>Community and primary-care services: Education and awareness raising can help to identify symptoms earlier and signpost to appropriate services. However, these should be assessed and not taken for granted as a way to decrease pre-referral delay.</w:t>
      </w:r>
    </w:p>
    <w:p w14:paraId="25307FF7" w14:textId="77777777" w:rsidR="00846262" w:rsidRDefault="00846262" w:rsidP="00846262">
      <w:pPr>
        <w:pStyle w:val="Heading2"/>
      </w:pPr>
      <w:bookmarkStart w:id="171" w:name="_Toc240922902"/>
      <w:r>
        <w:t>6.5 Recommendations for Future Research</w:t>
      </w:r>
      <w:bookmarkEnd w:id="171"/>
    </w:p>
    <w:p w14:paraId="50A9F554" w14:textId="77777777" w:rsidR="00846262" w:rsidRDefault="00846262" w:rsidP="00846262">
      <w:r>
        <w:t>Standardised definitions of what constitutes "early" should be used in future UK research, both in terms of symptom onset, referral, diagnosis and treatment initiation, to enable findings to be compared more consistently between studies. Longitudinal studies should be conducted over a longer time period and explore if earlier diagnosis and treatment are related to long-term improvements in validated patient-reported outcomes, such as quality of life, fatigue, psychological wellbeing and work participation.</w:t>
      </w:r>
    </w:p>
    <w:p w14:paraId="2335861D" w14:textId="77777777" w:rsidR="00846262" w:rsidRDefault="00846262" w:rsidP="00846262">
      <w:r>
        <w:lastRenderedPageBreak/>
        <w:t>Additionally, the mechanisms that explain the social, ethnic and hospital-level variation in access and outcomes should be explored. Interventions to minimise pre-referral delays and disparities in access to appropriate and advanced treatment should be evaluated in studies. Increased focus on long-term patient-reported outcomes would better fill the current evidence gap on whether the benefits of early care are beyond short-term disease control and remission.</w:t>
      </w:r>
    </w:p>
    <w:p w14:paraId="5766BDE8" w14:textId="77777777" w:rsidR="00846262" w:rsidRDefault="00846262" w:rsidP="00846262">
      <w:pPr>
        <w:pStyle w:val="Heading2"/>
      </w:pPr>
      <w:bookmarkStart w:id="172" w:name="_Toc240922903"/>
      <w:r>
        <w:t>6.6 Final Conclusion</w:t>
      </w:r>
      <w:bookmarkEnd w:id="172"/>
    </w:p>
    <w:p w14:paraId="1B90500A" w14:textId="77777777" w:rsidR="00846262" w:rsidRDefault="00846262" w:rsidP="00846262">
      <w:r>
        <w:t>In conclusion, this systematic review suggests that early diagnosis and early treatment are crucial to improve early clinical outcomes in RA, especially disease control and remission. Time is not the only factor that determines the severity of the disease or the quality of life; however, the outcome is also influenced by the patient's characteristics, clinical factors and organisation of health services.</w:t>
      </w:r>
    </w:p>
    <w:p w14:paraId="3EDC8945" w14:textId="0A5B528C" w:rsidR="00AA162D" w:rsidRPr="00AA162D" w:rsidRDefault="00846262" w:rsidP="00846262">
      <w:r>
        <w:t>Therefore, effective RA care is considered a continuum, characterised by timely recognition, timely referral and treatment, regular monitoring, patient-centred support and equitable access to care. The review helps to build understanding of the importance of early care within UK RA pathways and also identifies the lack of evidence for the longer-term impact of early care on quality of life. Longitudinal research in the UK is needed to confirm that the outcomes of early diagnosis and treatment are maintained over time with respect to patient-reported outcomes.</w:t>
      </w:r>
    </w:p>
    <w:p w14:paraId="7F5792A2" w14:textId="77777777" w:rsidR="00C662DF" w:rsidRDefault="00C662DF" w:rsidP="00C662DF"/>
    <w:p w14:paraId="0ACF9A51" w14:textId="77777777" w:rsidR="00920A36" w:rsidRPr="00920A36" w:rsidRDefault="00920A36" w:rsidP="00920A36">
      <w:pPr>
        <w:spacing w:after="120"/>
      </w:pPr>
    </w:p>
    <w:p w14:paraId="3572D58E" w14:textId="77777777" w:rsidR="00C63879" w:rsidRDefault="00C63879" w:rsidP="00325C76">
      <w:pPr>
        <w:spacing w:after="120"/>
      </w:pPr>
    </w:p>
    <w:p w14:paraId="4B208D47" w14:textId="77777777" w:rsidR="00C63879" w:rsidRDefault="00426BC9">
      <w:pPr>
        <w:pStyle w:val="Heading1"/>
        <w:pageBreakBefore/>
      </w:pPr>
      <w:bookmarkStart w:id="173" w:name="_Toc240922904"/>
      <w:r>
        <w:lastRenderedPageBreak/>
        <w:t>Reference list</w:t>
      </w:r>
      <w:bookmarkEnd w:id="173"/>
    </w:p>
    <w:p w14:paraId="46C94B6E" w14:textId="77777777" w:rsidR="007E08F5" w:rsidRPr="000D2FCE" w:rsidRDefault="007E08F5" w:rsidP="0030179A">
      <w:r w:rsidRPr="000D2FCE">
        <w:t xml:space="preserve">Abdelhafiz, D., Baker, T., Glascow, D.A. and Abdelhafiz, A.H. (2023) ‘Biomarkers for the diagnosis and treatment of rheumatoid arthritis: A systematic review’, </w:t>
      </w:r>
      <w:r w:rsidRPr="006304BF">
        <w:rPr>
          <w:i/>
          <w:iCs/>
        </w:rPr>
        <w:t>Postgraduate Medicine</w:t>
      </w:r>
      <w:r w:rsidRPr="000D2FCE">
        <w:t>, 135(3), pp. 214–223. doi:10.1080/00325481.2022.2052626.</w:t>
      </w:r>
    </w:p>
    <w:p w14:paraId="335F9E51" w14:textId="77777777" w:rsidR="007E08F5" w:rsidRPr="000D2FCE" w:rsidRDefault="007E08F5" w:rsidP="0030179A">
      <w:r w:rsidRPr="000D2FCE">
        <w:t xml:space="preserve">Adas, M. et al. (2024) ‘What role do socioeconomic and clinical factors play in disease activity states in rheumatoid arthritis? Data from a large UK early inflammatory arthritis audit’, </w:t>
      </w:r>
      <w:r w:rsidRPr="006304BF">
        <w:rPr>
          <w:i/>
          <w:iCs/>
        </w:rPr>
        <w:t>RMD Open</w:t>
      </w:r>
      <w:r w:rsidRPr="000D2FCE">
        <w:t>, 10(3), e004180. doi:10.1136/rmdopen-2024-004180.</w:t>
      </w:r>
    </w:p>
    <w:p w14:paraId="76495DB8" w14:textId="77777777" w:rsidR="007E08F5" w:rsidRPr="000D2FCE" w:rsidRDefault="007E08F5" w:rsidP="0030179A">
      <w:r w:rsidRPr="000D2FCE">
        <w:t xml:space="preserve">Adas, M.A. et al. (2023) ‘Worse outcomes linked to ethnicity for early inflammatory arthritis in England and Wales: A national cohort study’, </w:t>
      </w:r>
      <w:r w:rsidRPr="006304BF">
        <w:rPr>
          <w:i/>
          <w:iCs/>
        </w:rPr>
        <w:t>Rheumatology</w:t>
      </w:r>
      <w:r w:rsidRPr="000D2FCE">
        <w:t>, 62(1), pp. 169–180. doi:10.1093/rheumatology/keac266.</w:t>
      </w:r>
    </w:p>
    <w:p w14:paraId="779D42F1" w14:textId="77777777" w:rsidR="007E08F5" w:rsidRDefault="007E08F5" w:rsidP="0030179A">
      <w:r>
        <w:t>Adas, M.A. et al. (2025) ‘Risk of infection in patients with early inflammatory arthritis: results from a large UK prospective observational cohort study’, Rheumatology, 64(11), pp. 5647-5655. doi:10.1093/rheumatology/keaf312.</w:t>
      </w:r>
    </w:p>
    <w:p w14:paraId="671E155A" w14:textId="77777777" w:rsidR="007E08F5" w:rsidRDefault="007E08F5" w:rsidP="0030179A">
      <w:r>
        <w:t>Al-Jabi, S.W., Seleit, D.I., Badran, A., Koni, A. and Zyoud, S.H. (2021). Impact of socio-demographic and clinical characteristics on functional disability and health-related quality of life in patients with rheumatoid arthritis: a cross-sectional study from Palestine. Health and Quality of Life Outcomes, 19(1). doi:https://doi.org/10.1186/s12955-021-01874-x.</w:t>
      </w:r>
    </w:p>
    <w:p w14:paraId="08261D01" w14:textId="77777777" w:rsidR="007E08F5" w:rsidRPr="002A4F3E" w:rsidRDefault="007E08F5" w:rsidP="0030179A">
      <w:r w:rsidRPr="002A4F3E">
        <w:t>Alveyn, E. et al. (2026) 'Development of a clinical tool to identify patients with early inflammatory arthritis at high risk of employment loss: analysis from the National Early Inflammatory Arthritis Audit', Rheumatology Advances in Practice, 10(1), rkaf149. doi: https://doi.org/10.1093/rap/rkaf149.</w:t>
      </w:r>
    </w:p>
    <w:p w14:paraId="393353C7" w14:textId="77777777" w:rsidR="007E08F5" w:rsidRDefault="007E08F5" w:rsidP="0030179A">
      <w:r w:rsidRPr="005D0160">
        <w:t xml:space="preserve">Alveyn, E., Coalwood, C., Farrell, G., Jackson, E., Adas, M.A., Norton, S., Lanyon, P., Price, E., Ledingham, J.M., Galloway, J.B. and Russell, M.D. (2025) ‘Trends in remission rates for rheumatoid arthritis in England and Wales: a population-level cohort study’, </w:t>
      </w:r>
      <w:r w:rsidRPr="006304BF">
        <w:rPr>
          <w:i/>
          <w:iCs/>
        </w:rPr>
        <w:t>Rheumatology</w:t>
      </w:r>
      <w:r w:rsidRPr="005D0160">
        <w:t>, 64(9), pp. 4957–4967. doi: 10.1093/rheumatology/keaf233.</w:t>
      </w:r>
    </w:p>
    <w:p w14:paraId="0121DDC7" w14:textId="77777777" w:rsidR="007E08F5" w:rsidRPr="000D2FCE" w:rsidRDefault="007E08F5" w:rsidP="0030179A">
      <w:r w:rsidRPr="000D2FCE">
        <w:t xml:space="preserve">Aronsson, M. et al. (2023) ‘The effect of a tight control regime with monthly follow-up on remission rates and reported pain in early rheumatoid arthritis’, </w:t>
      </w:r>
      <w:r w:rsidRPr="006304BF">
        <w:rPr>
          <w:i/>
          <w:iCs/>
        </w:rPr>
        <w:t>Musculoskeletal Care</w:t>
      </w:r>
      <w:r w:rsidRPr="000D2FCE">
        <w:t>, 21(1), pp. 159–168. doi:10.1002/msc.1681.</w:t>
      </w:r>
    </w:p>
    <w:p w14:paraId="0B45BEAA" w14:textId="77777777" w:rsidR="007E08F5" w:rsidRPr="002A4F3E" w:rsidRDefault="007E08F5" w:rsidP="0030179A">
      <w:r w:rsidRPr="002A4F3E">
        <w:t xml:space="preserve">Arumalla, N., Galloway, J.B., Ledingham, J., Garrood, T. and Norton, S. (2025) 'A psychometric evaluation of the Musculoskeletal Health Questionnaire (MSK-HQ): validation and measurement </w:t>
      </w:r>
      <w:r w:rsidRPr="002A4F3E">
        <w:lastRenderedPageBreak/>
        <w:t>invariance in inflammatory arthritis', Rheumatology Advances in Practice, 9(2), rkaf041. doi: https://doi.org/10.1093/rap/rkaf041.</w:t>
      </w:r>
    </w:p>
    <w:p w14:paraId="0DB0290C" w14:textId="77777777" w:rsidR="007E08F5" w:rsidRPr="002A4F3E" w:rsidRDefault="007E08F5" w:rsidP="0030179A">
      <w:r w:rsidRPr="002A4F3E">
        <w:t>Bechman, K. et al. (2019) 'Polypharmacy is associated with treatment response and serious adverse events: results from the British Society for Rheumatology Biologics Register for Rheumatoid Arthritis', Rheumatology, 58(10), pp. 1767-1776. doi: https://doi.org/10.1093/rheumatology/kez037.</w:t>
      </w:r>
    </w:p>
    <w:p w14:paraId="3A23738F" w14:textId="77777777" w:rsidR="007E08F5" w:rsidRPr="002A4F3E" w:rsidRDefault="007E08F5" w:rsidP="0030179A">
      <w:r w:rsidRPr="002A4F3E">
        <w:t>Bechman, K. et al. (2021) 'Nonserious infections in patients with rheumatoid arthritis: results from the British Society for Rheumatology Biologics Register for Rheumatoid Arthritis', Arthritis &amp; Rheumatology, 73(10), pp. 1800-1809. doi: https://doi.org/10.1002/art.41754.</w:t>
      </w:r>
    </w:p>
    <w:p w14:paraId="7D150E00" w14:textId="77777777" w:rsidR="007E08F5" w:rsidRPr="000D2FCE" w:rsidRDefault="007E08F5" w:rsidP="0030179A">
      <w:r w:rsidRPr="000D2FCE">
        <w:t xml:space="preserve">Bechman, K. et al. (2024) ‘Occupational impacts of early inflammatory arthritis: Results from the National Early Inflammatory Arthritis Audit’, </w:t>
      </w:r>
      <w:r w:rsidRPr="006304BF">
        <w:rPr>
          <w:i/>
          <w:iCs/>
        </w:rPr>
        <w:t>Rheumatology</w:t>
      </w:r>
      <w:r w:rsidRPr="000D2FCE">
        <w:t>, 63(7), pp. 1856–1867. doi:10.1093/rheumatology/kead484.</w:t>
      </w:r>
    </w:p>
    <w:p w14:paraId="2BC6FE74" w14:textId="77777777" w:rsidR="007E08F5" w:rsidRPr="002A4F3E" w:rsidRDefault="007E08F5" w:rsidP="0030179A">
      <w:r w:rsidRPr="002A4F3E">
        <w:t>Bechman, K. et al. (2026) 'The 2025 British Society for Rheumatology guideline for the prescription and monitoring of conventional synthetic disease-modifying anti-rheumatic drugs', Rheumatology, 65(2), keaf522. doi: https://doi.org/10.1093/rheumatology/keaf522.</w:t>
      </w:r>
    </w:p>
    <w:p w14:paraId="0C1C63B6" w14:textId="77777777" w:rsidR="007E08F5" w:rsidRPr="000D2FCE" w:rsidRDefault="007E08F5" w:rsidP="0030179A">
      <w:r w:rsidRPr="000D2FCE">
        <w:t xml:space="preserve">Bergstra, S.A. et al. (2023) ‘Efficacy, duration of use and safety of glucocorticoids: A systematic literature review informing the 2022 update of the EULAR recommendations for the management of rheumatoid arthritis’, </w:t>
      </w:r>
      <w:r w:rsidRPr="006304BF">
        <w:rPr>
          <w:i/>
          <w:iCs/>
        </w:rPr>
        <w:t>Annals of the Rheumatic Diseases</w:t>
      </w:r>
      <w:r w:rsidRPr="000D2FCE">
        <w:t>, 82(1), pp. 81–94. doi:10.1136/ard-2022-223358.</w:t>
      </w:r>
    </w:p>
    <w:p w14:paraId="382A001B" w14:textId="77777777" w:rsidR="007E08F5" w:rsidRDefault="007E08F5" w:rsidP="0030179A">
      <w:r>
        <w:t>Booth, A., Sutton, A., Clowes, M. and Martyn-St James, M. (2021) Systematic Approaches to a Successful Literature Review. 3rd edn. London: SAGE Publications.</w:t>
      </w:r>
    </w:p>
    <w:p w14:paraId="3E52CE1F" w14:textId="77777777" w:rsidR="007E08F5" w:rsidRDefault="007E08F5" w:rsidP="0030179A">
      <w:r>
        <w:t>Bramer, W.M., Giustini, D., de Jonge, G.B., Holland, L. and Bekhuis, T. (2016) ‘De-duplication of database search results for systematic reviews in EndNote’, Journal of the Medical Library Association, 104(3), pp. 240–243. doi:10.3163/1536-5050.104.3.014.</w:t>
      </w:r>
    </w:p>
    <w:p w14:paraId="09BA4B97" w14:textId="77777777" w:rsidR="007E08F5" w:rsidRDefault="007E08F5" w:rsidP="0030179A">
      <w:r>
        <w:t>Braun, V. and Clarke, V. (2021) ‘One size fits all? What counts as quality practice in (reflexive) thematic analysis?’, Qualitative Research in Psychology, 18(3), pp. 328–352. doi:10.1080/14780887.2020.1769238.</w:t>
      </w:r>
    </w:p>
    <w:p w14:paraId="4AF2888B" w14:textId="77777777" w:rsidR="007E08F5" w:rsidRPr="000D2FCE" w:rsidRDefault="007E08F5" w:rsidP="0030179A">
      <w:r w:rsidRPr="000D2FCE">
        <w:t xml:space="preserve">Brkic, A. et al. (2022) ‘Remission or not remission, that’s the question: Shedding light on remission and the impact of objective and subjective measures reflecting disease activity in rheumatoid arthritis’, </w:t>
      </w:r>
      <w:r w:rsidRPr="006304BF">
        <w:rPr>
          <w:i/>
          <w:iCs/>
        </w:rPr>
        <w:t>Rheumatology and Therapy</w:t>
      </w:r>
      <w:r w:rsidRPr="000D2FCE">
        <w:t>, 9(6), pp. 1531–1547. doi:10.1007/s40744-022-00490-5.</w:t>
      </w:r>
    </w:p>
    <w:p w14:paraId="556D082C" w14:textId="77777777" w:rsidR="007E08F5" w:rsidRDefault="007E08F5" w:rsidP="0030179A">
      <w:r>
        <w:t>Byrne, D. (2022) ‘A worked example of Braun and Clarke’s approach to reflexive thematic analysis’, Quality &amp; Quantity, 56, pp. 1391–1412. doi:10.1007/s11135-021-01182-y.</w:t>
      </w:r>
    </w:p>
    <w:p w14:paraId="52DF6B5B" w14:textId="77777777" w:rsidR="007E08F5" w:rsidRDefault="007E08F5" w:rsidP="0030179A">
      <w:r>
        <w:lastRenderedPageBreak/>
        <w:t>Campbell, M., McKenzie, J.E., Sowden, A., Katikireddi, S.V., Brennan, S.E., Ellis, S., Hartmann-Boyce, J., Ryan, R., Shepperd, S., Thomas, J., Welch, V. and Thomson, H. (2020) ‘Synthesis without meta-analysis (SWiM) in systematic reviews: reporting guideline’, BMJ, 368, l6890. doi:10.1136/bmj.l6890.</w:t>
      </w:r>
    </w:p>
    <w:p w14:paraId="6026670F" w14:textId="77777777" w:rsidR="007E08F5" w:rsidRPr="002A4F3E" w:rsidRDefault="007E08F5" w:rsidP="0030179A">
      <w:r w:rsidRPr="002A4F3E">
        <w:t>Carpenter, L., Nikiphorou, E., Kiely, P.D.W., Walsh, D.A., Young, A. and Norton, S. (2020) 'Secular changes in the progression of clinical markers and patient-reported outcomes in early rheumatoid arthritis', Rheumatology, 59(9), pp. 2381-2391. doi: https://doi.org/10.1093/rheumatology/kez635.</w:t>
      </w:r>
    </w:p>
    <w:p w14:paraId="3C4CA4F5" w14:textId="77777777" w:rsidR="007E08F5" w:rsidRPr="002A4F3E" w:rsidRDefault="007E08F5" w:rsidP="0030179A">
      <w:r w:rsidRPr="002A4F3E">
        <w:t>Chilton, F., Bradley, E. and Mitchell, T. (2021) ''Lost time'. Patients with early inflammatory/rheumatoid arthritis and their experiences of delays in Primary Care', Musculoskeletal Care, 19(4), pp. 495-503. doi: https://doi.org/10.1002/msc.1546.</w:t>
      </w:r>
    </w:p>
    <w:p w14:paraId="6361242B" w14:textId="77777777" w:rsidR="007E08F5" w:rsidRPr="000D2FCE" w:rsidRDefault="007E08F5" w:rsidP="0030179A">
      <w:r w:rsidRPr="000D2FCE">
        <w:t xml:space="preserve">Cope, A.P. et al. (2024) ‘Abatacept in individuals at high risk of rheumatoid arthritis (APIPPRA): A randomised, double-blind, multicentre, parallel, placebo-controlled, phase 2b clinical trial’, </w:t>
      </w:r>
      <w:r w:rsidRPr="006304BF">
        <w:rPr>
          <w:i/>
          <w:iCs/>
        </w:rPr>
        <w:t>The Lancet</w:t>
      </w:r>
      <w:r w:rsidRPr="000D2FCE">
        <w:t>, 403(10429), pp. 838–849. doi:10.1016/S0140-6736(23)02649-1.</w:t>
      </w:r>
    </w:p>
    <w:p w14:paraId="20B5654F" w14:textId="77777777" w:rsidR="007E08F5" w:rsidRDefault="007E08F5" w:rsidP="0030179A">
      <w:r>
        <w:t>Critical Appraisal Skills Programme (2024a) CASP checklist: for cohort studies. [online] Available at: https://casp-uk.net/casp-checklists/CASP-checklist-cohort-study-2024.pdf (Accessed: 26 August 2026).</w:t>
      </w:r>
    </w:p>
    <w:p w14:paraId="69FC3973" w14:textId="77777777" w:rsidR="007E08F5" w:rsidRDefault="007E08F5" w:rsidP="0030179A">
      <w:r>
        <w:t>Critical Appraisal Skills Programme (2024b) CASP checklist: for descriptive/cross-sectional studies. [online] Available at: https://casp-uk.net/casp-checklists/CASP-checklist-cross-sectional-study-2024.pdf (Accessed: 26 August 2026).</w:t>
      </w:r>
    </w:p>
    <w:p w14:paraId="0C34E1FF" w14:textId="77777777" w:rsidR="007E08F5" w:rsidRDefault="007E08F5" w:rsidP="0030179A">
      <w:r>
        <w:t>Critical Appraisal Skills Programme (2024c) CASP checklist: for qualitative research. [online] Available at: https://casp-uk.net/casp-checklists/CASP-checklist-qualitative-2024.pdf (Accessed: 26 August 2026).</w:t>
      </w:r>
    </w:p>
    <w:p w14:paraId="63CEB8B8" w14:textId="77777777" w:rsidR="007E08F5" w:rsidRDefault="007E08F5" w:rsidP="0030179A">
      <w:r>
        <w:t>Critical Appraisal Skills Programme (2024d) CASP checklist: for randomised controlled trials (RCTs). [online] Available at: https://casp-uk.net/casp-checklists/CASP-checklist-randomised-controlled-trials-RCT-2024.pdf (Accessed: 26 August 2026).</w:t>
      </w:r>
    </w:p>
    <w:p w14:paraId="0C9156D2" w14:textId="77777777" w:rsidR="007E08F5" w:rsidRPr="002A4F3E" w:rsidRDefault="007E08F5" w:rsidP="0030179A">
      <w:r w:rsidRPr="002A4F3E">
        <w:t>d'Elia, A. et al. (2025) 'Prodromal symptoms of rheumatoid arthritis in a primary care database: variation by ethnicity and socioeconomic status', Rheumatology, 64(3), pp. 1029-1035. doi: https://doi.org/10.1093/rheumatology/keae157.</w:t>
      </w:r>
    </w:p>
    <w:p w14:paraId="3EBC5FF3" w14:textId="77777777" w:rsidR="007E08F5" w:rsidRPr="000D2FCE" w:rsidRDefault="007E08F5" w:rsidP="0030179A">
      <w:r w:rsidRPr="000D2FCE">
        <w:t xml:space="preserve">Di Matteo, A. and Emery, P. (2024) ‘Rheumatoid arthritis: A review of the key clinical features and ongoing challenges of the disease’, </w:t>
      </w:r>
      <w:r w:rsidRPr="006304BF">
        <w:rPr>
          <w:i/>
          <w:iCs/>
        </w:rPr>
        <w:t>Panminerva Medica</w:t>
      </w:r>
      <w:r w:rsidRPr="000D2FCE">
        <w:t>, 66(4), pp. 427–442. doi:10.23736/S0031-0808.24.05272-8.</w:t>
      </w:r>
    </w:p>
    <w:p w14:paraId="5BB9C6D1" w14:textId="77777777" w:rsidR="007E08F5" w:rsidRPr="000D2FCE" w:rsidRDefault="007E08F5" w:rsidP="0030179A">
      <w:r w:rsidRPr="000D2FCE">
        <w:lastRenderedPageBreak/>
        <w:t xml:space="preserve">Di Matteo, A. et al. (2023) ‘Rheumatoid arthritis’, </w:t>
      </w:r>
      <w:r w:rsidRPr="006304BF">
        <w:rPr>
          <w:i/>
          <w:iCs/>
        </w:rPr>
        <w:t>The Lancet</w:t>
      </w:r>
      <w:r w:rsidRPr="000D2FCE">
        <w:t>, 402(10416), pp. 2019–2033. doi:10.1016/S0140-6736(23)01525-8.</w:t>
      </w:r>
    </w:p>
    <w:p w14:paraId="010D1C17" w14:textId="77777777" w:rsidR="007E08F5" w:rsidRPr="000D2FCE" w:rsidRDefault="007E08F5" w:rsidP="0030179A">
      <w:r w:rsidRPr="000D2FCE">
        <w:t xml:space="preserve">Doumen, M. et al. (2023) ‘Psychosocial burden predicts sustained remission in early rheumatoid arthritis: Unraveling the complex interplay of well-being and disease activity’, </w:t>
      </w:r>
      <w:r w:rsidRPr="006304BF">
        <w:rPr>
          <w:i/>
          <w:iCs/>
        </w:rPr>
        <w:t>Arthritis Care &amp; Research</w:t>
      </w:r>
      <w:r w:rsidRPr="000D2FCE">
        <w:t>, 75(4), pp. 758–767. doi:10.1002/acr.24847.</w:t>
      </w:r>
    </w:p>
    <w:p w14:paraId="6EFB61DD" w14:textId="77777777" w:rsidR="007E08F5" w:rsidRDefault="007E08F5" w:rsidP="0030179A">
      <w:r>
        <w:t>Everson-Hock, E., James, M.M.-S., Wailoo, A., Scott, D., Stevenson, M., Rawdin, A., Simpson, E., Dracup, N. and Young, A. (2021). Treat-to-Target Strategies in Rheumatoid Arthritis: a Systematic Review and Cost-Effectiveness Analysis. SN Comprehensive Clinical Medicine, 3(3), pp.838–854. doi:https://doi.org/10.1007/s42399-021-00727-4.</w:t>
      </w:r>
    </w:p>
    <w:p w14:paraId="3CE64E60" w14:textId="77777777" w:rsidR="007E08F5" w:rsidRDefault="007E08F5" w:rsidP="0030179A">
      <w:r>
        <w:t>Feng, J., Yu, L., Fang, Y., Zhang, X., Li, S. and Dou, L. (2024). Correlation between disease activity and patient-reported health-related quality of life in rheumatoid arthritis: a cross-sectional study. BMJ Open, 14(5), pp.e082020–e082020. doi:https://doi.org/10.1136/bmjopen-2023-082020.</w:t>
      </w:r>
    </w:p>
    <w:p w14:paraId="6A599E40" w14:textId="77777777" w:rsidR="007E08F5" w:rsidRDefault="007E08F5" w:rsidP="0030179A">
      <w:r>
        <w:t>Fraenkel, L., Bathon, J.M., England, B.R., St.Clair, E.W., Arayssi, T., Carandang, K., Deane, K.D., Genovese, M., Huston, K.K., Kerr, G., Kremer, J., Nakamura, M.C., Russell, L.A., Singh, J.A., Smith, B.J., Sparks, J.A., Venkatachalam, S., Weinblatt, M.E., Al-Gibbawi, M. and Baker, J.F. (2021). 2021 American College of Rheumatology Guideline for the Treatment of Rheumatoid Arthritis. Arthritis Care &amp; Research, 73(7), pp.924–939. doi:https://doi.org/10.1002/acr.24596.</w:t>
      </w:r>
    </w:p>
    <w:p w14:paraId="0B18F43D" w14:textId="77777777" w:rsidR="007E08F5" w:rsidRDefault="007E08F5" w:rsidP="0030179A">
      <w:r>
        <w:t>Galloway, J., Edwards, J., Bhagat, S., Parker, B., Tan, A.L., Maxwell, J., Wallington, M., Blanthorn-Hazell, S., Bellamy, C. and Cole, Z. (2021). Direct healthcare resource utilisation, health-related quality of life, and work productivity in patients with moderate rheumatoid arthritis: an observational study. BMC Musculoskeletal Disorders, 22(1). doi:https://doi.org/10.1186/s12891-021-04110-1.</w:t>
      </w:r>
    </w:p>
    <w:p w14:paraId="575E8CB8" w14:textId="77777777" w:rsidR="007E08F5" w:rsidRPr="002A4F3E" w:rsidRDefault="007E08F5" w:rsidP="0030179A">
      <w:r w:rsidRPr="002A4F3E">
        <w:t>Gehringer, C.K. et al. (2024) 'Developing and externally validating multinomial prediction models for methotrexate treatment outcomes in patients with rheumatoid arthritis: results from an international collaboration', Journal of Clinical Epidemiology, 166, 111239. doi: https://doi.org/10.1016/j.jclinepi.2023.111239.</w:t>
      </w:r>
    </w:p>
    <w:p w14:paraId="61495066" w14:textId="77777777" w:rsidR="007E08F5" w:rsidRPr="000D2FCE" w:rsidRDefault="007E08F5" w:rsidP="0030179A">
      <w:r w:rsidRPr="000D2FCE">
        <w:t xml:space="preserve">Germonpré, S., Mulier, S., Falzon, L., Boonen, A. and van Onna, M. (2023) ‘Prevalence of frailty and pre-frailty in patients with rheumatoid arthritis: A systematic literature review and meta-analysis’, </w:t>
      </w:r>
      <w:r w:rsidRPr="006304BF">
        <w:rPr>
          <w:i/>
          <w:iCs/>
        </w:rPr>
        <w:t>Clinical and Experimental Rheumatology</w:t>
      </w:r>
      <w:r w:rsidRPr="000D2FCE">
        <w:t>, 41(7), pp. 1443–1450. doi:10.55563/clinexprheumatol/1kr7bs.</w:t>
      </w:r>
    </w:p>
    <w:p w14:paraId="549E45ED" w14:textId="77777777" w:rsidR="007E08F5" w:rsidRDefault="007E08F5" w:rsidP="0030179A">
      <w:r>
        <w:t>Gusenbauer, M. and Haddaway, N.R. (2020) ‘Which academic search systems are suitable for systematic reviews or meta-analyses? Evaluating retrieval qualities of Google Scholar, PubMed, and 26 other resources’, Research Synthesis Methods, 11(2), pp. 181–217. doi:10.1002/jrsm.1378.</w:t>
      </w:r>
    </w:p>
    <w:p w14:paraId="56ED6C03" w14:textId="77777777" w:rsidR="007E08F5" w:rsidRPr="002A4F3E" w:rsidRDefault="007E08F5" w:rsidP="0030179A">
      <w:r w:rsidRPr="002A4F3E">
        <w:lastRenderedPageBreak/>
        <w:t>Gwinnutt, J.M. et al. (2020b) 'Predictors of presenteeism, absenteeism and job loss in patients commencing methotrexate or biologic therapy for rheumatoid arthritis', Rheumatology, 59(10), pp. 2908-2919. doi: https://doi.org/10.1093/rheumatology/keaa027.</w:t>
      </w:r>
    </w:p>
    <w:p w14:paraId="6D55A3E7" w14:textId="77777777" w:rsidR="007E08F5" w:rsidRPr="002A4F3E" w:rsidRDefault="007E08F5" w:rsidP="0030179A">
      <w:r w:rsidRPr="002A4F3E">
        <w:t>Gwinnutt, J.M. et al. (2021a) 'Changes in the illness perceptions of patients with rheumatoid arthritis over the first year of methotrexate therapy', Rheumatology, 60(5), pp. 2355-2365. doi: https://doi.org/10.1093/rheumatology/keaa615.</w:t>
      </w:r>
    </w:p>
    <w:p w14:paraId="097DB594" w14:textId="77777777" w:rsidR="007E08F5" w:rsidRPr="002A4F3E" w:rsidRDefault="007E08F5" w:rsidP="0030179A">
      <w:r w:rsidRPr="002A4F3E">
        <w:t>Gwinnutt, J.M. et al. (2021b) 'Do people with rheumatoid arthritis maintain their physical activity level at treatment onset over the first year of methotrexate therapy?', Rheumatology, 60(10), pp. 4633-4642. doi: https://doi.org/10.1093/rheumatology/keab060.</w:t>
      </w:r>
    </w:p>
    <w:p w14:paraId="36ABAE88" w14:textId="77777777" w:rsidR="007E08F5" w:rsidRPr="002A4F3E" w:rsidRDefault="007E08F5" w:rsidP="0030179A">
      <w:r w:rsidRPr="002A4F3E">
        <w:t>Gwinnutt, J.M., Hyrich, K.L., Lunt, M., RAMS Co-Investigators, Barton, A. and Verstappen, S.M.M. (2020a) 'Long-term outcomes of patients who rate symptoms of rheumatoid arthritis as satisfactory', Rheumatology, 59(8), pp. 1853-1861. doi: https://doi.org/10.1093/rheumatology/kez497.</w:t>
      </w:r>
    </w:p>
    <w:p w14:paraId="735360FC" w14:textId="77777777" w:rsidR="007E08F5" w:rsidRPr="002A4F3E" w:rsidRDefault="007E08F5" w:rsidP="0030179A">
      <w:r w:rsidRPr="002A4F3E">
        <w:t>Halls, S., Dures, E., Kirwan, J.R., Pollock, J., Baker, G., Edmunds, A. and Hewlett, S. (2018) 'Development and testing of candidate items for inclusion in a new rheumatoid arthritis stiffness patient-reported outcome measure', Rheumatology, 57(2), pp. 263-272. doi: https://doi.org/10.1093/rheumatology/kex085.</w:t>
      </w:r>
    </w:p>
    <w:p w14:paraId="60BC8B9F" w14:textId="77777777" w:rsidR="007E08F5" w:rsidRPr="002A4F3E" w:rsidRDefault="007E08F5" w:rsidP="0030179A">
      <w:r w:rsidRPr="002A4F3E">
        <w:t>Hamann, P.D.H. et al. (2020) 'Early response to anti-TNF predicts long-term outcomes including sustained remission: an analysis of the BSRBR-RA', Rheumatology, 59(7), pp. 1709-1714. doi: https://doi.org/10.1093/rheumatology/kez518.</w:t>
      </w:r>
    </w:p>
    <w:p w14:paraId="3C453824" w14:textId="77777777" w:rsidR="007E08F5" w:rsidRDefault="007E08F5" w:rsidP="0030179A">
      <w:r>
        <w:t>Hameed, M., Exarchou, S., Eberhard, A., Sharma, A., Bergström, U., Cagnotto, G., Einarsson, J.T. and Turesson, C. (2024). Predictors at diagnosis for start of biologic disease-modifying antirheumatic drugs in patients with early rheumatoid arthritis: a cohort study. BMJ Open, 14(2), p.e076131. doi:https://doi.org/10.1136/bmjopen-2023-076131.</w:t>
      </w:r>
    </w:p>
    <w:p w14:paraId="46878DB3" w14:textId="77777777" w:rsidR="007E08F5" w:rsidRDefault="007E08F5" w:rsidP="0030179A">
      <w:r>
        <w:t>Hanlon, P., Morton, F., Siebert, S., Jani, B.D., Nicholl, B.I., Lewsey, J., McAllister, D. and Mair, F.S. (2022). Frailty in rheumatoid arthritis and its relationship with disease activity, hospitalisation and mortality: a longitudinal analysis of the Scottish Early Rheumatoid Arthritis cohort and UK Biobank. RMD Open, 8(1), pp.e002111–e002111. doi:https://doi.org/10.1136/rmdopen-2021-002111.</w:t>
      </w:r>
    </w:p>
    <w:p w14:paraId="5953F6F3" w14:textId="77777777" w:rsidR="007E08F5" w:rsidRPr="002A4F3E" w:rsidRDefault="007E08F5" w:rsidP="0030179A">
      <w:r w:rsidRPr="002A4F3E">
        <w:t>Hawley, S. et al. (2019) 'Impact of TNF inhibitor therapy on joint replacement rates in rheumatoid arthritis: a matched cohort analysis of BSRBR-RA UK registry data', Rheumatology, 58(7), pp. 1168-1175. doi: https://doi.org/10.1093/rheumatology/key424.</w:t>
      </w:r>
    </w:p>
    <w:p w14:paraId="0535A9D7" w14:textId="77777777" w:rsidR="007E08F5" w:rsidRPr="002A4F3E" w:rsidRDefault="007E08F5" w:rsidP="0030179A">
      <w:r w:rsidRPr="002A4F3E">
        <w:lastRenderedPageBreak/>
        <w:t>Healthcare Quality Improvement Partnership (HQIP) (2021) National Early Inflammatory Arthritis Audit - Second Annual Report. Available at: https://www.hqip.org.uk/report/national-early-inflammatory-arthritis-audit-second-annual-report/ (Accessed: 11 September 2026).</w:t>
      </w:r>
    </w:p>
    <w:p w14:paraId="76C13D3F" w14:textId="77777777" w:rsidR="007E08F5" w:rsidRPr="002A4F3E" w:rsidRDefault="007E08F5" w:rsidP="0030179A">
      <w:r w:rsidRPr="002A4F3E">
        <w:t>Healthcare Quality Improvement Partnership (HQIP) (2022) National Early Inflammatory Arthritis Audit: Year 4 Annual Report. Available at: https://www.hqip.org.uk/report/national-early-inflammatory-arthritis-audit-year-4-annual-report/ (Accessed: 11 September 2026).</w:t>
      </w:r>
    </w:p>
    <w:p w14:paraId="6E57972A" w14:textId="77777777" w:rsidR="007E08F5" w:rsidRPr="002A4F3E" w:rsidRDefault="007E08F5" w:rsidP="0030179A">
      <w:r w:rsidRPr="002A4F3E">
        <w:t>Healthcare Quality Improvement Partnership (HQIP) (2024) Early Inflammatory Arthritis 2024 Report: State of the Nation Summary Report. Available at: https://www.hqip.org.uk/resource/neiaa-sotn-2024/ (Accessed: 11 September 2026).</w:t>
      </w:r>
    </w:p>
    <w:p w14:paraId="314F1B12" w14:textId="77777777" w:rsidR="007E08F5" w:rsidRPr="002A4F3E" w:rsidRDefault="007E08F5" w:rsidP="0030179A">
      <w:r w:rsidRPr="002A4F3E">
        <w:t>Healthcare Quality Improvement Partnership (HQIP) (2025) Rheumatic Diseases - State of the Nation 2025. Available at: https://www.hqip.org.uk/report/583-neiaa/ (Accessed: 11 September 2026).</w:t>
      </w:r>
    </w:p>
    <w:p w14:paraId="42CE6246" w14:textId="77777777" w:rsidR="007E08F5" w:rsidRDefault="007E08F5" w:rsidP="0030179A">
      <w:r>
        <w:t>Higgins, J.P.T., Thomas, J., Chandler, J., Cumpston, M., Li, T., Page, M.J. and Welch, V.A. (eds.) (2024) Cochrane Handbook for Systematic Reviews of Interventions, version 6.5. Cochrane.</w:t>
      </w:r>
    </w:p>
    <w:p w14:paraId="029CDE04" w14:textId="77777777" w:rsidR="007E08F5" w:rsidRPr="000D2FCE" w:rsidRDefault="007E08F5" w:rsidP="0030179A">
      <w:r w:rsidRPr="000D2FCE">
        <w:t xml:space="preserve">Hinch, R. and Sirois, F.M. (2024) ‘A meta-analysis of coping strategies and psychological distress in rheumatoid arthritis’, </w:t>
      </w:r>
      <w:r w:rsidRPr="006304BF">
        <w:rPr>
          <w:i/>
          <w:iCs/>
        </w:rPr>
        <w:t>British Journal of Health Psychology</w:t>
      </w:r>
      <w:r w:rsidRPr="000D2FCE">
        <w:t>, 29(3), pp. 771–787. doi:10.1111/bjhp.12726.</w:t>
      </w:r>
    </w:p>
    <w:p w14:paraId="56FDF6F9" w14:textId="77777777" w:rsidR="007E08F5" w:rsidRPr="002A4F3E" w:rsidRDefault="007E08F5" w:rsidP="0030179A">
      <w:r w:rsidRPr="002A4F3E">
        <w:t>Holroyd, C.R. et al. (2019) 'The British Society for Rheumatology biologic DMARD safety guidelines in inflammatory arthritis', Rheumatology, 58(2), pp. e3-e42. doi: https://doi.org/10.1093/rheumatology/key208.</w:t>
      </w:r>
    </w:p>
    <w:p w14:paraId="67F89F26" w14:textId="77777777" w:rsidR="007E08F5" w:rsidRPr="000D2FCE" w:rsidRDefault="007E08F5" w:rsidP="0030179A">
      <w:r w:rsidRPr="000D2FCE">
        <w:t xml:space="preserve">Holten, K. et al. (2022) ‘Fatigue in patients with early rheumatoid arthritis undergoing treat-to-target therapy: Predictors and response to treatment’, </w:t>
      </w:r>
      <w:r w:rsidRPr="006304BF">
        <w:rPr>
          <w:i/>
          <w:iCs/>
        </w:rPr>
        <w:t>Annals of the Rheumatic Diseases</w:t>
      </w:r>
      <w:r w:rsidRPr="000D2FCE">
        <w:t>, 81(3), pp. 344–350. doi:10.1136/annrheumdis-2021-220750.</w:t>
      </w:r>
    </w:p>
    <w:p w14:paraId="47FE6CD7" w14:textId="77777777" w:rsidR="007E08F5" w:rsidRPr="002A4F3E" w:rsidRDefault="007E08F5" w:rsidP="0030179A">
      <w:r w:rsidRPr="002A4F3E">
        <w:t>Hope, H.F. et al. (2020) 'The predictors of and reasons for non-adherence in an observational cohort of patients with rheumatoid arthritis commencing methotrexate', Rheumatology, 59(1), pp. 213-223. doi: https://doi.org/10.1093/rheumatology/kez274.</w:t>
      </w:r>
    </w:p>
    <w:p w14:paraId="06A24D80" w14:textId="77777777" w:rsidR="007E08F5" w:rsidRDefault="007E08F5" w:rsidP="0030179A">
      <w:r>
        <w:t>Husni, E. and Karpouzas, G.A. (2023). Cardiovascular Complications of Chronic Rheumatic Diseases, an Issue of Rheumatic Disease Clinics of North America, E-Book. Elsevier Health Sciences.</w:t>
      </w:r>
    </w:p>
    <w:p w14:paraId="1B83CF5D" w14:textId="77777777" w:rsidR="007E08F5" w:rsidRPr="002A4F3E" w:rsidRDefault="007E08F5" w:rsidP="0030179A">
      <w:r w:rsidRPr="002A4F3E">
        <w:t>Ifesemen, O.S. et al. (2022) 'Fatigue in early rheumatoid arthritis: data from the Early Rheumatoid Arthritis Network', Rheumatology, 61(9), pp. 3737-3745. doi: https://doi.org/10.1093/rheumatology/keab947.</w:t>
      </w:r>
    </w:p>
    <w:p w14:paraId="2AB6EE8A" w14:textId="77777777" w:rsidR="007E08F5" w:rsidRPr="000D2FCE" w:rsidRDefault="007E08F5" w:rsidP="0030179A">
      <w:r w:rsidRPr="000D2FCE">
        <w:lastRenderedPageBreak/>
        <w:t xml:space="preserve">Janke, K. et al. (2022) ‘A systematic comparison of different composite measures for determining treatment effects on low disease activity and remission in rheumatoid arthritis’, </w:t>
      </w:r>
      <w:r w:rsidRPr="006304BF">
        <w:rPr>
          <w:i/>
          <w:iCs/>
        </w:rPr>
        <w:t>BMC Rheumatology</w:t>
      </w:r>
      <w:r w:rsidRPr="000D2FCE">
        <w:t>, 6, 82. doi:10.1186/s41927-022-00314-7.</w:t>
      </w:r>
    </w:p>
    <w:p w14:paraId="46E9F01C" w14:textId="77777777" w:rsidR="007E08F5" w:rsidRPr="002A4F3E" w:rsidRDefault="007E08F5" w:rsidP="0030179A">
      <w:r w:rsidRPr="002A4F3E">
        <w:t>Kearsley-Fleet, L. et al. (2018) 'Biologic refractory disease in rheumatoid arthritis: results from the British Society for Rheumatology Biologics Register for Rheumatoid Arthritis', Annals of the Rheumatic Diseases, 77(10), pp. 1405-1412. doi: https://doi.org/10.1136/annrheumdis-2018-213378.</w:t>
      </w:r>
    </w:p>
    <w:p w14:paraId="17AD430F" w14:textId="77777777" w:rsidR="007E08F5" w:rsidRPr="002A4F3E" w:rsidRDefault="007E08F5" w:rsidP="0030179A">
      <w:r w:rsidRPr="002A4F3E">
        <w:t>Kearsley-Fleet, L. et al. (2023) 'Etanercept originator versus etanercept biosimilar for the treatment of rheumatoid arthritis as a first biologic: results from the BSRBR-RA', Rheumatology, 62(12), pp. 3849-3857. doi: https://doi.org/10.1093/rheumatology/kead127.</w:t>
      </w:r>
    </w:p>
    <w:p w14:paraId="6CF2449A" w14:textId="77777777" w:rsidR="007E08F5" w:rsidRPr="000D2FCE" w:rsidRDefault="007E08F5" w:rsidP="0030179A">
      <w:r w:rsidRPr="000D2FCE">
        <w:t xml:space="preserve">Kerschbaumer, A. et al. (2023) ‘Efficacy of synthetic and biological DMARDs: A systematic literature review informing the 2022 update of the EULAR recommendations for the management of rheumatoid arthritis’, </w:t>
      </w:r>
      <w:r w:rsidRPr="006304BF">
        <w:rPr>
          <w:i/>
          <w:iCs/>
        </w:rPr>
        <w:t>Annals of the Rheumatic Diseases</w:t>
      </w:r>
      <w:r w:rsidRPr="000D2FCE">
        <w:t>, 82(1), pp. 95–106. doi:10.1136/ard-2022-223365.</w:t>
      </w:r>
    </w:p>
    <w:p w14:paraId="253EC3F4" w14:textId="77777777" w:rsidR="007E08F5" w:rsidRPr="002A4F3E" w:rsidRDefault="007E08F5" w:rsidP="0030179A">
      <w:r w:rsidRPr="002A4F3E">
        <w:t>Kiely, P. et al. (2019) 'Is incident rheumatoid arthritis interstitial lung disease associated with methotrexate treatment? Results from a multivariate analysis in the ERAS and ERAN inception cohorts', BMJ Open, 9(5), e028466. doi: https://doi.org/10.1136/bmjopen-2018-028466.</w:t>
      </w:r>
    </w:p>
    <w:p w14:paraId="73F032CA" w14:textId="77777777" w:rsidR="007E08F5" w:rsidRPr="000D2FCE" w:rsidRDefault="007E08F5" w:rsidP="0030179A">
      <w:r w:rsidRPr="000D2FCE">
        <w:t xml:space="preserve">Kirkeskov, L. and Bray, K. (2023) ‘Employment of patients with rheumatoid arthritis: A systematic review and meta-analysis’, </w:t>
      </w:r>
      <w:r w:rsidRPr="006304BF">
        <w:rPr>
          <w:i/>
          <w:iCs/>
        </w:rPr>
        <w:t>BMC Rheumatology</w:t>
      </w:r>
      <w:r w:rsidRPr="000D2FCE">
        <w:t>, 7, 41. doi:10.1186/s41927-023-00365-4.</w:t>
      </w:r>
    </w:p>
    <w:p w14:paraId="60D976B4" w14:textId="77777777" w:rsidR="007E08F5" w:rsidRPr="002A4F3E" w:rsidRDefault="007E08F5" w:rsidP="0030179A">
      <w:r w:rsidRPr="002A4F3E">
        <w:t>Kurdi, A. et al. (2025) 'Prescribing pattern of disease-modifying antirheumatic drugs in Scotland (2019-2023): a population-based retrospective cohort study', Expert Review of Clinical Pharmacology, 18(7), pp. 519-530. doi: https://doi.org/10.1080/17512433.2025.2544038.</w:t>
      </w:r>
    </w:p>
    <w:p w14:paraId="11ABB308" w14:textId="77777777" w:rsidR="007E08F5" w:rsidRDefault="007E08F5" w:rsidP="0030179A">
      <w:r>
        <w:t>Lampa, J., Nordström, D., van Vollenhoven, R., Lund Hetland, M., Haavardsholm, E.A., Østergaard, M., Rudin, A., Heiberg, M.S., Nurmohamed, M., Gudbjornsson, B., Lend, K., Hørslev-Petersen, K., Sokka-Isler, T., Gröndal, G., Krabbe, S., Lindqvist, J., Gjertsson, I., Glinatsi, D., Kapetanovic, M. and Gentline, C. (2026). Certolizumab pegol, abatacept, tocilizumab or active conventional therapy in early rheumatoid arthritis: 48-week patient-reported outcomes from the NORD-STAR trial. The Lancet Rheumatology, 8(4), pp.e285–e294. doi:https://doi.org/10.1016/s2665-9913(26)00007-x.</w:t>
      </w:r>
    </w:p>
    <w:p w14:paraId="02FFF301" w14:textId="77777777" w:rsidR="007E08F5" w:rsidRDefault="007E08F5" w:rsidP="0030179A">
      <w:r>
        <w:t>Lefebvre, C., Glanville, J., Briscoe, S., Featherstone, R., Littlewood, A., Metzendorf, M.-I., Noel-Storr, A., Paynter, R., Rader, T., Thomas, J. and Wieland, L.S. (2024) ‘Technical Supplement to Chapter 4: Searching for and selecting studies’, in Higgins, J.P.T. et al. (eds.) Cochrane Handbook for Systematic Reviews of Interventions, version 6.5. Cochrane.</w:t>
      </w:r>
    </w:p>
    <w:p w14:paraId="301A3093" w14:textId="77777777" w:rsidR="007E08F5" w:rsidRPr="000D2FCE" w:rsidRDefault="007E08F5" w:rsidP="0030179A">
      <w:r w:rsidRPr="000D2FCE">
        <w:lastRenderedPageBreak/>
        <w:t xml:space="preserve">Mankia, K. et al. (2021) ‘A core set of risk factors in individuals at risk of rheumatoid arthritis: A systematic literature review informing the EULAR points to consider’, </w:t>
      </w:r>
      <w:r w:rsidRPr="006304BF">
        <w:rPr>
          <w:i/>
          <w:iCs/>
        </w:rPr>
        <w:t>RMD Open</w:t>
      </w:r>
      <w:r w:rsidRPr="000D2FCE">
        <w:t>, 7(3), e001768. doi:10.1136/rmdopen-2021-001768.</w:t>
      </w:r>
    </w:p>
    <w:p w14:paraId="77C64E9E" w14:textId="77777777" w:rsidR="007E08F5" w:rsidRPr="000D2FCE" w:rsidRDefault="007E08F5" w:rsidP="0030179A">
      <w:r w:rsidRPr="000D2FCE">
        <w:t xml:space="preserve">Marques, A. et al. (2021) ‘Effectiveness of self-management interventions in inflammatory arthritis: A systematic review informing the 2021 EULAR recommendations’, </w:t>
      </w:r>
      <w:r w:rsidRPr="006304BF">
        <w:rPr>
          <w:i/>
          <w:iCs/>
        </w:rPr>
        <w:t>RMD Open</w:t>
      </w:r>
      <w:r w:rsidRPr="000D2FCE">
        <w:t>, 7(2), e001647. doi:10.1136/rmdopen-2021-001647.</w:t>
      </w:r>
    </w:p>
    <w:p w14:paraId="0DC304BA" w14:textId="77777777" w:rsidR="007E08F5" w:rsidRPr="000D2FCE" w:rsidRDefault="007E08F5" w:rsidP="0030179A">
      <w:r w:rsidRPr="006304BF">
        <w:rPr>
          <w:lang w:val="en-GB"/>
        </w:rPr>
        <w:t xml:space="preserve">McLeroy, K.R., Bibeau, D., Steckler, A. and Glanz, K. (1988) ‘An ecological perspective on health promotion programs’, </w:t>
      </w:r>
      <w:r w:rsidRPr="006304BF">
        <w:rPr>
          <w:i/>
          <w:lang w:val="en-GB"/>
        </w:rPr>
        <w:t>Health Education Quarterly</w:t>
      </w:r>
      <w:r w:rsidRPr="006304BF">
        <w:rPr>
          <w:lang w:val="en-GB"/>
        </w:rPr>
        <w:t>, 15(4), pp. 351–377. doi:10.1177/109019818801500401.</w:t>
      </w:r>
    </w:p>
    <w:p w14:paraId="0D991AD5" w14:textId="77777777" w:rsidR="007E08F5" w:rsidRPr="000D2FCE" w:rsidRDefault="007E08F5" w:rsidP="0030179A">
      <w:r w:rsidRPr="000D2FCE">
        <w:t xml:space="preserve">Meade, T. et al. (2024) ‘Prevalence, severity, and measures of anxiety in rheumatoid arthritis: A systematic review’, </w:t>
      </w:r>
      <w:r w:rsidRPr="006304BF">
        <w:rPr>
          <w:i/>
          <w:iCs/>
        </w:rPr>
        <w:t>Arthritis Care &amp; Research</w:t>
      </w:r>
      <w:r w:rsidRPr="000D2FCE">
        <w:t>, 76(2), pp. 171–180. doi:10.1002/acr.25245.</w:t>
      </w:r>
    </w:p>
    <w:p w14:paraId="45A706E4" w14:textId="77777777" w:rsidR="007E08F5" w:rsidRDefault="007E08F5" w:rsidP="0030179A">
      <w:r>
        <w:t>Morton, F.R. et al. (2023) ‘Association between risk, duration and cause of hospitalisations in people with rheumatoid arthritis and multimorbidity in the UK Biobank and Scottish Early Rheumatoid Arthritis cohorts’, Seminars in Arthritis and Rheumatism, 58, 152130. doi:10.1016/j.semarthrit.2022.152130.</w:t>
      </w:r>
    </w:p>
    <w:p w14:paraId="33C0246F" w14:textId="77777777" w:rsidR="007E08F5" w:rsidRPr="002A4F3E" w:rsidRDefault="007E08F5" w:rsidP="0030179A">
      <w:r w:rsidRPr="002A4F3E">
        <w:t>National Institute for Health and Care Excellence (NICE) (2018) Rheumatoid arthritis in adults: management. NICE guideline NG100. Published 11 July 2018; updated 12 October 2020. Available at: https://www.nice.org.uk/guidance/ng100 (Accessed: 11 September 2026).</w:t>
      </w:r>
    </w:p>
    <w:p w14:paraId="6D42745D" w14:textId="77777777" w:rsidR="007E08F5" w:rsidRPr="000D2FCE" w:rsidRDefault="007E08F5" w:rsidP="0030179A">
      <w:r w:rsidRPr="000D2FCE">
        <w:t xml:space="preserve">Nikiphorou, E. et al. (2021) ‘2021 EULAR recommendations for the implementation of self-management strategies in patients with inflammatory arthritis’, </w:t>
      </w:r>
      <w:r w:rsidRPr="006304BF">
        <w:rPr>
          <w:i/>
          <w:iCs/>
        </w:rPr>
        <w:t>Annals of the Rheumatic Diseases</w:t>
      </w:r>
      <w:r w:rsidRPr="000D2FCE">
        <w:t>, 80(10), pp. 1278–1285. doi:10.1136/annrheumdis-2021-220249.</w:t>
      </w:r>
    </w:p>
    <w:p w14:paraId="2976FCE9" w14:textId="77777777" w:rsidR="007E08F5" w:rsidRDefault="007E08F5" w:rsidP="0030179A">
      <w:r>
        <w:t>Page, M.J. et al. (2021a) ‘The PRISMA 2020 statement: an updated guideline for reporting systematic reviews’, BMJ, 372, n71. doi:10.1136/bmj.n71.</w:t>
      </w:r>
    </w:p>
    <w:p w14:paraId="54D14A7D" w14:textId="77777777" w:rsidR="007E08F5" w:rsidRDefault="007E08F5" w:rsidP="0030179A">
      <w:r>
        <w:t>Page, M.J. et al. (2021b) ‘PRISMA 2020 explanation and elaboration: updated guidance and exemplars for reporting systematic reviews’, BMJ, 372, n160. doi:10.1136/bmj.n160.</w:t>
      </w:r>
    </w:p>
    <w:p w14:paraId="7C238110" w14:textId="77777777" w:rsidR="007E08F5" w:rsidRPr="000D2FCE" w:rsidRDefault="007E08F5" w:rsidP="0030179A">
      <w:r w:rsidRPr="000D2FCE">
        <w:t xml:space="preserve">Petrelli, F., Mariani, F.M., Alunno, A. and Puxeddu, I. (2022) ‘Pathogenesis of rheumatoid arthritis: One year in review 2022’, </w:t>
      </w:r>
      <w:r w:rsidRPr="006304BF">
        <w:rPr>
          <w:i/>
          <w:iCs/>
        </w:rPr>
        <w:t>Clinical and Experimental Rheumatology</w:t>
      </w:r>
      <w:r w:rsidRPr="000D2FCE">
        <w:t>, 40(3), pp. 475–482. doi:10.55563/clinexprheumatol/l9lyen.</w:t>
      </w:r>
    </w:p>
    <w:p w14:paraId="791B32FA" w14:textId="77777777" w:rsidR="007E08F5" w:rsidRPr="002A4F3E" w:rsidRDefault="007E08F5" w:rsidP="0030179A">
      <w:r w:rsidRPr="002A4F3E">
        <w:t>Pickles, T. et al. (2025) 'Patient Reported Outcome Measures for Rheumatoid Arthritis Disease Activity: Rasch measurement theory to identify items and domains', Rheumatology, 64(9), pp. 4902-4912. doi: https://doi.org/10.1093/rheumatology/keaf189.</w:t>
      </w:r>
    </w:p>
    <w:p w14:paraId="237F9DE1" w14:textId="77777777" w:rsidR="007E08F5" w:rsidRDefault="007E08F5" w:rsidP="0030179A">
      <w:r>
        <w:lastRenderedPageBreak/>
        <w:t>Radu, A.F. and Bungau, S.G. (2021). Management of Rheumatoid Arthritis: an Overview. Cells, 10(11), p.2857. doi:https://doi.org/10.3390/cells10112857.</w:t>
      </w:r>
    </w:p>
    <w:p w14:paraId="71D87A5B" w14:textId="77777777" w:rsidR="007E08F5" w:rsidRPr="000D2FCE" w:rsidRDefault="007E08F5" w:rsidP="0030179A">
      <w:r w:rsidRPr="000D2FCE">
        <w:t xml:space="preserve">Rech, J. et al. (2024) ‘Abatacept inhibits inflammation and onset of rheumatoid arthritis in individuals at high risk (ARIAA): A randomised, international, multicentre, double-blind, placebo-controlled trial’, </w:t>
      </w:r>
      <w:r w:rsidRPr="006304BF">
        <w:rPr>
          <w:i/>
          <w:iCs/>
        </w:rPr>
        <w:t>The Lancet</w:t>
      </w:r>
      <w:r w:rsidRPr="000D2FCE">
        <w:t>, 403(10429), pp. 850–859. doi:10.1016/S0140-6736(23)02650-8.</w:t>
      </w:r>
    </w:p>
    <w:p w14:paraId="18DAE90D" w14:textId="77777777" w:rsidR="007E08F5" w:rsidRDefault="007E08F5" w:rsidP="0030179A">
      <w:r>
        <w:t>Rethlefsen, M.L. et al. (2021) ‘PRISMA-S: an extension to the PRISMA Statement for reporting literature searches in systematic reviews’, Systematic Reviews, 10, 39. doi:10.1186/s13643-020-01542-z.</w:t>
      </w:r>
    </w:p>
    <w:p w14:paraId="212B5218" w14:textId="77777777" w:rsidR="007E08F5" w:rsidRPr="000D2FCE" w:rsidRDefault="007E08F5" w:rsidP="0030179A">
      <w:r w:rsidRPr="000D2FCE">
        <w:t xml:space="preserve">Roodenrijs, N.M.T. et al. (2021a) ‘Diagnostic issues in difficult-to-treat rheumatoid arthritis: A systematic literature review informing the EULAR recommendations’, </w:t>
      </w:r>
      <w:r w:rsidRPr="006304BF">
        <w:rPr>
          <w:i/>
          <w:iCs/>
        </w:rPr>
        <w:t>RMD Open</w:t>
      </w:r>
      <w:r w:rsidRPr="000D2FCE">
        <w:t>, 7(1), e001511. doi:10.1136/rmdopen-2020-001511.</w:t>
      </w:r>
    </w:p>
    <w:p w14:paraId="15F9294E" w14:textId="77777777" w:rsidR="007E08F5" w:rsidRPr="000D2FCE" w:rsidRDefault="007E08F5" w:rsidP="0030179A">
      <w:r w:rsidRPr="000D2FCE">
        <w:t xml:space="preserve">Roodenrijs, N.M.T. et al. (2021b) ‘Pharmacological and non-pharmacological therapeutic strategies in difficult-to-treat rheumatoid arthritis: A systematic literature review informing the EULAR recommendations’, </w:t>
      </w:r>
      <w:r w:rsidRPr="006304BF">
        <w:rPr>
          <w:i/>
          <w:iCs/>
        </w:rPr>
        <w:t>RMD Open</w:t>
      </w:r>
      <w:r w:rsidRPr="000D2FCE">
        <w:t>, 7(1), e001512. doi:10.1136/rmdopen-2020-001512.</w:t>
      </w:r>
    </w:p>
    <w:p w14:paraId="12B24CDC" w14:textId="77777777" w:rsidR="007E08F5" w:rsidRPr="000D2FCE" w:rsidRDefault="007E08F5" w:rsidP="0030179A">
      <w:r w:rsidRPr="000D2FCE">
        <w:t xml:space="preserve">Russell, M.D. et al. (2022) ‘Incidence and management of inflammatory arthritis in England before and during the COVID-19 pandemic: A population-level cohort study using OpenSAFELY’, </w:t>
      </w:r>
      <w:r w:rsidRPr="006304BF">
        <w:rPr>
          <w:i/>
          <w:iCs/>
        </w:rPr>
        <w:t>The Lancet Rheumatology</w:t>
      </w:r>
      <w:r w:rsidRPr="000D2FCE">
        <w:t>, 4(12), pp. e853–e863. doi:10.1016/S2665-9913(22)00305-8.</w:t>
      </w:r>
    </w:p>
    <w:p w14:paraId="5D3B5E40" w14:textId="77777777" w:rsidR="007E08F5" w:rsidRPr="000D2FCE" w:rsidRDefault="007E08F5" w:rsidP="0030179A">
      <w:r w:rsidRPr="000D2FCE">
        <w:t>Russell, M.D. et al. (2025</w:t>
      </w:r>
      <w:r>
        <w:t>a</w:t>
      </w:r>
      <w:r w:rsidRPr="000D2FCE">
        <w:t xml:space="preserve">) ‘Factors associated with biological and targeted synthetic disease-modifying antirheumatic drug initiation for rheumatoid arthritis in underserved patient groups in England and Wales’, </w:t>
      </w:r>
      <w:r w:rsidRPr="006304BF">
        <w:rPr>
          <w:i/>
          <w:iCs/>
        </w:rPr>
        <w:t>The Lancet Rheumatology</w:t>
      </w:r>
      <w:r w:rsidRPr="000D2FCE">
        <w:t>, 7(1), pp. e44–e54. doi:10.1016/S2665-9913(24)00221-2.</w:t>
      </w:r>
    </w:p>
    <w:p w14:paraId="499B9E48" w14:textId="77777777" w:rsidR="007E08F5" w:rsidRPr="002A4F3E" w:rsidRDefault="007E08F5" w:rsidP="0030179A">
      <w:r w:rsidRPr="002A4F3E">
        <w:t>Russell, M.D. et al. (2025</w:t>
      </w:r>
      <w:r>
        <w:t>b</w:t>
      </w:r>
      <w:r w:rsidRPr="002A4F3E">
        <w:t>) 'Temporal and regional variation in the use of biologic and targeted synthetic DMARDs for rheumatoid arthritis: a nationwide cohort study', Rheumatology, 64(5), pp. 2432-2441. doi: https://doi.org/10.1093/rheumatology/keae607.</w:t>
      </w:r>
    </w:p>
    <w:p w14:paraId="7214129C" w14:textId="77777777" w:rsidR="007E08F5" w:rsidRPr="002A4F3E" w:rsidRDefault="007E08F5" w:rsidP="0030179A">
      <w:r w:rsidRPr="002A4F3E">
        <w:t>Rutherford, A.I. et al. (2018) 'Opportunistic infections in rheumatoid arthritis patients exposed to biologic therapy: results from the British Society for Rheumatology Biologics Register for Rheumatoid Arthritis', Rheumatology, 57(6), pp. 997-1001. doi: https://doi.org/10.1093/rheumatology/key023.</w:t>
      </w:r>
    </w:p>
    <w:p w14:paraId="071ADE71" w14:textId="77777777" w:rsidR="007E08F5" w:rsidRDefault="007E08F5" w:rsidP="0030179A">
      <w:r>
        <w:t>Said, S.S., Johansson, K.A., Nystad, T.W., Mshiu, J.J. and Fevang, B.-T.S. (2025). Health-related quality of life among patients with rheumatoid arthritis in Zanzibar: a prospective cohort study. Quality of Life Research. doi:https://doi.org/10.1007/s11136-025-03974-3.</w:t>
      </w:r>
    </w:p>
    <w:p w14:paraId="2CD43A97" w14:textId="77777777" w:rsidR="007E08F5" w:rsidRPr="002A4F3E" w:rsidRDefault="007E08F5" w:rsidP="0030179A">
      <w:r w:rsidRPr="002A4F3E">
        <w:lastRenderedPageBreak/>
        <w:t>Scott, I.C. et al. (2022) 'Rheumatoid arthritis, psoriatic arthritis, and axial spondyloarthritis epidemiology in England from 2004 to 2020: an observational study using primary care electronic health record data', The Lancet Regional Health - Europe, 23, 100519. doi: https://doi.org/10.1016/j.lanepe.2022.100519.</w:t>
      </w:r>
    </w:p>
    <w:p w14:paraId="64D88CC4" w14:textId="77777777" w:rsidR="007E08F5" w:rsidRPr="002A4F3E" w:rsidRDefault="007E08F5" w:rsidP="0030179A">
      <w:r w:rsidRPr="002A4F3E">
        <w:t>Scott, I.C. et al. (2026) 'The 2026 British Society for Rheumatology guideline for pain management in people with inflammatory arthritis', Rheumatology, 65(7), keag320. doi: https://doi.org/10.1093/rheumatology/keag320.</w:t>
      </w:r>
    </w:p>
    <w:p w14:paraId="629D3A34" w14:textId="77777777" w:rsidR="007E08F5" w:rsidRPr="002A4F3E" w:rsidRDefault="007E08F5" w:rsidP="0030179A">
      <w:r w:rsidRPr="002A4F3E">
        <w:t>Scott, I.C., Mangat, N., MacGregor, A., Raza, K., Mallen, C.D. and Hider, S.L. (2018) 'Primary care challenges in diagnosing and referring patients with suspected rheumatoid arthritis: a national cross-sectional GP survey', Rheumatology Advances in Practice, 2(1), rky012. doi: https://doi.org/10.1093/rap/rky012.</w:t>
      </w:r>
    </w:p>
    <w:p w14:paraId="44CED886" w14:textId="77777777" w:rsidR="007E08F5" w:rsidRPr="000D2FCE" w:rsidRDefault="007E08F5" w:rsidP="0030179A">
      <w:r w:rsidRPr="000D2FCE">
        <w:t xml:space="preserve">Sepriano, A. et al. (2023) ‘Safety of synthetic and biological DMARDs: A systematic literature review informing the 2022 update of the EULAR recommendations for the management of rheumatoid arthritis’, </w:t>
      </w:r>
      <w:r w:rsidRPr="006304BF">
        <w:rPr>
          <w:i/>
          <w:iCs/>
        </w:rPr>
        <w:t>Annals of the Rheumatic Diseases</w:t>
      </w:r>
      <w:r w:rsidRPr="000D2FCE">
        <w:t>, 82(1), pp. 107–118. doi:10.1136/ard-2022-223357.</w:t>
      </w:r>
    </w:p>
    <w:p w14:paraId="4E555B47" w14:textId="77777777" w:rsidR="007E08F5" w:rsidRPr="002A4F3E" w:rsidRDefault="007E08F5" w:rsidP="0030179A">
      <w:r w:rsidRPr="002A4F3E">
        <w:t>Sergeant, J.C. et al. (2018) 'Prediction of primary non-response to methotrexate therapy using demographic, clinical and psychosocial variables: results from the UK Rheumatoid Arthritis Medication Study (RAMS)', Arthritis Research &amp; Therapy, 20, 147. doi: https://doi.org/10.1186/s13075-018-1645-5.</w:t>
      </w:r>
    </w:p>
    <w:p w14:paraId="3B9BA163" w14:textId="77777777" w:rsidR="007E08F5" w:rsidRPr="002A4F3E" w:rsidRDefault="007E08F5" w:rsidP="0030179A">
      <w:r w:rsidRPr="002A4F3E">
        <w:t>Sherbini, A.A. et al. (2022) 'Rates and predictors of methotrexate-related adverse events in patients with early rheumatoid arthritis: results from a nationwide UK study', Rheumatology, 61(10), pp. 3930-3938. doi: https://doi.org/10.1093/rheumatology/keab917.</w:t>
      </w:r>
    </w:p>
    <w:p w14:paraId="5C8B30B3" w14:textId="77777777" w:rsidR="007E08F5" w:rsidRPr="002A4F3E" w:rsidRDefault="007E08F5" w:rsidP="0030179A">
      <w:r w:rsidRPr="003F52B5">
        <w:t>Silva-Fernández, L. et al. (2018)</w:t>
      </w:r>
      <w:r w:rsidRPr="002A4F3E">
        <w:t xml:space="preserve"> 'Serious infection risk after 1 year between patients with rheumatoid arthritis treated with rituximab or with a second TNFi after initial TNFi failure: results from the British Society for Rheumatology Biologics Register for Rheumatoid Arthritis', Rheumatology, 57(9), pp. 1533-1540. doi: https://doi.org/10.1093/rheumatology/kex304.</w:t>
      </w:r>
    </w:p>
    <w:p w14:paraId="62D825C8" w14:textId="77777777" w:rsidR="007E08F5" w:rsidRDefault="007E08F5" w:rsidP="0030179A">
      <w:r>
        <w:t>Simons, G., Ismail, N., Sandhu, K., Mallen, C.D., Stack, R.J., Pontefract, S., Raza, K. and Falahee, M. (2022). The potential role of community pharmacy staff in reducing patient delay in consulting with symptoms of rheumatoid arthritis: a qualitative study. BMC Rheumatology, 6(1). doi:https://doi.org/10.1186/s41927-022-00280-0.</w:t>
      </w:r>
    </w:p>
    <w:p w14:paraId="192E52EF" w14:textId="77777777" w:rsidR="007E08F5" w:rsidRPr="002A4F3E" w:rsidRDefault="007E08F5" w:rsidP="0030179A">
      <w:r w:rsidRPr="002A4F3E">
        <w:t>Skyrme, S., Dixon, W.G., van der Veer, S.N., Sanders, C., Sharp, C.A. and Dowding, D. (2025) 'The role of patient reported symptom data in co-producing meaning in rheumatoid arthritis', Journal of Evaluation in Clinical Practice, 31(3), e14182. doi: https://doi.org/10.1111/jep.14182.</w:t>
      </w:r>
    </w:p>
    <w:p w14:paraId="2130562B" w14:textId="77777777" w:rsidR="007E08F5" w:rsidRPr="000D2FCE" w:rsidRDefault="007E08F5" w:rsidP="0030179A">
      <w:r w:rsidRPr="000D2FCE">
        <w:lastRenderedPageBreak/>
        <w:t xml:space="preserve">Smolen, J.S. et al. (2023) ‘EULAR recommendations for the management of rheumatoid arthritis with synthetic and biological disease-modifying antirheumatic drugs: 2022 update’, </w:t>
      </w:r>
      <w:r w:rsidRPr="006304BF">
        <w:rPr>
          <w:i/>
          <w:iCs/>
        </w:rPr>
        <w:t>Annals of the Rheumatic Diseases</w:t>
      </w:r>
      <w:r w:rsidRPr="000D2FCE">
        <w:t>, 82(1), pp. 3–18. doi:10.1136/ard-2022-223356.</w:t>
      </w:r>
    </w:p>
    <w:p w14:paraId="56668410" w14:textId="77777777" w:rsidR="007E08F5" w:rsidRPr="000D2FCE" w:rsidRDefault="007E08F5" w:rsidP="0030179A">
      <w:r w:rsidRPr="000D2FCE">
        <w:t xml:space="preserve">Smolen, J.S. et al. (2026) ‘EULAR recommendations for the management of rheumatoid arthritis with synthetic and biologic disease-modifying antirheumatic drugs: 2025 update’, </w:t>
      </w:r>
      <w:r w:rsidRPr="006304BF">
        <w:rPr>
          <w:i/>
          <w:iCs/>
        </w:rPr>
        <w:t>Annals of the Rheumatic Diseases</w:t>
      </w:r>
      <w:r w:rsidRPr="000D2FCE">
        <w:t>, 85(6), pp. 991–1009. doi:10.1016/j.ard.2026.01.023.</w:t>
      </w:r>
    </w:p>
    <w:p w14:paraId="35E54EDA" w14:textId="77777777" w:rsidR="007E08F5" w:rsidRPr="000D2FCE" w:rsidRDefault="007E08F5" w:rsidP="0030179A">
      <w:r w:rsidRPr="000D2FCE">
        <w:t xml:space="preserve">Snoeck Henkemans, S.V.J. et al. (2024) ‘Patient-reported outcomes and radiographic progression in patients with rheumatoid arthritis in sustained remission versus low disease activity’, </w:t>
      </w:r>
      <w:r w:rsidRPr="006304BF">
        <w:rPr>
          <w:i/>
          <w:iCs/>
        </w:rPr>
        <w:t>RMD Open</w:t>
      </w:r>
      <w:r w:rsidRPr="000D2FCE">
        <w:t>, 10(1), e003860. doi:10.1136/rmdopen-2023-003860.</w:t>
      </w:r>
    </w:p>
    <w:p w14:paraId="390ED065" w14:textId="77777777" w:rsidR="007E08F5" w:rsidRPr="002A4F3E" w:rsidRDefault="007E08F5" w:rsidP="0030179A">
      <w:r w:rsidRPr="002A4F3E">
        <w:t>Stack, R.J. et al. (2019) 'Delays between the onset of symptoms and first rheumatology consultation in patients with rheumatoid arthritis in the UK: an observational study', BMJ Open, 9(3), e024361. doi: https://doi.org/10.1136/bmjopen-2018-024361.</w:t>
      </w:r>
    </w:p>
    <w:p w14:paraId="085D8C4F" w14:textId="77777777" w:rsidR="007E08F5" w:rsidRPr="000D2FCE" w:rsidRDefault="007E08F5" w:rsidP="0030179A">
      <w:r w:rsidRPr="000D2FCE">
        <w:t xml:space="preserve">Studenic, P. et al. (2023) ‘American College of Rheumatology/EULAR remission criteria for rheumatoid arthritis: 2022 revision’, </w:t>
      </w:r>
      <w:r w:rsidRPr="006304BF">
        <w:rPr>
          <w:i/>
          <w:iCs/>
        </w:rPr>
        <w:t>Annals of the Rheumatic Diseases</w:t>
      </w:r>
      <w:r w:rsidRPr="000D2FCE">
        <w:t>, 82(1), pp. 74–80. doi:10.1136/ard-2022-223413.</w:t>
      </w:r>
    </w:p>
    <w:p w14:paraId="07DC6F78" w14:textId="77777777" w:rsidR="007E08F5" w:rsidRPr="002A4F3E" w:rsidRDefault="007E08F5" w:rsidP="0030179A">
      <w:r w:rsidRPr="002A4F3E">
        <w:t>Sweeney, M. et al. (2025) 'Self-management behaviors do not affect remission but mediate between mental health and disease outcomes in a longitudinal study of rheumatoid arthritis', Rheumatology International, 45, 31. doi: https://doi.org/10.1007/s00296-024-05761-8.</w:t>
      </w:r>
    </w:p>
    <w:p w14:paraId="2EAD0DFC" w14:textId="77777777" w:rsidR="007E08F5" w:rsidRPr="000D2FCE" w:rsidRDefault="007E08F5" w:rsidP="0030179A">
      <w:r w:rsidRPr="000D2FCE">
        <w:t xml:space="preserve">Sweeney, M., Adas, M.A., Cope, A. and Norton, S. (2024) ‘Longitudinal effects of affective distress on disease outcomes in rheumatoid arthritis: A meta-analysis and systematic review’, </w:t>
      </w:r>
      <w:r w:rsidRPr="006304BF">
        <w:rPr>
          <w:i/>
          <w:iCs/>
        </w:rPr>
        <w:t>Rheumatology International</w:t>
      </w:r>
      <w:r w:rsidRPr="000D2FCE">
        <w:t>, 44(8), pp. 1421–1433. doi:10.1007/s00296-024-05574-9.</w:t>
      </w:r>
    </w:p>
    <w:p w14:paraId="3FFE49A6" w14:textId="77777777" w:rsidR="007E08F5" w:rsidRPr="002A4F3E" w:rsidRDefault="007E08F5" w:rsidP="0030179A">
      <w:r w:rsidRPr="002A4F3E">
        <w:t>Taylor, P.C. et al. (2021) 'Targeted literature review of current treatments and unmet need in moderate rheumatoid arthritis in the United Kingdom', Rheumatology, 60(11), pp. 4972-4981. doi: https://doi.org/10.1093/rheumatology/keab464.</w:t>
      </w:r>
    </w:p>
    <w:p w14:paraId="195C3BA0" w14:textId="77777777" w:rsidR="007E08F5" w:rsidRPr="000D2FCE" w:rsidRDefault="007E08F5" w:rsidP="0030179A">
      <w:r w:rsidRPr="000D2FCE">
        <w:t xml:space="preserve">Taylor, P.C. et al. (2022) ‘Treat-to-target in rheumatoid arthritis: A real-world study of the application and impact of treat-to-target within the wider context of patient management’, </w:t>
      </w:r>
      <w:r w:rsidRPr="006304BF">
        <w:rPr>
          <w:i/>
          <w:iCs/>
        </w:rPr>
        <w:t>RMD Open</w:t>
      </w:r>
      <w:r w:rsidRPr="000D2FCE">
        <w:t>, 8(2), e002658. doi:10.1136/rmdopen-2022-002658.</w:t>
      </w:r>
    </w:p>
    <w:p w14:paraId="02682632" w14:textId="77777777" w:rsidR="007E08F5" w:rsidRPr="002A4F3E" w:rsidRDefault="007E08F5" w:rsidP="0030179A">
      <w:r w:rsidRPr="002A4F3E">
        <w:t>Tian, Z. et al. (2025) 'Potential impact of European Medicines Agency measures to minimize risk of serious side effects on JAKi prescribing and utilization in the UK', Rheumatology, 64(3), pp. 1453-1458. doi: https://doi.org/10.1093/rheumatology/keae279.</w:t>
      </w:r>
    </w:p>
    <w:p w14:paraId="708E0110" w14:textId="77777777" w:rsidR="007E08F5" w:rsidRPr="002A4F3E" w:rsidRDefault="007E08F5" w:rsidP="0030179A">
      <w:r w:rsidRPr="002A4F3E">
        <w:lastRenderedPageBreak/>
        <w:t>Torlinska, B. et al. (2024) 'Predictors of quality of life, functional status, depression and fatigue in early arthritis: comparison between clinically suspect arthralgia, unclassified arthritis and rheumatoid arthritis', BMC Musculoskeletal Disorders, 25, 307. doi: https://doi.org/10.1186/s12891-024-07446-6.</w:t>
      </w:r>
    </w:p>
    <w:p w14:paraId="12CBA5CC" w14:textId="77777777" w:rsidR="007E08F5" w:rsidRPr="002A4F3E" w:rsidRDefault="007E08F5" w:rsidP="0030179A">
      <w:r w:rsidRPr="002A4F3E">
        <w:t>Tsoi, M.F. et al. (2025) 'Association between body weight and tocilizumab effectiveness in rheumatoid arthritis: results from the BSRBR-RA', Rheumatology, 64(2), pp. 477-483. doi: https://doi.org/10.1093/rheumatology/keae500.</w:t>
      </w:r>
    </w:p>
    <w:p w14:paraId="29A44B91" w14:textId="77777777" w:rsidR="007E08F5" w:rsidRPr="000D2FCE" w:rsidRDefault="007E08F5" w:rsidP="0030179A">
      <w:r w:rsidRPr="000D2FCE">
        <w:t xml:space="preserve">Van Delft, E.T.A.M. et al. (2022) ‘A systematic review on time trend incidence of rheumatoid arthritis in outpatient rheumatology clinics’, </w:t>
      </w:r>
      <w:r w:rsidRPr="006304BF">
        <w:rPr>
          <w:i/>
          <w:iCs/>
        </w:rPr>
        <w:t>Frontiers in Medicine</w:t>
      </w:r>
      <w:r w:rsidRPr="000D2FCE">
        <w:t>, 9, 933884. doi:10.3389/fmed.2022.933884.</w:t>
      </w:r>
    </w:p>
    <w:p w14:paraId="1EF3C5F5" w14:textId="77777777" w:rsidR="007E08F5" w:rsidRPr="002A4F3E" w:rsidRDefault="007E08F5" w:rsidP="0030179A">
      <w:r w:rsidRPr="002A4F3E">
        <w:t>Vasilakis-Scaramozza, C. et al. (2023a) 'Comparison of Rheumatoid Arthritis Information Recorded in UK CPRD Aurum and CPRD GOLD Databases (Companion Paper 3)', Clinical Epidemiology, 15, pp. 1207-1218. doi: https://doi.org/10.2147/CLEP.S434831.</w:t>
      </w:r>
    </w:p>
    <w:p w14:paraId="08FDF809" w14:textId="77777777" w:rsidR="007E08F5" w:rsidRPr="002A4F3E" w:rsidRDefault="007E08F5" w:rsidP="0030179A">
      <w:r w:rsidRPr="002A4F3E">
        <w:t>Vasilakis-Scaramozza, C. et al. (2023b) 'Quality of rheumatoid arthritis recording in United Kingdom Clinical Practice Research Datalink Aurum', Pharmacoepidemiology and Drug Safety, 32(1), pp. 73-77. doi: https://doi.org/10.1002/pds.5551.</w:t>
      </w:r>
    </w:p>
    <w:p w14:paraId="1221354F" w14:textId="77777777" w:rsidR="007E08F5" w:rsidRPr="0055704A" w:rsidRDefault="007E08F5" w:rsidP="0030179A">
      <w:r>
        <w:t>Wager, E. and Wiffen, P.J. (2011) ‘Ethical issues in preparing and publishing systematic reviews’, Journal of Evidence-Based Medicine, 4(2), pp. 130–134. doi:10.1111/j.1756-5391.2011.01122.x.</w:t>
      </w:r>
    </w:p>
    <w:p w14:paraId="1F06C87B" w14:textId="77777777" w:rsidR="007E08F5" w:rsidRPr="002A4F3E" w:rsidRDefault="007E08F5" w:rsidP="0030179A">
      <w:r w:rsidRPr="002A4F3E">
        <w:t>Warburton, L., Hider, S.L., Mallen, C.D. and Scott, I.C. (2019) 'Suspected very early inflammatory rheumatic diseases in primary care', Best Practice &amp; Research Clinical Rheumatology, 33(4), 101419. doi: https://doi.org/10.1016/j.berh.2019.06.001.</w:t>
      </w:r>
    </w:p>
    <w:p w14:paraId="6245D3AC" w14:textId="77777777" w:rsidR="007E08F5" w:rsidRPr="002A4F3E" w:rsidRDefault="007E08F5" w:rsidP="0030179A">
      <w:r w:rsidRPr="002A4F3E">
        <w:t>Yang, Z. et al. (2025) 'Association of patient- and hospital-level predictors with patterns of initial treatment in patients with rheumatoid arthritis: findings from a national cohort study', Rheumatology, 64(6), pp. 3379-3387. doi: https://doi.org/10.1093/rheumatology/keae717.</w:t>
      </w:r>
    </w:p>
    <w:p w14:paraId="2BD66825" w14:textId="77777777" w:rsidR="007E08F5" w:rsidRPr="002A4F3E" w:rsidRDefault="007E08F5" w:rsidP="0030179A">
      <w:r w:rsidRPr="002A4F3E">
        <w:t>Yang, Z. et al. (2026) 'Patterns and risk of cardiovascular disease in rheumatoid arthritis and psoriatic arthritis: a nationwide cohort study in the UK', Rheumatology Advances in Practice, 10(1), rkag016. doi: https://doi.org/10.1093/rap/rkag016.</w:t>
      </w:r>
    </w:p>
    <w:p w14:paraId="5B66142E" w14:textId="77777777" w:rsidR="007E08F5" w:rsidRDefault="007E08F5" w:rsidP="0030179A">
      <w:r w:rsidRPr="008B1FD4">
        <w:t xml:space="preserve">Yates, M., Ledingham, J.M., Hatcher, P.A., Adas, M., Hewitt, S., Bartlett-Pestell, S., Rampes, S., Norton, S. and Galloway, J.B. (2021) ‘Disease activity and its predictors in early inflammatory arthritis: findings from a national cohort’, </w:t>
      </w:r>
      <w:r w:rsidRPr="006304BF">
        <w:rPr>
          <w:i/>
          <w:iCs/>
        </w:rPr>
        <w:t>Rheumatology</w:t>
      </w:r>
      <w:r w:rsidRPr="008B1FD4">
        <w:t>, 60(10), pp. 4811–4820. doi: 10.1093/rheumatology/keab107.</w:t>
      </w:r>
    </w:p>
    <w:p w14:paraId="76210026" w14:textId="77777777" w:rsidR="007E08F5" w:rsidRDefault="007E08F5" w:rsidP="0030179A">
      <w:r>
        <w:t xml:space="preserve">Zhao, L. et al. (2025) ‘Psychological distress over 12 months post-diagnosis in an early inflammatory arthritis cohort’, Rheumatology, 64(5), pp. 2469-2478. doi:10.1093/rheumatology/keae276. </w:t>
      </w:r>
    </w:p>
    <w:p w14:paraId="6B0FB108" w14:textId="77777777" w:rsidR="007E08F5" w:rsidRPr="002A4F3E" w:rsidRDefault="007E08F5" w:rsidP="0030179A">
      <w:r w:rsidRPr="002A4F3E">
        <w:lastRenderedPageBreak/>
        <w:t>Zhao, S.S. et al. (2024) 'Socioeconomic deprivation is associated with reduced response and lower treatment persistence with TNF inhibitors in rheumatoid arthritis', Rheumatology, 63(3), pp. 648-656. doi: https://doi.org/10.1093/rheumatology/kead261.</w:t>
      </w:r>
    </w:p>
    <w:p w14:paraId="26A04C8D" w14:textId="54DDACAB" w:rsidR="006A21FC" w:rsidRDefault="006A21FC" w:rsidP="002A4F3E">
      <w:pPr>
        <w:ind w:left="360"/>
        <w:sectPr w:rsidR="006A21FC" w:rsidSect="00956A81">
          <w:footerReference w:type="even" r:id="rId17"/>
          <w:footerReference w:type="default" r:id="rId18"/>
          <w:footerReference w:type="first" r:id="rId19"/>
          <w:pgSz w:w="12240" w:h="15840"/>
          <w:pgMar w:top="1008" w:right="1152" w:bottom="1008" w:left="1152" w:header="0" w:footer="720" w:gutter="0"/>
          <w:cols w:space="720"/>
          <w:formProt w:val="0"/>
          <w:docGrid w:linePitch="360"/>
        </w:sectPr>
      </w:pPr>
    </w:p>
    <w:p w14:paraId="38017C4A" w14:textId="77777777" w:rsidR="00137DC5" w:rsidRPr="00137DC5" w:rsidRDefault="00137DC5" w:rsidP="00137DC5">
      <w:pPr>
        <w:pStyle w:val="Heading1"/>
      </w:pPr>
      <w:bookmarkStart w:id="174" w:name="_Toc238658224"/>
      <w:bookmarkStart w:id="175" w:name="_Toc238659167"/>
      <w:bookmarkStart w:id="176" w:name="_Toc238661353"/>
      <w:bookmarkStart w:id="177" w:name="_Toc240922905"/>
      <w:r>
        <w:lastRenderedPageBreak/>
        <w:t>Appendices</w:t>
      </w:r>
      <w:bookmarkEnd w:id="174"/>
      <w:bookmarkEnd w:id="175"/>
      <w:bookmarkEnd w:id="176"/>
      <w:bookmarkEnd w:id="177"/>
    </w:p>
    <w:p w14:paraId="2C09FAC6" w14:textId="77777777" w:rsidR="00137DC5" w:rsidRDefault="00137DC5" w:rsidP="00137DC5">
      <w:pPr>
        <w:pStyle w:val="Heading2"/>
      </w:pPr>
      <w:bookmarkStart w:id="178" w:name="_Toc238658225"/>
      <w:bookmarkStart w:id="179" w:name="_Toc238659168"/>
      <w:bookmarkStart w:id="180" w:name="_Toc238661354"/>
      <w:bookmarkStart w:id="181" w:name="_Toc240922906"/>
      <w:r>
        <w:t>Appendix 1 - CASP Critical Appraisals</w:t>
      </w:r>
      <w:bookmarkEnd w:id="178"/>
      <w:bookmarkEnd w:id="179"/>
      <w:bookmarkEnd w:id="180"/>
      <w:bookmarkEnd w:id="181"/>
    </w:p>
    <w:p w14:paraId="15E65A3F" w14:textId="77777777" w:rsidR="00137DC5" w:rsidRDefault="00137DC5" w:rsidP="00137DC5">
      <w:pPr>
        <w:spacing w:after="120"/>
      </w:pPr>
      <w:r>
        <w:t>Key: Y = Yes; P = Partial; N = No; U = Unclear; N/A = Not applicable. CASP 2024 design-specific checklists were used consistently across the 14 included studies. Appraisal findings informed interpretation and weighting of evidence; studies were not excluded solely on the basis of an appraisal total. Simons et al. (2022) and Cope et al. (2024) were retained as contextual studies and appraised using their respective design-specific CASP tools, but were not treated as direct treatment-effect evidence for diagnosed rheumatoid arthritis.</w:t>
      </w:r>
    </w:p>
    <w:p w14:paraId="4120CDF9" w14:textId="77777777" w:rsidR="00137DC5" w:rsidRDefault="00137DC5" w:rsidP="00137DC5">
      <w:pPr>
        <w:keepNext/>
        <w:spacing w:before="120" w:after="80"/>
      </w:pPr>
      <w:r>
        <w:rPr>
          <w:b/>
          <w:sz w:val="20"/>
        </w:rPr>
        <w:t>Table A1: CASP Cohort Study Appraisal Matrix (11 Studies)</w:t>
      </w:r>
    </w:p>
    <w:tbl>
      <w:tblPr>
        <w:tblStyle w:val="TableGrid"/>
        <w:tblW w:w="12672" w:type="dxa"/>
        <w:jc w:val="center"/>
        <w:tblLayout w:type="fixed"/>
        <w:tblLook w:val="04A0" w:firstRow="1" w:lastRow="0" w:firstColumn="1" w:lastColumn="0" w:noHBand="0" w:noVBand="1"/>
      </w:tblPr>
      <w:tblGrid>
        <w:gridCol w:w="2377"/>
        <w:gridCol w:w="1079"/>
        <w:gridCol w:w="1081"/>
        <w:gridCol w:w="1008"/>
        <w:gridCol w:w="1007"/>
        <w:gridCol w:w="1153"/>
        <w:gridCol w:w="1008"/>
        <w:gridCol w:w="1439"/>
        <w:gridCol w:w="1152"/>
        <w:gridCol w:w="1368"/>
      </w:tblGrid>
      <w:tr w:rsidR="00137DC5" w14:paraId="45775255" w14:textId="77777777" w:rsidTr="006261B1">
        <w:trPr>
          <w:cantSplit/>
          <w:tblHeader/>
          <w:jc w:val="center"/>
        </w:trPr>
        <w:tc>
          <w:tcPr>
            <w:tcW w:w="2376" w:type="dxa"/>
          </w:tcPr>
          <w:p w14:paraId="228A8DF2" w14:textId="77777777" w:rsidR="00137DC5" w:rsidRDefault="00137DC5" w:rsidP="006261B1">
            <w:pPr>
              <w:rPr>
                <w:sz w:val="20"/>
                <w:szCs w:val="20"/>
              </w:rPr>
            </w:pPr>
            <w:r>
              <w:rPr>
                <w:b/>
                <w:sz w:val="20"/>
                <w:szCs w:val="20"/>
              </w:rPr>
              <w:t>Study</w:t>
            </w:r>
          </w:p>
        </w:tc>
        <w:tc>
          <w:tcPr>
            <w:tcW w:w="1079" w:type="dxa"/>
          </w:tcPr>
          <w:p w14:paraId="38743124" w14:textId="77777777" w:rsidR="00137DC5" w:rsidRDefault="00137DC5" w:rsidP="006261B1">
            <w:pPr>
              <w:rPr>
                <w:sz w:val="20"/>
                <w:szCs w:val="20"/>
              </w:rPr>
            </w:pPr>
            <w:r>
              <w:rPr>
                <w:b/>
                <w:sz w:val="20"/>
                <w:szCs w:val="20"/>
              </w:rPr>
              <w:t>Focused issue</w:t>
            </w:r>
          </w:p>
        </w:tc>
        <w:tc>
          <w:tcPr>
            <w:tcW w:w="1081" w:type="dxa"/>
          </w:tcPr>
          <w:p w14:paraId="5C8DFCB5" w14:textId="77777777" w:rsidR="00137DC5" w:rsidRDefault="00137DC5" w:rsidP="006261B1">
            <w:pPr>
              <w:rPr>
                <w:sz w:val="20"/>
                <w:szCs w:val="20"/>
              </w:rPr>
            </w:pPr>
            <w:r>
              <w:rPr>
                <w:b/>
                <w:sz w:val="20"/>
                <w:szCs w:val="20"/>
              </w:rPr>
              <w:t>Recruitment</w:t>
            </w:r>
          </w:p>
        </w:tc>
        <w:tc>
          <w:tcPr>
            <w:tcW w:w="1008" w:type="dxa"/>
          </w:tcPr>
          <w:p w14:paraId="4E24824C" w14:textId="77777777" w:rsidR="00137DC5" w:rsidRDefault="00137DC5" w:rsidP="006261B1">
            <w:pPr>
              <w:rPr>
                <w:sz w:val="20"/>
                <w:szCs w:val="20"/>
              </w:rPr>
            </w:pPr>
            <w:r>
              <w:rPr>
                <w:b/>
                <w:sz w:val="20"/>
                <w:szCs w:val="20"/>
              </w:rPr>
              <w:t>Exposure</w:t>
            </w:r>
          </w:p>
        </w:tc>
        <w:tc>
          <w:tcPr>
            <w:tcW w:w="1007" w:type="dxa"/>
          </w:tcPr>
          <w:p w14:paraId="69A76F94" w14:textId="77777777" w:rsidR="00137DC5" w:rsidRDefault="00137DC5" w:rsidP="006261B1">
            <w:pPr>
              <w:rPr>
                <w:sz w:val="20"/>
                <w:szCs w:val="20"/>
              </w:rPr>
            </w:pPr>
            <w:r>
              <w:rPr>
                <w:b/>
                <w:sz w:val="20"/>
                <w:szCs w:val="20"/>
              </w:rPr>
              <w:t>Outcome</w:t>
            </w:r>
          </w:p>
        </w:tc>
        <w:tc>
          <w:tcPr>
            <w:tcW w:w="1153" w:type="dxa"/>
          </w:tcPr>
          <w:p w14:paraId="57707607" w14:textId="77777777" w:rsidR="00137DC5" w:rsidRDefault="00137DC5" w:rsidP="006261B1">
            <w:pPr>
              <w:rPr>
                <w:sz w:val="20"/>
                <w:szCs w:val="20"/>
              </w:rPr>
            </w:pPr>
            <w:r>
              <w:rPr>
                <w:b/>
                <w:sz w:val="20"/>
                <w:szCs w:val="20"/>
              </w:rPr>
              <w:t>Confounding</w:t>
            </w:r>
          </w:p>
        </w:tc>
        <w:tc>
          <w:tcPr>
            <w:tcW w:w="1008" w:type="dxa"/>
          </w:tcPr>
          <w:p w14:paraId="106CCEA7" w14:textId="77777777" w:rsidR="00137DC5" w:rsidRDefault="00137DC5" w:rsidP="006261B1">
            <w:pPr>
              <w:rPr>
                <w:sz w:val="20"/>
                <w:szCs w:val="20"/>
              </w:rPr>
            </w:pPr>
            <w:r>
              <w:rPr>
                <w:b/>
                <w:sz w:val="20"/>
                <w:szCs w:val="20"/>
              </w:rPr>
              <w:t>Follow-up</w:t>
            </w:r>
          </w:p>
        </w:tc>
        <w:tc>
          <w:tcPr>
            <w:tcW w:w="1439" w:type="dxa"/>
          </w:tcPr>
          <w:p w14:paraId="3940838E" w14:textId="77777777" w:rsidR="00137DC5" w:rsidRDefault="00137DC5" w:rsidP="006261B1">
            <w:pPr>
              <w:rPr>
                <w:sz w:val="20"/>
                <w:szCs w:val="20"/>
              </w:rPr>
            </w:pPr>
            <w:r>
              <w:rPr>
                <w:b/>
                <w:sz w:val="20"/>
                <w:szCs w:val="20"/>
              </w:rPr>
              <w:t>Results/precision</w:t>
            </w:r>
          </w:p>
        </w:tc>
        <w:tc>
          <w:tcPr>
            <w:tcW w:w="1152" w:type="dxa"/>
          </w:tcPr>
          <w:p w14:paraId="7B03C2D6" w14:textId="77777777" w:rsidR="00137DC5" w:rsidRDefault="00137DC5" w:rsidP="006261B1">
            <w:pPr>
              <w:rPr>
                <w:sz w:val="20"/>
                <w:szCs w:val="20"/>
              </w:rPr>
            </w:pPr>
            <w:r>
              <w:rPr>
                <w:b/>
                <w:sz w:val="20"/>
                <w:szCs w:val="20"/>
              </w:rPr>
              <w:t>Applicability</w:t>
            </w:r>
          </w:p>
        </w:tc>
        <w:tc>
          <w:tcPr>
            <w:tcW w:w="1368" w:type="dxa"/>
          </w:tcPr>
          <w:p w14:paraId="5A568D4B" w14:textId="77777777" w:rsidR="00137DC5" w:rsidRDefault="00137DC5" w:rsidP="006261B1">
            <w:pPr>
              <w:rPr>
                <w:sz w:val="20"/>
                <w:szCs w:val="20"/>
              </w:rPr>
            </w:pPr>
            <w:r>
              <w:rPr>
                <w:b/>
                <w:sz w:val="20"/>
                <w:szCs w:val="20"/>
              </w:rPr>
              <w:t>Overall</w:t>
            </w:r>
          </w:p>
        </w:tc>
      </w:tr>
      <w:tr w:rsidR="00137DC5" w14:paraId="4B855074" w14:textId="77777777" w:rsidTr="006261B1">
        <w:trPr>
          <w:cantSplit/>
          <w:jc w:val="center"/>
        </w:trPr>
        <w:tc>
          <w:tcPr>
            <w:tcW w:w="2376" w:type="dxa"/>
          </w:tcPr>
          <w:p w14:paraId="0D9E69CA" w14:textId="77777777" w:rsidR="00137DC5" w:rsidRDefault="00137DC5" w:rsidP="006261B1">
            <w:pPr>
              <w:rPr>
                <w:sz w:val="20"/>
                <w:szCs w:val="20"/>
              </w:rPr>
            </w:pPr>
            <w:r>
              <w:rPr>
                <w:sz w:val="20"/>
                <w:szCs w:val="20"/>
              </w:rPr>
              <w:t>Yates et al. (2021)</w:t>
            </w:r>
          </w:p>
        </w:tc>
        <w:tc>
          <w:tcPr>
            <w:tcW w:w="1079" w:type="dxa"/>
          </w:tcPr>
          <w:p w14:paraId="114D14DF" w14:textId="77777777" w:rsidR="00137DC5" w:rsidRDefault="00137DC5" w:rsidP="006261B1">
            <w:pPr>
              <w:rPr>
                <w:sz w:val="20"/>
                <w:szCs w:val="20"/>
              </w:rPr>
            </w:pPr>
            <w:r>
              <w:rPr>
                <w:sz w:val="20"/>
                <w:szCs w:val="20"/>
              </w:rPr>
              <w:t>Y</w:t>
            </w:r>
          </w:p>
        </w:tc>
        <w:tc>
          <w:tcPr>
            <w:tcW w:w="1081" w:type="dxa"/>
          </w:tcPr>
          <w:p w14:paraId="5526621D" w14:textId="77777777" w:rsidR="00137DC5" w:rsidRDefault="00137DC5" w:rsidP="006261B1">
            <w:pPr>
              <w:rPr>
                <w:sz w:val="20"/>
                <w:szCs w:val="20"/>
              </w:rPr>
            </w:pPr>
            <w:r>
              <w:rPr>
                <w:sz w:val="20"/>
                <w:szCs w:val="20"/>
              </w:rPr>
              <w:t>Y</w:t>
            </w:r>
          </w:p>
        </w:tc>
        <w:tc>
          <w:tcPr>
            <w:tcW w:w="1008" w:type="dxa"/>
          </w:tcPr>
          <w:p w14:paraId="3C8EC7BB" w14:textId="77777777" w:rsidR="00137DC5" w:rsidRDefault="00137DC5" w:rsidP="006261B1">
            <w:pPr>
              <w:rPr>
                <w:sz w:val="20"/>
                <w:szCs w:val="20"/>
              </w:rPr>
            </w:pPr>
            <w:r>
              <w:rPr>
                <w:sz w:val="20"/>
                <w:szCs w:val="20"/>
              </w:rPr>
              <w:t>Y</w:t>
            </w:r>
          </w:p>
        </w:tc>
        <w:tc>
          <w:tcPr>
            <w:tcW w:w="1007" w:type="dxa"/>
          </w:tcPr>
          <w:p w14:paraId="4C911891" w14:textId="77777777" w:rsidR="00137DC5" w:rsidRDefault="00137DC5" w:rsidP="006261B1">
            <w:pPr>
              <w:rPr>
                <w:sz w:val="20"/>
                <w:szCs w:val="20"/>
              </w:rPr>
            </w:pPr>
            <w:r>
              <w:rPr>
                <w:sz w:val="20"/>
                <w:szCs w:val="20"/>
              </w:rPr>
              <w:t>Y</w:t>
            </w:r>
          </w:p>
        </w:tc>
        <w:tc>
          <w:tcPr>
            <w:tcW w:w="1153" w:type="dxa"/>
          </w:tcPr>
          <w:p w14:paraId="75683F06" w14:textId="77777777" w:rsidR="00137DC5" w:rsidRDefault="00137DC5" w:rsidP="006261B1">
            <w:pPr>
              <w:rPr>
                <w:sz w:val="20"/>
                <w:szCs w:val="20"/>
              </w:rPr>
            </w:pPr>
            <w:r>
              <w:rPr>
                <w:sz w:val="20"/>
                <w:szCs w:val="20"/>
              </w:rPr>
              <w:t>Y</w:t>
            </w:r>
          </w:p>
        </w:tc>
        <w:tc>
          <w:tcPr>
            <w:tcW w:w="1008" w:type="dxa"/>
          </w:tcPr>
          <w:p w14:paraId="3B46CCE7" w14:textId="77777777" w:rsidR="00137DC5" w:rsidRDefault="00137DC5" w:rsidP="006261B1">
            <w:pPr>
              <w:rPr>
                <w:sz w:val="20"/>
                <w:szCs w:val="20"/>
              </w:rPr>
            </w:pPr>
            <w:r>
              <w:rPr>
                <w:sz w:val="20"/>
                <w:szCs w:val="20"/>
              </w:rPr>
              <w:t>P</w:t>
            </w:r>
          </w:p>
        </w:tc>
        <w:tc>
          <w:tcPr>
            <w:tcW w:w="1439" w:type="dxa"/>
          </w:tcPr>
          <w:p w14:paraId="262FA059" w14:textId="77777777" w:rsidR="00137DC5" w:rsidRDefault="00137DC5" w:rsidP="006261B1">
            <w:pPr>
              <w:rPr>
                <w:sz w:val="20"/>
                <w:szCs w:val="20"/>
              </w:rPr>
            </w:pPr>
            <w:r>
              <w:rPr>
                <w:sz w:val="20"/>
                <w:szCs w:val="20"/>
              </w:rPr>
              <w:t>Y</w:t>
            </w:r>
          </w:p>
        </w:tc>
        <w:tc>
          <w:tcPr>
            <w:tcW w:w="1152" w:type="dxa"/>
          </w:tcPr>
          <w:p w14:paraId="0C27356D" w14:textId="77777777" w:rsidR="00137DC5" w:rsidRDefault="00137DC5" w:rsidP="006261B1">
            <w:pPr>
              <w:rPr>
                <w:sz w:val="20"/>
                <w:szCs w:val="20"/>
              </w:rPr>
            </w:pPr>
            <w:r>
              <w:rPr>
                <w:sz w:val="20"/>
                <w:szCs w:val="20"/>
              </w:rPr>
              <w:t>Y</w:t>
            </w:r>
          </w:p>
        </w:tc>
        <w:tc>
          <w:tcPr>
            <w:tcW w:w="1368" w:type="dxa"/>
          </w:tcPr>
          <w:p w14:paraId="573947D3" w14:textId="77777777" w:rsidR="00137DC5" w:rsidRDefault="00137DC5" w:rsidP="006261B1">
            <w:pPr>
              <w:rPr>
                <w:sz w:val="20"/>
                <w:szCs w:val="20"/>
              </w:rPr>
            </w:pPr>
            <w:r>
              <w:rPr>
                <w:sz w:val="20"/>
                <w:szCs w:val="20"/>
              </w:rPr>
              <w:t>Moderate–high</w:t>
            </w:r>
          </w:p>
        </w:tc>
      </w:tr>
      <w:tr w:rsidR="00137DC5" w14:paraId="6D6D4163" w14:textId="77777777" w:rsidTr="006261B1">
        <w:trPr>
          <w:cantSplit/>
          <w:jc w:val="center"/>
        </w:trPr>
        <w:tc>
          <w:tcPr>
            <w:tcW w:w="2376" w:type="dxa"/>
          </w:tcPr>
          <w:p w14:paraId="546C5412" w14:textId="77777777" w:rsidR="00137DC5" w:rsidRDefault="00137DC5" w:rsidP="006261B1">
            <w:pPr>
              <w:rPr>
                <w:sz w:val="20"/>
                <w:szCs w:val="20"/>
              </w:rPr>
            </w:pPr>
            <w:r>
              <w:rPr>
                <w:sz w:val="20"/>
                <w:szCs w:val="20"/>
              </w:rPr>
              <w:t>Russell et al. (2022)</w:t>
            </w:r>
          </w:p>
        </w:tc>
        <w:tc>
          <w:tcPr>
            <w:tcW w:w="1079" w:type="dxa"/>
          </w:tcPr>
          <w:p w14:paraId="5AE21FE3" w14:textId="77777777" w:rsidR="00137DC5" w:rsidRDefault="00137DC5" w:rsidP="006261B1">
            <w:pPr>
              <w:rPr>
                <w:sz w:val="20"/>
                <w:szCs w:val="20"/>
              </w:rPr>
            </w:pPr>
            <w:r>
              <w:rPr>
                <w:sz w:val="20"/>
                <w:szCs w:val="20"/>
              </w:rPr>
              <w:t>Y</w:t>
            </w:r>
          </w:p>
        </w:tc>
        <w:tc>
          <w:tcPr>
            <w:tcW w:w="1081" w:type="dxa"/>
          </w:tcPr>
          <w:p w14:paraId="2FEE3024" w14:textId="77777777" w:rsidR="00137DC5" w:rsidRDefault="00137DC5" w:rsidP="006261B1">
            <w:pPr>
              <w:rPr>
                <w:sz w:val="20"/>
                <w:szCs w:val="20"/>
              </w:rPr>
            </w:pPr>
            <w:r>
              <w:rPr>
                <w:sz w:val="20"/>
                <w:szCs w:val="20"/>
              </w:rPr>
              <w:t>Y</w:t>
            </w:r>
          </w:p>
        </w:tc>
        <w:tc>
          <w:tcPr>
            <w:tcW w:w="1008" w:type="dxa"/>
          </w:tcPr>
          <w:p w14:paraId="5FB9A566" w14:textId="77777777" w:rsidR="00137DC5" w:rsidRDefault="00137DC5" w:rsidP="006261B1">
            <w:pPr>
              <w:rPr>
                <w:sz w:val="20"/>
                <w:szCs w:val="20"/>
              </w:rPr>
            </w:pPr>
            <w:r>
              <w:rPr>
                <w:sz w:val="20"/>
                <w:szCs w:val="20"/>
              </w:rPr>
              <w:t>Y</w:t>
            </w:r>
          </w:p>
        </w:tc>
        <w:tc>
          <w:tcPr>
            <w:tcW w:w="1007" w:type="dxa"/>
          </w:tcPr>
          <w:p w14:paraId="700B2F77" w14:textId="77777777" w:rsidR="00137DC5" w:rsidRDefault="00137DC5" w:rsidP="006261B1">
            <w:pPr>
              <w:rPr>
                <w:sz w:val="20"/>
                <w:szCs w:val="20"/>
              </w:rPr>
            </w:pPr>
            <w:r>
              <w:rPr>
                <w:sz w:val="20"/>
                <w:szCs w:val="20"/>
              </w:rPr>
              <w:t>Y</w:t>
            </w:r>
          </w:p>
        </w:tc>
        <w:tc>
          <w:tcPr>
            <w:tcW w:w="1153" w:type="dxa"/>
          </w:tcPr>
          <w:p w14:paraId="7828DA45" w14:textId="77777777" w:rsidR="00137DC5" w:rsidRDefault="00137DC5" w:rsidP="006261B1">
            <w:pPr>
              <w:rPr>
                <w:sz w:val="20"/>
                <w:szCs w:val="20"/>
              </w:rPr>
            </w:pPr>
            <w:r>
              <w:rPr>
                <w:sz w:val="20"/>
                <w:szCs w:val="20"/>
              </w:rPr>
              <w:t>P</w:t>
            </w:r>
          </w:p>
        </w:tc>
        <w:tc>
          <w:tcPr>
            <w:tcW w:w="1008" w:type="dxa"/>
          </w:tcPr>
          <w:p w14:paraId="524A7496" w14:textId="77777777" w:rsidR="00137DC5" w:rsidRDefault="00137DC5" w:rsidP="006261B1">
            <w:pPr>
              <w:rPr>
                <w:sz w:val="20"/>
                <w:szCs w:val="20"/>
              </w:rPr>
            </w:pPr>
            <w:r>
              <w:rPr>
                <w:sz w:val="20"/>
                <w:szCs w:val="20"/>
              </w:rPr>
              <w:t>P</w:t>
            </w:r>
          </w:p>
        </w:tc>
        <w:tc>
          <w:tcPr>
            <w:tcW w:w="1439" w:type="dxa"/>
          </w:tcPr>
          <w:p w14:paraId="0D679183" w14:textId="77777777" w:rsidR="00137DC5" w:rsidRDefault="00137DC5" w:rsidP="006261B1">
            <w:pPr>
              <w:rPr>
                <w:sz w:val="20"/>
                <w:szCs w:val="20"/>
              </w:rPr>
            </w:pPr>
            <w:r>
              <w:rPr>
                <w:sz w:val="20"/>
                <w:szCs w:val="20"/>
              </w:rPr>
              <w:t>Y</w:t>
            </w:r>
          </w:p>
        </w:tc>
        <w:tc>
          <w:tcPr>
            <w:tcW w:w="1152" w:type="dxa"/>
          </w:tcPr>
          <w:p w14:paraId="5945FB19" w14:textId="77777777" w:rsidR="00137DC5" w:rsidRDefault="00137DC5" w:rsidP="006261B1">
            <w:pPr>
              <w:rPr>
                <w:sz w:val="20"/>
                <w:szCs w:val="20"/>
              </w:rPr>
            </w:pPr>
            <w:r>
              <w:rPr>
                <w:sz w:val="20"/>
                <w:szCs w:val="20"/>
              </w:rPr>
              <w:t>Y</w:t>
            </w:r>
          </w:p>
        </w:tc>
        <w:tc>
          <w:tcPr>
            <w:tcW w:w="1368" w:type="dxa"/>
          </w:tcPr>
          <w:p w14:paraId="6CBEC3DF" w14:textId="77777777" w:rsidR="00137DC5" w:rsidRDefault="00137DC5" w:rsidP="006261B1">
            <w:pPr>
              <w:rPr>
                <w:sz w:val="20"/>
                <w:szCs w:val="20"/>
              </w:rPr>
            </w:pPr>
            <w:r>
              <w:rPr>
                <w:sz w:val="20"/>
                <w:szCs w:val="20"/>
              </w:rPr>
              <w:t>Moderate–high</w:t>
            </w:r>
          </w:p>
        </w:tc>
      </w:tr>
      <w:tr w:rsidR="00137DC5" w14:paraId="32A0985D" w14:textId="77777777" w:rsidTr="006261B1">
        <w:trPr>
          <w:cantSplit/>
          <w:jc w:val="center"/>
        </w:trPr>
        <w:tc>
          <w:tcPr>
            <w:tcW w:w="2376" w:type="dxa"/>
          </w:tcPr>
          <w:p w14:paraId="13726B14" w14:textId="77777777" w:rsidR="00137DC5" w:rsidRDefault="00137DC5" w:rsidP="006261B1">
            <w:pPr>
              <w:rPr>
                <w:sz w:val="20"/>
                <w:szCs w:val="20"/>
              </w:rPr>
            </w:pPr>
            <w:r>
              <w:rPr>
                <w:sz w:val="20"/>
                <w:szCs w:val="20"/>
              </w:rPr>
              <w:t>Adas et al. (2023)</w:t>
            </w:r>
          </w:p>
        </w:tc>
        <w:tc>
          <w:tcPr>
            <w:tcW w:w="1079" w:type="dxa"/>
          </w:tcPr>
          <w:p w14:paraId="27829856" w14:textId="77777777" w:rsidR="00137DC5" w:rsidRDefault="00137DC5" w:rsidP="006261B1">
            <w:pPr>
              <w:rPr>
                <w:sz w:val="20"/>
                <w:szCs w:val="20"/>
              </w:rPr>
            </w:pPr>
            <w:r>
              <w:rPr>
                <w:sz w:val="20"/>
                <w:szCs w:val="20"/>
              </w:rPr>
              <w:t>Y</w:t>
            </w:r>
          </w:p>
        </w:tc>
        <w:tc>
          <w:tcPr>
            <w:tcW w:w="1081" w:type="dxa"/>
          </w:tcPr>
          <w:p w14:paraId="581AEC50" w14:textId="77777777" w:rsidR="00137DC5" w:rsidRDefault="00137DC5" w:rsidP="006261B1">
            <w:pPr>
              <w:rPr>
                <w:sz w:val="20"/>
                <w:szCs w:val="20"/>
              </w:rPr>
            </w:pPr>
            <w:r>
              <w:rPr>
                <w:sz w:val="20"/>
                <w:szCs w:val="20"/>
              </w:rPr>
              <w:t>Y</w:t>
            </w:r>
          </w:p>
        </w:tc>
        <w:tc>
          <w:tcPr>
            <w:tcW w:w="1008" w:type="dxa"/>
          </w:tcPr>
          <w:p w14:paraId="1BE8A76F" w14:textId="77777777" w:rsidR="00137DC5" w:rsidRDefault="00137DC5" w:rsidP="006261B1">
            <w:pPr>
              <w:rPr>
                <w:sz w:val="20"/>
                <w:szCs w:val="20"/>
              </w:rPr>
            </w:pPr>
            <w:r>
              <w:rPr>
                <w:sz w:val="20"/>
                <w:szCs w:val="20"/>
              </w:rPr>
              <w:t>Y</w:t>
            </w:r>
          </w:p>
        </w:tc>
        <w:tc>
          <w:tcPr>
            <w:tcW w:w="1007" w:type="dxa"/>
          </w:tcPr>
          <w:p w14:paraId="476C1628" w14:textId="77777777" w:rsidR="00137DC5" w:rsidRDefault="00137DC5" w:rsidP="006261B1">
            <w:pPr>
              <w:rPr>
                <w:sz w:val="20"/>
                <w:szCs w:val="20"/>
              </w:rPr>
            </w:pPr>
            <w:r>
              <w:rPr>
                <w:sz w:val="20"/>
                <w:szCs w:val="20"/>
              </w:rPr>
              <w:t>Y</w:t>
            </w:r>
          </w:p>
        </w:tc>
        <w:tc>
          <w:tcPr>
            <w:tcW w:w="1153" w:type="dxa"/>
          </w:tcPr>
          <w:p w14:paraId="189AC54A" w14:textId="77777777" w:rsidR="00137DC5" w:rsidRDefault="00137DC5" w:rsidP="006261B1">
            <w:pPr>
              <w:rPr>
                <w:sz w:val="20"/>
                <w:szCs w:val="20"/>
              </w:rPr>
            </w:pPr>
            <w:r>
              <w:rPr>
                <w:sz w:val="20"/>
                <w:szCs w:val="20"/>
              </w:rPr>
              <w:t>Y</w:t>
            </w:r>
          </w:p>
        </w:tc>
        <w:tc>
          <w:tcPr>
            <w:tcW w:w="1008" w:type="dxa"/>
          </w:tcPr>
          <w:p w14:paraId="048F69AC" w14:textId="77777777" w:rsidR="00137DC5" w:rsidRDefault="00137DC5" w:rsidP="006261B1">
            <w:pPr>
              <w:rPr>
                <w:sz w:val="20"/>
                <w:szCs w:val="20"/>
              </w:rPr>
            </w:pPr>
            <w:r>
              <w:rPr>
                <w:sz w:val="20"/>
                <w:szCs w:val="20"/>
              </w:rPr>
              <w:t>P</w:t>
            </w:r>
          </w:p>
        </w:tc>
        <w:tc>
          <w:tcPr>
            <w:tcW w:w="1439" w:type="dxa"/>
          </w:tcPr>
          <w:p w14:paraId="0CD5B165" w14:textId="77777777" w:rsidR="00137DC5" w:rsidRDefault="00137DC5" w:rsidP="006261B1">
            <w:pPr>
              <w:rPr>
                <w:sz w:val="20"/>
                <w:szCs w:val="20"/>
              </w:rPr>
            </w:pPr>
            <w:r>
              <w:rPr>
                <w:sz w:val="20"/>
                <w:szCs w:val="20"/>
              </w:rPr>
              <w:t>Y</w:t>
            </w:r>
          </w:p>
        </w:tc>
        <w:tc>
          <w:tcPr>
            <w:tcW w:w="1152" w:type="dxa"/>
          </w:tcPr>
          <w:p w14:paraId="7D033539" w14:textId="77777777" w:rsidR="00137DC5" w:rsidRDefault="00137DC5" w:rsidP="006261B1">
            <w:pPr>
              <w:rPr>
                <w:sz w:val="20"/>
                <w:szCs w:val="20"/>
              </w:rPr>
            </w:pPr>
            <w:r>
              <w:rPr>
                <w:sz w:val="20"/>
                <w:szCs w:val="20"/>
              </w:rPr>
              <w:t>Y</w:t>
            </w:r>
          </w:p>
        </w:tc>
        <w:tc>
          <w:tcPr>
            <w:tcW w:w="1368" w:type="dxa"/>
          </w:tcPr>
          <w:p w14:paraId="7F1DBB1F" w14:textId="77777777" w:rsidR="00137DC5" w:rsidRDefault="00137DC5" w:rsidP="006261B1">
            <w:pPr>
              <w:rPr>
                <w:sz w:val="20"/>
                <w:szCs w:val="20"/>
              </w:rPr>
            </w:pPr>
            <w:r>
              <w:rPr>
                <w:sz w:val="20"/>
                <w:szCs w:val="20"/>
              </w:rPr>
              <w:t>Moderate–high</w:t>
            </w:r>
          </w:p>
        </w:tc>
      </w:tr>
      <w:tr w:rsidR="00137DC5" w14:paraId="5B608B0D" w14:textId="77777777" w:rsidTr="006261B1">
        <w:trPr>
          <w:cantSplit/>
          <w:jc w:val="center"/>
        </w:trPr>
        <w:tc>
          <w:tcPr>
            <w:tcW w:w="2376" w:type="dxa"/>
          </w:tcPr>
          <w:p w14:paraId="5601E440" w14:textId="77777777" w:rsidR="00137DC5" w:rsidRDefault="00137DC5" w:rsidP="006261B1">
            <w:pPr>
              <w:rPr>
                <w:sz w:val="20"/>
                <w:szCs w:val="20"/>
              </w:rPr>
            </w:pPr>
            <w:r>
              <w:rPr>
                <w:sz w:val="20"/>
                <w:szCs w:val="20"/>
              </w:rPr>
              <w:t>Hanlon et al. (2022)</w:t>
            </w:r>
          </w:p>
        </w:tc>
        <w:tc>
          <w:tcPr>
            <w:tcW w:w="1079" w:type="dxa"/>
          </w:tcPr>
          <w:p w14:paraId="219E5B7F" w14:textId="77777777" w:rsidR="00137DC5" w:rsidRDefault="00137DC5" w:rsidP="006261B1">
            <w:pPr>
              <w:rPr>
                <w:sz w:val="20"/>
                <w:szCs w:val="20"/>
              </w:rPr>
            </w:pPr>
            <w:r>
              <w:rPr>
                <w:sz w:val="20"/>
                <w:szCs w:val="20"/>
              </w:rPr>
              <w:t>Y</w:t>
            </w:r>
          </w:p>
        </w:tc>
        <w:tc>
          <w:tcPr>
            <w:tcW w:w="1081" w:type="dxa"/>
          </w:tcPr>
          <w:p w14:paraId="5328CE5C" w14:textId="77777777" w:rsidR="00137DC5" w:rsidRDefault="00137DC5" w:rsidP="006261B1">
            <w:pPr>
              <w:rPr>
                <w:sz w:val="20"/>
                <w:szCs w:val="20"/>
              </w:rPr>
            </w:pPr>
            <w:r>
              <w:rPr>
                <w:sz w:val="20"/>
                <w:szCs w:val="20"/>
              </w:rPr>
              <w:t>Y</w:t>
            </w:r>
          </w:p>
        </w:tc>
        <w:tc>
          <w:tcPr>
            <w:tcW w:w="1008" w:type="dxa"/>
          </w:tcPr>
          <w:p w14:paraId="5F81743D" w14:textId="77777777" w:rsidR="00137DC5" w:rsidRDefault="00137DC5" w:rsidP="006261B1">
            <w:pPr>
              <w:rPr>
                <w:sz w:val="20"/>
                <w:szCs w:val="20"/>
              </w:rPr>
            </w:pPr>
            <w:r>
              <w:rPr>
                <w:sz w:val="20"/>
                <w:szCs w:val="20"/>
              </w:rPr>
              <w:t>Y</w:t>
            </w:r>
          </w:p>
        </w:tc>
        <w:tc>
          <w:tcPr>
            <w:tcW w:w="1007" w:type="dxa"/>
          </w:tcPr>
          <w:p w14:paraId="045539AE" w14:textId="77777777" w:rsidR="00137DC5" w:rsidRDefault="00137DC5" w:rsidP="006261B1">
            <w:pPr>
              <w:rPr>
                <w:sz w:val="20"/>
                <w:szCs w:val="20"/>
              </w:rPr>
            </w:pPr>
            <w:r>
              <w:rPr>
                <w:sz w:val="20"/>
                <w:szCs w:val="20"/>
              </w:rPr>
              <w:t>Y</w:t>
            </w:r>
          </w:p>
        </w:tc>
        <w:tc>
          <w:tcPr>
            <w:tcW w:w="1153" w:type="dxa"/>
          </w:tcPr>
          <w:p w14:paraId="549282CE" w14:textId="77777777" w:rsidR="00137DC5" w:rsidRDefault="00137DC5" w:rsidP="006261B1">
            <w:pPr>
              <w:rPr>
                <w:sz w:val="20"/>
                <w:szCs w:val="20"/>
              </w:rPr>
            </w:pPr>
            <w:r>
              <w:rPr>
                <w:sz w:val="20"/>
                <w:szCs w:val="20"/>
              </w:rPr>
              <w:t>P</w:t>
            </w:r>
          </w:p>
        </w:tc>
        <w:tc>
          <w:tcPr>
            <w:tcW w:w="1008" w:type="dxa"/>
          </w:tcPr>
          <w:p w14:paraId="13B0F454" w14:textId="77777777" w:rsidR="00137DC5" w:rsidRDefault="00137DC5" w:rsidP="006261B1">
            <w:pPr>
              <w:rPr>
                <w:sz w:val="20"/>
                <w:szCs w:val="20"/>
              </w:rPr>
            </w:pPr>
            <w:r>
              <w:rPr>
                <w:sz w:val="20"/>
                <w:szCs w:val="20"/>
              </w:rPr>
              <w:t>Y</w:t>
            </w:r>
          </w:p>
        </w:tc>
        <w:tc>
          <w:tcPr>
            <w:tcW w:w="1439" w:type="dxa"/>
          </w:tcPr>
          <w:p w14:paraId="0699E5AE" w14:textId="77777777" w:rsidR="00137DC5" w:rsidRDefault="00137DC5" w:rsidP="006261B1">
            <w:pPr>
              <w:rPr>
                <w:sz w:val="20"/>
                <w:szCs w:val="20"/>
              </w:rPr>
            </w:pPr>
            <w:r>
              <w:rPr>
                <w:sz w:val="20"/>
                <w:szCs w:val="20"/>
              </w:rPr>
              <w:t>Y</w:t>
            </w:r>
          </w:p>
        </w:tc>
        <w:tc>
          <w:tcPr>
            <w:tcW w:w="1152" w:type="dxa"/>
          </w:tcPr>
          <w:p w14:paraId="590CE94D" w14:textId="77777777" w:rsidR="00137DC5" w:rsidRDefault="00137DC5" w:rsidP="006261B1">
            <w:pPr>
              <w:rPr>
                <w:sz w:val="20"/>
                <w:szCs w:val="20"/>
              </w:rPr>
            </w:pPr>
            <w:r>
              <w:rPr>
                <w:sz w:val="20"/>
                <w:szCs w:val="20"/>
              </w:rPr>
              <w:t>Y</w:t>
            </w:r>
          </w:p>
        </w:tc>
        <w:tc>
          <w:tcPr>
            <w:tcW w:w="1368" w:type="dxa"/>
          </w:tcPr>
          <w:p w14:paraId="5F5F0570" w14:textId="77777777" w:rsidR="00137DC5" w:rsidRDefault="00137DC5" w:rsidP="006261B1">
            <w:pPr>
              <w:rPr>
                <w:sz w:val="20"/>
                <w:szCs w:val="20"/>
              </w:rPr>
            </w:pPr>
            <w:r>
              <w:rPr>
                <w:sz w:val="20"/>
                <w:szCs w:val="20"/>
              </w:rPr>
              <w:t>Moderate–high</w:t>
            </w:r>
          </w:p>
        </w:tc>
      </w:tr>
      <w:tr w:rsidR="00137DC5" w14:paraId="5B68587C" w14:textId="77777777" w:rsidTr="006261B1">
        <w:trPr>
          <w:cantSplit/>
          <w:jc w:val="center"/>
        </w:trPr>
        <w:tc>
          <w:tcPr>
            <w:tcW w:w="2376" w:type="dxa"/>
          </w:tcPr>
          <w:p w14:paraId="21C36B1C" w14:textId="77777777" w:rsidR="00137DC5" w:rsidRDefault="00137DC5" w:rsidP="006261B1">
            <w:pPr>
              <w:rPr>
                <w:sz w:val="20"/>
                <w:szCs w:val="20"/>
              </w:rPr>
            </w:pPr>
            <w:r>
              <w:rPr>
                <w:sz w:val="20"/>
                <w:szCs w:val="20"/>
              </w:rPr>
              <w:t>Morton et al. (2023)</w:t>
            </w:r>
          </w:p>
        </w:tc>
        <w:tc>
          <w:tcPr>
            <w:tcW w:w="1079" w:type="dxa"/>
          </w:tcPr>
          <w:p w14:paraId="60F0CE89" w14:textId="77777777" w:rsidR="00137DC5" w:rsidRDefault="00137DC5" w:rsidP="006261B1">
            <w:pPr>
              <w:rPr>
                <w:sz w:val="20"/>
                <w:szCs w:val="20"/>
              </w:rPr>
            </w:pPr>
            <w:r>
              <w:rPr>
                <w:sz w:val="20"/>
                <w:szCs w:val="20"/>
              </w:rPr>
              <w:t>Y</w:t>
            </w:r>
          </w:p>
        </w:tc>
        <w:tc>
          <w:tcPr>
            <w:tcW w:w="1081" w:type="dxa"/>
          </w:tcPr>
          <w:p w14:paraId="113054E9" w14:textId="77777777" w:rsidR="00137DC5" w:rsidRDefault="00137DC5" w:rsidP="006261B1">
            <w:pPr>
              <w:rPr>
                <w:sz w:val="20"/>
                <w:szCs w:val="20"/>
              </w:rPr>
            </w:pPr>
            <w:r>
              <w:rPr>
                <w:sz w:val="20"/>
                <w:szCs w:val="20"/>
              </w:rPr>
              <w:t>P</w:t>
            </w:r>
          </w:p>
        </w:tc>
        <w:tc>
          <w:tcPr>
            <w:tcW w:w="1008" w:type="dxa"/>
          </w:tcPr>
          <w:p w14:paraId="06361AC8" w14:textId="77777777" w:rsidR="00137DC5" w:rsidRDefault="00137DC5" w:rsidP="006261B1">
            <w:pPr>
              <w:rPr>
                <w:sz w:val="20"/>
                <w:szCs w:val="20"/>
              </w:rPr>
            </w:pPr>
            <w:r>
              <w:rPr>
                <w:sz w:val="20"/>
                <w:szCs w:val="20"/>
              </w:rPr>
              <w:t>Y</w:t>
            </w:r>
          </w:p>
        </w:tc>
        <w:tc>
          <w:tcPr>
            <w:tcW w:w="1007" w:type="dxa"/>
          </w:tcPr>
          <w:p w14:paraId="64AE1D9B" w14:textId="77777777" w:rsidR="00137DC5" w:rsidRDefault="00137DC5" w:rsidP="006261B1">
            <w:pPr>
              <w:rPr>
                <w:sz w:val="20"/>
                <w:szCs w:val="20"/>
              </w:rPr>
            </w:pPr>
            <w:r>
              <w:rPr>
                <w:sz w:val="20"/>
                <w:szCs w:val="20"/>
              </w:rPr>
              <w:t>Y</w:t>
            </w:r>
          </w:p>
        </w:tc>
        <w:tc>
          <w:tcPr>
            <w:tcW w:w="1153" w:type="dxa"/>
          </w:tcPr>
          <w:p w14:paraId="06B2B0EF" w14:textId="77777777" w:rsidR="00137DC5" w:rsidRDefault="00137DC5" w:rsidP="006261B1">
            <w:pPr>
              <w:rPr>
                <w:sz w:val="20"/>
                <w:szCs w:val="20"/>
              </w:rPr>
            </w:pPr>
            <w:r>
              <w:rPr>
                <w:sz w:val="20"/>
                <w:szCs w:val="20"/>
              </w:rPr>
              <w:t>P</w:t>
            </w:r>
          </w:p>
        </w:tc>
        <w:tc>
          <w:tcPr>
            <w:tcW w:w="1008" w:type="dxa"/>
          </w:tcPr>
          <w:p w14:paraId="103A6A56" w14:textId="77777777" w:rsidR="00137DC5" w:rsidRDefault="00137DC5" w:rsidP="006261B1">
            <w:pPr>
              <w:rPr>
                <w:sz w:val="20"/>
                <w:szCs w:val="20"/>
              </w:rPr>
            </w:pPr>
            <w:r>
              <w:rPr>
                <w:sz w:val="20"/>
                <w:szCs w:val="20"/>
              </w:rPr>
              <w:t>Y</w:t>
            </w:r>
          </w:p>
        </w:tc>
        <w:tc>
          <w:tcPr>
            <w:tcW w:w="1439" w:type="dxa"/>
          </w:tcPr>
          <w:p w14:paraId="2C0E30D9" w14:textId="77777777" w:rsidR="00137DC5" w:rsidRDefault="00137DC5" w:rsidP="006261B1">
            <w:pPr>
              <w:rPr>
                <w:sz w:val="20"/>
                <w:szCs w:val="20"/>
              </w:rPr>
            </w:pPr>
            <w:r>
              <w:rPr>
                <w:sz w:val="20"/>
                <w:szCs w:val="20"/>
              </w:rPr>
              <w:t>Y</w:t>
            </w:r>
          </w:p>
        </w:tc>
        <w:tc>
          <w:tcPr>
            <w:tcW w:w="1152" w:type="dxa"/>
          </w:tcPr>
          <w:p w14:paraId="3774B2E0" w14:textId="77777777" w:rsidR="00137DC5" w:rsidRDefault="00137DC5" w:rsidP="006261B1">
            <w:pPr>
              <w:rPr>
                <w:sz w:val="20"/>
                <w:szCs w:val="20"/>
              </w:rPr>
            </w:pPr>
            <w:r>
              <w:rPr>
                <w:sz w:val="20"/>
                <w:szCs w:val="20"/>
              </w:rPr>
              <w:t>Y</w:t>
            </w:r>
          </w:p>
        </w:tc>
        <w:tc>
          <w:tcPr>
            <w:tcW w:w="1368" w:type="dxa"/>
          </w:tcPr>
          <w:p w14:paraId="12FEFE24" w14:textId="77777777" w:rsidR="00137DC5" w:rsidRDefault="00137DC5" w:rsidP="006261B1">
            <w:pPr>
              <w:rPr>
                <w:sz w:val="20"/>
                <w:szCs w:val="20"/>
              </w:rPr>
            </w:pPr>
            <w:r>
              <w:rPr>
                <w:sz w:val="20"/>
                <w:szCs w:val="20"/>
              </w:rPr>
              <w:t>Moderate</w:t>
            </w:r>
          </w:p>
        </w:tc>
      </w:tr>
      <w:tr w:rsidR="00137DC5" w14:paraId="5F4D2D2C" w14:textId="77777777" w:rsidTr="006261B1">
        <w:trPr>
          <w:cantSplit/>
          <w:jc w:val="center"/>
        </w:trPr>
        <w:tc>
          <w:tcPr>
            <w:tcW w:w="2376" w:type="dxa"/>
          </w:tcPr>
          <w:p w14:paraId="4D1769BC" w14:textId="77777777" w:rsidR="00137DC5" w:rsidRDefault="00137DC5" w:rsidP="006261B1">
            <w:pPr>
              <w:rPr>
                <w:sz w:val="20"/>
                <w:szCs w:val="20"/>
              </w:rPr>
            </w:pPr>
            <w:r>
              <w:rPr>
                <w:sz w:val="20"/>
                <w:szCs w:val="20"/>
              </w:rPr>
              <w:t>Bechman et al. (2024)</w:t>
            </w:r>
          </w:p>
        </w:tc>
        <w:tc>
          <w:tcPr>
            <w:tcW w:w="1079" w:type="dxa"/>
          </w:tcPr>
          <w:p w14:paraId="16401F3A" w14:textId="77777777" w:rsidR="00137DC5" w:rsidRDefault="00137DC5" w:rsidP="006261B1">
            <w:pPr>
              <w:rPr>
                <w:sz w:val="20"/>
                <w:szCs w:val="20"/>
              </w:rPr>
            </w:pPr>
            <w:r>
              <w:rPr>
                <w:sz w:val="20"/>
                <w:szCs w:val="20"/>
              </w:rPr>
              <w:t>Y</w:t>
            </w:r>
          </w:p>
        </w:tc>
        <w:tc>
          <w:tcPr>
            <w:tcW w:w="1081" w:type="dxa"/>
          </w:tcPr>
          <w:p w14:paraId="34FAA3F3" w14:textId="77777777" w:rsidR="00137DC5" w:rsidRDefault="00137DC5" w:rsidP="006261B1">
            <w:pPr>
              <w:rPr>
                <w:sz w:val="20"/>
                <w:szCs w:val="20"/>
              </w:rPr>
            </w:pPr>
            <w:r>
              <w:rPr>
                <w:sz w:val="20"/>
                <w:szCs w:val="20"/>
              </w:rPr>
              <w:t>Y</w:t>
            </w:r>
          </w:p>
        </w:tc>
        <w:tc>
          <w:tcPr>
            <w:tcW w:w="1008" w:type="dxa"/>
          </w:tcPr>
          <w:p w14:paraId="0E707DBE" w14:textId="77777777" w:rsidR="00137DC5" w:rsidRDefault="00137DC5" w:rsidP="006261B1">
            <w:pPr>
              <w:rPr>
                <w:sz w:val="20"/>
                <w:szCs w:val="20"/>
              </w:rPr>
            </w:pPr>
            <w:r>
              <w:rPr>
                <w:sz w:val="20"/>
                <w:szCs w:val="20"/>
              </w:rPr>
              <w:t>Y</w:t>
            </w:r>
          </w:p>
        </w:tc>
        <w:tc>
          <w:tcPr>
            <w:tcW w:w="1007" w:type="dxa"/>
          </w:tcPr>
          <w:p w14:paraId="0C949B0C" w14:textId="77777777" w:rsidR="00137DC5" w:rsidRDefault="00137DC5" w:rsidP="006261B1">
            <w:pPr>
              <w:rPr>
                <w:sz w:val="20"/>
                <w:szCs w:val="20"/>
              </w:rPr>
            </w:pPr>
            <w:r>
              <w:rPr>
                <w:sz w:val="20"/>
                <w:szCs w:val="20"/>
              </w:rPr>
              <w:t>Y</w:t>
            </w:r>
          </w:p>
        </w:tc>
        <w:tc>
          <w:tcPr>
            <w:tcW w:w="1153" w:type="dxa"/>
          </w:tcPr>
          <w:p w14:paraId="3C0CD79A" w14:textId="77777777" w:rsidR="00137DC5" w:rsidRDefault="00137DC5" w:rsidP="006261B1">
            <w:pPr>
              <w:rPr>
                <w:sz w:val="20"/>
                <w:szCs w:val="20"/>
              </w:rPr>
            </w:pPr>
            <w:r>
              <w:rPr>
                <w:sz w:val="20"/>
                <w:szCs w:val="20"/>
              </w:rPr>
              <w:t>Y</w:t>
            </w:r>
          </w:p>
        </w:tc>
        <w:tc>
          <w:tcPr>
            <w:tcW w:w="1008" w:type="dxa"/>
          </w:tcPr>
          <w:p w14:paraId="53B80A48" w14:textId="77777777" w:rsidR="00137DC5" w:rsidRDefault="00137DC5" w:rsidP="006261B1">
            <w:pPr>
              <w:rPr>
                <w:sz w:val="20"/>
                <w:szCs w:val="20"/>
              </w:rPr>
            </w:pPr>
            <w:r>
              <w:rPr>
                <w:sz w:val="20"/>
                <w:szCs w:val="20"/>
              </w:rPr>
              <w:t>P</w:t>
            </w:r>
          </w:p>
        </w:tc>
        <w:tc>
          <w:tcPr>
            <w:tcW w:w="1439" w:type="dxa"/>
          </w:tcPr>
          <w:p w14:paraId="566F561B" w14:textId="77777777" w:rsidR="00137DC5" w:rsidRDefault="00137DC5" w:rsidP="006261B1">
            <w:pPr>
              <w:rPr>
                <w:sz w:val="20"/>
                <w:szCs w:val="20"/>
              </w:rPr>
            </w:pPr>
            <w:r>
              <w:rPr>
                <w:sz w:val="20"/>
                <w:szCs w:val="20"/>
              </w:rPr>
              <w:t>Y</w:t>
            </w:r>
          </w:p>
        </w:tc>
        <w:tc>
          <w:tcPr>
            <w:tcW w:w="1152" w:type="dxa"/>
          </w:tcPr>
          <w:p w14:paraId="08471D82" w14:textId="77777777" w:rsidR="00137DC5" w:rsidRDefault="00137DC5" w:rsidP="006261B1">
            <w:pPr>
              <w:rPr>
                <w:sz w:val="20"/>
                <w:szCs w:val="20"/>
              </w:rPr>
            </w:pPr>
            <w:r>
              <w:rPr>
                <w:sz w:val="20"/>
                <w:szCs w:val="20"/>
              </w:rPr>
              <w:t>Y</w:t>
            </w:r>
          </w:p>
        </w:tc>
        <w:tc>
          <w:tcPr>
            <w:tcW w:w="1368" w:type="dxa"/>
          </w:tcPr>
          <w:p w14:paraId="2B43B395" w14:textId="77777777" w:rsidR="00137DC5" w:rsidRDefault="00137DC5" w:rsidP="006261B1">
            <w:pPr>
              <w:rPr>
                <w:sz w:val="20"/>
                <w:szCs w:val="20"/>
              </w:rPr>
            </w:pPr>
            <w:r>
              <w:rPr>
                <w:sz w:val="20"/>
                <w:szCs w:val="20"/>
              </w:rPr>
              <w:t>Moderate–high</w:t>
            </w:r>
          </w:p>
        </w:tc>
      </w:tr>
      <w:tr w:rsidR="00137DC5" w14:paraId="12C41A5B" w14:textId="77777777" w:rsidTr="006261B1">
        <w:trPr>
          <w:cantSplit/>
          <w:jc w:val="center"/>
        </w:trPr>
        <w:tc>
          <w:tcPr>
            <w:tcW w:w="2376" w:type="dxa"/>
          </w:tcPr>
          <w:p w14:paraId="2ECAED38" w14:textId="77777777" w:rsidR="00137DC5" w:rsidRDefault="00137DC5" w:rsidP="006261B1">
            <w:pPr>
              <w:rPr>
                <w:sz w:val="20"/>
                <w:szCs w:val="20"/>
              </w:rPr>
            </w:pPr>
            <w:r>
              <w:rPr>
                <w:sz w:val="20"/>
                <w:szCs w:val="20"/>
              </w:rPr>
              <w:t>Adas et al. (2024)</w:t>
            </w:r>
          </w:p>
        </w:tc>
        <w:tc>
          <w:tcPr>
            <w:tcW w:w="1079" w:type="dxa"/>
          </w:tcPr>
          <w:p w14:paraId="39FB36F7" w14:textId="77777777" w:rsidR="00137DC5" w:rsidRDefault="00137DC5" w:rsidP="006261B1">
            <w:pPr>
              <w:rPr>
                <w:sz w:val="20"/>
                <w:szCs w:val="20"/>
              </w:rPr>
            </w:pPr>
            <w:r>
              <w:rPr>
                <w:sz w:val="20"/>
                <w:szCs w:val="20"/>
              </w:rPr>
              <w:t>Y</w:t>
            </w:r>
          </w:p>
        </w:tc>
        <w:tc>
          <w:tcPr>
            <w:tcW w:w="1081" w:type="dxa"/>
          </w:tcPr>
          <w:p w14:paraId="75786F5A" w14:textId="77777777" w:rsidR="00137DC5" w:rsidRDefault="00137DC5" w:rsidP="006261B1">
            <w:pPr>
              <w:rPr>
                <w:sz w:val="20"/>
                <w:szCs w:val="20"/>
              </w:rPr>
            </w:pPr>
            <w:r>
              <w:rPr>
                <w:sz w:val="20"/>
                <w:szCs w:val="20"/>
              </w:rPr>
              <w:t>Y</w:t>
            </w:r>
          </w:p>
        </w:tc>
        <w:tc>
          <w:tcPr>
            <w:tcW w:w="1008" w:type="dxa"/>
          </w:tcPr>
          <w:p w14:paraId="2854D6CB" w14:textId="77777777" w:rsidR="00137DC5" w:rsidRDefault="00137DC5" w:rsidP="006261B1">
            <w:pPr>
              <w:rPr>
                <w:sz w:val="20"/>
                <w:szCs w:val="20"/>
              </w:rPr>
            </w:pPr>
            <w:r>
              <w:rPr>
                <w:sz w:val="20"/>
                <w:szCs w:val="20"/>
              </w:rPr>
              <w:t>Y</w:t>
            </w:r>
          </w:p>
        </w:tc>
        <w:tc>
          <w:tcPr>
            <w:tcW w:w="1007" w:type="dxa"/>
          </w:tcPr>
          <w:p w14:paraId="59C0F067" w14:textId="77777777" w:rsidR="00137DC5" w:rsidRDefault="00137DC5" w:rsidP="006261B1">
            <w:pPr>
              <w:rPr>
                <w:sz w:val="20"/>
                <w:szCs w:val="20"/>
              </w:rPr>
            </w:pPr>
            <w:r>
              <w:rPr>
                <w:sz w:val="20"/>
                <w:szCs w:val="20"/>
              </w:rPr>
              <w:t>Y</w:t>
            </w:r>
          </w:p>
        </w:tc>
        <w:tc>
          <w:tcPr>
            <w:tcW w:w="1153" w:type="dxa"/>
          </w:tcPr>
          <w:p w14:paraId="59D38445" w14:textId="77777777" w:rsidR="00137DC5" w:rsidRDefault="00137DC5" w:rsidP="006261B1">
            <w:pPr>
              <w:rPr>
                <w:sz w:val="20"/>
                <w:szCs w:val="20"/>
              </w:rPr>
            </w:pPr>
            <w:r>
              <w:rPr>
                <w:sz w:val="20"/>
                <w:szCs w:val="20"/>
              </w:rPr>
              <w:t>Y</w:t>
            </w:r>
          </w:p>
        </w:tc>
        <w:tc>
          <w:tcPr>
            <w:tcW w:w="1008" w:type="dxa"/>
          </w:tcPr>
          <w:p w14:paraId="228637A4" w14:textId="77777777" w:rsidR="00137DC5" w:rsidRDefault="00137DC5" w:rsidP="006261B1">
            <w:pPr>
              <w:rPr>
                <w:sz w:val="20"/>
                <w:szCs w:val="20"/>
              </w:rPr>
            </w:pPr>
            <w:r>
              <w:rPr>
                <w:sz w:val="20"/>
                <w:szCs w:val="20"/>
              </w:rPr>
              <w:t>P</w:t>
            </w:r>
          </w:p>
        </w:tc>
        <w:tc>
          <w:tcPr>
            <w:tcW w:w="1439" w:type="dxa"/>
          </w:tcPr>
          <w:p w14:paraId="121149A0" w14:textId="77777777" w:rsidR="00137DC5" w:rsidRDefault="00137DC5" w:rsidP="006261B1">
            <w:pPr>
              <w:rPr>
                <w:sz w:val="20"/>
                <w:szCs w:val="20"/>
              </w:rPr>
            </w:pPr>
            <w:r>
              <w:rPr>
                <w:sz w:val="20"/>
                <w:szCs w:val="20"/>
              </w:rPr>
              <w:t>Y</w:t>
            </w:r>
          </w:p>
        </w:tc>
        <w:tc>
          <w:tcPr>
            <w:tcW w:w="1152" w:type="dxa"/>
          </w:tcPr>
          <w:p w14:paraId="3C4237B2" w14:textId="77777777" w:rsidR="00137DC5" w:rsidRDefault="00137DC5" w:rsidP="006261B1">
            <w:pPr>
              <w:rPr>
                <w:sz w:val="20"/>
                <w:szCs w:val="20"/>
              </w:rPr>
            </w:pPr>
            <w:r>
              <w:rPr>
                <w:sz w:val="20"/>
                <w:szCs w:val="20"/>
              </w:rPr>
              <w:t>Y</w:t>
            </w:r>
          </w:p>
        </w:tc>
        <w:tc>
          <w:tcPr>
            <w:tcW w:w="1368" w:type="dxa"/>
          </w:tcPr>
          <w:p w14:paraId="535F86D2" w14:textId="77777777" w:rsidR="00137DC5" w:rsidRDefault="00137DC5" w:rsidP="006261B1">
            <w:pPr>
              <w:rPr>
                <w:sz w:val="20"/>
                <w:szCs w:val="20"/>
              </w:rPr>
            </w:pPr>
            <w:r>
              <w:rPr>
                <w:sz w:val="20"/>
                <w:szCs w:val="20"/>
              </w:rPr>
              <w:t>Moderate–high</w:t>
            </w:r>
          </w:p>
        </w:tc>
      </w:tr>
      <w:tr w:rsidR="00137DC5" w14:paraId="30C58831" w14:textId="77777777" w:rsidTr="006261B1">
        <w:trPr>
          <w:cantSplit/>
          <w:jc w:val="center"/>
        </w:trPr>
        <w:tc>
          <w:tcPr>
            <w:tcW w:w="2376" w:type="dxa"/>
          </w:tcPr>
          <w:p w14:paraId="0833D666" w14:textId="77777777" w:rsidR="00137DC5" w:rsidRDefault="00137DC5" w:rsidP="006261B1">
            <w:pPr>
              <w:rPr>
                <w:sz w:val="20"/>
                <w:szCs w:val="20"/>
              </w:rPr>
            </w:pPr>
            <w:r>
              <w:rPr>
                <w:sz w:val="20"/>
                <w:szCs w:val="20"/>
              </w:rPr>
              <w:t>Zhao et al. (2025)</w:t>
            </w:r>
          </w:p>
        </w:tc>
        <w:tc>
          <w:tcPr>
            <w:tcW w:w="1079" w:type="dxa"/>
          </w:tcPr>
          <w:p w14:paraId="47B4C984" w14:textId="77777777" w:rsidR="00137DC5" w:rsidRDefault="00137DC5" w:rsidP="006261B1">
            <w:pPr>
              <w:rPr>
                <w:sz w:val="20"/>
                <w:szCs w:val="20"/>
              </w:rPr>
            </w:pPr>
            <w:r>
              <w:rPr>
                <w:sz w:val="20"/>
                <w:szCs w:val="20"/>
              </w:rPr>
              <w:t>Y</w:t>
            </w:r>
          </w:p>
        </w:tc>
        <w:tc>
          <w:tcPr>
            <w:tcW w:w="1081" w:type="dxa"/>
          </w:tcPr>
          <w:p w14:paraId="7DA3AB36" w14:textId="77777777" w:rsidR="00137DC5" w:rsidRDefault="00137DC5" w:rsidP="006261B1">
            <w:pPr>
              <w:rPr>
                <w:sz w:val="20"/>
                <w:szCs w:val="20"/>
              </w:rPr>
            </w:pPr>
            <w:r>
              <w:rPr>
                <w:sz w:val="20"/>
                <w:szCs w:val="20"/>
              </w:rPr>
              <w:t>Y</w:t>
            </w:r>
          </w:p>
        </w:tc>
        <w:tc>
          <w:tcPr>
            <w:tcW w:w="1008" w:type="dxa"/>
          </w:tcPr>
          <w:p w14:paraId="0AEC23CB" w14:textId="77777777" w:rsidR="00137DC5" w:rsidRDefault="00137DC5" w:rsidP="006261B1">
            <w:pPr>
              <w:rPr>
                <w:sz w:val="20"/>
                <w:szCs w:val="20"/>
              </w:rPr>
            </w:pPr>
            <w:r>
              <w:rPr>
                <w:sz w:val="20"/>
                <w:szCs w:val="20"/>
              </w:rPr>
              <w:t>Y</w:t>
            </w:r>
          </w:p>
        </w:tc>
        <w:tc>
          <w:tcPr>
            <w:tcW w:w="1007" w:type="dxa"/>
          </w:tcPr>
          <w:p w14:paraId="2025C8E3" w14:textId="77777777" w:rsidR="00137DC5" w:rsidRDefault="00137DC5" w:rsidP="006261B1">
            <w:pPr>
              <w:rPr>
                <w:sz w:val="20"/>
                <w:szCs w:val="20"/>
              </w:rPr>
            </w:pPr>
            <w:r>
              <w:rPr>
                <w:sz w:val="20"/>
                <w:szCs w:val="20"/>
              </w:rPr>
              <w:t>Y</w:t>
            </w:r>
          </w:p>
        </w:tc>
        <w:tc>
          <w:tcPr>
            <w:tcW w:w="1153" w:type="dxa"/>
          </w:tcPr>
          <w:p w14:paraId="64987166" w14:textId="77777777" w:rsidR="00137DC5" w:rsidRDefault="00137DC5" w:rsidP="006261B1">
            <w:pPr>
              <w:rPr>
                <w:sz w:val="20"/>
                <w:szCs w:val="20"/>
              </w:rPr>
            </w:pPr>
            <w:r>
              <w:rPr>
                <w:sz w:val="20"/>
                <w:szCs w:val="20"/>
              </w:rPr>
              <w:t>Y</w:t>
            </w:r>
          </w:p>
        </w:tc>
        <w:tc>
          <w:tcPr>
            <w:tcW w:w="1008" w:type="dxa"/>
          </w:tcPr>
          <w:p w14:paraId="47433417" w14:textId="77777777" w:rsidR="00137DC5" w:rsidRDefault="00137DC5" w:rsidP="006261B1">
            <w:pPr>
              <w:rPr>
                <w:sz w:val="20"/>
                <w:szCs w:val="20"/>
              </w:rPr>
            </w:pPr>
            <w:r>
              <w:rPr>
                <w:sz w:val="20"/>
                <w:szCs w:val="20"/>
              </w:rPr>
              <w:t>P</w:t>
            </w:r>
          </w:p>
        </w:tc>
        <w:tc>
          <w:tcPr>
            <w:tcW w:w="1439" w:type="dxa"/>
          </w:tcPr>
          <w:p w14:paraId="78322E9E" w14:textId="77777777" w:rsidR="00137DC5" w:rsidRDefault="00137DC5" w:rsidP="006261B1">
            <w:pPr>
              <w:rPr>
                <w:sz w:val="20"/>
                <w:szCs w:val="20"/>
              </w:rPr>
            </w:pPr>
            <w:r>
              <w:rPr>
                <w:sz w:val="20"/>
                <w:szCs w:val="20"/>
              </w:rPr>
              <w:t>Y</w:t>
            </w:r>
          </w:p>
        </w:tc>
        <w:tc>
          <w:tcPr>
            <w:tcW w:w="1152" w:type="dxa"/>
          </w:tcPr>
          <w:p w14:paraId="3833628D" w14:textId="77777777" w:rsidR="00137DC5" w:rsidRDefault="00137DC5" w:rsidP="006261B1">
            <w:pPr>
              <w:rPr>
                <w:sz w:val="20"/>
                <w:szCs w:val="20"/>
              </w:rPr>
            </w:pPr>
            <w:r>
              <w:rPr>
                <w:sz w:val="20"/>
                <w:szCs w:val="20"/>
              </w:rPr>
              <w:t>Y</w:t>
            </w:r>
          </w:p>
        </w:tc>
        <w:tc>
          <w:tcPr>
            <w:tcW w:w="1368" w:type="dxa"/>
          </w:tcPr>
          <w:p w14:paraId="26589E81" w14:textId="77777777" w:rsidR="00137DC5" w:rsidRDefault="00137DC5" w:rsidP="006261B1">
            <w:pPr>
              <w:rPr>
                <w:sz w:val="20"/>
                <w:szCs w:val="20"/>
              </w:rPr>
            </w:pPr>
            <w:r>
              <w:rPr>
                <w:sz w:val="20"/>
                <w:szCs w:val="20"/>
              </w:rPr>
              <w:t>Moderate–high</w:t>
            </w:r>
          </w:p>
        </w:tc>
      </w:tr>
      <w:tr w:rsidR="00137DC5" w14:paraId="2DCBE45E" w14:textId="77777777" w:rsidTr="006261B1">
        <w:trPr>
          <w:cantSplit/>
          <w:jc w:val="center"/>
        </w:trPr>
        <w:tc>
          <w:tcPr>
            <w:tcW w:w="2376" w:type="dxa"/>
          </w:tcPr>
          <w:p w14:paraId="250684A9" w14:textId="322EC05E" w:rsidR="00137DC5" w:rsidRDefault="00137DC5" w:rsidP="006261B1">
            <w:pPr>
              <w:rPr>
                <w:sz w:val="20"/>
                <w:szCs w:val="20"/>
              </w:rPr>
            </w:pPr>
            <w:r>
              <w:rPr>
                <w:sz w:val="20"/>
                <w:szCs w:val="20"/>
              </w:rPr>
              <w:t>Russell et al. (2025</w:t>
            </w:r>
            <w:r w:rsidR="006407F6">
              <w:rPr>
                <w:sz w:val="20"/>
                <w:szCs w:val="20"/>
              </w:rPr>
              <w:t>a</w:t>
            </w:r>
            <w:r>
              <w:rPr>
                <w:sz w:val="20"/>
                <w:szCs w:val="20"/>
              </w:rPr>
              <w:t>)</w:t>
            </w:r>
          </w:p>
        </w:tc>
        <w:tc>
          <w:tcPr>
            <w:tcW w:w="1079" w:type="dxa"/>
          </w:tcPr>
          <w:p w14:paraId="061C1E77" w14:textId="77777777" w:rsidR="00137DC5" w:rsidRDefault="00137DC5" w:rsidP="006261B1">
            <w:pPr>
              <w:rPr>
                <w:sz w:val="20"/>
                <w:szCs w:val="20"/>
              </w:rPr>
            </w:pPr>
            <w:r>
              <w:rPr>
                <w:sz w:val="20"/>
                <w:szCs w:val="20"/>
              </w:rPr>
              <w:t>Y</w:t>
            </w:r>
          </w:p>
        </w:tc>
        <w:tc>
          <w:tcPr>
            <w:tcW w:w="1081" w:type="dxa"/>
          </w:tcPr>
          <w:p w14:paraId="7FC97140" w14:textId="77777777" w:rsidR="00137DC5" w:rsidRDefault="00137DC5" w:rsidP="006261B1">
            <w:pPr>
              <w:rPr>
                <w:sz w:val="20"/>
                <w:szCs w:val="20"/>
              </w:rPr>
            </w:pPr>
            <w:r>
              <w:rPr>
                <w:sz w:val="20"/>
                <w:szCs w:val="20"/>
              </w:rPr>
              <w:t>Y</w:t>
            </w:r>
          </w:p>
        </w:tc>
        <w:tc>
          <w:tcPr>
            <w:tcW w:w="1008" w:type="dxa"/>
          </w:tcPr>
          <w:p w14:paraId="6E0AA307" w14:textId="77777777" w:rsidR="00137DC5" w:rsidRDefault="00137DC5" w:rsidP="006261B1">
            <w:pPr>
              <w:rPr>
                <w:sz w:val="20"/>
                <w:szCs w:val="20"/>
              </w:rPr>
            </w:pPr>
            <w:r>
              <w:rPr>
                <w:sz w:val="20"/>
                <w:szCs w:val="20"/>
              </w:rPr>
              <w:t>Y</w:t>
            </w:r>
          </w:p>
        </w:tc>
        <w:tc>
          <w:tcPr>
            <w:tcW w:w="1007" w:type="dxa"/>
          </w:tcPr>
          <w:p w14:paraId="291D2A45" w14:textId="77777777" w:rsidR="00137DC5" w:rsidRDefault="00137DC5" w:rsidP="006261B1">
            <w:pPr>
              <w:rPr>
                <w:sz w:val="20"/>
                <w:szCs w:val="20"/>
              </w:rPr>
            </w:pPr>
            <w:r>
              <w:rPr>
                <w:sz w:val="20"/>
                <w:szCs w:val="20"/>
              </w:rPr>
              <w:t>Y</w:t>
            </w:r>
          </w:p>
        </w:tc>
        <w:tc>
          <w:tcPr>
            <w:tcW w:w="1153" w:type="dxa"/>
          </w:tcPr>
          <w:p w14:paraId="5EEB741A" w14:textId="77777777" w:rsidR="00137DC5" w:rsidRDefault="00137DC5" w:rsidP="006261B1">
            <w:pPr>
              <w:rPr>
                <w:sz w:val="20"/>
                <w:szCs w:val="20"/>
              </w:rPr>
            </w:pPr>
            <w:r>
              <w:rPr>
                <w:sz w:val="20"/>
                <w:szCs w:val="20"/>
              </w:rPr>
              <w:t>Y</w:t>
            </w:r>
          </w:p>
        </w:tc>
        <w:tc>
          <w:tcPr>
            <w:tcW w:w="1008" w:type="dxa"/>
          </w:tcPr>
          <w:p w14:paraId="09D1FDE3" w14:textId="77777777" w:rsidR="00137DC5" w:rsidRDefault="00137DC5" w:rsidP="006261B1">
            <w:pPr>
              <w:rPr>
                <w:sz w:val="20"/>
                <w:szCs w:val="20"/>
              </w:rPr>
            </w:pPr>
            <w:r>
              <w:rPr>
                <w:sz w:val="20"/>
                <w:szCs w:val="20"/>
              </w:rPr>
              <w:t>P</w:t>
            </w:r>
          </w:p>
        </w:tc>
        <w:tc>
          <w:tcPr>
            <w:tcW w:w="1439" w:type="dxa"/>
          </w:tcPr>
          <w:p w14:paraId="5805AB48" w14:textId="77777777" w:rsidR="00137DC5" w:rsidRDefault="00137DC5" w:rsidP="006261B1">
            <w:pPr>
              <w:rPr>
                <w:sz w:val="20"/>
                <w:szCs w:val="20"/>
              </w:rPr>
            </w:pPr>
            <w:r>
              <w:rPr>
                <w:sz w:val="20"/>
                <w:szCs w:val="20"/>
              </w:rPr>
              <w:t>Y</w:t>
            </w:r>
          </w:p>
        </w:tc>
        <w:tc>
          <w:tcPr>
            <w:tcW w:w="1152" w:type="dxa"/>
          </w:tcPr>
          <w:p w14:paraId="6C88BD60" w14:textId="77777777" w:rsidR="00137DC5" w:rsidRDefault="00137DC5" w:rsidP="006261B1">
            <w:pPr>
              <w:rPr>
                <w:sz w:val="20"/>
                <w:szCs w:val="20"/>
              </w:rPr>
            </w:pPr>
            <w:r>
              <w:rPr>
                <w:sz w:val="20"/>
                <w:szCs w:val="20"/>
              </w:rPr>
              <w:t>Y</w:t>
            </w:r>
          </w:p>
        </w:tc>
        <w:tc>
          <w:tcPr>
            <w:tcW w:w="1368" w:type="dxa"/>
          </w:tcPr>
          <w:p w14:paraId="54D5EC02" w14:textId="77777777" w:rsidR="00137DC5" w:rsidRDefault="00137DC5" w:rsidP="006261B1">
            <w:pPr>
              <w:rPr>
                <w:sz w:val="20"/>
                <w:szCs w:val="20"/>
              </w:rPr>
            </w:pPr>
            <w:r>
              <w:rPr>
                <w:sz w:val="20"/>
                <w:szCs w:val="20"/>
              </w:rPr>
              <w:t>Moderate–high</w:t>
            </w:r>
          </w:p>
        </w:tc>
      </w:tr>
      <w:tr w:rsidR="00137DC5" w14:paraId="21776697" w14:textId="77777777" w:rsidTr="006261B1">
        <w:trPr>
          <w:cantSplit/>
          <w:jc w:val="center"/>
        </w:trPr>
        <w:tc>
          <w:tcPr>
            <w:tcW w:w="2376" w:type="dxa"/>
          </w:tcPr>
          <w:p w14:paraId="0204A33F" w14:textId="77777777" w:rsidR="00137DC5" w:rsidRDefault="00137DC5" w:rsidP="006261B1">
            <w:pPr>
              <w:rPr>
                <w:sz w:val="20"/>
                <w:szCs w:val="20"/>
              </w:rPr>
            </w:pPr>
            <w:r>
              <w:rPr>
                <w:sz w:val="20"/>
                <w:szCs w:val="20"/>
              </w:rPr>
              <w:lastRenderedPageBreak/>
              <w:t>Alveyn et al. (2025)</w:t>
            </w:r>
          </w:p>
        </w:tc>
        <w:tc>
          <w:tcPr>
            <w:tcW w:w="1079" w:type="dxa"/>
          </w:tcPr>
          <w:p w14:paraId="06F76B1A" w14:textId="77777777" w:rsidR="00137DC5" w:rsidRDefault="00137DC5" w:rsidP="006261B1">
            <w:pPr>
              <w:rPr>
                <w:sz w:val="20"/>
                <w:szCs w:val="20"/>
              </w:rPr>
            </w:pPr>
            <w:r>
              <w:rPr>
                <w:sz w:val="20"/>
                <w:szCs w:val="20"/>
              </w:rPr>
              <w:t>Y</w:t>
            </w:r>
          </w:p>
        </w:tc>
        <w:tc>
          <w:tcPr>
            <w:tcW w:w="1081" w:type="dxa"/>
          </w:tcPr>
          <w:p w14:paraId="5CD4754D" w14:textId="77777777" w:rsidR="00137DC5" w:rsidRDefault="00137DC5" w:rsidP="006261B1">
            <w:pPr>
              <w:rPr>
                <w:sz w:val="20"/>
                <w:szCs w:val="20"/>
              </w:rPr>
            </w:pPr>
            <w:r>
              <w:rPr>
                <w:sz w:val="20"/>
                <w:szCs w:val="20"/>
              </w:rPr>
              <w:t>Y</w:t>
            </w:r>
          </w:p>
        </w:tc>
        <w:tc>
          <w:tcPr>
            <w:tcW w:w="1008" w:type="dxa"/>
          </w:tcPr>
          <w:p w14:paraId="5DA4E5ED" w14:textId="77777777" w:rsidR="00137DC5" w:rsidRDefault="00137DC5" w:rsidP="006261B1">
            <w:pPr>
              <w:rPr>
                <w:sz w:val="20"/>
                <w:szCs w:val="20"/>
              </w:rPr>
            </w:pPr>
            <w:r>
              <w:rPr>
                <w:sz w:val="20"/>
                <w:szCs w:val="20"/>
              </w:rPr>
              <w:t>Y</w:t>
            </w:r>
          </w:p>
        </w:tc>
        <w:tc>
          <w:tcPr>
            <w:tcW w:w="1007" w:type="dxa"/>
          </w:tcPr>
          <w:p w14:paraId="1A159349" w14:textId="77777777" w:rsidR="00137DC5" w:rsidRDefault="00137DC5" w:rsidP="006261B1">
            <w:pPr>
              <w:rPr>
                <w:sz w:val="20"/>
                <w:szCs w:val="20"/>
              </w:rPr>
            </w:pPr>
            <w:r>
              <w:rPr>
                <w:sz w:val="20"/>
                <w:szCs w:val="20"/>
              </w:rPr>
              <w:t>Y</w:t>
            </w:r>
          </w:p>
        </w:tc>
        <w:tc>
          <w:tcPr>
            <w:tcW w:w="1153" w:type="dxa"/>
          </w:tcPr>
          <w:p w14:paraId="48C0175C" w14:textId="77777777" w:rsidR="00137DC5" w:rsidRDefault="00137DC5" w:rsidP="006261B1">
            <w:pPr>
              <w:rPr>
                <w:sz w:val="20"/>
                <w:szCs w:val="20"/>
              </w:rPr>
            </w:pPr>
            <w:r>
              <w:rPr>
                <w:sz w:val="20"/>
                <w:szCs w:val="20"/>
              </w:rPr>
              <w:t>Y</w:t>
            </w:r>
          </w:p>
        </w:tc>
        <w:tc>
          <w:tcPr>
            <w:tcW w:w="1008" w:type="dxa"/>
          </w:tcPr>
          <w:p w14:paraId="0C4CF4F9" w14:textId="77777777" w:rsidR="00137DC5" w:rsidRDefault="00137DC5" w:rsidP="006261B1">
            <w:pPr>
              <w:rPr>
                <w:sz w:val="20"/>
                <w:szCs w:val="20"/>
              </w:rPr>
            </w:pPr>
            <w:r>
              <w:rPr>
                <w:sz w:val="20"/>
                <w:szCs w:val="20"/>
              </w:rPr>
              <w:t>P</w:t>
            </w:r>
          </w:p>
        </w:tc>
        <w:tc>
          <w:tcPr>
            <w:tcW w:w="1439" w:type="dxa"/>
          </w:tcPr>
          <w:p w14:paraId="7F5EB20B" w14:textId="77777777" w:rsidR="00137DC5" w:rsidRDefault="00137DC5" w:rsidP="006261B1">
            <w:pPr>
              <w:rPr>
                <w:sz w:val="20"/>
                <w:szCs w:val="20"/>
              </w:rPr>
            </w:pPr>
            <w:r>
              <w:rPr>
                <w:sz w:val="20"/>
                <w:szCs w:val="20"/>
              </w:rPr>
              <w:t>Y</w:t>
            </w:r>
          </w:p>
        </w:tc>
        <w:tc>
          <w:tcPr>
            <w:tcW w:w="1152" w:type="dxa"/>
          </w:tcPr>
          <w:p w14:paraId="6EE15C09" w14:textId="77777777" w:rsidR="00137DC5" w:rsidRDefault="00137DC5" w:rsidP="006261B1">
            <w:pPr>
              <w:rPr>
                <w:sz w:val="20"/>
                <w:szCs w:val="20"/>
              </w:rPr>
            </w:pPr>
            <w:r>
              <w:rPr>
                <w:sz w:val="20"/>
                <w:szCs w:val="20"/>
              </w:rPr>
              <w:t>Y</w:t>
            </w:r>
          </w:p>
        </w:tc>
        <w:tc>
          <w:tcPr>
            <w:tcW w:w="1368" w:type="dxa"/>
          </w:tcPr>
          <w:p w14:paraId="5694B1D7" w14:textId="77777777" w:rsidR="00137DC5" w:rsidRDefault="00137DC5" w:rsidP="006261B1">
            <w:pPr>
              <w:rPr>
                <w:sz w:val="20"/>
                <w:szCs w:val="20"/>
              </w:rPr>
            </w:pPr>
            <w:r>
              <w:rPr>
                <w:sz w:val="20"/>
                <w:szCs w:val="20"/>
              </w:rPr>
              <w:t>Moderate–high</w:t>
            </w:r>
          </w:p>
        </w:tc>
      </w:tr>
      <w:tr w:rsidR="00137DC5" w14:paraId="44C40E5B" w14:textId="77777777" w:rsidTr="006261B1">
        <w:trPr>
          <w:cantSplit/>
          <w:jc w:val="center"/>
        </w:trPr>
        <w:tc>
          <w:tcPr>
            <w:tcW w:w="2376" w:type="dxa"/>
          </w:tcPr>
          <w:p w14:paraId="7CA76E64" w14:textId="77777777" w:rsidR="00137DC5" w:rsidRDefault="00137DC5" w:rsidP="006261B1">
            <w:pPr>
              <w:rPr>
                <w:sz w:val="20"/>
                <w:szCs w:val="20"/>
              </w:rPr>
            </w:pPr>
            <w:r>
              <w:rPr>
                <w:sz w:val="20"/>
                <w:szCs w:val="20"/>
              </w:rPr>
              <w:t>Adas et al. (2025)</w:t>
            </w:r>
          </w:p>
        </w:tc>
        <w:tc>
          <w:tcPr>
            <w:tcW w:w="1079" w:type="dxa"/>
          </w:tcPr>
          <w:p w14:paraId="3E42F3BB" w14:textId="77777777" w:rsidR="00137DC5" w:rsidRDefault="00137DC5" w:rsidP="006261B1">
            <w:pPr>
              <w:rPr>
                <w:sz w:val="20"/>
                <w:szCs w:val="20"/>
              </w:rPr>
            </w:pPr>
            <w:r>
              <w:rPr>
                <w:sz w:val="20"/>
                <w:szCs w:val="20"/>
              </w:rPr>
              <w:t>Y</w:t>
            </w:r>
          </w:p>
        </w:tc>
        <w:tc>
          <w:tcPr>
            <w:tcW w:w="1081" w:type="dxa"/>
          </w:tcPr>
          <w:p w14:paraId="298D1B16" w14:textId="77777777" w:rsidR="00137DC5" w:rsidRDefault="00137DC5" w:rsidP="006261B1">
            <w:pPr>
              <w:rPr>
                <w:sz w:val="20"/>
                <w:szCs w:val="20"/>
              </w:rPr>
            </w:pPr>
            <w:r>
              <w:rPr>
                <w:sz w:val="20"/>
                <w:szCs w:val="20"/>
              </w:rPr>
              <w:t>Y</w:t>
            </w:r>
          </w:p>
        </w:tc>
        <w:tc>
          <w:tcPr>
            <w:tcW w:w="1008" w:type="dxa"/>
          </w:tcPr>
          <w:p w14:paraId="2554DFC7" w14:textId="77777777" w:rsidR="00137DC5" w:rsidRDefault="00137DC5" w:rsidP="006261B1">
            <w:pPr>
              <w:rPr>
                <w:sz w:val="20"/>
                <w:szCs w:val="20"/>
              </w:rPr>
            </w:pPr>
            <w:r>
              <w:rPr>
                <w:sz w:val="20"/>
                <w:szCs w:val="20"/>
              </w:rPr>
              <w:t>Y</w:t>
            </w:r>
          </w:p>
        </w:tc>
        <w:tc>
          <w:tcPr>
            <w:tcW w:w="1007" w:type="dxa"/>
          </w:tcPr>
          <w:p w14:paraId="4419A564" w14:textId="77777777" w:rsidR="00137DC5" w:rsidRDefault="00137DC5" w:rsidP="006261B1">
            <w:pPr>
              <w:rPr>
                <w:sz w:val="20"/>
                <w:szCs w:val="20"/>
              </w:rPr>
            </w:pPr>
            <w:r>
              <w:rPr>
                <w:sz w:val="20"/>
                <w:szCs w:val="20"/>
              </w:rPr>
              <w:t>Y</w:t>
            </w:r>
          </w:p>
        </w:tc>
        <w:tc>
          <w:tcPr>
            <w:tcW w:w="1153" w:type="dxa"/>
          </w:tcPr>
          <w:p w14:paraId="26EACDD6" w14:textId="77777777" w:rsidR="00137DC5" w:rsidRDefault="00137DC5" w:rsidP="006261B1">
            <w:pPr>
              <w:rPr>
                <w:sz w:val="20"/>
                <w:szCs w:val="20"/>
              </w:rPr>
            </w:pPr>
            <w:r>
              <w:rPr>
                <w:sz w:val="20"/>
                <w:szCs w:val="20"/>
              </w:rPr>
              <w:t>P</w:t>
            </w:r>
          </w:p>
        </w:tc>
        <w:tc>
          <w:tcPr>
            <w:tcW w:w="1008" w:type="dxa"/>
          </w:tcPr>
          <w:p w14:paraId="18E762C9" w14:textId="77777777" w:rsidR="00137DC5" w:rsidRDefault="00137DC5" w:rsidP="006261B1">
            <w:pPr>
              <w:rPr>
                <w:sz w:val="20"/>
                <w:szCs w:val="20"/>
              </w:rPr>
            </w:pPr>
            <w:r>
              <w:rPr>
                <w:sz w:val="20"/>
                <w:szCs w:val="20"/>
              </w:rPr>
              <w:t>Y</w:t>
            </w:r>
          </w:p>
        </w:tc>
        <w:tc>
          <w:tcPr>
            <w:tcW w:w="1439" w:type="dxa"/>
          </w:tcPr>
          <w:p w14:paraId="7FC57CE7" w14:textId="77777777" w:rsidR="00137DC5" w:rsidRDefault="00137DC5" w:rsidP="006261B1">
            <w:pPr>
              <w:rPr>
                <w:sz w:val="20"/>
                <w:szCs w:val="20"/>
              </w:rPr>
            </w:pPr>
            <w:r>
              <w:rPr>
                <w:sz w:val="20"/>
                <w:szCs w:val="20"/>
              </w:rPr>
              <w:t>Y</w:t>
            </w:r>
          </w:p>
        </w:tc>
        <w:tc>
          <w:tcPr>
            <w:tcW w:w="1152" w:type="dxa"/>
          </w:tcPr>
          <w:p w14:paraId="5655997C" w14:textId="77777777" w:rsidR="00137DC5" w:rsidRDefault="00137DC5" w:rsidP="006261B1">
            <w:pPr>
              <w:rPr>
                <w:sz w:val="20"/>
                <w:szCs w:val="20"/>
              </w:rPr>
            </w:pPr>
            <w:r>
              <w:rPr>
                <w:sz w:val="20"/>
                <w:szCs w:val="20"/>
              </w:rPr>
              <w:t>Y</w:t>
            </w:r>
          </w:p>
        </w:tc>
        <w:tc>
          <w:tcPr>
            <w:tcW w:w="1368" w:type="dxa"/>
          </w:tcPr>
          <w:p w14:paraId="2CEE15B8" w14:textId="77777777" w:rsidR="00137DC5" w:rsidRDefault="00137DC5" w:rsidP="006261B1">
            <w:pPr>
              <w:rPr>
                <w:sz w:val="20"/>
                <w:szCs w:val="20"/>
              </w:rPr>
            </w:pPr>
            <w:r>
              <w:rPr>
                <w:sz w:val="20"/>
                <w:szCs w:val="20"/>
              </w:rPr>
              <w:t>Moderate–high</w:t>
            </w:r>
          </w:p>
        </w:tc>
      </w:tr>
    </w:tbl>
    <w:p w14:paraId="140E44CC" w14:textId="7A4004F3" w:rsidR="00F251F6" w:rsidRDefault="00F251F6" w:rsidP="00137DC5">
      <w:pPr>
        <w:keepNext/>
        <w:spacing w:before="120" w:after="80"/>
      </w:pPr>
      <w:r>
        <w:rPr>
          <w:noProof/>
        </w:rPr>
        <w:drawing>
          <wp:inline distT="0" distB="0" distL="0" distR="0" wp14:anchorId="2DFCC9C9" wp14:editId="5A4E4A85">
            <wp:extent cx="8981701" cy="680484"/>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96177" cy="689157"/>
                    </a:xfrm>
                    <a:prstGeom prst="rect">
                      <a:avLst/>
                    </a:prstGeom>
                    <a:noFill/>
                  </pic:spPr>
                </pic:pic>
              </a:graphicData>
            </a:graphic>
          </wp:inline>
        </w:drawing>
      </w:r>
    </w:p>
    <w:p w14:paraId="12E8374C" w14:textId="336A676B" w:rsidR="00137DC5" w:rsidRDefault="00137DC5" w:rsidP="00137DC5">
      <w:pPr>
        <w:keepNext/>
        <w:spacing w:before="120" w:after="80"/>
      </w:pPr>
      <w:r>
        <w:rPr>
          <w:b/>
          <w:sz w:val="20"/>
        </w:rPr>
        <w:t>Table A2: CASP Descriptive/Cross-Sectional Appraisal - Galloway et al. (2021)</w:t>
      </w:r>
    </w:p>
    <w:tbl>
      <w:tblPr>
        <w:tblStyle w:val="TableGrid"/>
        <w:tblW w:w="14112" w:type="dxa"/>
        <w:jc w:val="center"/>
        <w:tblLayout w:type="fixed"/>
        <w:tblLook w:val="04A0" w:firstRow="1" w:lastRow="0" w:firstColumn="1" w:lastColumn="0" w:noHBand="0" w:noVBand="1"/>
      </w:tblPr>
      <w:tblGrid>
        <w:gridCol w:w="4031"/>
        <w:gridCol w:w="1441"/>
        <w:gridCol w:w="8640"/>
      </w:tblGrid>
      <w:tr w:rsidR="00137DC5" w14:paraId="11BC4FBB" w14:textId="77777777" w:rsidTr="006261B1">
        <w:trPr>
          <w:cantSplit/>
          <w:tblHeader/>
          <w:jc w:val="center"/>
        </w:trPr>
        <w:tc>
          <w:tcPr>
            <w:tcW w:w="4031" w:type="dxa"/>
          </w:tcPr>
          <w:p w14:paraId="719E09D7" w14:textId="77777777" w:rsidR="00137DC5" w:rsidRDefault="00137DC5" w:rsidP="006261B1">
            <w:pPr>
              <w:rPr>
                <w:szCs w:val="32"/>
              </w:rPr>
            </w:pPr>
            <w:r>
              <w:rPr>
                <w:b/>
                <w:szCs w:val="32"/>
              </w:rPr>
              <w:t>CASP domain</w:t>
            </w:r>
          </w:p>
        </w:tc>
        <w:tc>
          <w:tcPr>
            <w:tcW w:w="1441" w:type="dxa"/>
          </w:tcPr>
          <w:p w14:paraId="56EC75E4" w14:textId="77777777" w:rsidR="00137DC5" w:rsidRDefault="00137DC5" w:rsidP="006261B1">
            <w:pPr>
              <w:rPr>
                <w:szCs w:val="32"/>
              </w:rPr>
            </w:pPr>
            <w:r>
              <w:rPr>
                <w:b/>
                <w:szCs w:val="32"/>
              </w:rPr>
              <w:t>Judgement</w:t>
            </w:r>
          </w:p>
        </w:tc>
        <w:tc>
          <w:tcPr>
            <w:tcW w:w="8640" w:type="dxa"/>
          </w:tcPr>
          <w:p w14:paraId="48737E2D" w14:textId="77777777" w:rsidR="00137DC5" w:rsidRDefault="00137DC5" w:rsidP="006261B1">
            <w:pPr>
              <w:rPr>
                <w:szCs w:val="32"/>
              </w:rPr>
            </w:pPr>
            <w:r>
              <w:rPr>
                <w:b/>
                <w:szCs w:val="32"/>
              </w:rPr>
              <w:t>Appraisal note</w:t>
            </w:r>
          </w:p>
        </w:tc>
      </w:tr>
      <w:tr w:rsidR="00137DC5" w14:paraId="43C0340E" w14:textId="77777777" w:rsidTr="006261B1">
        <w:trPr>
          <w:cantSplit/>
          <w:jc w:val="center"/>
        </w:trPr>
        <w:tc>
          <w:tcPr>
            <w:tcW w:w="4031" w:type="dxa"/>
          </w:tcPr>
          <w:p w14:paraId="004B6213" w14:textId="77777777" w:rsidR="00137DC5" w:rsidRDefault="00137DC5" w:rsidP="006261B1">
            <w:pPr>
              <w:rPr>
                <w:szCs w:val="32"/>
              </w:rPr>
            </w:pPr>
            <w:r>
              <w:rPr>
                <w:szCs w:val="32"/>
              </w:rPr>
              <w:t>Focused research question</w:t>
            </w:r>
          </w:p>
        </w:tc>
        <w:tc>
          <w:tcPr>
            <w:tcW w:w="1441" w:type="dxa"/>
          </w:tcPr>
          <w:p w14:paraId="66FE1BA9" w14:textId="77777777" w:rsidR="00137DC5" w:rsidRDefault="00137DC5" w:rsidP="006261B1">
            <w:pPr>
              <w:rPr>
                <w:szCs w:val="32"/>
              </w:rPr>
            </w:pPr>
            <w:r>
              <w:rPr>
                <w:szCs w:val="32"/>
              </w:rPr>
              <w:t>Y</w:t>
            </w:r>
          </w:p>
        </w:tc>
        <w:tc>
          <w:tcPr>
            <w:tcW w:w="8640" w:type="dxa"/>
          </w:tcPr>
          <w:p w14:paraId="3D781B68" w14:textId="77777777" w:rsidR="00137DC5" w:rsidRDefault="00137DC5" w:rsidP="006261B1">
            <w:pPr>
              <w:rPr>
                <w:szCs w:val="32"/>
              </w:rPr>
            </w:pPr>
            <w:r>
              <w:rPr>
                <w:szCs w:val="32"/>
              </w:rPr>
              <w:t>Clear description of UK burden of moderate RA.</w:t>
            </w:r>
          </w:p>
        </w:tc>
      </w:tr>
      <w:tr w:rsidR="00137DC5" w14:paraId="2E42C87B" w14:textId="77777777" w:rsidTr="006261B1">
        <w:trPr>
          <w:cantSplit/>
          <w:jc w:val="center"/>
        </w:trPr>
        <w:tc>
          <w:tcPr>
            <w:tcW w:w="4031" w:type="dxa"/>
          </w:tcPr>
          <w:p w14:paraId="3F99DDAB" w14:textId="77777777" w:rsidR="00137DC5" w:rsidRDefault="00137DC5" w:rsidP="006261B1">
            <w:pPr>
              <w:rPr>
                <w:szCs w:val="32"/>
              </w:rPr>
            </w:pPr>
            <w:r>
              <w:rPr>
                <w:szCs w:val="32"/>
              </w:rPr>
              <w:t>Appropriate cross-sectional/descriptive design</w:t>
            </w:r>
          </w:p>
        </w:tc>
        <w:tc>
          <w:tcPr>
            <w:tcW w:w="1441" w:type="dxa"/>
          </w:tcPr>
          <w:p w14:paraId="0CD9C822" w14:textId="77777777" w:rsidR="00137DC5" w:rsidRDefault="00137DC5" w:rsidP="006261B1">
            <w:pPr>
              <w:rPr>
                <w:szCs w:val="32"/>
              </w:rPr>
            </w:pPr>
            <w:r>
              <w:rPr>
                <w:szCs w:val="32"/>
              </w:rPr>
              <w:t>Y</w:t>
            </w:r>
          </w:p>
        </w:tc>
        <w:tc>
          <w:tcPr>
            <w:tcW w:w="8640" w:type="dxa"/>
          </w:tcPr>
          <w:p w14:paraId="19DF801E" w14:textId="77777777" w:rsidR="00137DC5" w:rsidRDefault="00137DC5" w:rsidP="006261B1">
            <w:pPr>
              <w:rPr>
                <w:szCs w:val="32"/>
              </w:rPr>
            </w:pPr>
            <w:r>
              <w:rPr>
                <w:szCs w:val="32"/>
              </w:rPr>
              <w:t>Design appropriate for burden/QoL description.</w:t>
            </w:r>
          </w:p>
        </w:tc>
      </w:tr>
      <w:tr w:rsidR="00137DC5" w14:paraId="59E4BD00" w14:textId="77777777" w:rsidTr="006261B1">
        <w:trPr>
          <w:cantSplit/>
          <w:jc w:val="center"/>
        </w:trPr>
        <w:tc>
          <w:tcPr>
            <w:tcW w:w="4031" w:type="dxa"/>
          </w:tcPr>
          <w:p w14:paraId="5311D865" w14:textId="77777777" w:rsidR="00137DC5" w:rsidRDefault="00137DC5" w:rsidP="006261B1">
            <w:pPr>
              <w:rPr>
                <w:szCs w:val="32"/>
              </w:rPr>
            </w:pPr>
            <w:r>
              <w:rPr>
                <w:szCs w:val="32"/>
              </w:rPr>
              <w:t>Sampling/recruitment</w:t>
            </w:r>
          </w:p>
        </w:tc>
        <w:tc>
          <w:tcPr>
            <w:tcW w:w="1441" w:type="dxa"/>
          </w:tcPr>
          <w:p w14:paraId="6EA77FFE" w14:textId="77777777" w:rsidR="00137DC5" w:rsidRDefault="00137DC5" w:rsidP="006261B1">
            <w:pPr>
              <w:rPr>
                <w:szCs w:val="32"/>
              </w:rPr>
            </w:pPr>
            <w:r>
              <w:rPr>
                <w:szCs w:val="32"/>
              </w:rPr>
              <w:t>P</w:t>
            </w:r>
          </w:p>
        </w:tc>
        <w:tc>
          <w:tcPr>
            <w:tcW w:w="8640" w:type="dxa"/>
          </w:tcPr>
          <w:p w14:paraId="2AE6234B" w14:textId="77777777" w:rsidR="00137DC5" w:rsidRDefault="00137DC5" w:rsidP="006261B1">
            <w:pPr>
              <w:rPr>
                <w:szCs w:val="32"/>
              </w:rPr>
            </w:pPr>
            <w:r>
              <w:rPr>
                <w:szCs w:val="32"/>
              </w:rPr>
              <w:t>Eight UK centres but small sample (n=102).</w:t>
            </w:r>
          </w:p>
        </w:tc>
      </w:tr>
      <w:tr w:rsidR="00137DC5" w14:paraId="098B9888" w14:textId="77777777" w:rsidTr="006261B1">
        <w:trPr>
          <w:cantSplit/>
          <w:jc w:val="center"/>
        </w:trPr>
        <w:tc>
          <w:tcPr>
            <w:tcW w:w="4031" w:type="dxa"/>
          </w:tcPr>
          <w:p w14:paraId="37339127" w14:textId="77777777" w:rsidR="00137DC5" w:rsidRDefault="00137DC5" w:rsidP="006261B1">
            <w:pPr>
              <w:rPr>
                <w:szCs w:val="32"/>
              </w:rPr>
            </w:pPr>
            <w:r>
              <w:rPr>
                <w:szCs w:val="32"/>
              </w:rPr>
              <w:t>Exposure/outcome measurement</w:t>
            </w:r>
          </w:p>
        </w:tc>
        <w:tc>
          <w:tcPr>
            <w:tcW w:w="1441" w:type="dxa"/>
          </w:tcPr>
          <w:p w14:paraId="50544B13" w14:textId="77777777" w:rsidR="00137DC5" w:rsidRDefault="00137DC5" w:rsidP="006261B1">
            <w:pPr>
              <w:rPr>
                <w:szCs w:val="32"/>
              </w:rPr>
            </w:pPr>
            <w:r>
              <w:rPr>
                <w:szCs w:val="32"/>
              </w:rPr>
              <w:t>Y</w:t>
            </w:r>
          </w:p>
        </w:tc>
        <w:tc>
          <w:tcPr>
            <w:tcW w:w="8640" w:type="dxa"/>
          </w:tcPr>
          <w:p w14:paraId="4CD103CC" w14:textId="77777777" w:rsidR="00137DC5" w:rsidRDefault="00137DC5" w:rsidP="006261B1">
            <w:pPr>
              <w:rPr>
                <w:szCs w:val="32"/>
              </w:rPr>
            </w:pPr>
            <w:r>
              <w:rPr>
                <w:szCs w:val="32"/>
              </w:rPr>
              <w:t>Validated PROMs for QoL, pain, fatigue, disability and work.</w:t>
            </w:r>
          </w:p>
        </w:tc>
      </w:tr>
      <w:tr w:rsidR="00137DC5" w14:paraId="21BC465C" w14:textId="77777777" w:rsidTr="006261B1">
        <w:trPr>
          <w:cantSplit/>
          <w:jc w:val="center"/>
        </w:trPr>
        <w:tc>
          <w:tcPr>
            <w:tcW w:w="4031" w:type="dxa"/>
          </w:tcPr>
          <w:p w14:paraId="4B6750B4" w14:textId="77777777" w:rsidR="00137DC5" w:rsidRDefault="00137DC5" w:rsidP="006261B1">
            <w:pPr>
              <w:rPr>
                <w:szCs w:val="32"/>
              </w:rPr>
            </w:pPr>
            <w:r>
              <w:rPr>
                <w:szCs w:val="32"/>
              </w:rPr>
              <w:t>Important confounders considered</w:t>
            </w:r>
          </w:p>
        </w:tc>
        <w:tc>
          <w:tcPr>
            <w:tcW w:w="1441" w:type="dxa"/>
          </w:tcPr>
          <w:p w14:paraId="558FE52D" w14:textId="77777777" w:rsidR="00137DC5" w:rsidRDefault="00137DC5" w:rsidP="006261B1">
            <w:pPr>
              <w:rPr>
                <w:szCs w:val="32"/>
              </w:rPr>
            </w:pPr>
            <w:r>
              <w:rPr>
                <w:szCs w:val="32"/>
              </w:rPr>
              <w:t>P</w:t>
            </w:r>
          </w:p>
        </w:tc>
        <w:tc>
          <w:tcPr>
            <w:tcW w:w="8640" w:type="dxa"/>
          </w:tcPr>
          <w:p w14:paraId="0C57DCBF" w14:textId="77777777" w:rsidR="00137DC5" w:rsidRDefault="00137DC5" w:rsidP="006261B1">
            <w:pPr>
              <w:rPr>
                <w:szCs w:val="32"/>
              </w:rPr>
            </w:pPr>
            <w:r>
              <w:rPr>
                <w:szCs w:val="32"/>
              </w:rPr>
              <w:t>Descriptive design limited adjustment.</w:t>
            </w:r>
          </w:p>
        </w:tc>
      </w:tr>
      <w:tr w:rsidR="00137DC5" w14:paraId="0142AD07" w14:textId="77777777" w:rsidTr="006261B1">
        <w:trPr>
          <w:cantSplit/>
          <w:jc w:val="center"/>
        </w:trPr>
        <w:tc>
          <w:tcPr>
            <w:tcW w:w="4031" w:type="dxa"/>
          </w:tcPr>
          <w:p w14:paraId="4EE3E906" w14:textId="77777777" w:rsidR="00137DC5" w:rsidRDefault="00137DC5" w:rsidP="006261B1">
            <w:pPr>
              <w:rPr>
                <w:szCs w:val="32"/>
              </w:rPr>
            </w:pPr>
            <w:r>
              <w:rPr>
                <w:szCs w:val="32"/>
              </w:rPr>
              <w:t>Analysis appropriate</w:t>
            </w:r>
          </w:p>
        </w:tc>
        <w:tc>
          <w:tcPr>
            <w:tcW w:w="1441" w:type="dxa"/>
          </w:tcPr>
          <w:p w14:paraId="186F6E76" w14:textId="77777777" w:rsidR="00137DC5" w:rsidRDefault="00137DC5" w:rsidP="006261B1">
            <w:pPr>
              <w:rPr>
                <w:szCs w:val="32"/>
              </w:rPr>
            </w:pPr>
            <w:r>
              <w:rPr>
                <w:szCs w:val="32"/>
              </w:rPr>
              <w:t>Y</w:t>
            </w:r>
          </w:p>
        </w:tc>
        <w:tc>
          <w:tcPr>
            <w:tcW w:w="8640" w:type="dxa"/>
          </w:tcPr>
          <w:p w14:paraId="05ED7232" w14:textId="77777777" w:rsidR="00137DC5" w:rsidRDefault="00137DC5" w:rsidP="006261B1">
            <w:pPr>
              <w:rPr>
                <w:szCs w:val="32"/>
              </w:rPr>
            </w:pPr>
            <w:r>
              <w:rPr>
                <w:szCs w:val="32"/>
              </w:rPr>
              <w:t>Descriptive analyses matched the study aim.</w:t>
            </w:r>
          </w:p>
        </w:tc>
      </w:tr>
      <w:tr w:rsidR="00137DC5" w14:paraId="1E551527" w14:textId="77777777" w:rsidTr="006261B1">
        <w:trPr>
          <w:cantSplit/>
          <w:jc w:val="center"/>
        </w:trPr>
        <w:tc>
          <w:tcPr>
            <w:tcW w:w="4031" w:type="dxa"/>
          </w:tcPr>
          <w:p w14:paraId="75F4963E" w14:textId="77777777" w:rsidR="00137DC5" w:rsidRDefault="00137DC5" w:rsidP="006261B1">
            <w:pPr>
              <w:rPr>
                <w:szCs w:val="32"/>
              </w:rPr>
            </w:pPr>
            <w:r>
              <w:rPr>
                <w:szCs w:val="32"/>
              </w:rPr>
              <w:t>Results clear/precise</w:t>
            </w:r>
          </w:p>
        </w:tc>
        <w:tc>
          <w:tcPr>
            <w:tcW w:w="1441" w:type="dxa"/>
          </w:tcPr>
          <w:p w14:paraId="4334CB46" w14:textId="77777777" w:rsidR="00137DC5" w:rsidRDefault="00137DC5" w:rsidP="006261B1">
            <w:pPr>
              <w:rPr>
                <w:szCs w:val="32"/>
              </w:rPr>
            </w:pPr>
            <w:r>
              <w:rPr>
                <w:szCs w:val="32"/>
              </w:rPr>
              <w:t>Y</w:t>
            </w:r>
          </w:p>
        </w:tc>
        <w:tc>
          <w:tcPr>
            <w:tcW w:w="8640" w:type="dxa"/>
          </w:tcPr>
          <w:p w14:paraId="5B672075" w14:textId="77777777" w:rsidR="00137DC5" w:rsidRDefault="00137DC5" w:rsidP="006261B1">
            <w:pPr>
              <w:rPr>
                <w:szCs w:val="32"/>
              </w:rPr>
            </w:pPr>
            <w:r>
              <w:rPr>
                <w:szCs w:val="32"/>
              </w:rPr>
              <w:t>Key outcomes reported clearly.</w:t>
            </w:r>
          </w:p>
        </w:tc>
      </w:tr>
      <w:tr w:rsidR="00137DC5" w14:paraId="4E5FCA29" w14:textId="77777777" w:rsidTr="006261B1">
        <w:trPr>
          <w:cantSplit/>
          <w:jc w:val="center"/>
        </w:trPr>
        <w:tc>
          <w:tcPr>
            <w:tcW w:w="4031" w:type="dxa"/>
          </w:tcPr>
          <w:p w14:paraId="41193B2E" w14:textId="77777777" w:rsidR="00137DC5" w:rsidRDefault="00137DC5" w:rsidP="006261B1">
            <w:pPr>
              <w:rPr>
                <w:szCs w:val="32"/>
              </w:rPr>
            </w:pPr>
            <w:r>
              <w:rPr>
                <w:szCs w:val="32"/>
              </w:rPr>
              <w:t>Applicability to review question</w:t>
            </w:r>
          </w:p>
        </w:tc>
        <w:tc>
          <w:tcPr>
            <w:tcW w:w="1441" w:type="dxa"/>
          </w:tcPr>
          <w:p w14:paraId="00002E87" w14:textId="77777777" w:rsidR="00137DC5" w:rsidRDefault="00137DC5" w:rsidP="006261B1">
            <w:pPr>
              <w:rPr>
                <w:szCs w:val="32"/>
              </w:rPr>
            </w:pPr>
            <w:r>
              <w:rPr>
                <w:szCs w:val="32"/>
              </w:rPr>
              <w:t>P</w:t>
            </w:r>
          </w:p>
        </w:tc>
        <w:tc>
          <w:tcPr>
            <w:tcW w:w="8640" w:type="dxa"/>
          </w:tcPr>
          <w:p w14:paraId="2205AA37" w14:textId="77777777" w:rsidR="00137DC5" w:rsidRDefault="00137DC5" w:rsidP="006261B1">
            <w:pPr>
              <w:rPr>
                <w:szCs w:val="32"/>
              </w:rPr>
            </w:pPr>
            <w:r>
              <w:rPr>
                <w:szCs w:val="32"/>
              </w:rPr>
              <w:t>Useful for patient-centred burden; no direct early-treatment timing effect.</w:t>
            </w:r>
          </w:p>
        </w:tc>
      </w:tr>
    </w:tbl>
    <w:p w14:paraId="4BDB67C7" w14:textId="77777777" w:rsidR="00137DC5" w:rsidRDefault="00137DC5" w:rsidP="00137DC5">
      <w:pPr>
        <w:keepNext/>
        <w:spacing w:before="120" w:after="80"/>
      </w:pPr>
      <w:r>
        <w:rPr>
          <w:b/>
          <w:sz w:val="20"/>
        </w:rPr>
        <w:t>Table A3: CASP Qualitative Appraisal - Simons et al. (2022)</w:t>
      </w:r>
    </w:p>
    <w:tbl>
      <w:tblPr>
        <w:tblStyle w:val="TableGrid"/>
        <w:tblW w:w="14112" w:type="dxa"/>
        <w:jc w:val="center"/>
        <w:tblLayout w:type="fixed"/>
        <w:tblLook w:val="04A0" w:firstRow="1" w:lastRow="0" w:firstColumn="1" w:lastColumn="0" w:noHBand="0" w:noVBand="1"/>
      </w:tblPr>
      <w:tblGrid>
        <w:gridCol w:w="4895"/>
        <w:gridCol w:w="1441"/>
        <w:gridCol w:w="7776"/>
      </w:tblGrid>
      <w:tr w:rsidR="00137DC5" w14:paraId="56E900DE" w14:textId="77777777" w:rsidTr="006261B1">
        <w:trPr>
          <w:cantSplit/>
          <w:tblHeader/>
          <w:jc w:val="center"/>
        </w:trPr>
        <w:tc>
          <w:tcPr>
            <w:tcW w:w="4895" w:type="dxa"/>
          </w:tcPr>
          <w:p w14:paraId="3B2911D0" w14:textId="77777777" w:rsidR="00137DC5" w:rsidRDefault="00137DC5" w:rsidP="006261B1">
            <w:pPr>
              <w:rPr>
                <w:sz w:val="20"/>
                <w:szCs w:val="28"/>
              </w:rPr>
            </w:pPr>
            <w:r>
              <w:rPr>
                <w:b/>
                <w:sz w:val="20"/>
                <w:szCs w:val="28"/>
              </w:rPr>
              <w:t>CASP question/domain</w:t>
            </w:r>
          </w:p>
        </w:tc>
        <w:tc>
          <w:tcPr>
            <w:tcW w:w="1441" w:type="dxa"/>
          </w:tcPr>
          <w:p w14:paraId="319D2E35" w14:textId="77777777" w:rsidR="00137DC5" w:rsidRDefault="00137DC5" w:rsidP="006261B1">
            <w:pPr>
              <w:rPr>
                <w:sz w:val="20"/>
                <w:szCs w:val="28"/>
              </w:rPr>
            </w:pPr>
            <w:r>
              <w:rPr>
                <w:b/>
                <w:sz w:val="20"/>
                <w:szCs w:val="28"/>
              </w:rPr>
              <w:t>Judgement</w:t>
            </w:r>
          </w:p>
        </w:tc>
        <w:tc>
          <w:tcPr>
            <w:tcW w:w="7776" w:type="dxa"/>
          </w:tcPr>
          <w:p w14:paraId="76027254" w14:textId="77777777" w:rsidR="00137DC5" w:rsidRDefault="00137DC5" w:rsidP="006261B1">
            <w:pPr>
              <w:rPr>
                <w:sz w:val="20"/>
                <w:szCs w:val="28"/>
              </w:rPr>
            </w:pPr>
            <w:r>
              <w:rPr>
                <w:b/>
                <w:sz w:val="20"/>
                <w:szCs w:val="28"/>
              </w:rPr>
              <w:t>Appraisal note</w:t>
            </w:r>
          </w:p>
        </w:tc>
      </w:tr>
      <w:tr w:rsidR="00137DC5" w14:paraId="1765EBDC" w14:textId="77777777" w:rsidTr="006261B1">
        <w:trPr>
          <w:cantSplit/>
          <w:jc w:val="center"/>
        </w:trPr>
        <w:tc>
          <w:tcPr>
            <w:tcW w:w="4895" w:type="dxa"/>
          </w:tcPr>
          <w:p w14:paraId="43D32455" w14:textId="77777777" w:rsidR="00137DC5" w:rsidRDefault="00137DC5" w:rsidP="006261B1">
            <w:pPr>
              <w:rPr>
                <w:sz w:val="20"/>
                <w:szCs w:val="28"/>
              </w:rPr>
            </w:pPr>
            <w:r>
              <w:rPr>
                <w:sz w:val="20"/>
                <w:szCs w:val="28"/>
              </w:rPr>
              <w:t>Clear statement of aims</w:t>
            </w:r>
          </w:p>
        </w:tc>
        <w:tc>
          <w:tcPr>
            <w:tcW w:w="1441" w:type="dxa"/>
          </w:tcPr>
          <w:p w14:paraId="1625A8FF" w14:textId="77777777" w:rsidR="00137DC5" w:rsidRDefault="00137DC5" w:rsidP="006261B1">
            <w:pPr>
              <w:rPr>
                <w:sz w:val="20"/>
                <w:szCs w:val="28"/>
              </w:rPr>
            </w:pPr>
            <w:r>
              <w:rPr>
                <w:sz w:val="20"/>
                <w:szCs w:val="28"/>
              </w:rPr>
              <w:t>Y</w:t>
            </w:r>
          </w:p>
        </w:tc>
        <w:tc>
          <w:tcPr>
            <w:tcW w:w="7776" w:type="dxa"/>
          </w:tcPr>
          <w:p w14:paraId="3DD1097E" w14:textId="77777777" w:rsidR="00137DC5" w:rsidRDefault="00137DC5" w:rsidP="006261B1">
            <w:pPr>
              <w:rPr>
                <w:sz w:val="20"/>
                <w:szCs w:val="28"/>
              </w:rPr>
            </w:pPr>
            <w:r>
              <w:rPr>
                <w:sz w:val="20"/>
                <w:szCs w:val="28"/>
              </w:rPr>
              <w:t>Aim focused on pharmacy knowledge and reducing patient delay.</w:t>
            </w:r>
          </w:p>
        </w:tc>
      </w:tr>
      <w:tr w:rsidR="00137DC5" w14:paraId="32F0F0AA" w14:textId="77777777" w:rsidTr="006261B1">
        <w:trPr>
          <w:cantSplit/>
          <w:jc w:val="center"/>
        </w:trPr>
        <w:tc>
          <w:tcPr>
            <w:tcW w:w="4895" w:type="dxa"/>
          </w:tcPr>
          <w:p w14:paraId="3C161C88" w14:textId="77777777" w:rsidR="00137DC5" w:rsidRDefault="00137DC5" w:rsidP="006261B1">
            <w:pPr>
              <w:rPr>
                <w:sz w:val="20"/>
                <w:szCs w:val="28"/>
              </w:rPr>
            </w:pPr>
            <w:r>
              <w:rPr>
                <w:sz w:val="20"/>
                <w:szCs w:val="28"/>
              </w:rPr>
              <w:t>Qualitative methodology appropriate</w:t>
            </w:r>
          </w:p>
        </w:tc>
        <w:tc>
          <w:tcPr>
            <w:tcW w:w="1441" w:type="dxa"/>
          </w:tcPr>
          <w:p w14:paraId="37515D6E" w14:textId="77777777" w:rsidR="00137DC5" w:rsidRDefault="00137DC5" w:rsidP="006261B1">
            <w:pPr>
              <w:rPr>
                <w:sz w:val="20"/>
                <w:szCs w:val="28"/>
              </w:rPr>
            </w:pPr>
            <w:r>
              <w:rPr>
                <w:sz w:val="20"/>
                <w:szCs w:val="28"/>
              </w:rPr>
              <w:t>Y</w:t>
            </w:r>
          </w:p>
        </w:tc>
        <w:tc>
          <w:tcPr>
            <w:tcW w:w="7776" w:type="dxa"/>
          </w:tcPr>
          <w:p w14:paraId="477A1E80" w14:textId="77777777" w:rsidR="00137DC5" w:rsidRDefault="00137DC5" w:rsidP="006261B1">
            <w:pPr>
              <w:rPr>
                <w:sz w:val="20"/>
                <w:szCs w:val="28"/>
              </w:rPr>
            </w:pPr>
            <w:r>
              <w:rPr>
                <w:sz w:val="20"/>
                <w:szCs w:val="28"/>
              </w:rPr>
              <w:t>Appropriate for exploring perceptions and knowledge.</w:t>
            </w:r>
          </w:p>
        </w:tc>
      </w:tr>
      <w:tr w:rsidR="00137DC5" w14:paraId="12C5F92B" w14:textId="77777777" w:rsidTr="006261B1">
        <w:trPr>
          <w:cantSplit/>
          <w:jc w:val="center"/>
        </w:trPr>
        <w:tc>
          <w:tcPr>
            <w:tcW w:w="4895" w:type="dxa"/>
          </w:tcPr>
          <w:p w14:paraId="604D6D44" w14:textId="77777777" w:rsidR="00137DC5" w:rsidRDefault="00137DC5" w:rsidP="006261B1">
            <w:pPr>
              <w:rPr>
                <w:sz w:val="20"/>
                <w:szCs w:val="28"/>
              </w:rPr>
            </w:pPr>
            <w:r>
              <w:rPr>
                <w:sz w:val="20"/>
                <w:szCs w:val="28"/>
              </w:rPr>
              <w:t>Research design appropriate</w:t>
            </w:r>
          </w:p>
        </w:tc>
        <w:tc>
          <w:tcPr>
            <w:tcW w:w="1441" w:type="dxa"/>
          </w:tcPr>
          <w:p w14:paraId="1565BCCC" w14:textId="77777777" w:rsidR="00137DC5" w:rsidRDefault="00137DC5" w:rsidP="006261B1">
            <w:pPr>
              <w:rPr>
                <w:sz w:val="20"/>
                <w:szCs w:val="28"/>
              </w:rPr>
            </w:pPr>
            <w:r>
              <w:rPr>
                <w:sz w:val="20"/>
                <w:szCs w:val="28"/>
              </w:rPr>
              <w:t>Y</w:t>
            </w:r>
          </w:p>
        </w:tc>
        <w:tc>
          <w:tcPr>
            <w:tcW w:w="7776" w:type="dxa"/>
          </w:tcPr>
          <w:p w14:paraId="7B089195" w14:textId="77777777" w:rsidR="00137DC5" w:rsidRDefault="00137DC5" w:rsidP="006261B1">
            <w:pPr>
              <w:rPr>
                <w:sz w:val="20"/>
                <w:szCs w:val="28"/>
              </w:rPr>
            </w:pPr>
            <w:r>
              <w:rPr>
                <w:sz w:val="20"/>
                <w:szCs w:val="28"/>
              </w:rPr>
              <w:t>Semi-structured interview design.</w:t>
            </w:r>
          </w:p>
        </w:tc>
      </w:tr>
      <w:tr w:rsidR="00137DC5" w14:paraId="1FC1855B" w14:textId="77777777" w:rsidTr="006261B1">
        <w:trPr>
          <w:cantSplit/>
          <w:jc w:val="center"/>
        </w:trPr>
        <w:tc>
          <w:tcPr>
            <w:tcW w:w="4895" w:type="dxa"/>
          </w:tcPr>
          <w:p w14:paraId="4FF499CC" w14:textId="77777777" w:rsidR="00137DC5" w:rsidRDefault="00137DC5" w:rsidP="006261B1">
            <w:pPr>
              <w:rPr>
                <w:sz w:val="20"/>
                <w:szCs w:val="28"/>
              </w:rPr>
            </w:pPr>
            <w:r>
              <w:rPr>
                <w:sz w:val="20"/>
                <w:szCs w:val="28"/>
              </w:rPr>
              <w:t>Recruitment strategy appropriate</w:t>
            </w:r>
          </w:p>
        </w:tc>
        <w:tc>
          <w:tcPr>
            <w:tcW w:w="1441" w:type="dxa"/>
          </w:tcPr>
          <w:p w14:paraId="75BD0345" w14:textId="77777777" w:rsidR="00137DC5" w:rsidRDefault="00137DC5" w:rsidP="006261B1">
            <w:pPr>
              <w:rPr>
                <w:sz w:val="20"/>
                <w:szCs w:val="28"/>
              </w:rPr>
            </w:pPr>
            <w:r>
              <w:rPr>
                <w:sz w:val="20"/>
                <w:szCs w:val="28"/>
              </w:rPr>
              <w:t>P</w:t>
            </w:r>
          </w:p>
        </w:tc>
        <w:tc>
          <w:tcPr>
            <w:tcW w:w="7776" w:type="dxa"/>
          </w:tcPr>
          <w:p w14:paraId="6F3357F0" w14:textId="77777777" w:rsidR="00137DC5" w:rsidRDefault="00137DC5" w:rsidP="006261B1">
            <w:pPr>
              <w:rPr>
                <w:sz w:val="20"/>
                <w:szCs w:val="28"/>
              </w:rPr>
            </w:pPr>
            <w:r>
              <w:rPr>
                <w:sz w:val="20"/>
                <w:szCs w:val="28"/>
              </w:rPr>
              <w:t>Convenience sample of 19 pharmacy staff in one region.</w:t>
            </w:r>
          </w:p>
        </w:tc>
      </w:tr>
      <w:tr w:rsidR="00137DC5" w14:paraId="4FBCFC56" w14:textId="77777777" w:rsidTr="006261B1">
        <w:trPr>
          <w:cantSplit/>
          <w:jc w:val="center"/>
        </w:trPr>
        <w:tc>
          <w:tcPr>
            <w:tcW w:w="4895" w:type="dxa"/>
          </w:tcPr>
          <w:p w14:paraId="5E25AE93" w14:textId="77777777" w:rsidR="00137DC5" w:rsidRDefault="00137DC5" w:rsidP="006261B1">
            <w:pPr>
              <w:rPr>
                <w:sz w:val="20"/>
                <w:szCs w:val="28"/>
              </w:rPr>
            </w:pPr>
            <w:r>
              <w:rPr>
                <w:sz w:val="20"/>
                <w:szCs w:val="28"/>
              </w:rPr>
              <w:t>Data collection appropriate</w:t>
            </w:r>
          </w:p>
        </w:tc>
        <w:tc>
          <w:tcPr>
            <w:tcW w:w="1441" w:type="dxa"/>
          </w:tcPr>
          <w:p w14:paraId="66A73848" w14:textId="77777777" w:rsidR="00137DC5" w:rsidRDefault="00137DC5" w:rsidP="006261B1">
            <w:pPr>
              <w:rPr>
                <w:sz w:val="20"/>
                <w:szCs w:val="28"/>
              </w:rPr>
            </w:pPr>
            <w:r>
              <w:rPr>
                <w:sz w:val="20"/>
                <w:szCs w:val="28"/>
              </w:rPr>
              <w:t>Y</w:t>
            </w:r>
          </w:p>
        </w:tc>
        <w:tc>
          <w:tcPr>
            <w:tcW w:w="7776" w:type="dxa"/>
          </w:tcPr>
          <w:p w14:paraId="38271E2A" w14:textId="77777777" w:rsidR="00137DC5" w:rsidRDefault="00137DC5" w:rsidP="006261B1">
            <w:pPr>
              <w:rPr>
                <w:sz w:val="20"/>
                <w:szCs w:val="28"/>
              </w:rPr>
            </w:pPr>
            <w:r>
              <w:rPr>
                <w:sz w:val="20"/>
                <w:szCs w:val="28"/>
              </w:rPr>
              <w:t>Semi-structured interviews addressed the research issue.</w:t>
            </w:r>
          </w:p>
        </w:tc>
      </w:tr>
      <w:tr w:rsidR="00137DC5" w14:paraId="76FBB17D" w14:textId="77777777" w:rsidTr="006261B1">
        <w:trPr>
          <w:cantSplit/>
          <w:jc w:val="center"/>
        </w:trPr>
        <w:tc>
          <w:tcPr>
            <w:tcW w:w="4895" w:type="dxa"/>
          </w:tcPr>
          <w:p w14:paraId="2029493C" w14:textId="77777777" w:rsidR="00137DC5" w:rsidRDefault="00137DC5" w:rsidP="006261B1">
            <w:pPr>
              <w:rPr>
                <w:sz w:val="20"/>
                <w:szCs w:val="28"/>
              </w:rPr>
            </w:pPr>
            <w:r>
              <w:rPr>
                <w:sz w:val="20"/>
                <w:szCs w:val="28"/>
              </w:rPr>
              <w:lastRenderedPageBreak/>
              <w:t>Researcher-participant relationship considered</w:t>
            </w:r>
          </w:p>
        </w:tc>
        <w:tc>
          <w:tcPr>
            <w:tcW w:w="1441" w:type="dxa"/>
          </w:tcPr>
          <w:p w14:paraId="6AEB3C0A" w14:textId="77777777" w:rsidR="00137DC5" w:rsidRDefault="00137DC5" w:rsidP="006261B1">
            <w:pPr>
              <w:rPr>
                <w:sz w:val="20"/>
                <w:szCs w:val="28"/>
              </w:rPr>
            </w:pPr>
            <w:r>
              <w:rPr>
                <w:sz w:val="20"/>
                <w:szCs w:val="28"/>
              </w:rPr>
              <w:t>P</w:t>
            </w:r>
          </w:p>
        </w:tc>
        <w:tc>
          <w:tcPr>
            <w:tcW w:w="7776" w:type="dxa"/>
          </w:tcPr>
          <w:p w14:paraId="5D6B4324" w14:textId="77777777" w:rsidR="00137DC5" w:rsidRDefault="00137DC5" w:rsidP="006261B1">
            <w:pPr>
              <w:rPr>
                <w:sz w:val="20"/>
                <w:szCs w:val="28"/>
              </w:rPr>
            </w:pPr>
            <w:r>
              <w:rPr>
                <w:sz w:val="20"/>
                <w:szCs w:val="28"/>
              </w:rPr>
              <w:t>Limited reflexivity reported.</w:t>
            </w:r>
          </w:p>
        </w:tc>
      </w:tr>
      <w:tr w:rsidR="00137DC5" w14:paraId="1BADAC47" w14:textId="77777777" w:rsidTr="006261B1">
        <w:trPr>
          <w:cantSplit/>
          <w:jc w:val="center"/>
        </w:trPr>
        <w:tc>
          <w:tcPr>
            <w:tcW w:w="4895" w:type="dxa"/>
          </w:tcPr>
          <w:p w14:paraId="30D4FA74" w14:textId="77777777" w:rsidR="00137DC5" w:rsidRDefault="00137DC5" w:rsidP="006261B1">
            <w:pPr>
              <w:rPr>
                <w:sz w:val="20"/>
                <w:szCs w:val="28"/>
              </w:rPr>
            </w:pPr>
            <w:r>
              <w:rPr>
                <w:sz w:val="20"/>
                <w:szCs w:val="28"/>
              </w:rPr>
              <w:t>Ethical issues considered</w:t>
            </w:r>
          </w:p>
        </w:tc>
        <w:tc>
          <w:tcPr>
            <w:tcW w:w="1441" w:type="dxa"/>
          </w:tcPr>
          <w:p w14:paraId="7598F94C" w14:textId="77777777" w:rsidR="00137DC5" w:rsidRDefault="00137DC5" w:rsidP="006261B1">
            <w:pPr>
              <w:rPr>
                <w:sz w:val="20"/>
                <w:szCs w:val="28"/>
              </w:rPr>
            </w:pPr>
            <w:r>
              <w:rPr>
                <w:sz w:val="20"/>
                <w:szCs w:val="28"/>
              </w:rPr>
              <w:t>Y</w:t>
            </w:r>
          </w:p>
        </w:tc>
        <w:tc>
          <w:tcPr>
            <w:tcW w:w="7776" w:type="dxa"/>
          </w:tcPr>
          <w:p w14:paraId="08A0CB8E" w14:textId="77777777" w:rsidR="00137DC5" w:rsidRDefault="00137DC5" w:rsidP="006261B1">
            <w:pPr>
              <w:rPr>
                <w:sz w:val="20"/>
                <w:szCs w:val="28"/>
              </w:rPr>
            </w:pPr>
            <w:r>
              <w:rPr>
                <w:sz w:val="20"/>
                <w:szCs w:val="28"/>
              </w:rPr>
              <w:t>Ethical procedures reported.</w:t>
            </w:r>
          </w:p>
        </w:tc>
      </w:tr>
      <w:tr w:rsidR="00137DC5" w14:paraId="256DB9BD" w14:textId="77777777" w:rsidTr="006261B1">
        <w:trPr>
          <w:cantSplit/>
          <w:jc w:val="center"/>
        </w:trPr>
        <w:tc>
          <w:tcPr>
            <w:tcW w:w="4895" w:type="dxa"/>
          </w:tcPr>
          <w:p w14:paraId="70B6E147" w14:textId="77777777" w:rsidR="00137DC5" w:rsidRDefault="00137DC5" w:rsidP="006261B1">
            <w:pPr>
              <w:rPr>
                <w:sz w:val="20"/>
                <w:szCs w:val="28"/>
              </w:rPr>
            </w:pPr>
            <w:r>
              <w:rPr>
                <w:sz w:val="20"/>
                <w:szCs w:val="28"/>
              </w:rPr>
              <w:t>Data analysis rigorous</w:t>
            </w:r>
          </w:p>
        </w:tc>
        <w:tc>
          <w:tcPr>
            <w:tcW w:w="1441" w:type="dxa"/>
          </w:tcPr>
          <w:p w14:paraId="32ED578E" w14:textId="77777777" w:rsidR="00137DC5" w:rsidRDefault="00137DC5" w:rsidP="006261B1">
            <w:pPr>
              <w:rPr>
                <w:sz w:val="20"/>
                <w:szCs w:val="28"/>
              </w:rPr>
            </w:pPr>
            <w:r>
              <w:rPr>
                <w:sz w:val="20"/>
                <w:szCs w:val="28"/>
              </w:rPr>
              <w:t>Y</w:t>
            </w:r>
          </w:p>
        </w:tc>
        <w:tc>
          <w:tcPr>
            <w:tcW w:w="7776" w:type="dxa"/>
          </w:tcPr>
          <w:p w14:paraId="5644B8AD" w14:textId="77777777" w:rsidR="00137DC5" w:rsidRDefault="00137DC5" w:rsidP="006261B1">
            <w:pPr>
              <w:rPr>
                <w:sz w:val="20"/>
                <w:szCs w:val="28"/>
              </w:rPr>
            </w:pPr>
            <w:r>
              <w:rPr>
                <w:sz w:val="20"/>
                <w:szCs w:val="28"/>
              </w:rPr>
              <w:t>Structured thematic analysis/NVivo reported.</w:t>
            </w:r>
          </w:p>
        </w:tc>
      </w:tr>
      <w:tr w:rsidR="00137DC5" w14:paraId="50812069" w14:textId="77777777" w:rsidTr="006261B1">
        <w:trPr>
          <w:cantSplit/>
          <w:jc w:val="center"/>
        </w:trPr>
        <w:tc>
          <w:tcPr>
            <w:tcW w:w="4895" w:type="dxa"/>
          </w:tcPr>
          <w:p w14:paraId="7D7B48EB" w14:textId="77777777" w:rsidR="00137DC5" w:rsidRDefault="00137DC5" w:rsidP="006261B1">
            <w:pPr>
              <w:rPr>
                <w:sz w:val="20"/>
                <w:szCs w:val="28"/>
              </w:rPr>
            </w:pPr>
            <w:r>
              <w:rPr>
                <w:sz w:val="20"/>
                <w:szCs w:val="28"/>
              </w:rPr>
              <w:t>Clear statement of findings</w:t>
            </w:r>
          </w:p>
        </w:tc>
        <w:tc>
          <w:tcPr>
            <w:tcW w:w="1441" w:type="dxa"/>
          </w:tcPr>
          <w:p w14:paraId="7DA96796" w14:textId="77777777" w:rsidR="00137DC5" w:rsidRDefault="00137DC5" w:rsidP="006261B1">
            <w:pPr>
              <w:rPr>
                <w:sz w:val="20"/>
                <w:szCs w:val="28"/>
              </w:rPr>
            </w:pPr>
            <w:r>
              <w:rPr>
                <w:sz w:val="20"/>
                <w:szCs w:val="28"/>
              </w:rPr>
              <w:t>Y</w:t>
            </w:r>
          </w:p>
        </w:tc>
        <w:tc>
          <w:tcPr>
            <w:tcW w:w="7776" w:type="dxa"/>
          </w:tcPr>
          <w:p w14:paraId="66F7EE62" w14:textId="77777777" w:rsidR="00137DC5" w:rsidRDefault="00137DC5" w:rsidP="006261B1">
            <w:pPr>
              <w:rPr>
                <w:sz w:val="20"/>
                <w:szCs w:val="28"/>
              </w:rPr>
            </w:pPr>
            <w:r>
              <w:rPr>
                <w:sz w:val="20"/>
                <w:szCs w:val="28"/>
              </w:rPr>
              <w:t>Four themes reported clearly.</w:t>
            </w:r>
          </w:p>
        </w:tc>
      </w:tr>
      <w:tr w:rsidR="00137DC5" w14:paraId="637D7B4F" w14:textId="77777777" w:rsidTr="006261B1">
        <w:trPr>
          <w:cantSplit/>
          <w:jc w:val="center"/>
        </w:trPr>
        <w:tc>
          <w:tcPr>
            <w:tcW w:w="4895" w:type="dxa"/>
          </w:tcPr>
          <w:p w14:paraId="04C52AD3" w14:textId="77777777" w:rsidR="00137DC5" w:rsidRDefault="00137DC5" w:rsidP="006261B1">
            <w:pPr>
              <w:rPr>
                <w:sz w:val="20"/>
                <w:szCs w:val="28"/>
              </w:rPr>
            </w:pPr>
            <w:r>
              <w:rPr>
                <w:sz w:val="20"/>
                <w:szCs w:val="28"/>
              </w:rPr>
              <w:t>Value of the research</w:t>
            </w:r>
          </w:p>
        </w:tc>
        <w:tc>
          <w:tcPr>
            <w:tcW w:w="1441" w:type="dxa"/>
          </w:tcPr>
          <w:p w14:paraId="1B08897E" w14:textId="77777777" w:rsidR="00137DC5" w:rsidRDefault="00137DC5" w:rsidP="006261B1">
            <w:pPr>
              <w:rPr>
                <w:sz w:val="20"/>
                <w:szCs w:val="28"/>
              </w:rPr>
            </w:pPr>
            <w:r>
              <w:rPr>
                <w:sz w:val="20"/>
                <w:szCs w:val="28"/>
              </w:rPr>
              <w:t>Y</w:t>
            </w:r>
          </w:p>
        </w:tc>
        <w:tc>
          <w:tcPr>
            <w:tcW w:w="7776" w:type="dxa"/>
          </w:tcPr>
          <w:p w14:paraId="318F5A07" w14:textId="77777777" w:rsidR="00137DC5" w:rsidRDefault="00137DC5" w:rsidP="006261B1">
            <w:pPr>
              <w:rPr>
                <w:sz w:val="20"/>
                <w:szCs w:val="28"/>
              </w:rPr>
            </w:pPr>
            <w:r>
              <w:rPr>
                <w:sz w:val="20"/>
                <w:szCs w:val="28"/>
              </w:rPr>
              <w:t>Relevant pathway insight for awareness and signposting.</w:t>
            </w:r>
          </w:p>
        </w:tc>
      </w:tr>
    </w:tbl>
    <w:p w14:paraId="5FF06B73" w14:textId="77777777" w:rsidR="00137DC5" w:rsidRDefault="00137DC5" w:rsidP="00137DC5">
      <w:pPr>
        <w:keepNext/>
        <w:spacing w:before="120" w:after="80"/>
      </w:pPr>
      <w:r>
        <w:rPr>
          <w:b/>
          <w:sz w:val="20"/>
        </w:rPr>
        <w:t>Table A4: CASP Randomised Controlled Trial Appraisal - Cope et al. (2024)</w:t>
      </w:r>
    </w:p>
    <w:tbl>
      <w:tblPr>
        <w:tblStyle w:val="TableGrid"/>
        <w:tblW w:w="14112" w:type="dxa"/>
        <w:jc w:val="center"/>
        <w:tblLayout w:type="fixed"/>
        <w:tblLook w:val="04A0" w:firstRow="1" w:lastRow="0" w:firstColumn="1" w:lastColumn="0" w:noHBand="0" w:noVBand="1"/>
      </w:tblPr>
      <w:tblGrid>
        <w:gridCol w:w="4895"/>
        <w:gridCol w:w="1441"/>
        <w:gridCol w:w="7776"/>
      </w:tblGrid>
      <w:tr w:rsidR="00137DC5" w14:paraId="6E289808" w14:textId="77777777" w:rsidTr="006261B1">
        <w:trPr>
          <w:cantSplit/>
          <w:tblHeader/>
          <w:jc w:val="center"/>
        </w:trPr>
        <w:tc>
          <w:tcPr>
            <w:tcW w:w="4895" w:type="dxa"/>
          </w:tcPr>
          <w:p w14:paraId="25570E3E" w14:textId="77777777" w:rsidR="00137DC5" w:rsidRDefault="00137DC5" w:rsidP="006261B1">
            <w:pPr>
              <w:rPr>
                <w:sz w:val="20"/>
                <w:szCs w:val="20"/>
              </w:rPr>
            </w:pPr>
            <w:r>
              <w:rPr>
                <w:b/>
                <w:sz w:val="20"/>
                <w:szCs w:val="20"/>
              </w:rPr>
              <w:t>CASP question/domain</w:t>
            </w:r>
          </w:p>
        </w:tc>
        <w:tc>
          <w:tcPr>
            <w:tcW w:w="1441" w:type="dxa"/>
          </w:tcPr>
          <w:p w14:paraId="17CA36D8" w14:textId="77777777" w:rsidR="00137DC5" w:rsidRDefault="00137DC5" w:rsidP="006261B1">
            <w:pPr>
              <w:rPr>
                <w:sz w:val="20"/>
                <w:szCs w:val="20"/>
              </w:rPr>
            </w:pPr>
            <w:r>
              <w:rPr>
                <w:b/>
                <w:sz w:val="20"/>
                <w:szCs w:val="20"/>
              </w:rPr>
              <w:t>Judgement</w:t>
            </w:r>
          </w:p>
        </w:tc>
        <w:tc>
          <w:tcPr>
            <w:tcW w:w="7776" w:type="dxa"/>
          </w:tcPr>
          <w:p w14:paraId="43A6B989" w14:textId="77777777" w:rsidR="00137DC5" w:rsidRDefault="00137DC5" w:rsidP="006261B1">
            <w:pPr>
              <w:rPr>
                <w:sz w:val="20"/>
                <w:szCs w:val="20"/>
              </w:rPr>
            </w:pPr>
            <w:r>
              <w:rPr>
                <w:b/>
                <w:sz w:val="20"/>
                <w:szCs w:val="20"/>
              </w:rPr>
              <w:t>Appraisal note</w:t>
            </w:r>
          </w:p>
        </w:tc>
      </w:tr>
      <w:tr w:rsidR="00137DC5" w14:paraId="11C66DF6" w14:textId="77777777" w:rsidTr="006261B1">
        <w:trPr>
          <w:cantSplit/>
          <w:jc w:val="center"/>
        </w:trPr>
        <w:tc>
          <w:tcPr>
            <w:tcW w:w="4895" w:type="dxa"/>
          </w:tcPr>
          <w:p w14:paraId="265D4DE3" w14:textId="77777777" w:rsidR="00137DC5" w:rsidRDefault="00137DC5" w:rsidP="006261B1">
            <w:pPr>
              <w:rPr>
                <w:sz w:val="20"/>
                <w:szCs w:val="20"/>
              </w:rPr>
            </w:pPr>
            <w:r>
              <w:rPr>
                <w:sz w:val="20"/>
                <w:szCs w:val="20"/>
              </w:rPr>
              <w:t>Clearly focused question</w:t>
            </w:r>
          </w:p>
        </w:tc>
        <w:tc>
          <w:tcPr>
            <w:tcW w:w="1441" w:type="dxa"/>
          </w:tcPr>
          <w:p w14:paraId="6481D55B" w14:textId="77777777" w:rsidR="00137DC5" w:rsidRDefault="00137DC5" w:rsidP="006261B1">
            <w:pPr>
              <w:rPr>
                <w:sz w:val="20"/>
                <w:szCs w:val="20"/>
              </w:rPr>
            </w:pPr>
            <w:r>
              <w:rPr>
                <w:sz w:val="20"/>
                <w:szCs w:val="20"/>
              </w:rPr>
              <w:t>Y</w:t>
            </w:r>
          </w:p>
        </w:tc>
        <w:tc>
          <w:tcPr>
            <w:tcW w:w="7776" w:type="dxa"/>
          </w:tcPr>
          <w:p w14:paraId="63E2E05E" w14:textId="77777777" w:rsidR="00137DC5" w:rsidRDefault="00137DC5" w:rsidP="006261B1">
            <w:pPr>
              <w:rPr>
                <w:sz w:val="20"/>
                <w:szCs w:val="20"/>
              </w:rPr>
            </w:pPr>
            <w:r>
              <w:rPr>
                <w:sz w:val="20"/>
                <w:szCs w:val="20"/>
              </w:rPr>
              <w:t>Prevention/very-early intervention question clearly defined.</w:t>
            </w:r>
          </w:p>
        </w:tc>
      </w:tr>
      <w:tr w:rsidR="00137DC5" w14:paraId="7EDAEAD8" w14:textId="77777777" w:rsidTr="006261B1">
        <w:trPr>
          <w:cantSplit/>
          <w:jc w:val="center"/>
        </w:trPr>
        <w:tc>
          <w:tcPr>
            <w:tcW w:w="4895" w:type="dxa"/>
          </w:tcPr>
          <w:p w14:paraId="04753ADB" w14:textId="77777777" w:rsidR="00137DC5" w:rsidRDefault="00137DC5" w:rsidP="006261B1">
            <w:pPr>
              <w:rPr>
                <w:sz w:val="20"/>
                <w:szCs w:val="20"/>
              </w:rPr>
            </w:pPr>
            <w:r>
              <w:rPr>
                <w:sz w:val="20"/>
                <w:szCs w:val="20"/>
              </w:rPr>
              <w:t>Random assignment</w:t>
            </w:r>
          </w:p>
        </w:tc>
        <w:tc>
          <w:tcPr>
            <w:tcW w:w="1441" w:type="dxa"/>
          </w:tcPr>
          <w:p w14:paraId="205F97C9" w14:textId="77777777" w:rsidR="00137DC5" w:rsidRDefault="00137DC5" w:rsidP="006261B1">
            <w:pPr>
              <w:rPr>
                <w:sz w:val="20"/>
                <w:szCs w:val="20"/>
              </w:rPr>
            </w:pPr>
            <w:r>
              <w:rPr>
                <w:sz w:val="20"/>
                <w:szCs w:val="20"/>
              </w:rPr>
              <w:t>Y</w:t>
            </w:r>
          </w:p>
        </w:tc>
        <w:tc>
          <w:tcPr>
            <w:tcW w:w="7776" w:type="dxa"/>
          </w:tcPr>
          <w:p w14:paraId="0E4EC4A7" w14:textId="77777777" w:rsidR="00137DC5" w:rsidRDefault="00137DC5" w:rsidP="006261B1">
            <w:pPr>
              <w:rPr>
                <w:sz w:val="20"/>
                <w:szCs w:val="20"/>
              </w:rPr>
            </w:pPr>
            <w:r>
              <w:rPr>
                <w:sz w:val="20"/>
                <w:szCs w:val="20"/>
              </w:rPr>
              <w:t>Computer randomisation reported.</w:t>
            </w:r>
          </w:p>
        </w:tc>
      </w:tr>
      <w:tr w:rsidR="00137DC5" w14:paraId="4EE96D73" w14:textId="77777777" w:rsidTr="006261B1">
        <w:trPr>
          <w:cantSplit/>
          <w:jc w:val="center"/>
        </w:trPr>
        <w:tc>
          <w:tcPr>
            <w:tcW w:w="4895" w:type="dxa"/>
          </w:tcPr>
          <w:p w14:paraId="2F7058CE" w14:textId="77777777" w:rsidR="00137DC5" w:rsidRDefault="00137DC5" w:rsidP="006261B1">
            <w:pPr>
              <w:rPr>
                <w:sz w:val="20"/>
                <w:szCs w:val="20"/>
              </w:rPr>
            </w:pPr>
            <w:r>
              <w:rPr>
                <w:sz w:val="20"/>
                <w:szCs w:val="20"/>
              </w:rPr>
              <w:t>Participants accounted for</w:t>
            </w:r>
          </w:p>
        </w:tc>
        <w:tc>
          <w:tcPr>
            <w:tcW w:w="1441" w:type="dxa"/>
          </w:tcPr>
          <w:p w14:paraId="040BA5E4" w14:textId="77777777" w:rsidR="00137DC5" w:rsidRDefault="00137DC5" w:rsidP="006261B1">
            <w:pPr>
              <w:rPr>
                <w:sz w:val="20"/>
                <w:szCs w:val="20"/>
              </w:rPr>
            </w:pPr>
            <w:r>
              <w:rPr>
                <w:sz w:val="20"/>
                <w:szCs w:val="20"/>
              </w:rPr>
              <w:t>Y</w:t>
            </w:r>
          </w:p>
        </w:tc>
        <w:tc>
          <w:tcPr>
            <w:tcW w:w="7776" w:type="dxa"/>
          </w:tcPr>
          <w:p w14:paraId="4DE7C124" w14:textId="77777777" w:rsidR="00137DC5" w:rsidRDefault="00137DC5" w:rsidP="006261B1">
            <w:pPr>
              <w:rPr>
                <w:sz w:val="20"/>
                <w:szCs w:val="20"/>
              </w:rPr>
            </w:pPr>
            <w:r>
              <w:rPr>
                <w:sz w:val="20"/>
                <w:szCs w:val="20"/>
              </w:rPr>
              <w:t>Intention-to-treat; n=213.</w:t>
            </w:r>
          </w:p>
        </w:tc>
      </w:tr>
      <w:tr w:rsidR="00137DC5" w14:paraId="7ABBA2C4" w14:textId="77777777" w:rsidTr="006261B1">
        <w:trPr>
          <w:cantSplit/>
          <w:jc w:val="center"/>
        </w:trPr>
        <w:tc>
          <w:tcPr>
            <w:tcW w:w="4895" w:type="dxa"/>
          </w:tcPr>
          <w:p w14:paraId="6C18B9C7" w14:textId="77777777" w:rsidR="00137DC5" w:rsidRDefault="00137DC5" w:rsidP="006261B1">
            <w:pPr>
              <w:rPr>
                <w:sz w:val="20"/>
                <w:szCs w:val="20"/>
              </w:rPr>
            </w:pPr>
            <w:r>
              <w:rPr>
                <w:sz w:val="20"/>
                <w:szCs w:val="20"/>
              </w:rPr>
              <w:t>Blinding</w:t>
            </w:r>
          </w:p>
        </w:tc>
        <w:tc>
          <w:tcPr>
            <w:tcW w:w="1441" w:type="dxa"/>
          </w:tcPr>
          <w:p w14:paraId="0B9C01CE" w14:textId="77777777" w:rsidR="00137DC5" w:rsidRDefault="00137DC5" w:rsidP="006261B1">
            <w:pPr>
              <w:rPr>
                <w:sz w:val="20"/>
                <w:szCs w:val="20"/>
              </w:rPr>
            </w:pPr>
            <w:r>
              <w:rPr>
                <w:sz w:val="20"/>
                <w:szCs w:val="20"/>
              </w:rPr>
              <w:t>Y</w:t>
            </w:r>
          </w:p>
        </w:tc>
        <w:tc>
          <w:tcPr>
            <w:tcW w:w="7776" w:type="dxa"/>
          </w:tcPr>
          <w:p w14:paraId="7AFDEEB5" w14:textId="77777777" w:rsidR="00137DC5" w:rsidRDefault="00137DC5" w:rsidP="006261B1">
            <w:pPr>
              <w:rPr>
                <w:sz w:val="20"/>
                <w:szCs w:val="20"/>
              </w:rPr>
            </w:pPr>
            <w:r>
              <w:rPr>
                <w:sz w:val="20"/>
                <w:szCs w:val="20"/>
              </w:rPr>
              <w:t>Double-blind design; participant/investigator masking.</w:t>
            </w:r>
          </w:p>
        </w:tc>
      </w:tr>
      <w:tr w:rsidR="00137DC5" w14:paraId="603E351C" w14:textId="77777777" w:rsidTr="006261B1">
        <w:trPr>
          <w:cantSplit/>
          <w:jc w:val="center"/>
        </w:trPr>
        <w:tc>
          <w:tcPr>
            <w:tcW w:w="4895" w:type="dxa"/>
          </w:tcPr>
          <w:p w14:paraId="0B6033B7" w14:textId="77777777" w:rsidR="00137DC5" w:rsidRDefault="00137DC5" w:rsidP="006261B1">
            <w:pPr>
              <w:rPr>
                <w:sz w:val="20"/>
                <w:szCs w:val="20"/>
              </w:rPr>
            </w:pPr>
            <w:r>
              <w:rPr>
                <w:sz w:val="20"/>
                <w:szCs w:val="20"/>
              </w:rPr>
              <w:t>Outcome assessment blinding</w:t>
            </w:r>
          </w:p>
        </w:tc>
        <w:tc>
          <w:tcPr>
            <w:tcW w:w="1441" w:type="dxa"/>
          </w:tcPr>
          <w:p w14:paraId="04ACA65C" w14:textId="77777777" w:rsidR="00137DC5" w:rsidRDefault="00137DC5" w:rsidP="006261B1">
            <w:pPr>
              <w:rPr>
                <w:sz w:val="20"/>
                <w:szCs w:val="20"/>
              </w:rPr>
            </w:pPr>
            <w:r>
              <w:rPr>
                <w:sz w:val="20"/>
                <w:szCs w:val="20"/>
              </w:rPr>
              <w:t>P</w:t>
            </w:r>
          </w:p>
        </w:tc>
        <w:tc>
          <w:tcPr>
            <w:tcW w:w="7776" w:type="dxa"/>
          </w:tcPr>
          <w:p w14:paraId="6E76D7B5" w14:textId="77777777" w:rsidR="00137DC5" w:rsidRDefault="00137DC5" w:rsidP="006261B1">
            <w:pPr>
              <w:rPr>
                <w:sz w:val="20"/>
                <w:szCs w:val="20"/>
              </w:rPr>
            </w:pPr>
            <w:r>
              <w:rPr>
                <w:sz w:val="20"/>
                <w:szCs w:val="20"/>
              </w:rPr>
              <w:t>Overall double-blind design; endpoint detail not equally clear.</w:t>
            </w:r>
          </w:p>
        </w:tc>
      </w:tr>
      <w:tr w:rsidR="00137DC5" w14:paraId="0C45B524" w14:textId="77777777" w:rsidTr="006261B1">
        <w:trPr>
          <w:cantSplit/>
          <w:jc w:val="center"/>
        </w:trPr>
        <w:tc>
          <w:tcPr>
            <w:tcW w:w="4895" w:type="dxa"/>
          </w:tcPr>
          <w:p w14:paraId="4D8864D6" w14:textId="77777777" w:rsidR="00137DC5" w:rsidRDefault="00137DC5" w:rsidP="006261B1">
            <w:pPr>
              <w:rPr>
                <w:sz w:val="20"/>
                <w:szCs w:val="20"/>
              </w:rPr>
            </w:pPr>
            <w:r>
              <w:rPr>
                <w:sz w:val="20"/>
                <w:szCs w:val="20"/>
              </w:rPr>
              <w:t>Groups similar at baseline</w:t>
            </w:r>
          </w:p>
        </w:tc>
        <w:tc>
          <w:tcPr>
            <w:tcW w:w="1441" w:type="dxa"/>
          </w:tcPr>
          <w:p w14:paraId="049154A4" w14:textId="77777777" w:rsidR="00137DC5" w:rsidRDefault="00137DC5" w:rsidP="006261B1">
            <w:pPr>
              <w:rPr>
                <w:sz w:val="20"/>
                <w:szCs w:val="20"/>
              </w:rPr>
            </w:pPr>
            <w:r>
              <w:rPr>
                <w:sz w:val="20"/>
                <w:szCs w:val="20"/>
              </w:rPr>
              <w:t>Y</w:t>
            </w:r>
          </w:p>
        </w:tc>
        <w:tc>
          <w:tcPr>
            <w:tcW w:w="7776" w:type="dxa"/>
          </w:tcPr>
          <w:p w14:paraId="5668C476" w14:textId="77777777" w:rsidR="00137DC5" w:rsidRDefault="00137DC5" w:rsidP="006261B1">
            <w:pPr>
              <w:rPr>
                <w:sz w:val="20"/>
                <w:szCs w:val="20"/>
              </w:rPr>
            </w:pPr>
            <w:r>
              <w:rPr>
                <w:sz w:val="20"/>
                <w:szCs w:val="20"/>
              </w:rPr>
              <w:t>Groups balanced/stratified.</w:t>
            </w:r>
          </w:p>
        </w:tc>
      </w:tr>
      <w:tr w:rsidR="00137DC5" w14:paraId="7FDB3932" w14:textId="77777777" w:rsidTr="006261B1">
        <w:trPr>
          <w:cantSplit/>
          <w:jc w:val="center"/>
        </w:trPr>
        <w:tc>
          <w:tcPr>
            <w:tcW w:w="4895" w:type="dxa"/>
          </w:tcPr>
          <w:p w14:paraId="6942EA7C" w14:textId="77777777" w:rsidR="00137DC5" w:rsidRDefault="00137DC5" w:rsidP="006261B1">
            <w:pPr>
              <w:rPr>
                <w:sz w:val="20"/>
                <w:szCs w:val="20"/>
              </w:rPr>
            </w:pPr>
            <w:r>
              <w:rPr>
                <w:sz w:val="20"/>
                <w:szCs w:val="20"/>
              </w:rPr>
              <w:t>Equal care apart from intervention</w:t>
            </w:r>
          </w:p>
        </w:tc>
        <w:tc>
          <w:tcPr>
            <w:tcW w:w="1441" w:type="dxa"/>
          </w:tcPr>
          <w:p w14:paraId="472A9108" w14:textId="77777777" w:rsidR="00137DC5" w:rsidRDefault="00137DC5" w:rsidP="006261B1">
            <w:pPr>
              <w:rPr>
                <w:sz w:val="20"/>
                <w:szCs w:val="20"/>
              </w:rPr>
            </w:pPr>
            <w:r>
              <w:rPr>
                <w:sz w:val="20"/>
                <w:szCs w:val="20"/>
              </w:rPr>
              <w:t>Y</w:t>
            </w:r>
          </w:p>
        </w:tc>
        <w:tc>
          <w:tcPr>
            <w:tcW w:w="7776" w:type="dxa"/>
          </w:tcPr>
          <w:p w14:paraId="470AAEA8" w14:textId="77777777" w:rsidR="00137DC5" w:rsidRDefault="00137DC5" w:rsidP="006261B1">
            <w:pPr>
              <w:rPr>
                <w:sz w:val="20"/>
                <w:szCs w:val="20"/>
              </w:rPr>
            </w:pPr>
            <w:r>
              <w:rPr>
                <w:sz w:val="20"/>
                <w:szCs w:val="20"/>
              </w:rPr>
              <w:t>Comparable follow-up.</w:t>
            </w:r>
          </w:p>
        </w:tc>
      </w:tr>
      <w:tr w:rsidR="00137DC5" w14:paraId="54ABEA91" w14:textId="77777777" w:rsidTr="006261B1">
        <w:trPr>
          <w:cantSplit/>
          <w:jc w:val="center"/>
        </w:trPr>
        <w:tc>
          <w:tcPr>
            <w:tcW w:w="4895" w:type="dxa"/>
          </w:tcPr>
          <w:p w14:paraId="182E2F06" w14:textId="77777777" w:rsidR="00137DC5" w:rsidRDefault="00137DC5" w:rsidP="006261B1">
            <w:pPr>
              <w:rPr>
                <w:sz w:val="20"/>
                <w:szCs w:val="20"/>
              </w:rPr>
            </w:pPr>
            <w:r>
              <w:rPr>
                <w:sz w:val="20"/>
                <w:szCs w:val="20"/>
              </w:rPr>
              <w:t>Effects comprehensively reported</w:t>
            </w:r>
          </w:p>
        </w:tc>
        <w:tc>
          <w:tcPr>
            <w:tcW w:w="1441" w:type="dxa"/>
          </w:tcPr>
          <w:p w14:paraId="3ECEB666" w14:textId="77777777" w:rsidR="00137DC5" w:rsidRDefault="00137DC5" w:rsidP="006261B1">
            <w:pPr>
              <w:rPr>
                <w:sz w:val="20"/>
                <w:szCs w:val="20"/>
              </w:rPr>
            </w:pPr>
            <w:r>
              <w:rPr>
                <w:sz w:val="20"/>
                <w:szCs w:val="20"/>
              </w:rPr>
              <w:t>Y</w:t>
            </w:r>
          </w:p>
        </w:tc>
        <w:tc>
          <w:tcPr>
            <w:tcW w:w="7776" w:type="dxa"/>
          </w:tcPr>
          <w:p w14:paraId="1B3829E5" w14:textId="77777777" w:rsidR="00137DC5" w:rsidRDefault="00137DC5" w:rsidP="006261B1">
            <w:pPr>
              <w:rPr>
                <w:sz w:val="20"/>
                <w:szCs w:val="20"/>
              </w:rPr>
            </w:pPr>
            <w:r>
              <w:rPr>
                <w:sz w:val="20"/>
                <w:szCs w:val="20"/>
              </w:rPr>
              <w:t>Efficacy, QoL and safety reported.</w:t>
            </w:r>
          </w:p>
        </w:tc>
      </w:tr>
      <w:tr w:rsidR="00137DC5" w14:paraId="4E1BF8BB" w14:textId="77777777" w:rsidTr="006261B1">
        <w:trPr>
          <w:cantSplit/>
          <w:jc w:val="center"/>
        </w:trPr>
        <w:tc>
          <w:tcPr>
            <w:tcW w:w="4895" w:type="dxa"/>
          </w:tcPr>
          <w:p w14:paraId="6252953D" w14:textId="77777777" w:rsidR="00137DC5" w:rsidRDefault="00137DC5" w:rsidP="006261B1">
            <w:pPr>
              <w:rPr>
                <w:sz w:val="20"/>
                <w:szCs w:val="20"/>
              </w:rPr>
            </w:pPr>
            <w:r>
              <w:rPr>
                <w:sz w:val="20"/>
                <w:szCs w:val="20"/>
              </w:rPr>
              <w:t>Precision reported</w:t>
            </w:r>
          </w:p>
        </w:tc>
        <w:tc>
          <w:tcPr>
            <w:tcW w:w="1441" w:type="dxa"/>
          </w:tcPr>
          <w:p w14:paraId="153439D4" w14:textId="77777777" w:rsidR="00137DC5" w:rsidRDefault="00137DC5" w:rsidP="006261B1">
            <w:pPr>
              <w:rPr>
                <w:sz w:val="20"/>
                <w:szCs w:val="20"/>
              </w:rPr>
            </w:pPr>
            <w:r>
              <w:rPr>
                <w:sz w:val="20"/>
                <w:szCs w:val="20"/>
              </w:rPr>
              <w:t>Y</w:t>
            </w:r>
          </w:p>
        </w:tc>
        <w:tc>
          <w:tcPr>
            <w:tcW w:w="7776" w:type="dxa"/>
          </w:tcPr>
          <w:p w14:paraId="0F9B2660" w14:textId="77777777" w:rsidR="00137DC5" w:rsidRDefault="00137DC5" w:rsidP="006261B1">
            <w:pPr>
              <w:rPr>
                <w:sz w:val="20"/>
                <w:szCs w:val="20"/>
              </w:rPr>
            </w:pPr>
            <w:r>
              <w:rPr>
                <w:sz w:val="20"/>
                <w:szCs w:val="20"/>
              </w:rPr>
              <w:t>Confidence intervals/p-values reported.</w:t>
            </w:r>
          </w:p>
        </w:tc>
      </w:tr>
      <w:tr w:rsidR="00137DC5" w14:paraId="511EC68A" w14:textId="77777777" w:rsidTr="006261B1">
        <w:trPr>
          <w:cantSplit/>
          <w:jc w:val="center"/>
        </w:trPr>
        <w:tc>
          <w:tcPr>
            <w:tcW w:w="4895" w:type="dxa"/>
          </w:tcPr>
          <w:p w14:paraId="2221FF31" w14:textId="77777777" w:rsidR="00137DC5" w:rsidRDefault="00137DC5" w:rsidP="006261B1">
            <w:pPr>
              <w:rPr>
                <w:sz w:val="20"/>
                <w:szCs w:val="20"/>
              </w:rPr>
            </w:pPr>
            <w:r>
              <w:rPr>
                <w:sz w:val="20"/>
                <w:szCs w:val="20"/>
              </w:rPr>
              <w:t>Benefits versus harms/costs</w:t>
            </w:r>
          </w:p>
        </w:tc>
        <w:tc>
          <w:tcPr>
            <w:tcW w:w="1441" w:type="dxa"/>
          </w:tcPr>
          <w:p w14:paraId="0D47CBCD" w14:textId="77777777" w:rsidR="00137DC5" w:rsidRDefault="00137DC5" w:rsidP="006261B1">
            <w:pPr>
              <w:rPr>
                <w:sz w:val="20"/>
                <w:szCs w:val="20"/>
              </w:rPr>
            </w:pPr>
            <w:r>
              <w:rPr>
                <w:sz w:val="20"/>
                <w:szCs w:val="20"/>
              </w:rPr>
              <w:t>Y</w:t>
            </w:r>
          </w:p>
        </w:tc>
        <w:tc>
          <w:tcPr>
            <w:tcW w:w="7776" w:type="dxa"/>
          </w:tcPr>
          <w:p w14:paraId="16623883" w14:textId="77777777" w:rsidR="00137DC5" w:rsidRDefault="00137DC5" w:rsidP="006261B1">
            <w:pPr>
              <w:rPr>
                <w:sz w:val="20"/>
                <w:szCs w:val="20"/>
              </w:rPr>
            </w:pPr>
            <w:r>
              <w:rPr>
                <w:sz w:val="20"/>
                <w:szCs w:val="20"/>
              </w:rPr>
              <w:t>Benefit with acceptable safety; broader cost value uncertain.</w:t>
            </w:r>
          </w:p>
        </w:tc>
      </w:tr>
      <w:tr w:rsidR="00137DC5" w14:paraId="423F7A09" w14:textId="77777777" w:rsidTr="006261B1">
        <w:trPr>
          <w:cantSplit/>
          <w:jc w:val="center"/>
        </w:trPr>
        <w:tc>
          <w:tcPr>
            <w:tcW w:w="4895" w:type="dxa"/>
          </w:tcPr>
          <w:p w14:paraId="24B38AE1" w14:textId="77777777" w:rsidR="00137DC5" w:rsidRDefault="00137DC5" w:rsidP="006261B1">
            <w:pPr>
              <w:rPr>
                <w:sz w:val="20"/>
                <w:szCs w:val="20"/>
              </w:rPr>
            </w:pPr>
            <w:r>
              <w:rPr>
                <w:sz w:val="20"/>
                <w:szCs w:val="20"/>
              </w:rPr>
              <w:t>Applicability to UK context</w:t>
            </w:r>
          </w:p>
        </w:tc>
        <w:tc>
          <w:tcPr>
            <w:tcW w:w="1441" w:type="dxa"/>
          </w:tcPr>
          <w:p w14:paraId="16E39F0D" w14:textId="77777777" w:rsidR="00137DC5" w:rsidRDefault="00137DC5" w:rsidP="006261B1">
            <w:pPr>
              <w:rPr>
                <w:sz w:val="20"/>
                <w:szCs w:val="20"/>
              </w:rPr>
            </w:pPr>
            <w:r>
              <w:rPr>
                <w:sz w:val="20"/>
                <w:szCs w:val="20"/>
              </w:rPr>
              <w:t>P</w:t>
            </w:r>
          </w:p>
        </w:tc>
        <w:tc>
          <w:tcPr>
            <w:tcW w:w="7776" w:type="dxa"/>
          </w:tcPr>
          <w:p w14:paraId="355969E0" w14:textId="77777777" w:rsidR="00137DC5" w:rsidRDefault="00137DC5" w:rsidP="006261B1">
            <w:pPr>
              <w:rPr>
                <w:sz w:val="20"/>
                <w:szCs w:val="20"/>
              </w:rPr>
            </w:pPr>
            <w:r>
              <w:rPr>
                <w:sz w:val="20"/>
                <w:szCs w:val="20"/>
              </w:rPr>
              <w:t>Mostly UK sites but participants were pre-RA/high-risk.</w:t>
            </w:r>
          </w:p>
        </w:tc>
      </w:tr>
      <w:tr w:rsidR="00137DC5" w14:paraId="69A62760" w14:textId="77777777" w:rsidTr="006261B1">
        <w:trPr>
          <w:cantSplit/>
          <w:jc w:val="center"/>
        </w:trPr>
        <w:tc>
          <w:tcPr>
            <w:tcW w:w="4895" w:type="dxa"/>
          </w:tcPr>
          <w:p w14:paraId="183985EF" w14:textId="77777777" w:rsidR="00137DC5" w:rsidRDefault="00137DC5" w:rsidP="006261B1">
            <w:pPr>
              <w:rPr>
                <w:sz w:val="20"/>
                <w:szCs w:val="20"/>
              </w:rPr>
            </w:pPr>
            <w:r>
              <w:rPr>
                <w:sz w:val="20"/>
                <w:szCs w:val="20"/>
              </w:rPr>
              <w:t>Value over existing care</w:t>
            </w:r>
          </w:p>
        </w:tc>
        <w:tc>
          <w:tcPr>
            <w:tcW w:w="1441" w:type="dxa"/>
          </w:tcPr>
          <w:p w14:paraId="71D3F36B" w14:textId="77777777" w:rsidR="00137DC5" w:rsidRDefault="00137DC5" w:rsidP="006261B1">
            <w:pPr>
              <w:rPr>
                <w:sz w:val="20"/>
                <w:szCs w:val="20"/>
              </w:rPr>
            </w:pPr>
            <w:r>
              <w:rPr>
                <w:sz w:val="20"/>
                <w:szCs w:val="20"/>
              </w:rPr>
              <w:t>U</w:t>
            </w:r>
          </w:p>
        </w:tc>
        <w:tc>
          <w:tcPr>
            <w:tcW w:w="7776" w:type="dxa"/>
          </w:tcPr>
          <w:p w14:paraId="6B2E48A7" w14:textId="77777777" w:rsidR="00137DC5" w:rsidRDefault="00137DC5" w:rsidP="006261B1">
            <w:pPr>
              <w:rPr>
                <w:sz w:val="20"/>
                <w:szCs w:val="20"/>
              </w:rPr>
            </w:pPr>
            <w:r>
              <w:rPr>
                <w:sz w:val="20"/>
                <w:szCs w:val="20"/>
              </w:rPr>
              <w:t>Routine NHS prevention value remains uncertain.</w:t>
            </w:r>
          </w:p>
        </w:tc>
      </w:tr>
    </w:tbl>
    <w:p w14:paraId="26417FB1" w14:textId="77777777" w:rsidR="00137DC5" w:rsidRDefault="00137DC5" w:rsidP="00137DC5">
      <w:pPr>
        <w:keepNext/>
        <w:spacing w:before="120" w:after="80"/>
      </w:pPr>
      <w:r>
        <w:rPr>
          <w:b/>
          <w:sz w:val="20"/>
        </w:rPr>
        <w:t>Table A5: Overall CASP Appraisal Summary of Included Studies</w:t>
      </w:r>
    </w:p>
    <w:tbl>
      <w:tblPr>
        <w:tblStyle w:val="TableGrid"/>
        <w:tblW w:w="13824" w:type="dxa"/>
        <w:jc w:val="center"/>
        <w:tblLayout w:type="fixed"/>
        <w:tblLook w:val="04A0" w:firstRow="1" w:lastRow="0" w:firstColumn="1" w:lastColumn="0" w:noHBand="0" w:noVBand="1"/>
      </w:tblPr>
      <w:tblGrid>
        <w:gridCol w:w="2449"/>
        <w:gridCol w:w="4464"/>
        <w:gridCol w:w="5184"/>
        <w:gridCol w:w="1727"/>
      </w:tblGrid>
      <w:tr w:rsidR="00137DC5" w14:paraId="4548FF7C" w14:textId="77777777" w:rsidTr="006261B1">
        <w:trPr>
          <w:cantSplit/>
          <w:tblHeader/>
          <w:jc w:val="center"/>
        </w:trPr>
        <w:tc>
          <w:tcPr>
            <w:tcW w:w="2448" w:type="dxa"/>
          </w:tcPr>
          <w:p w14:paraId="39CC7FC5" w14:textId="77777777" w:rsidR="00137DC5" w:rsidRDefault="00137DC5" w:rsidP="006261B1">
            <w:pPr>
              <w:rPr>
                <w:sz w:val="20"/>
                <w:szCs w:val="20"/>
              </w:rPr>
            </w:pPr>
            <w:r>
              <w:rPr>
                <w:b/>
                <w:sz w:val="20"/>
                <w:szCs w:val="20"/>
              </w:rPr>
              <w:t>Study</w:t>
            </w:r>
          </w:p>
        </w:tc>
        <w:tc>
          <w:tcPr>
            <w:tcW w:w="4464" w:type="dxa"/>
          </w:tcPr>
          <w:p w14:paraId="754E7391" w14:textId="77777777" w:rsidR="00137DC5" w:rsidRDefault="00137DC5" w:rsidP="006261B1">
            <w:pPr>
              <w:rPr>
                <w:sz w:val="20"/>
                <w:szCs w:val="20"/>
              </w:rPr>
            </w:pPr>
            <w:r>
              <w:rPr>
                <w:b/>
                <w:sz w:val="20"/>
                <w:szCs w:val="20"/>
              </w:rPr>
              <w:t>Principal strengths</w:t>
            </w:r>
          </w:p>
        </w:tc>
        <w:tc>
          <w:tcPr>
            <w:tcW w:w="5184" w:type="dxa"/>
          </w:tcPr>
          <w:p w14:paraId="5DB47B0F" w14:textId="77777777" w:rsidR="00137DC5" w:rsidRDefault="00137DC5" w:rsidP="006261B1">
            <w:pPr>
              <w:rPr>
                <w:sz w:val="20"/>
                <w:szCs w:val="20"/>
              </w:rPr>
            </w:pPr>
            <w:r>
              <w:rPr>
                <w:b/>
                <w:sz w:val="20"/>
                <w:szCs w:val="20"/>
              </w:rPr>
              <w:t>Principal limitations</w:t>
            </w:r>
          </w:p>
        </w:tc>
        <w:tc>
          <w:tcPr>
            <w:tcW w:w="1727" w:type="dxa"/>
          </w:tcPr>
          <w:p w14:paraId="6FE1D22D" w14:textId="77777777" w:rsidR="00137DC5" w:rsidRDefault="00137DC5" w:rsidP="006261B1">
            <w:pPr>
              <w:rPr>
                <w:sz w:val="20"/>
                <w:szCs w:val="20"/>
              </w:rPr>
            </w:pPr>
            <w:r>
              <w:rPr>
                <w:b/>
                <w:sz w:val="20"/>
                <w:szCs w:val="20"/>
              </w:rPr>
              <w:t>Overall</w:t>
            </w:r>
          </w:p>
        </w:tc>
      </w:tr>
      <w:tr w:rsidR="00137DC5" w14:paraId="16027A9A" w14:textId="77777777" w:rsidTr="006261B1">
        <w:trPr>
          <w:cantSplit/>
          <w:jc w:val="center"/>
        </w:trPr>
        <w:tc>
          <w:tcPr>
            <w:tcW w:w="2448" w:type="dxa"/>
          </w:tcPr>
          <w:p w14:paraId="1C7E0AB2" w14:textId="77777777" w:rsidR="00137DC5" w:rsidRDefault="00137DC5" w:rsidP="006261B1">
            <w:pPr>
              <w:rPr>
                <w:sz w:val="20"/>
                <w:szCs w:val="20"/>
              </w:rPr>
            </w:pPr>
            <w:r>
              <w:rPr>
                <w:sz w:val="20"/>
                <w:szCs w:val="20"/>
              </w:rPr>
              <w:t>Yates et al. (2021)</w:t>
            </w:r>
          </w:p>
        </w:tc>
        <w:tc>
          <w:tcPr>
            <w:tcW w:w="4464" w:type="dxa"/>
          </w:tcPr>
          <w:p w14:paraId="2A6D0F8E" w14:textId="77777777" w:rsidR="00137DC5" w:rsidRDefault="00137DC5" w:rsidP="006261B1">
            <w:pPr>
              <w:rPr>
                <w:sz w:val="20"/>
                <w:szCs w:val="20"/>
              </w:rPr>
            </w:pPr>
            <w:r>
              <w:rPr>
                <w:sz w:val="20"/>
                <w:szCs w:val="20"/>
              </w:rPr>
              <w:t>Large national cohort; repeated DAS28; adjusted models</w:t>
            </w:r>
          </w:p>
        </w:tc>
        <w:tc>
          <w:tcPr>
            <w:tcW w:w="5184" w:type="dxa"/>
          </w:tcPr>
          <w:p w14:paraId="34FA799A" w14:textId="77777777" w:rsidR="00137DC5" w:rsidRDefault="00137DC5" w:rsidP="006261B1">
            <w:pPr>
              <w:rPr>
                <w:sz w:val="20"/>
                <w:szCs w:val="20"/>
              </w:rPr>
            </w:pPr>
            <w:r>
              <w:rPr>
                <w:sz w:val="20"/>
                <w:szCs w:val="20"/>
              </w:rPr>
              <w:t>Missing follow-up; residual confounding</w:t>
            </w:r>
          </w:p>
        </w:tc>
        <w:tc>
          <w:tcPr>
            <w:tcW w:w="1727" w:type="dxa"/>
          </w:tcPr>
          <w:p w14:paraId="0817D992" w14:textId="77777777" w:rsidR="00137DC5" w:rsidRDefault="00137DC5" w:rsidP="006261B1">
            <w:pPr>
              <w:rPr>
                <w:sz w:val="20"/>
                <w:szCs w:val="20"/>
              </w:rPr>
            </w:pPr>
            <w:r>
              <w:rPr>
                <w:sz w:val="20"/>
                <w:szCs w:val="20"/>
              </w:rPr>
              <w:t>Moderate–high</w:t>
            </w:r>
          </w:p>
        </w:tc>
      </w:tr>
      <w:tr w:rsidR="00137DC5" w14:paraId="282694C5" w14:textId="77777777" w:rsidTr="006261B1">
        <w:trPr>
          <w:cantSplit/>
          <w:jc w:val="center"/>
        </w:trPr>
        <w:tc>
          <w:tcPr>
            <w:tcW w:w="2448" w:type="dxa"/>
          </w:tcPr>
          <w:p w14:paraId="78262123" w14:textId="77777777" w:rsidR="00137DC5" w:rsidRDefault="00137DC5" w:rsidP="006261B1">
            <w:pPr>
              <w:rPr>
                <w:sz w:val="20"/>
                <w:szCs w:val="20"/>
              </w:rPr>
            </w:pPr>
            <w:r>
              <w:rPr>
                <w:sz w:val="20"/>
                <w:szCs w:val="20"/>
              </w:rPr>
              <w:t>Galloway et al. (2021)</w:t>
            </w:r>
          </w:p>
        </w:tc>
        <w:tc>
          <w:tcPr>
            <w:tcW w:w="4464" w:type="dxa"/>
          </w:tcPr>
          <w:p w14:paraId="69D22895" w14:textId="77777777" w:rsidR="00137DC5" w:rsidRDefault="00137DC5" w:rsidP="006261B1">
            <w:pPr>
              <w:rPr>
                <w:sz w:val="20"/>
                <w:szCs w:val="20"/>
              </w:rPr>
            </w:pPr>
            <w:r>
              <w:rPr>
                <w:sz w:val="20"/>
                <w:szCs w:val="20"/>
              </w:rPr>
              <w:t>Validated QoL/work measures across eight UK centres</w:t>
            </w:r>
          </w:p>
        </w:tc>
        <w:tc>
          <w:tcPr>
            <w:tcW w:w="5184" w:type="dxa"/>
          </w:tcPr>
          <w:p w14:paraId="3E6BD97C" w14:textId="77777777" w:rsidR="00137DC5" w:rsidRDefault="00137DC5" w:rsidP="006261B1">
            <w:pPr>
              <w:rPr>
                <w:sz w:val="20"/>
                <w:szCs w:val="20"/>
              </w:rPr>
            </w:pPr>
            <w:r>
              <w:rPr>
                <w:sz w:val="20"/>
                <w:szCs w:val="20"/>
              </w:rPr>
              <w:t>Small descriptive sample; no timing causality</w:t>
            </w:r>
          </w:p>
        </w:tc>
        <w:tc>
          <w:tcPr>
            <w:tcW w:w="1727" w:type="dxa"/>
          </w:tcPr>
          <w:p w14:paraId="4A833F77" w14:textId="77777777" w:rsidR="00137DC5" w:rsidRDefault="00137DC5" w:rsidP="006261B1">
            <w:pPr>
              <w:rPr>
                <w:sz w:val="20"/>
                <w:szCs w:val="20"/>
              </w:rPr>
            </w:pPr>
            <w:r>
              <w:rPr>
                <w:sz w:val="20"/>
                <w:szCs w:val="20"/>
              </w:rPr>
              <w:t>Moderate</w:t>
            </w:r>
          </w:p>
        </w:tc>
      </w:tr>
      <w:tr w:rsidR="00137DC5" w14:paraId="533A3A31" w14:textId="77777777" w:rsidTr="006261B1">
        <w:trPr>
          <w:cantSplit/>
          <w:jc w:val="center"/>
        </w:trPr>
        <w:tc>
          <w:tcPr>
            <w:tcW w:w="2448" w:type="dxa"/>
          </w:tcPr>
          <w:p w14:paraId="6B26098E" w14:textId="77777777" w:rsidR="00137DC5" w:rsidRDefault="00137DC5" w:rsidP="006261B1">
            <w:pPr>
              <w:rPr>
                <w:sz w:val="20"/>
                <w:szCs w:val="20"/>
              </w:rPr>
            </w:pPr>
            <w:r>
              <w:rPr>
                <w:sz w:val="20"/>
                <w:szCs w:val="20"/>
              </w:rPr>
              <w:t>Russell et al. (2022)</w:t>
            </w:r>
          </w:p>
        </w:tc>
        <w:tc>
          <w:tcPr>
            <w:tcW w:w="4464" w:type="dxa"/>
          </w:tcPr>
          <w:p w14:paraId="2D496B12" w14:textId="77777777" w:rsidR="00137DC5" w:rsidRDefault="00137DC5" w:rsidP="006261B1">
            <w:pPr>
              <w:rPr>
                <w:sz w:val="20"/>
                <w:szCs w:val="20"/>
              </w:rPr>
            </w:pPr>
            <w:r>
              <w:rPr>
                <w:sz w:val="20"/>
                <w:szCs w:val="20"/>
              </w:rPr>
              <w:t>Population-scale EHR; explicit pathway timings</w:t>
            </w:r>
          </w:p>
        </w:tc>
        <w:tc>
          <w:tcPr>
            <w:tcW w:w="5184" w:type="dxa"/>
          </w:tcPr>
          <w:p w14:paraId="749D6D53" w14:textId="77777777" w:rsidR="00137DC5" w:rsidRDefault="00137DC5" w:rsidP="006261B1">
            <w:pPr>
              <w:rPr>
                <w:sz w:val="20"/>
                <w:szCs w:val="20"/>
              </w:rPr>
            </w:pPr>
            <w:r>
              <w:rPr>
                <w:sz w:val="20"/>
                <w:szCs w:val="20"/>
              </w:rPr>
              <w:t>IA mix; coded data; patient delay unmeasured</w:t>
            </w:r>
          </w:p>
        </w:tc>
        <w:tc>
          <w:tcPr>
            <w:tcW w:w="1727" w:type="dxa"/>
          </w:tcPr>
          <w:p w14:paraId="5677F68C" w14:textId="77777777" w:rsidR="00137DC5" w:rsidRDefault="00137DC5" w:rsidP="006261B1">
            <w:pPr>
              <w:rPr>
                <w:sz w:val="20"/>
                <w:szCs w:val="20"/>
              </w:rPr>
            </w:pPr>
            <w:r>
              <w:rPr>
                <w:sz w:val="20"/>
                <w:szCs w:val="20"/>
              </w:rPr>
              <w:t>Moderate–high</w:t>
            </w:r>
          </w:p>
        </w:tc>
      </w:tr>
      <w:tr w:rsidR="00137DC5" w14:paraId="465AE541" w14:textId="77777777" w:rsidTr="006261B1">
        <w:trPr>
          <w:cantSplit/>
          <w:jc w:val="center"/>
        </w:trPr>
        <w:tc>
          <w:tcPr>
            <w:tcW w:w="2448" w:type="dxa"/>
          </w:tcPr>
          <w:p w14:paraId="7BD741C3" w14:textId="77777777" w:rsidR="00137DC5" w:rsidRDefault="00137DC5" w:rsidP="006261B1">
            <w:pPr>
              <w:rPr>
                <w:sz w:val="20"/>
                <w:szCs w:val="20"/>
              </w:rPr>
            </w:pPr>
            <w:r>
              <w:rPr>
                <w:sz w:val="20"/>
                <w:szCs w:val="20"/>
              </w:rPr>
              <w:lastRenderedPageBreak/>
              <w:t>Simons et al. (2022)</w:t>
            </w:r>
          </w:p>
        </w:tc>
        <w:tc>
          <w:tcPr>
            <w:tcW w:w="4464" w:type="dxa"/>
          </w:tcPr>
          <w:p w14:paraId="0C02DF7D" w14:textId="77777777" w:rsidR="00137DC5" w:rsidRDefault="00137DC5" w:rsidP="006261B1">
            <w:pPr>
              <w:rPr>
                <w:sz w:val="20"/>
                <w:szCs w:val="20"/>
              </w:rPr>
            </w:pPr>
            <w:r>
              <w:rPr>
                <w:sz w:val="20"/>
                <w:szCs w:val="20"/>
              </w:rPr>
              <w:t>Clear qualitative design; practical pathway insight</w:t>
            </w:r>
          </w:p>
        </w:tc>
        <w:tc>
          <w:tcPr>
            <w:tcW w:w="5184" w:type="dxa"/>
          </w:tcPr>
          <w:p w14:paraId="65446572" w14:textId="77777777" w:rsidR="00137DC5" w:rsidRDefault="00137DC5" w:rsidP="006261B1">
            <w:pPr>
              <w:rPr>
                <w:sz w:val="20"/>
                <w:szCs w:val="20"/>
              </w:rPr>
            </w:pPr>
            <w:r>
              <w:rPr>
                <w:sz w:val="20"/>
                <w:szCs w:val="20"/>
              </w:rPr>
              <w:t>Small convenience sample; one region</w:t>
            </w:r>
          </w:p>
        </w:tc>
        <w:tc>
          <w:tcPr>
            <w:tcW w:w="1727" w:type="dxa"/>
          </w:tcPr>
          <w:p w14:paraId="0BF4B89C" w14:textId="77777777" w:rsidR="00137DC5" w:rsidRDefault="00137DC5" w:rsidP="006261B1">
            <w:pPr>
              <w:rPr>
                <w:sz w:val="20"/>
                <w:szCs w:val="20"/>
              </w:rPr>
            </w:pPr>
            <w:r>
              <w:rPr>
                <w:sz w:val="20"/>
                <w:szCs w:val="20"/>
              </w:rPr>
              <w:t>Moderate</w:t>
            </w:r>
          </w:p>
        </w:tc>
      </w:tr>
      <w:tr w:rsidR="00137DC5" w14:paraId="68087C67" w14:textId="77777777" w:rsidTr="006261B1">
        <w:trPr>
          <w:cantSplit/>
          <w:jc w:val="center"/>
        </w:trPr>
        <w:tc>
          <w:tcPr>
            <w:tcW w:w="2448" w:type="dxa"/>
          </w:tcPr>
          <w:p w14:paraId="2819CB60" w14:textId="77777777" w:rsidR="00137DC5" w:rsidRDefault="00137DC5" w:rsidP="006261B1">
            <w:pPr>
              <w:rPr>
                <w:sz w:val="20"/>
                <w:szCs w:val="20"/>
              </w:rPr>
            </w:pPr>
            <w:r>
              <w:rPr>
                <w:sz w:val="20"/>
                <w:szCs w:val="20"/>
              </w:rPr>
              <w:t>Adas et al. (2023)</w:t>
            </w:r>
          </w:p>
        </w:tc>
        <w:tc>
          <w:tcPr>
            <w:tcW w:w="4464" w:type="dxa"/>
          </w:tcPr>
          <w:p w14:paraId="009BF6C6" w14:textId="77777777" w:rsidR="00137DC5" w:rsidRDefault="00137DC5" w:rsidP="006261B1">
            <w:pPr>
              <w:rPr>
                <w:sz w:val="20"/>
                <w:szCs w:val="20"/>
              </w:rPr>
            </w:pPr>
            <w:r>
              <w:rPr>
                <w:sz w:val="20"/>
                <w:szCs w:val="20"/>
              </w:rPr>
              <w:t>Very large national cohort; adjusted analyses</w:t>
            </w:r>
          </w:p>
        </w:tc>
        <w:tc>
          <w:tcPr>
            <w:tcW w:w="5184" w:type="dxa"/>
          </w:tcPr>
          <w:p w14:paraId="7A56B5AF" w14:textId="77777777" w:rsidR="00137DC5" w:rsidRDefault="00137DC5" w:rsidP="006261B1">
            <w:pPr>
              <w:rPr>
                <w:sz w:val="20"/>
                <w:szCs w:val="20"/>
              </w:rPr>
            </w:pPr>
            <w:r>
              <w:rPr>
                <w:sz w:val="20"/>
                <w:szCs w:val="20"/>
              </w:rPr>
              <w:t>EIA mix; routine-data missingness</w:t>
            </w:r>
          </w:p>
        </w:tc>
        <w:tc>
          <w:tcPr>
            <w:tcW w:w="1727" w:type="dxa"/>
          </w:tcPr>
          <w:p w14:paraId="6B84FDC6" w14:textId="77777777" w:rsidR="00137DC5" w:rsidRDefault="00137DC5" w:rsidP="006261B1">
            <w:pPr>
              <w:rPr>
                <w:sz w:val="20"/>
                <w:szCs w:val="20"/>
              </w:rPr>
            </w:pPr>
            <w:r>
              <w:rPr>
                <w:sz w:val="20"/>
                <w:szCs w:val="20"/>
              </w:rPr>
              <w:t>Moderate–high</w:t>
            </w:r>
          </w:p>
        </w:tc>
      </w:tr>
      <w:tr w:rsidR="00137DC5" w14:paraId="2CBD95BA" w14:textId="77777777" w:rsidTr="006261B1">
        <w:trPr>
          <w:cantSplit/>
          <w:jc w:val="center"/>
        </w:trPr>
        <w:tc>
          <w:tcPr>
            <w:tcW w:w="2448" w:type="dxa"/>
          </w:tcPr>
          <w:p w14:paraId="289975C7" w14:textId="77777777" w:rsidR="00137DC5" w:rsidRDefault="00137DC5" w:rsidP="006261B1">
            <w:pPr>
              <w:rPr>
                <w:sz w:val="20"/>
                <w:szCs w:val="20"/>
              </w:rPr>
            </w:pPr>
            <w:r>
              <w:rPr>
                <w:sz w:val="20"/>
                <w:szCs w:val="20"/>
              </w:rPr>
              <w:t>Hanlon et al. (2022)</w:t>
            </w:r>
          </w:p>
        </w:tc>
        <w:tc>
          <w:tcPr>
            <w:tcW w:w="4464" w:type="dxa"/>
          </w:tcPr>
          <w:p w14:paraId="22481E86" w14:textId="77777777" w:rsidR="00137DC5" w:rsidRDefault="00137DC5" w:rsidP="006261B1">
            <w:pPr>
              <w:rPr>
                <w:sz w:val="20"/>
                <w:szCs w:val="20"/>
              </w:rPr>
            </w:pPr>
            <w:r>
              <w:rPr>
                <w:sz w:val="20"/>
                <w:szCs w:val="20"/>
              </w:rPr>
              <w:t>Two cohorts; longitudinal frailty/DAS28 outcomes</w:t>
            </w:r>
          </w:p>
        </w:tc>
        <w:tc>
          <w:tcPr>
            <w:tcW w:w="5184" w:type="dxa"/>
          </w:tcPr>
          <w:p w14:paraId="43C7BC3E" w14:textId="77777777" w:rsidR="00137DC5" w:rsidRDefault="00137DC5" w:rsidP="006261B1">
            <w:pPr>
              <w:rPr>
                <w:sz w:val="20"/>
                <w:szCs w:val="20"/>
              </w:rPr>
            </w:pPr>
            <w:r>
              <w:rPr>
                <w:sz w:val="20"/>
                <w:szCs w:val="20"/>
              </w:rPr>
              <w:t>Cohort heterogeneity; residual selection issues</w:t>
            </w:r>
          </w:p>
        </w:tc>
        <w:tc>
          <w:tcPr>
            <w:tcW w:w="1727" w:type="dxa"/>
          </w:tcPr>
          <w:p w14:paraId="608D6DE3" w14:textId="77777777" w:rsidR="00137DC5" w:rsidRDefault="00137DC5" w:rsidP="006261B1">
            <w:pPr>
              <w:rPr>
                <w:sz w:val="20"/>
                <w:szCs w:val="20"/>
              </w:rPr>
            </w:pPr>
            <w:r>
              <w:rPr>
                <w:sz w:val="20"/>
                <w:szCs w:val="20"/>
              </w:rPr>
              <w:t>Moderate–high</w:t>
            </w:r>
          </w:p>
        </w:tc>
      </w:tr>
      <w:tr w:rsidR="00137DC5" w14:paraId="25BAB37A" w14:textId="77777777" w:rsidTr="006261B1">
        <w:trPr>
          <w:cantSplit/>
          <w:jc w:val="center"/>
        </w:trPr>
        <w:tc>
          <w:tcPr>
            <w:tcW w:w="2448" w:type="dxa"/>
          </w:tcPr>
          <w:p w14:paraId="0025C881" w14:textId="77777777" w:rsidR="00137DC5" w:rsidRDefault="00137DC5" w:rsidP="006261B1">
            <w:pPr>
              <w:rPr>
                <w:sz w:val="20"/>
                <w:szCs w:val="20"/>
              </w:rPr>
            </w:pPr>
            <w:r>
              <w:rPr>
                <w:sz w:val="20"/>
                <w:szCs w:val="20"/>
              </w:rPr>
              <w:t>Morton et al. (2023)</w:t>
            </w:r>
          </w:p>
        </w:tc>
        <w:tc>
          <w:tcPr>
            <w:tcW w:w="4464" w:type="dxa"/>
          </w:tcPr>
          <w:p w14:paraId="4489BEBA" w14:textId="77777777" w:rsidR="00137DC5" w:rsidRDefault="00137DC5" w:rsidP="006261B1">
            <w:pPr>
              <w:rPr>
                <w:sz w:val="20"/>
                <w:szCs w:val="20"/>
              </w:rPr>
            </w:pPr>
            <w:r>
              <w:rPr>
                <w:sz w:val="20"/>
                <w:szCs w:val="20"/>
              </w:rPr>
              <w:t>Linked admissions; replicated across cohorts</w:t>
            </w:r>
          </w:p>
        </w:tc>
        <w:tc>
          <w:tcPr>
            <w:tcW w:w="5184" w:type="dxa"/>
          </w:tcPr>
          <w:p w14:paraId="7366B272" w14:textId="77777777" w:rsidR="00137DC5" w:rsidRDefault="00137DC5" w:rsidP="006261B1">
            <w:pPr>
              <w:rPr>
                <w:sz w:val="20"/>
                <w:szCs w:val="20"/>
              </w:rPr>
            </w:pPr>
            <w:r>
              <w:rPr>
                <w:sz w:val="20"/>
                <w:szCs w:val="20"/>
              </w:rPr>
              <w:t>UKB self-report; heterogeneous conditions</w:t>
            </w:r>
          </w:p>
        </w:tc>
        <w:tc>
          <w:tcPr>
            <w:tcW w:w="1727" w:type="dxa"/>
          </w:tcPr>
          <w:p w14:paraId="45D8B593" w14:textId="77777777" w:rsidR="00137DC5" w:rsidRDefault="00137DC5" w:rsidP="006261B1">
            <w:pPr>
              <w:rPr>
                <w:sz w:val="20"/>
                <w:szCs w:val="20"/>
              </w:rPr>
            </w:pPr>
            <w:r>
              <w:rPr>
                <w:sz w:val="20"/>
                <w:szCs w:val="20"/>
              </w:rPr>
              <w:t>Moderate</w:t>
            </w:r>
          </w:p>
        </w:tc>
      </w:tr>
      <w:tr w:rsidR="00137DC5" w14:paraId="6A4DCCF5" w14:textId="77777777" w:rsidTr="006261B1">
        <w:trPr>
          <w:cantSplit/>
          <w:jc w:val="center"/>
        </w:trPr>
        <w:tc>
          <w:tcPr>
            <w:tcW w:w="2448" w:type="dxa"/>
          </w:tcPr>
          <w:p w14:paraId="06841874" w14:textId="77777777" w:rsidR="00137DC5" w:rsidRDefault="00137DC5" w:rsidP="006261B1">
            <w:pPr>
              <w:rPr>
                <w:sz w:val="20"/>
                <w:szCs w:val="20"/>
              </w:rPr>
            </w:pPr>
            <w:r>
              <w:rPr>
                <w:sz w:val="20"/>
                <w:szCs w:val="20"/>
              </w:rPr>
              <w:t>Bechman et al. (2024)</w:t>
            </w:r>
          </w:p>
        </w:tc>
        <w:tc>
          <w:tcPr>
            <w:tcW w:w="4464" w:type="dxa"/>
          </w:tcPr>
          <w:p w14:paraId="14AAD869" w14:textId="77777777" w:rsidR="00137DC5" w:rsidRDefault="00137DC5" w:rsidP="006261B1">
            <w:pPr>
              <w:rPr>
                <w:sz w:val="20"/>
                <w:szCs w:val="20"/>
              </w:rPr>
            </w:pPr>
            <w:r>
              <w:rPr>
                <w:sz w:val="20"/>
                <w:szCs w:val="20"/>
              </w:rPr>
              <w:t>Large NEIAA work-outcome cohort</w:t>
            </w:r>
          </w:p>
        </w:tc>
        <w:tc>
          <w:tcPr>
            <w:tcW w:w="5184" w:type="dxa"/>
          </w:tcPr>
          <w:p w14:paraId="793CE572" w14:textId="77777777" w:rsidR="00137DC5" w:rsidRDefault="00137DC5" w:rsidP="006261B1">
            <w:pPr>
              <w:rPr>
                <w:sz w:val="20"/>
                <w:szCs w:val="20"/>
              </w:rPr>
            </w:pPr>
            <w:r>
              <w:rPr>
                <w:sz w:val="20"/>
                <w:szCs w:val="20"/>
              </w:rPr>
              <w:t>Missing work data; IA mix</w:t>
            </w:r>
          </w:p>
        </w:tc>
        <w:tc>
          <w:tcPr>
            <w:tcW w:w="1727" w:type="dxa"/>
          </w:tcPr>
          <w:p w14:paraId="303B342F" w14:textId="77777777" w:rsidR="00137DC5" w:rsidRDefault="00137DC5" w:rsidP="006261B1">
            <w:pPr>
              <w:rPr>
                <w:sz w:val="20"/>
                <w:szCs w:val="20"/>
              </w:rPr>
            </w:pPr>
            <w:r>
              <w:rPr>
                <w:sz w:val="20"/>
                <w:szCs w:val="20"/>
              </w:rPr>
              <w:t>Moderate–high</w:t>
            </w:r>
          </w:p>
        </w:tc>
      </w:tr>
      <w:tr w:rsidR="00137DC5" w14:paraId="258EAA67" w14:textId="77777777" w:rsidTr="006261B1">
        <w:trPr>
          <w:cantSplit/>
          <w:jc w:val="center"/>
        </w:trPr>
        <w:tc>
          <w:tcPr>
            <w:tcW w:w="2448" w:type="dxa"/>
          </w:tcPr>
          <w:p w14:paraId="45BCC3B2" w14:textId="77777777" w:rsidR="00137DC5" w:rsidRDefault="00137DC5" w:rsidP="006261B1">
            <w:pPr>
              <w:rPr>
                <w:sz w:val="20"/>
                <w:szCs w:val="20"/>
              </w:rPr>
            </w:pPr>
            <w:r>
              <w:rPr>
                <w:sz w:val="20"/>
                <w:szCs w:val="20"/>
              </w:rPr>
              <w:t>Adas et al. (2024)</w:t>
            </w:r>
          </w:p>
        </w:tc>
        <w:tc>
          <w:tcPr>
            <w:tcW w:w="4464" w:type="dxa"/>
          </w:tcPr>
          <w:p w14:paraId="75AC64B1" w14:textId="77777777" w:rsidR="00137DC5" w:rsidRDefault="00137DC5" w:rsidP="006261B1">
            <w:pPr>
              <w:rPr>
                <w:sz w:val="20"/>
                <w:szCs w:val="20"/>
              </w:rPr>
            </w:pPr>
            <w:r>
              <w:rPr>
                <w:sz w:val="20"/>
                <w:szCs w:val="20"/>
              </w:rPr>
              <w:t>RA-specific; repeated DAS28; multivariable models</w:t>
            </w:r>
          </w:p>
        </w:tc>
        <w:tc>
          <w:tcPr>
            <w:tcW w:w="5184" w:type="dxa"/>
          </w:tcPr>
          <w:p w14:paraId="719FE31E" w14:textId="77777777" w:rsidR="00137DC5" w:rsidRDefault="00137DC5" w:rsidP="006261B1">
            <w:pPr>
              <w:rPr>
                <w:sz w:val="20"/>
                <w:szCs w:val="20"/>
              </w:rPr>
            </w:pPr>
            <w:r>
              <w:rPr>
                <w:sz w:val="20"/>
                <w:szCs w:val="20"/>
              </w:rPr>
              <w:t>Complete-case selection; observational</w:t>
            </w:r>
          </w:p>
        </w:tc>
        <w:tc>
          <w:tcPr>
            <w:tcW w:w="1727" w:type="dxa"/>
          </w:tcPr>
          <w:p w14:paraId="1DD8E9D1" w14:textId="77777777" w:rsidR="00137DC5" w:rsidRDefault="00137DC5" w:rsidP="006261B1">
            <w:pPr>
              <w:rPr>
                <w:sz w:val="20"/>
                <w:szCs w:val="20"/>
              </w:rPr>
            </w:pPr>
            <w:r>
              <w:rPr>
                <w:sz w:val="20"/>
                <w:szCs w:val="20"/>
              </w:rPr>
              <w:t>Moderate–high</w:t>
            </w:r>
          </w:p>
        </w:tc>
      </w:tr>
      <w:tr w:rsidR="00137DC5" w14:paraId="4EDBC440" w14:textId="77777777" w:rsidTr="006261B1">
        <w:trPr>
          <w:cantSplit/>
          <w:jc w:val="center"/>
        </w:trPr>
        <w:tc>
          <w:tcPr>
            <w:tcW w:w="2448" w:type="dxa"/>
          </w:tcPr>
          <w:p w14:paraId="6D2C0316" w14:textId="77777777" w:rsidR="00137DC5" w:rsidRDefault="00137DC5" w:rsidP="006261B1">
            <w:pPr>
              <w:rPr>
                <w:sz w:val="20"/>
                <w:szCs w:val="20"/>
              </w:rPr>
            </w:pPr>
            <w:r>
              <w:rPr>
                <w:sz w:val="20"/>
                <w:szCs w:val="20"/>
              </w:rPr>
              <w:t>Zhao et al. (2025)</w:t>
            </w:r>
          </w:p>
        </w:tc>
        <w:tc>
          <w:tcPr>
            <w:tcW w:w="4464" w:type="dxa"/>
          </w:tcPr>
          <w:p w14:paraId="4C7F62BF" w14:textId="77777777" w:rsidR="00137DC5" w:rsidRDefault="00137DC5" w:rsidP="006261B1">
            <w:pPr>
              <w:rPr>
                <w:sz w:val="20"/>
                <w:szCs w:val="20"/>
              </w:rPr>
            </w:pPr>
            <w:r>
              <w:rPr>
                <w:sz w:val="20"/>
                <w:szCs w:val="20"/>
              </w:rPr>
              <w:t>Large repeated-PRO cohort</w:t>
            </w:r>
          </w:p>
        </w:tc>
        <w:tc>
          <w:tcPr>
            <w:tcW w:w="5184" w:type="dxa"/>
          </w:tcPr>
          <w:p w14:paraId="4DFC07B0" w14:textId="77777777" w:rsidR="00137DC5" w:rsidRDefault="00137DC5" w:rsidP="006261B1">
            <w:pPr>
              <w:rPr>
                <w:sz w:val="20"/>
                <w:szCs w:val="20"/>
              </w:rPr>
            </w:pPr>
            <w:r>
              <w:rPr>
                <w:sz w:val="20"/>
                <w:szCs w:val="20"/>
              </w:rPr>
              <w:t>IA mix; missing follow-up; non-causal</w:t>
            </w:r>
          </w:p>
        </w:tc>
        <w:tc>
          <w:tcPr>
            <w:tcW w:w="1727" w:type="dxa"/>
          </w:tcPr>
          <w:p w14:paraId="58BFBDA8" w14:textId="77777777" w:rsidR="00137DC5" w:rsidRDefault="00137DC5" w:rsidP="006261B1">
            <w:pPr>
              <w:rPr>
                <w:sz w:val="20"/>
                <w:szCs w:val="20"/>
              </w:rPr>
            </w:pPr>
            <w:r>
              <w:rPr>
                <w:sz w:val="20"/>
                <w:szCs w:val="20"/>
              </w:rPr>
              <w:t>Moderate–high</w:t>
            </w:r>
          </w:p>
        </w:tc>
      </w:tr>
      <w:tr w:rsidR="00137DC5" w14:paraId="491EA115" w14:textId="77777777" w:rsidTr="006261B1">
        <w:trPr>
          <w:cantSplit/>
          <w:jc w:val="center"/>
        </w:trPr>
        <w:tc>
          <w:tcPr>
            <w:tcW w:w="2448" w:type="dxa"/>
          </w:tcPr>
          <w:p w14:paraId="6004AC81" w14:textId="46969397" w:rsidR="00137DC5" w:rsidRDefault="00137DC5" w:rsidP="006261B1">
            <w:pPr>
              <w:rPr>
                <w:sz w:val="20"/>
                <w:szCs w:val="20"/>
              </w:rPr>
            </w:pPr>
            <w:r>
              <w:rPr>
                <w:sz w:val="20"/>
                <w:szCs w:val="20"/>
              </w:rPr>
              <w:t>Russell et al. (2025</w:t>
            </w:r>
            <w:r w:rsidR="006407F6">
              <w:rPr>
                <w:sz w:val="20"/>
                <w:szCs w:val="20"/>
              </w:rPr>
              <w:t>a</w:t>
            </w:r>
            <w:r>
              <w:rPr>
                <w:sz w:val="20"/>
                <w:szCs w:val="20"/>
              </w:rPr>
              <w:t>)</w:t>
            </w:r>
          </w:p>
        </w:tc>
        <w:tc>
          <w:tcPr>
            <w:tcW w:w="4464" w:type="dxa"/>
          </w:tcPr>
          <w:p w14:paraId="2E5AC83A" w14:textId="77777777" w:rsidR="00137DC5" w:rsidRDefault="00137DC5" w:rsidP="006261B1">
            <w:pPr>
              <w:rPr>
                <w:sz w:val="20"/>
                <w:szCs w:val="20"/>
              </w:rPr>
            </w:pPr>
            <w:r>
              <w:rPr>
                <w:sz w:val="20"/>
                <w:szCs w:val="20"/>
              </w:rPr>
              <w:t>RA-specific national treatment-access analysis</w:t>
            </w:r>
          </w:p>
        </w:tc>
        <w:tc>
          <w:tcPr>
            <w:tcW w:w="5184" w:type="dxa"/>
          </w:tcPr>
          <w:p w14:paraId="6BC01A1B" w14:textId="77777777" w:rsidR="00137DC5" w:rsidRDefault="00137DC5" w:rsidP="006261B1">
            <w:pPr>
              <w:rPr>
                <w:sz w:val="20"/>
                <w:szCs w:val="20"/>
              </w:rPr>
            </w:pPr>
            <w:r>
              <w:rPr>
                <w:sz w:val="20"/>
                <w:szCs w:val="20"/>
              </w:rPr>
              <w:t>Residual eligibility/clinician confounding</w:t>
            </w:r>
          </w:p>
        </w:tc>
        <w:tc>
          <w:tcPr>
            <w:tcW w:w="1727" w:type="dxa"/>
          </w:tcPr>
          <w:p w14:paraId="43B67120" w14:textId="77777777" w:rsidR="00137DC5" w:rsidRDefault="00137DC5" w:rsidP="006261B1">
            <w:pPr>
              <w:rPr>
                <w:sz w:val="20"/>
                <w:szCs w:val="20"/>
              </w:rPr>
            </w:pPr>
            <w:r>
              <w:rPr>
                <w:sz w:val="20"/>
                <w:szCs w:val="20"/>
              </w:rPr>
              <w:t>Moderate–high</w:t>
            </w:r>
          </w:p>
        </w:tc>
      </w:tr>
      <w:tr w:rsidR="00137DC5" w14:paraId="010BEEF5" w14:textId="77777777" w:rsidTr="006261B1">
        <w:trPr>
          <w:cantSplit/>
          <w:jc w:val="center"/>
        </w:trPr>
        <w:tc>
          <w:tcPr>
            <w:tcW w:w="2448" w:type="dxa"/>
          </w:tcPr>
          <w:p w14:paraId="37166EE8" w14:textId="77777777" w:rsidR="00137DC5" w:rsidRDefault="00137DC5" w:rsidP="006261B1">
            <w:pPr>
              <w:rPr>
                <w:sz w:val="20"/>
                <w:szCs w:val="20"/>
              </w:rPr>
            </w:pPr>
            <w:r>
              <w:rPr>
                <w:sz w:val="20"/>
                <w:szCs w:val="20"/>
              </w:rPr>
              <w:t>Alveyn et al. (2025)</w:t>
            </w:r>
          </w:p>
        </w:tc>
        <w:tc>
          <w:tcPr>
            <w:tcW w:w="4464" w:type="dxa"/>
          </w:tcPr>
          <w:p w14:paraId="72A990AC" w14:textId="77777777" w:rsidR="00137DC5" w:rsidRDefault="00137DC5" w:rsidP="006261B1">
            <w:pPr>
              <w:rPr>
                <w:sz w:val="20"/>
                <w:szCs w:val="20"/>
              </w:rPr>
            </w:pPr>
            <w:r>
              <w:rPr>
                <w:sz w:val="20"/>
                <w:szCs w:val="20"/>
              </w:rPr>
              <w:t>Large RA cohort; timing linked to remission</w:t>
            </w:r>
          </w:p>
        </w:tc>
        <w:tc>
          <w:tcPr>
            <w:tcW w:w="5184" w:type="dxa"/>
          </w:tcPr>
          <w:p w14:paraId="6E2000E1" w14:textId="77777777" w:rsidR="00137DC5" w:rsidRDefault="00137DC5" w:rsidP="006261B1">
            <w:pPr>
              <w:rPr>
                <w:sz w:val="20"/>
                <w:szCs w:val="20"/>
              </w:rPr>
            </w:pPr>
            <w:r>
              <w:rPr>
                <w:sz w:val="20"/>
                <w:szCs w:val="20"/>
              </w:rPr>
              <w:t>37% missing 3-month DAS28; observational</w:t>
            </w:r>
          </w:p>
        </w:tc>
        <w:tc>
          <w:tcPr>
            <w:tcW w:w="1727" w:type="dxa"/>
          </w:tcPr>
          <w:p w14:paraId="5CCEB53E" w14:textId="77777777" w:rsidR="00137DC5" w:rsidRDefault="00137DC5" w:rsidP="006261B1">
            <w:pPr>
              <w:rPr>
                <w:sz w:val="20"/>
                <w:szCs w:val="20"/>
              </w:rPr>
            </w:pPr>
            <w:r>
              <w:rPr>
                <w:sz w:val="20"/>
                <w:szCs w:val="20"/>
              </w:rPr>
              <w:t>Moderate–high</w:t>
            </w:r>
          </w:p>
        </w:tc>
      </w:tr>
      <w:tr w:rsidR="00137DC5" w14:paraId="2F3C5566" w14:textId="77777777" w:rsidTr="006261B1">
        <w:trPr>
          <w:cantSplit/>
          <w:jc w:val="center"/>
        </w:trPr>
        <w:tc>
          <w:tcPr>
            <w:tcW w:w="2448" w:type="dxa"/>
          </w:tcPr>
          <w:p w14:paraId="41DAE1E7" w14:textId="77777777" w:rsidR="00137DC5" w:rsidRDefault="00137DC5" w:rsidP="006261B1">
            <w:pPr>
              <w:rPr>
                <w:sz w:val="20"/>
                <w:szCs w:val="20"/>
              </w:rPr>
            </w:pPr>
            <w:r>
              <w:rPr>
                <w:sz w:val="20"/>
                <w:szCs w:val="20"/>
              </w:rPr>
              <w:t>Cope et al. (2024)</w:t>
            </w:r>
          </w:p>
        </w:tc>
        <w:tc>
          <w:tcPr>
            <w:tcW w:w="4464" w:type="dxa"/>
          </w:tcPr>
          <w:p w14:paraId="05193DE7" w14:textId="77777777" w:rsidR="00137DC5" w:rsidRDefault="00137DC5" w:rsidP="006261B1">
            <w:pPr>
              <w:rPr>
                <w:sz w:val="20"/>
                <w:szCs w:val="20"/>
              </w:rPr>
            </w:pPr>
            <w:r>
              <w:rPr>
                <w:sz w:val="20"/>
                <w:szCs w:val="20"/>
              </w:rPr>
              <w:t>Randomised, double-blind, ITT, 24-month follow-up</w:t>
            </w:r>
          </w:p>
        </w:tc>
        <w:tc>
          <w:tcPr>
            <w:tcW w:w="5184" w:type="dxa"/>
          </w:tcPr>
          <w:p w14:paraId="346883D6" w14:textId="77777777" w:rsidR="00137DC5" w:rsidRDefault="00137DC5" w:rsidP="006261B1">
            <w:pPr>
              <w:rPr>
                <w:sz w:val="20"/>
                <w:szCs w:val="20"/>
              </w:rPr>
            </w:pPr>
            <w:r>
              <w:rPr>
                <w:sz w:val="20"/>
                <w:szCs w:val="20"/>
              </w:rPr>
              <w:t>Pre-RA; mixed-country; industry funded</w:t>
            </w:r>
          </w:p>
        </w:tc>
        <w:tc>
          <w:tcPr>
            <w:tcW w:w="1727" w:type="dxa"/>
          </w:tcPr>
          <w:p w14:paraId="28967612" w14:textId="77777777" w:rsidR="00137DC5" w:rsidRDefault="00137DC5" w:rsidP="006261B1">
            <w:pPr>
              <w:rPr>
                <w:sz w:val="20"/>
                <w:szCs w:val="20"/>
              </w:rPr>
            </w:pPr>
            <w:r>
              <w:rPr>
                <w:sz w:val="20"/>
                <w:szCs w:val="20"/>
              </w:rPr>
              <w:t>Moderate–high</w:t>
            </w:r>
          </w:p>
        </w:tc>
      </w:tr>
      <w:tr w:rsidR="00137DC5" w14:paraId="357E7F01" w14:textId="77777777" w:rsidTr="006261B1">
        <w:trPr>
          <w:cantSplit/>
          <w:jc w:val="center"/>
        </w:trPr>
        <w:tc>
          <w:tcPr>
            <w:tcW w:w="2448" w:type="dxa"/>
          </w:tcPr>
          <w:p w14:paraId="38A5011F" w14:textId="77777777" w:rsidR="00137DC5" w:rsidRDefault="00137DC5" w:rsidP="006261B1">
            <w:pPr>
              <w:rPr>
                <w:sz w:val="20"/>
                <w:szCs w:val="20"/>
              </w:rPr>
            </w:pPr>
            <w:r>
              <w:rPr>
                <w:sz w:val="20"/>
                <w:szCs w:val="20"/>
              </w:rPr>
              <w:t>Adas et al. (2025)</w:t>
            </w:r>
          </w:p>
        </w:tc>
        <w:tc>
          <w:tcPr>
            <w:tcW w:w="4464" w:type="dxa"/>
          </w:tcPr>
          <w:p w14:paraId="2D28DEA6" w14:textId="77777777" w:rsidR="00137DC5" w:rsidRDefault="00137DC5" w:rsidP="006261B1">
            <w:pPr>
              <w:rPr>
                <w:sz w:val="20"/>
                <w:szCs w:val="20"/>
              </w:rPr>
            </w:pPr>
            <w:r>
              <w:rPr>
                <w:sz w:val="20"/>
                <w:szCs w:val="20"/>
              </w:rPr>
              <w:t>Large early-RA cohort; linked hard outcomes</w:t>
            </w:r>
          </w:p>
        </w:tc>
        <w:tc>
          <w:tcPr>
            <w:tcW w:w="5184" w:type="dxa"/>
          </w:tcPr>
          <w:p w14:paraId="13F25EB9" w14:textId="77777777" w:rsidR="00137DC5" w:rsidRDefault="00137DC5" w:rsidP="006261B1">
            <w:pPr>
              <w:rPr>
                <w:sz w:val="20"/>
                <w:szCs w:val="20"/>
              </w:rPr>
            </w:pPr>
            <w:r>
              <w:rPr>
                <w:sz w:val="20"/>
                <w:szCs w:val="20"/>
              </w:rPr>
              <w:t>Confounding by indication; indirect QoL relevance</w:t>
            </w:r>
          </w:p>
        </w:tc>
        <w:tc>
          <w:tcPr>
            <w:tcW w:w="1727" w:type="dxa"/>
          </w:tcPr>
          <w:p w14:paraId="54289F92" w14:textId="77777777" w:rsidR="00137DC5" w:rsidRDefault="00137DC5" w:rsidP="006261B1">
            <w:pPr>
              <w:rPr>
                <w:sz w:val="20"/>
                <w:szCs w:val="20"/>
              </w:rPr>
            </w:pPr>
            <w:r>
              <w:rPr>
                <w:sz w:val="20"/>
                <w:szCs w:val="20"/>
              </w:rPr>
              <w:t>Moderate–high</w:t>
            </w:r>
          </w:p>
        </w:tc>
      </w:tr>
    </w:tbl>
    <w:p w14:paraId="50DB1078" w14:textId="77777777" w:rsidR="00137DC5" w:rsidRDefault="00137DC5" w:rsidP="00137DC5">
      <w:pPr>
        <w:sectPr w:rsidR="00137DC5" w:rsidSect="00137DC5">
          <w:footerReference w:type="default" r:id="rId21"/>
          <w:footerReference w:type="first" r:id="rId22"/>
          <w:pgSz w:w="15840" w:h="12240" w:orient="landscape"/>
          <w:pgMar w:top="720" w:right="648" w:bottom="777" w:left="648" w:header="0" w:footer="720" w:gutter="0"/>
          <w:cols w:space="720"/>
          <w:formProt w:val="0"/>
          <w:docGrid w:linePitch="360"/>
        </w:sectPr>
      </w:pPr>
    </w:p>
    <w:p w14:paraId="7F13B3E4" w14:textId="77777777" w:rsidR="00137DC5" w:rsidRDefault="00137DC5" w:rsidP="00137DC5">
      <w:pPr>
        <w:pStyle w:val="Heading2"/>
      </w:pPr>
      <w:bookmarkStart w:id="182" w:name="_Toc238658226"/>
      <w:bookmarkStart w:id="183" w:name="_Toc238659169"/>
      <w:bookmarkStart w:id="184" w:name="_Toc238661355"/>
      <w:bookmarkStart w:id="185" w:name="_Toc240922907"/>
      <w:r>
        <w:lastRenderedPageBreak/>
        <w:t>Appendix 2 - Search Record Summary</w:t>
      </w:r>
      <w:bookmarkEnd w:id="182"/>
      <w:bookmarkEnd w:id="183"/>
      <w:bookmarkEnd w:id="184"/>
      <w:bookmarkEnd w:id="185"/>
    </w:p>
    <w:p w14:paraId="7367D4D8" w14:textId="677B6C31" w:rsidR="005A2CB9" w:rsidRDefault="005A2CB9" w:rsidP="00137DC5">
      <w:pPr>
        <w:spacing w:after="120"/>
      </w:pPr>
      <w:r>
        <w:rPr>
          <w:noProof/>
        </w:rPr>
        <w:drawing>
          <wp:inline distT="0" distB="0" distL="0" distR="0" wp14:anchorId="4D66D462" wp14:editId="204102EA">
            <wp:extent cx="5804662" cy="946298"/>
            <wp:effectExtent l="0" t="0" r="5715"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3981" cy="952708"/>
                    </a:xfrm>
                    <a:prstGeom prst="rect">
                      <a:avLst/>
                    </a:prstGeom>
                    <a:noFill/>
                  </pic:spPr>
                </pic:pic>
              </a:graphicData>
            </a:graphic>
          </wp:inline>
        </w:drawing>
      </w:r>
    </w:p>
    <w:tbl>
      <w:tblPr>
        <w:tblStyle w:val="TableGrid"/>
        <w:tblW w:w="9360" w:type="dxa"/>
        <w:jc w:val="center"/>
        <w:tblLayout w:type="fixed"/>
        <w:tblLook w:val="04A0" w:firstRow="1" w:lastRow="0" w:firstColumn="1" w:lastColumn="0" w:noHBand="0" w:noVBand="1"/>
      </w:tblPr>
      <w:tblGrid>
        <w:gridCol w:w="3169"/>
        <w:gridCol w:w="1872"/>
        <w:gridCol w:w="3167"/>
        <w:gridCol w:w="1152"/>
      </w:tblGrid>
      <w:tr w:rsidR="00137DC5" w14:paraId="43191544" w14:textId="77777777" w:rsidTr="006261B1">
        <w:trPr>
          <w:cantSplit/>
          <w:tblHeader/>
          <w:jc w:val="center"/>
        </w:trPr>
        <w:tc>
          <w:tcPr>
            <w:tcW w:w="3168" w:type="dxa"/>
          </w:tcPr>
          <w:p w14:paraId="594B38FF" w14:textId="77777777" w:rsidR="00137DC5" w:rsidRDefault="00137DC5" w:rsidP="006261B1">
            <w:pPr>
              <w:rPr>
                <w:szCs w:val="28"/>
              </w:rPr>
            </w:pPr>
            <w:r>
              <w:rPr>
                <w:b/>
                <w:szCs w:val="28"/>
              </w:rPr>
              <w:t>Database / platform</w:t>
            </w:r>
          </w:p>
        </w:tc>
        <w:tc>
          <w:tcPr>
            <w:tcW w:w="1872" w:type="dxa"/>
          </w:tcPr>
          <w:p w14:paraId="35D685C6" w14:textId="77777777" w:rsidR="00137DC5" w:rsidRDefault="00137DC5" w:rsidP="006261B1">
            <w:pPr>
              <w:rPr>
                <w:szCs w:val="28"/>
              </w:rPr>
            </w:pPr>
            <w:r>
              <w:rPr>
                <w:b/>
                <w:szCs w:val="28"/>
              </w:rPr>
              <w:t>Search date</w:t>
            </w:r>
          </w:p>
        </w:tc>
        <w:tc>
          <w:tcPr>
            <w:tcW w:w="3167" w:type="dxa"/>
          </w:tcPr>
          <w:p w14:paraId="01D6CF6E" w14:textId="77777777" w:rsidR="00137DC5" w:rsidRDefault="00137DC5" w:rsidP="006261B1">
            <w:pPr>
              <w:rPr>
                <w:szCs w:val="28"/>
              </w:rPr>
            </w:pPr>
            <w:r>
              <w:rPr>
                <w:b/>
                <w:szCs w:val="28"/>
              </w:rPr>
              <w:t>Limits</w:t>
            </w:r>
          </w:p>
        </w:tc>
        <w:tc>
          <w:tcPr>
            <w:tcW w:w="1152" w:type="dxa"/>
          </w:tcPr>
          <w:p w14:paraId="28E061EA" w14:textId="77777777" w:rsidR="00137DC5" w:rsidRDefault="00137DC5" w:rsidP="006261B1">
            <w:pPr>
              <w:rPr>
                <w:szCs w:val="28"/>
              </w:rPr>
            </w:pPr>
            <w:r>
              <w:rPr>
                <w:b/>
                <w:szCs w:val="28"/>
              </w:rPr>
              <w:t>Records</w:t>
            </w:r>
          </w:p>
        </w:tc>
      </w:tr>
      <w:tr w:rsidR="00137DC5" w14:paraId="7338AA61" w14:textId="77777777" w:rsidTr="006261B1">
        <w:trPr>
          <w:cantSplit/>
          <w:jc w:val="center"/>
        </w:trPr>
        <w:tc>
          <w:tcPr>
            <w:tcW w:w="3168" w:type="dxa"/>
          </w:tcPr>
          <w:p w14:paraId="3451B895" w14:textId="77777777" w:rsidR="00137DC5" w:rsidRDefault="00137DC5" w:rsidP="006261B1">
            <w:pPr>
              <w:rPr>
                <w:szCs w:val="28"/>
              </w:rPr>
            </w:pPr>
            <w:r>
              <w:rPr>
                <w:szCs w:val="28"/>
              </w:rPr>
              <w:t>MEDLINE via PubMed</w:t>
            </w:r>
          </w:p>
        </w:tc>
        <w:tc>
          <w:tcPr>
            <w:tcW w:w="1872" w:type="dxa"/>
          </w:tcPr>
          <w:p w14:paraId="3E22EEAA" w14:textId="77777777" w:rsidR="00137DC5" w:rsidRDefault="00137DC5" w:rsidP="006261B1">
            <w:r>
              <w:t>9 Aug 2026</w:t>
            </w:r>
          </w:p>
        </w:tc>
        <w:tc>
          <w:tcPr>
            <w:tcW w:w="3167" w:type="dxa"/>
          </w:tcPr>
          <w:p w14:paraId="5D2AD4FC" w14:textId="77777777" w:rsidR="00137DC5" w:rsidRDefault="00137DC5" w:rsidP="006261B1">
            <w:pPr>
              <w:rPr>
                <w:szCs w:val="28"/>
              </w:rPr>
            </w:pPr>
            <w:r>
              <w:rPr>
                <w:szCs w:val="28"/>
              </w:rPr>
              <w:t>2021–2026; English</w:t>
            </w:r>
          </w:p>
        </w:tc>
        <w:tc>
          <w:tcPr>
            <w:tcW w:w="1152" w:type="dxa"/>
          </w:tcPr>
          <w:p w14:paraId="4F39B099" w14:textId="77777777" w:rsidR="00137DC5" w:rsidRDefault="00137DC5" w:rsidP="006261B1">
            <w:pPr>
              <w:rPr>
                <w:szCs w:val="28"/>
              </w:rPr>
            </w:pPr>
            <w:r>
              <w:rPr>
                <w:szCs w:val="28"/>
              </w:rPr>
              <w:t>78</w:t>
            </w:r>
          </w:p>
        </w:tc>
      </w:tr>
      <w:tr w:rsidR="00137DC5" w14:paraId="11779A46" w14:textId="77777777" w:rsidTr="006261B1">
        <w:trPr>
          <w:cantSplit/>
          <w:jc w:val="center"/>
        </w:trPr>
        <w:tc>
          <w:tcPr>
            <w:tcW w:w="3168" w:type="dxa"/>
          </w:tcPr>
          <w:p w14:paraId="5FED5268" w14:textId="77777777" w:rsidR="00137DC5" w:rsidRDefault="00137DC5" w:rsidP="006261B1">
            <w:pPr>
              <w:rPr>
                <w:szCs w:val="28"/>
              </w:rPr>
            </w:pPr>
            <w:r>
              <w:rPr>
                <w:szCs w:val="28"/>
              </w:rPr>
              <w:t>CINAHL Complete</w:t>
            </w:r>
          </w:p>
        </w:tc>
        <w:tc>
          <w:tcPr>
            <w:tcW w:w="1872" w:type="dxa"/>
          </w:tcPr>
          <w:p w14:paraId="2E7F53B2" w14:textId="77777777" w:rsidR="00137DC5" w:rsidRDefault="00137DC5" w:rsidP="006261B1">
            <w:r>
              <w:t>1 Aug 2026</w:t>
            </w:r>
          </w:p>
        </w:tc>
        <w:tc>
          <w:tcPr>
            <w:tcW w:w="3167" w:type="dxa"/>
          </w:tcPr>
          <w:p w14:paraId="65BAAD6D" w14:textId="77777777" w:rsidR="00137DC5" w:rsidRDefault="00137DC5" w:rsidP="006261B1">
            <w:pPr>
              <w:rPr>
                <w:szCs w:val="28"/>
              </w:rPr>
            </w:pPr>
            <w:r>
              <w:rPr>
                <w:szCs w:val="28"/>
              </w:rPr>
              <w:t>2021–2026; English</w:t>
            </w:r>
          </w:p>
        </w:tc>
        <w:tc>
          <w:tcPr>
            <w:tcW w:w="1152" w:type="dxa"/>
          </w:tcPr>
          <w:p w14:paraId="459C1FAA" w14:textId="77777777" w:rsidR="00137DC5" w:rsidRDefault="00137DC5" w:rsidP="006261B1">
            <w:pPr>
              <w:rPr>
                <w:szCs w:val="28"/>
              </w:rPr>
            </w:pPr>
            <w:r>
              <w:rPr>
                <w:szCs w:val="28"/>
              </w:rPr>
              <w:t>42</w:t>
            </w:r>
          </w:p>
        </w:tc>
      </w:tr>
      <w:tr w:rsidR="00137DC5" w14:paraId="6C3B8B10" w14:textId="77777777" w:rsidTr="006261B1">
        <w:trPr>
          <w:cantSplit/>
          <w:jc w:val="center"/>
        </w:trPr>
        <w:tc>
          <w:tcPr>
            <w:tcW w:w="3168" w:type="dxa"/>
          </w:tcPr>
          <w:p w14:paraId="346616EB" w14:textId="77777777" w:rsidR="00137DC5" w:rsidRDefault="00137DC5" w:rsidP="006261B1">
            <w:pPr>
              <w:rPr>
                <w:szCs w:val="28"/>
              </w:rPr>
            </w:pPr>
            <w:r>
              <w:rPr>
                <w:szCs w:val="28"/>
              </w:rPr>
              <w:t>Embase</w:t>
            </w:r>
          </w:p>
        </w:tc>
        <w:tc>
          <w:tcPr>
            <w:tcW w:w="1872" w:type="dxa"/>
          </w:tcPr>
          <w:p w14:paraId="4B8A04A5" w14:textId="77777777" w:rsidR="00137DC5" w:rsidRDefault="00137DC5" w:rsidP="006261B1">
            <w:r>
              <w:t>8 Aug 2026</w:t>
            </w:r>
          </w:p>
        </w:tc>
        <w:tc>
          <w:tcPr>
            <w:tcW w:w="3167" w:type="dxa"/>
          </w:tcPr>
          <w:p w14:paraId="08E10E87" w14:textId="77777777" w:rsidR="00137DC5" w:rsidRDefault="00137DC5" w:rsidP="006261B1">
            <w:pPr>
              <w:rPr>
                <w:szCs w:val="28"/>
              </w:rPr>
            </w:pPr>
            <w:r>
              <w:rPr>
                <w:szCs w:val="28"/>
              </w:rPr>
              <w:t>2021–2026; English</w:t>
            </w:r>
          </w:p>
        </w:tc>
        <w:tc>
          <w:tcPr>
            <w:tcW w:w="1152" w:type="dxa"/>
          </w:tcPr>
          <w:p w14:paraId="3CF709B0" w14:textId="77777777" w:rsidR="00137DC5" w:rsidRDefault="00137DC5" w:rsidP="006261B1">
            <w:pPr>
              <w:rPr>
                <w:szCs w:val="28"/>
              </w:rPr>
            </w:pPr>
            <w:r>
              <w:rPr>
                <w:szCs w:val="28"/>
              </w:rPr>
              <w:t>67</w:t>
            </w:r>
          </w:p>
        </w:tc>
      </w:tr>
      <w:tr w:rsidR="00137DC5" w14:paraId="5BE7F44C" w14:textId="77777777" w:rsidTr="006261B1">
        <w:trPr>
          <w:cantSplit/>
          <w:jc w:val="center"/>
        </w:trPr>
        <w:tc>
          <w:tcPr>
            <w:tcW w:w="3168" w:type="dxa"/>
          </w:tcPr>
          <w:p w14:paraId="4352D4C1" w14:textId="77777777" w:rsidR="00137DC5" w:rsidRDefault="00137DC5" w:rsidP="006261B1">
            <w:pPr>
              <w:rPr>
                <w:szCs w:val="28"/>
              </w:rPr>
            </w:pPr>
            <w:r>
              <w:rPr>
                <w:szCs w:val="28"/>
              </w:rPr>
              <w:t>Scopus</w:t>
            </w:r>
          </w:p>
        </w:tc>
        <w:tc>
          <w:tcPr>
            <w:tcW w:w="1872" w:type="dxa"/>
          </w:tcPr>
          <w:p w14:paraId="5BB8D856" w14:textId="77777777" w:rsidR="00137DC5" w:rsidRDefault="00137DC5" w:rsidP="006261B1">
            <w:r>
              <w:t>6 Aug 2026</w:t>
            </w:r>
          </w:p>
        </w:tc>
        <w:tc>
          <w:tcPr>
            <w:tcW w:w="3167" w:type="dxa"/>
          </w:tcPr>
          <w:p w14:paraId="5D504E7B" w14:textId="77777777" w:rsidR="00137DC5" w:rsidRDefault="00137DC5" w:rsidP="006261B1">
            <w:pPr>
              <w:rPr>
                <w:szCs w:val="28"/>
              </w:rPr>
            </w:pPr>
            <w:r>
              <w:rPr>
                <w:szCs w:val="28"/>
              </w:rPr>
              <w:t>2021–2026; English</w:t>
            </w:r>
          </w:p>
        </w:tc>
        <w:tc>
          <w:tcPr>
            <w:tcW w:w="1152" w:type="dxa"/>
          </w:tcPr>
          <w:p w14:paraId="6CDFAC75" w14:textId="77777777" w:rsidR="00137DC5" w:rsidRDefault="00137DC5" w:rsidP="006261B1">
            <w:pPr>
              <w:rPr>
                <w:szCs w:val="28"/>
              </w:rPr>
            </w:pPr>
            <w:r>
              <w:rPr>
                <w:szCs w:val="28"/>
              </w:rPr>
              <w:t>54</w:t>
            </w:r>
          </w:p>
        </w:tc>
      </w:tr>
      <w:tr w:rsidR="00137DC5" w14:paraId="6BB4E23A" w14:textId="77777777" w:rsidTr="006261B1">
        <w:trPr>
          <w:cantSplit/>
          <w:jc w:val="center"/>
        </w:trPr>
        <w:tc>
          <w:tcPr>
            <w:tcW w:w="3168" w:type="dxa"/>
          </w:tcPr>
          <w:p w14:paraId="6C93E1BF" w14:textId="77777777" w:rsidR="00137DC5" w:rsidRDefault="00137DC5" w:rsidP="006261B1">
            <w:pPr>
              <w:rPr>
                <w:szCs w:val="28"/>
              </w:rPr>
            </w:pPr>
            <w:r>
              <w:rPr>
                <w:szCs w:val="28"/>
              </w:rPr>
              <w:t>Web of Science</w:t>
            </w:r>
          </w:p>
        </w:tc>
        <w:tc>
          <w:tcPr>
            <w:tcW w:w="1872" w:type="dxa"/>
          </w:tcPr>
          <w:p w14:paraId="004849F0" w14:textId="77777777" w:rsidR="00137DC5" w:rsidRDefault="00137DC5" w:rsidP="006261B1">
            <w:r>
              <w:t>14 Aug 2026</w:t>
            </w:r>
          </w:p>
        </w:tc>
        <w:tc>
          <w:tcPr>
            <w:tcW w:w="3167" w:type="dxa"/>
          </w:tcPr>
          <w:p w14:paraId="70491EE0" w14:textId="77777777" w:rsidR="00137DC5" w:rsidRDefault="00137DC5" w:rsidP="006261B1">
            <w:pPr>
              <w:rPr>
                <w:szCs w:val="28"/>
              </w:rPr>
            </w:pPr>
            <w:r>
              <w:rPr>
                <w:szCs w:val="28"/>
              </w:rPr>
              <w:t>2021–2026; English</w:t>
            </w:r>
          </w:p>
        </w:tc>
        <w:tc>
          <w:tcPr>
            <w:tcW w:w="1152" w:type="dxa"/>
          </w:tcPr>
          <w:p w14:paraId="40327B67" w14:textId="77777777" w:rsidR="00137DC5" w:rsidRDefault="00137DC5" w:rsidP="006261B1">
            <w:pPr>
              <w:rPr>
                <w:szCs w:val="28"/>
              </w:rPr>
            </w:pPr>
            <w:r>
              <w:rPr>
                <w:szCs w:val="28"/>
              </w:rPr>
              <w:t>51</w:t>
            </w:r>
          </w:p>
        </w:tc>
      </w:tr>
      <w:tr w:rsidR="00137DC5" w14:paraId="53A16B9D" w14:textId="77777777" w:rsidTr="006261B1">
        <w:trPr>
          <w:cantSplit/>
          <w:jc w:val="center"/>
        </w:trPr>
        <w:tc>
          <w:tcPr>
            <w:tcW w:w="3168" w:type="dxa"/>
          </w:tcPr>
          <w:p w14:paraId="1557B3AC" w14:textId="77777777" w:rsidR="00137DC5" w:rsidRDefault="00137DC5" w:rsidP="006261B1">
            <w:pPr>
              <w:rPr>
                <w:szCs w:val="28"/>
              </w:rPr>
            </w:pPr>
            <w:r>
              <w:rPr>
                <w:szCs w:val="28"/>
              </w:rPr>
              <w:t>Cochrane Library / CENTRAL</w:t>
            </w:r>
          </w:p>
        </w:tc>
        <w:tc>
          <w:tcPr>
            <w:tcW w:w="1872" w:type="dxa"/>
          </w:tcPr>
          <w:p w14:paraId="609496D6" w14:textId="77777777" w:rsidR="00137DC5" w:rsidRDefault="00137DC5" w:rsidP="006261B1">
            <w:r>
              <w:t>8 Aug 2026</w:t>
            </w:r>
          </w:p>
        </w:tc>
        <w:tc>
          <w:tcPr>
            <w:tcW w:w="3167" w:type="dxa"/>
          </w:tcPr>
          <w:p w14:paraId="3F6B8947" w14:textId="77777777" w:rsidR="00137DC5" w:rsidRDefault="00137DC5" w:rsidP="006261B1">
            <w:pPr>
              <w:rPr>
                <w:szCs w:val="28"/>
              </w:rPr>
            </w:pPr>
            <w:r>
              <w:rPr>
                <w:szCs w:val="28"/>
              </w:rPr>
              <w:t>2021–2026</w:t>
            </w:r>
          </w:p>
        </w:tc>
        <w:tc>
          <w:tcPr>
            <w:tcW w:w="1152" w:type="dxa"/>
          </w:tcPr>
          <w:p w14:paraId="1B7E3419" w14:textId="77777777" w:rsidR="00137DC5" w:rsidRDefault="00137DC5" w:rsidP="006261B1">
            <w:pPr>
              <w:rPr>
                <w:szCs w:val="28"/>
              </w:rPr>
            </w:pPr>
            <w:r>
              <w:rPr>
                <w:szCs w:val="28"/>
              </w:rPr>
              <w:t>38</w:t>
            </w:r>
          </w:p>
        </w:tc>
      </w:tr>
    </w:tbl>
    <w:p w14:paraId="247A5922" w14:textId="6702C27F" w:rsidR="00DB1BD1" w:rsidRPr="000F5E13" w:rsidRDefault="00DB1BD1" w:rsidP="009F3E64">
      <w:pPr>
        <w:spacing w:line="276" w:lineRule="auto"/>
        <w:jc w:val="left"/>
      </w:pPr>
    </w:p>
    <w:p w14:paraId="6E85CE74" w14:textId="77777777" w:rsidR="008907E1" w:rsidRDefault="008907E1" w:rsidP="00ED5F7F"/>
    <w:sectPr w:rsidR="008907E1" w:rsidSect="00034616">
      <w:footerReference w:type="default" r:id="rId24"/>
      <w:pgSz w:w="11906" w:h="16838"/>
      <w:pgMar w:top="1247" w:right="1417" w:bottom="1134" w:left="1417" w:header="51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11566" w14:textId="77777777" w:rsidR="00EE4502" w:rsidRDefault="00EE4502">
      <w:pPr>
        <w:spacing w:after="0" w:line="240" w:lineRule="auto"/>
      </w:pPr>
      <w:r>
        <w:separator/>
      </w:r>
    </w:p>
  </w:endnote>
  <w:endnote w:type="continuationSeparator" w:id="0">
    <w:p w14:paraId="01FCA5D7" w14:textId="77777777" w:rsidR="00EE4502" w:rsidRDefault="00EE4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3C880" w14:textId="77777777" w:rsidR="00C662DF" w:rsidRDefault="00C662DF">
    <w:pPr>
      <w:pStyle w:val="Footer"/>
      <w:jc w:val="center"/>
    </w:pP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595C9" w14:textId="77777777" w:rsidR="00956A81" w:rsidRDefault="00956A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1F05F" w14:textId="77777777" w:rsidR="00956A81" w:rsidRDefault="00956A81">
    <w:pPr>
      <w:pStyle w:val="Footer"/>
      <w:jc w:val="right"/>
    </w:pPr>
    <w:r>
      <w:rPr>
        <w:sz w:val="18"/>
      </w:rPr>
      <w:fldChar w:fldCharType="begin"/>
    </w:r>
    <w:r>
      <w:rPr>
        <w:sz w:val="18"/>
      </w:rPr>
      <w:instrText xml:space="preserve"> PAGE </w:instrText>
    </w:r>
    <w:r>
      <w:rPr>
        <w:sz w:val="18"/>
      </w:rPr>
      <w:fldChar w:fldCharType="separate"/>
    </w:r>
    <w:r>
      <w:rPr>
        <w:sz w:val="18"/>
      </w:rPr>
      <w:t>13</w:t>
    </w:r>
    <w:r>
      <w:rPr>
        <w:sz w:val="18"/>
      </w:rPr>
      <w:fldChar w:fldCharType="end"/>
    </w:r>
    <w:r>
      <w:rPr>
        <w:sz w:val="18"/>
      </w:rPr>
      <w:t xml:space="preserve"> | Page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42F60" w14:textId="77777777" w:rsidR="00956A81" w:rsidRDefault="00956A81">
    <w:pPr>
      <w:pStyle w:val="Footer"/>
      <w:jc w:val="right"/>
    </w:pPr>
    <w:r>
      <w:rPr>
        <w:sz w:val="18"/>
      </w:rPr>
      <w:fldChar w:fldCharType="begin"/>
    </w:r>
    <w:r>
      <w:rPr>
        <w:sz w:val="18"/>
      </w:rPr>
      <w:instrText xml:space="preserve"> PAGE </w:instrText>
    </w:r>
    <w:r>
      <w:rPr>
        <w:sz w:val="18"/>
      </w:rPr>
      <w:fldChar w:fldCharType="separate"/>
    </w:r>
    <w:r>
      <w:rPr>
        <w:sz w:val="18"/>
      </w:rPr>
      <w:t>13</w:t>
    </w:r>
    <w:r>
      <w:rPr>
        <w:sz w:val="18"/>
      </w:rPr>
      <w:fldChar w:fldCharType="end"/>
    </w:r>
    <w:r>
      <w:rPr>
        <w:sz w:val="18"/>
      </w:rPr>
      <w:t xml:space="preserve"> | Page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A3947" w14:textId="77777777" w:rsidR="00137DC5" w:rsidRDefault="00137DC5">
    <w:pPr>
      <w:pStyle w:val="Footer"/>
      <w:jc w:val="right"/>
    </w:pPr>
    <w:r>
      <w:rPr>
        <w:sz w:val="18"/>
      </w:rPr>
      <w:fldChar w:fldCharType="begin"/>
    </w:r>
    <w:r>
      <w:rPr>
        <w:sz w:val="18"/>
      </w:rPr>
      <w:instrText xml:space="preserve"> PAGE </w:instrText>
    </w:r>
    <w:r>
      <w:rPr>
        <w:sz w:val="18"/>
      </w:rPr>
      <w:fldChar w:fldCharType="separate"/>
    </w:r>
    <w:r>
      <w:rPr>
        <w:sz w:val="18"/>
      </w:rPr>
      <w:t>17</w:t>
    </w:r>
    <w:r>
      <w:rPr>
        <w:sz w:val="18"/>
      </w:rPr>
      <w:fldChar w:fldCharType="end"/>
    </w:r>
    <w:r>
      <w:rPr>
        <w:sz w:val="18"/>
      </w:rPr>
      <w:t xml:space="preserve"> | Page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4AD86" w14:textId="77777777" w:rsidR="00137DC5" w:rsidRDefault="00137DC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001372"/>
      <w:docPartObj>
        <w:docPartGallery w:val="Page Numbers (Bottom of Page)"/>
        <w:docPartUnique/>
      </w:docPartObj>
    </w:sdtPr>
    <w:sdtEndPr>
      <w:rPr>
        <w:color w:val="7F7F7F" w:themeColor="background1" w:themeShade="7F"/>
        <w:spacing w:val="60"/>
        <w:lang w:val="en-GB"/>
      </w:rPr>
    </w:sdtEndPr>
    <w:sdtContent>
      <w:p w14:paraId="48C74FFE" w14:textId="69CC5A83" w:rsidR="00ED5E58" w:rsidRDefault="00ED5E58">
        <w:pPr>
          <w:pStyle w:val="Footer"/>
          <w:pBdr>
            <w:top w:val="single" w:sz="4" w:space="1" w:color="D9D9D9" w:themeColor="background1" w:themeShade="D9"/>
          </w:pBdr>
          <w:jc w:val="right"/>
        </w:pPr>
        <w:r>
          <w:fldChar w:fldCharType="begin"/>
        </w:r>
        <w:r>
          <w:instrText>PAGE   \* MERGEFORMAT</w:instrText>
        </w:r>
        <w:r>
          <w:fldChar w:fldCharType="separate"/>
        </w:r>
        <w:r>
          <w:rPr>
            <w:lang w:val="en-GB"/>
          </w:rPr>
          <w:t>2</w:t>
        </w:r>
        <w:r>
          <w:fldChar w:fldCharType="end"/>
        </w:r>
        <w:r>
          <w:rPr>
            <w:lang w:val="en-GB"/>
          </w:rPr>
          <w:t xml:space="preserve"> | </w:t>
        </w:r>
        <w:r>
          <w:rPr>
            <w:color w:val="7F7F7F" w:themeColor="background1" w:themeShade="7F"/>
            <w:spacing w:val="60"/>
            <w:lang w:val="en-GB"/>
          </w:rPr>
          <w:t>Page</w:t>
        </w:r>
      </w:p>
    </w:sdtContent>
  </w:sdt>
  <w:p w14:paraId="76E09588" w14:textId="77777777" w:rsidR="009A5FC9" w:rsidRDefault="009A5F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B2A2F" w14:textId="77777777" w:rsidR="00EE4502" w:rsidRDefault="00EE4502">
      <w:pPr>
        <w:spacing w:after="0" w:line="240" w:lineRule="auto"/>
      </w:pPr>
      <w:r>
        <w:separator/>
      </w:r>
    </w:p>
  </w:footnote>
  <w:footnote w:type="continuationSeparator" w:id="0">
    <w:p w14:paraId="1092D4E5" w14:textId="77777777" w:rsidR="00EE4502" w:rsidRDefault="00EE45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B361953"/>
    <w:multiLevelType w:val="hybridMultilevel"/>
    <w:tmpl w:val="8C5E8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5705692">
    <w:abstractNumId w:val="8"/>
  </w:num>
  <w:num w:numId="2" w16cid:durableId="889458153">
    <w:abstractNumId w:val="6"/>
  </w:num>
  <w:num w:numId="3" w16cid:durableId="1355644443">
    <w:abstractNumId w:val="5"/>
  </w:num>
  <w:num w:numId="4" w16cid:durableId="655648858">
    <w:abstractNumId w:val="4"/>
  </w:num>
  <w:num w:numId="5" w16cid:durableId="1390303930">
    <w:abstractNumId w:val="7"/>
  </w:num>
  <w:num w:numId="6" w16cid:durableId="44255972">
    <w:abstractNumId w:val="3"/>
  </w:num>
  <w:num w:numId="7" w16cid:durableId="957032129">
    <w:abstractNumId w:val="2"/>
  </w:num>
  <w:num w:numId="8" w16cid:durableId="160394047">
    <w:abstractNumId w:val="1"/>
  </w:num>
  <w:num w:numId="9" w16cid:durableId="712389060">
    <w:abstractNumId w:val="0"/>
  </w:num>
  <w:num w:numId="10" w16cid:durableId="1890299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157"/>
    <w:rsid w:val="00010464"/>
    <w:rsid w:val="0001480F"/>
    <w:rsid w:val="00016AF3"/>
    <w:rsid w:val="000178F9"/>
    <w:rsid w:val="0002237D"/>
    <w:rsid w:val="00022694"/>
    <w:rsid w:val="00034616"/>
    <w:rsid w:val="0006063C"/>
    <w:rsid w:val="00075B36"/>
    <w:rsid w:val="000B217C"/>
    <w:rsid w:val="000B7E56"/>
    <w:rsid w:val="000D1321"/>
    <w:rsid w:val="000D2FCE"/>
    <w:rsid w:val="000E3439"/>
    <w:rsid w:val="000F5854"/>
    <w:rsid w:val="00106B80"/>
    <w:rsid w:val="001100FA"/>
    <w:rsid w:val="00112593"/>
    <w:rsid w:val="001134D8"/>
    <w:rsid w:val="00135650"/>
    <w:rsid w:val="00137DC5"/>
    <w:rsid w:val="001415C6"/>
    <w:rsid w:val="001448BA"/>
    <w:rsid w:val="00144BC0"/>
    <w:rsid w:val="0015074B"/>
    <w:rsid w:val="00156030"/>
    <w:rsid w:val="00162D53"/>
    <w:rsid w:val="001630E3"/>
    <w:rsid w:val="00192755"/>
    <w:rsid w:val="001D40DA"/>
    <w:rsid w:val="001F398E"/>
    <w:rsid w:val="00201C90"/>
    <w:rsid w:val="00215F94"/>
    <w:rsid w:val="0027224C"/>
    <w:rsid w:val="00274F2F"/>
    <w:rsid w:val="00283380"/>
    <w:rsid w:val="00293CF0"/>
    <w:rsid w:val="0029639D"/>
    <w:rsid w:val="002A4F3E"/>
    <w:rsid w:val="002B3688"/>
    <w:rsid w:val="002D4B51"/>
    <w:rsid w:val="0030179A"/>
    <w:rsid w:val="00313E2C"/>
    <w:rsid w:val="0031717E"/>
    <w:rsid w:val="00325C76"/>
    <w:rsid w:val="00326F90"/>
    <w:rsid w:val="00355ECA"/>
    <w:rsid w:val="00360E21"/>
    <w:rsid w:val="003D37F7"/>
    <w:rsid w:val="003E0DEB"/>
    <w:rsid w:val="003F52B5"/>
    <w:rsid w:val="00405864"/>
    <w:rsid w:val="00410D37"/>
    <w:rsid w:val="00411719"/>
    <w:rsid w:val="004139B5"/>
    <w:rsid w:val="00424297"/>
    <w:rsid w:val="00426BC9"/>
    <w:rsid w:val="00432075"/>
    <w:rsid w:val="00433ACD"/>
    <w:rsid w:val="00441927"/>
    <w:rsid w:val="0044454A"/>
    <w:rsid w:val="004516C7"/>
    <w:rsid w:val="00456904"/>
    <w:rsid w:val="00460212"/>
    <w:rsid w:val="00470C09"/>
    <w:rsid w:val="004906A8"/>
    <w:rsid w:val="0049292A"/>
    <w:rsid w:val="00497196"/>
    <w:rsid w:val="004B6AE0"/>
    <w:rsid w:val="004C0029"/>
    <w:rsid w:val="004C3662"/>
    <w:rsid w:val="004E2434"/>
    <w:rsid w:val="004F2160"/>
    <w:rsid w:val="005457FC"/>
    <w:rsid w:val="0055704A"/>
    <w:rsid w:val="005855BE"/>
    <w:rsid w:val="005A1AB2"/>
    <w:rsid w:val="005A2CB9"/>
    <w:rsid w:val="005A6472"/>
    <w:rsid w:val="005B3EDC"/>
    <w:rsid w:val="005C110B"/>
    <w:rsid w:val="005D0160"/>
    <w:rsid w:val="005D3A1C"/>
    <w:rsid w:val="005F0BBD"/>
    <w:rsid w:val="005F6483"/>
    <w:rsid w:val="006008D4"/>
    <w:rsid w:val="0061571D"/>
    <w:rsid w:val="00616A80"/>
    <w:rsid w:val="006304BF"/>
    <w:rsid w:val="006407F6"/>
    <w:rsid w:val="00677CD7"/>
    <w:rsid w:val="00683CD5"/>
    <w:rsid w:val="006A21FC"/>
    <w:rsid w:val="006D6785"/>
    <w:rsid w:val="006D7BD1"/>
    <w:rsid w:val="00713394"/>
    <w:rsid w:val="00752B54"/>
    <w:rsid w:val="00761965"/>
    <w:rsid w:val="00763291"/>
    <w:rsid w:val="00794D36"/>
    <w:rsid w:val="007D2822"/>
    <w:rsid w:val="007D6725"/>
    <w:rsid w:val="007E032E"/>
    <w:rsid w:val="007E08F5"/>
    <w:rsid w:val="0080532B"/>
    <w:rsid w:val="00846262"/>
    <w:rsid w:val="0084675E"/>
    <w:rsid w:val="0085589B"/>
    <w:rsid w:val="00862B0E"/>
    <w:rsid w:val="0087646D"/>
    <w:rsid w:val="008907E1"/>
    <w:rsid w:val="00891F6D"/>
    <w:rsid w:val="00895E67"/>
    <w:rsid w:val="008B1FD4"/>
    <w:rsid w:val="008B2CDB"/>
    <w:rsid w:val="008B60AA"/>
    <w:rsid w:val="008B7A82"/>
    <w:rsid w:val="008C6DF9"/>
    <w:rsid w:val="00901D33"/>
    <w:rsid w:val="009105EC"/>
    <w:rsid w:val="00920A36"/>
    <w:rsid w:val="00925BD4"/>
    <w:rsid w:val="00933453"/>
    <w:rsid w:val="00934926"/>
    <w:rsid w:val="00950EE8"/>
    <w:rsid w:val="00956A81"/>
    <w:rsid w:val="0097056E"/>
    <w:rsid w:val="00970B92"/>
    <w:rsid w:val="009838DB"/>
    <w:rsid w:val="009A5FC9"/>
    <w:rsid w:val="009C5611"/>
    <w:rsid w:val="009F0E3B"/>
    <w:rsid w:val="009F2A1B"/>
    <w:rsid w:val="009F318F"/>
    <w:rsid w:val="009F3E64"/>
    <w:rsid w:val="00A05547"/>
    <w:rsid w:val="00A41F22"/>
    <w:rsid w:val="00A5702E"/>
    <w:rsid w:val="00A62356"/>
    <w:rsid w:val="00A6391A"/>
    <w:rsid w:val="00AA162D"/>
    <w:rsid w:val="00AA1D8D"/>
    <w:rsid w:val="00AC024C"/>
    <w:rsid w:val="00AC0284"/>
    <w:rsid w:val="00AD6006"/>
    <w:rsid w:val="00B24A11"/>
    <w:rsid w:val="00B25523"/>
    <w:rsid w:val="00B41AD5"/>
    <w:rsid w:val="00B47730"/>
    <w:rsid w:val="00B648AD"/>
    <w:rsid w:val="00B855D2"/>
    <w:rsid w:val="00B91460"/>
    <w:rsid w:val="00BA1018"/>
    <w:rsid w:val="00BB295F"/>
    <w:rsid w:val="00BB4919"/>
    <w:rsid w:val="00BF2234"/>
    <w:rsid w:val="00C1209F"/>
    <w:rsid w:val="00C15032"/>
    <w:rsid w:val="00C167A2"/>
    <w:rsid w:val="00C26AE0"/>
    <w:rsid w:val="00C301BA"/>
    <w:rsid w:val="00C63879"/>
    <w:rsid w:val="00C662DF"/>
    <w:rsid w:val="00C6771B"/>
    <w:rsid w:val="00C93677"/>
    <w:rsid w:val="00CB0664"/>
    <w:rsid w:val="00CB53A0"/>
    <w:rsid w:val="00CC0BAD"/>
    <w:rsid w:val="00CD00E1"/>
    <w:rsid w:val="00CE709D"/>
    <w:rsid w:val="00CF706F"/>
    <w:rsid w:val="00D21279"/>
    <w:rsid w:val="00D37F14"/>
    <w:rsid w:val="00D43EB5"/>
    <w:rsid w:val="00D51958"/>
    <w:rsid w:val="00D52843"/>
    <w:rsid w:val="00D57C89"/>
    <w:rsid w:val="00D66954"/>
    <w:rsid w:val="00D8711C"/>
    <w:rsid w:val="00D9009F"/>
    <w:rsid w:val="00DA134F"/>
    <w:rsid w:val="00DB1BD1"/>
    <w:rsid w:val="00DB2046"/>
    <w:rsid w:val="00DB6F26"/>
    <w:rsid w:val="00DE5ED7"/>
    <w:rsid w:val="00DF5514"/>
    <w:rsid w:val="00DF718E"/>
    <w:rsid w:val="00E13D14"/>
    <w:rsid w:val="00E247F2"/>
    <w:rsid w:val="00E62946"/>
    <w:rsid w:val="00E927FA"/>
    <w:rsid w:val="00E94E6B"/>
    <w:rsid w:val="00E9798F"/>
    <w:rsid w:val="00EA1CCA"/>
    <w:rsid w:val="00EB3396"/>
    <w:rsid w:val="00EC45B5"/>
    <w:rsid w:val="00ED5E58"/>
    <w:rsid w:val="00ED5F7F"/>
    <w:rsid w:val="00ED7A91"/>
    <w:rsid w:val="00EE4502"/>
    <w:rsid w:val="00F251F6"/>
    <w:rsid w:val="00F52F7C"/>
    <w:rsid w:val="00F55B4C"/>
    <w:rsid w:val="00F73695"/>
    <w:rsid w:val="00F84524"/>
    <w:rsid w:val="00F92C63"/>
    <w:rsid w:val="00FA061C"/>
    <w:rsid w:val="00FA145E"/>
    <w:rsid w:val="00FC1384"/>
    <w:rsid w:val="00FC693F"/>
    <w:rsid w:val="00FD2CC0"/>
    <w:rsid w:val="00FD78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3C47D6A"/>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6C7"/>
    <w:pPr>
      <w:spacing w:line="360" w:lineRule="auto"/>
      <w:jc w:val="both"/>
    </w:pPr>
    <w:rPr>
      <w:rFonts w:ascii="Arial" w:hAnsi="Arial"/>
    </w:rPr>
  </w:style>
  <w:style w:type="paragraph" w:styleId="Heading1">
    <w:name w:val="heading 1"/>
    <w:basedOn w:val="Normal"/>
    <w:next w:val="Normal"/>
    <w:link w:val="Heading1Char"/>
    <w:uiPriority w:val="9"/>
    <w:qFormat/>
    <w:rsid w:val="00D8711C"/>
    <w:pPr>
      <w:keepNext/>
      <w:keepLines/>
      <w:spacing w:before="480" w:after="0" w:line="480" w:lineRule="auto"/>
      <w:jc w:val="center"/>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C662DF"/>
    <w:pPr>
      <w:keepNext/>
      <w:keepLines/>
      <w:spacing w:before="200" w:after="0"/>
      <w:outlineLvl w:val="1"/>
    </w:pPr>
    <w:rPr>
      <w:rFonts w:eastAsiaTheme="majorEastAsia" w:cstheme="majorBidi"/>
      <w:b/>
      <w:bCs/>
      <w:sz w:val="28"/>
      <w:szCs w:val="28"/>
    </w:rPr>
  </w:style>
  <w:style w:type="paragraph" w:styleId="Heading3">
    <w:name w:val="heading 3"/>
    <w:basedOn w:val="Normal"/>
    <w:next w:val="Normal"/>
    <w:link w:val="Heading3Char"/>
    <w:uiPriority w:val="9"/>
    <w:unhideWhenUsed/>
    <w:qFormat/>
    <w:rsid w:val="008907E1"/>
    <w:pPr>
      <w:keepNext/>
      <w:keepLines/>
      <w:spacing w:before="200" w:after="0"/>
      <w:outlineLvl w:val="2"/>
    </w:pPr>
    <w:rPr>
      <w:rFonts w:eastAsiaTheme="majorEastAsia" w:cs="Arial"/>
      <w:b/>
      <w:bCs/>
      <w:sz w:val="24"/>
      <w:szCs w:val="24"/>
      <w:lang w:val="en-GB"/>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D8711C"/>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C662DF"/>
    <w:rPr>
      <w:rFonts w:ascii="Arial" w:eastAsiaTheme="majorEastAsia" w:hAnsi="Arial" w:cstheme="majorBidi"/>
      <w:b/>
      <w:bCs/>
      <w:sz w:val="28"/>
      <w:szCs w:val="28"/>
    </w:rPr>
  </w:style>
  <w:style w:type="character" w:customStyle="1" w:styleId="Heading3Char">
    <w:name w:val="Heading 3 Char"/>
    <w:basedOn w:val="DefaultParagraphFont"/>
    <w:link w:val="Heading3"/>
    <w:uiPriority w:val="9"/>
    <w:rsid w:val="008907E1"/>
    <w:rPr>
      <w:rFonts w:ascii="Arial" w:eastAsiaTheme="majorEastAsia" w:hAnsi="Arial" w:cs="Arial"/>
      <w:b/>
      <w:bCs/>
      <w:sz w:val="24"/>
      <w:szCs w:val="24"/>
      <w:lang w:val="en-GB"/>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D5E58"/>
    <w:pPr>
      <w:spacing w:after="100"/>
    </w:pPr>
  </w:style>
  <w:style w:type="paragraph" w:styleId="TOC2">
    <w:name w:val="toc 2"/>
    <w:basedOn w:val="Normal"/>
    <w:next w:val="Normal"/>
    <w:autoRedefine/>
    <w:uiPriority w:val="39"/>
    <w:unhideWhenUsed/>
    <w:rsid w:val="00ED5E58"/>
    <w:pPr>
      <w:spacing w:after="100"/>
      <w:ind w:left="220"/>
    </w:pPr>
  </w:style>
  <w:style w:type="character" w:styleId="Hyperlink">
    <w:name w:val="Hyperlink"/>
    <w:basedOn w:val="DefaultParagraphFont"/>
    <w:uiPriority w:val="99"/>
    <w:unhideWhenUsed/>
    <w:rsid w:val="00ED5E58"/>
    <w:rPr>
      <w:color w:val="0000FF" w:themeColor="hyperlink"/>
      <w:u w:val="single"/>
    </w:rPr>
  </w:style>
  <w:style w:type="paragraph" w:customStyle="1" w:styleId="FrameContents">
    <w:name w:val="Frame Contents"/>
    <w:basedOn w:val="Normal"/>
    <w:rsid w:val="00D51958"/>
    <w:pPr>
      <w:suppressAutoHyphens/>
      <w:jc w:val="left"/>
    </w:pPr>
    <w:rPr>
      <w:rFonts w:ascii="Times New Roman" w:eastAsia="Times New Roman" w:hAnsi="Times New Roman"/>
      <w:sz w:val="24"/>
    </w:rPr>
  </w:style>
  <w:style w:type="paragraph" w:styleId="TOC3">
    <w:name w:val="toc 3"/>
    <w:basedOn w:val="Normal"/>
    <w:next w:val="Normal"/>
    <w:autoRedefine/>
    <w:uiPriority w:val="39"/>
    <w:unhideWhenUsed/>
    <w:rsid w:val="008907E1"/>
    <w:pPr>
      <w:spacing w:after="100"/>
      <w:ind w:left="440"/>
    </w:pPr>
  </w:style>
  <w:style w:type="paragraph" w:styleId="NormalWeb">
    <w:name w:val="Normal (Web)"/>
    <w:basedOn w:val="Normal"/>
    <w:uiPriority w:val="99"/>
    <w:semiHidden/>
    <w:unhideWhenUsed/>
    <w:rsid w:val="002A4F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26366">
      <w:bodyDiv w:val="1"/>
      <w:marLeft w:val="0"/>
      <w:marRight w:val="0"/>
      <w:marTop w:val="0"/>
      <w:marBottom w:val="0"/>
      <w:divBdr>
        <w:top w:val="none" w:sz="0" w:space="0" w:color="auto"/>
        <w:left w:val="none" w:sz="0" w:space="0" w:color="auto"/>
        <w:bottom w:val="none" w:sz="0" w:space="0" w:color="auto"/>
        <w:right w:val="none" w:sz="0" w:space="0" w:color="auto"/>
      </w:divBdr>
    </w:div>
    <w:div w:id="174150161">
      <w:bodyDiv w:val="1"/>
      <w:marLeft w:val="0"/>
      <w:marRight w:val="0"/>
      <w:marTop w:val="0"/>
      <w:marBottom w:val="0"/>
      <w:divBdr>
        <w:top w:val="none" w:sz="0" w:space="0" w:color="auto"/>
        <w:left w:val="none" w:sz="0" w:space="0" w:color="auto"/>
        <w:bottom w:val="none" w:sz="0" w:space="0" w:color="auto"/>
        <w:right w:val="none" w:sz="0" w:space="0" w:color="auto"/>
      </w:divBdr>
    </w:div>
    <w:div w:id="543298620">
      <w:bodyDiv w:val="1"/>
      <w:marLeft w:val="0"/>
      <w:marRight w:val="0"/>
      <w:marTop w:val="0"/>
      <w:marBottom w:val="0"/>
      <w:divBdr>
        <w:top w:val="none" w:sz="0" w:space="0" w:color="auto"/>
        <w:left w:val="none" w:sz="0" w:space="0" w:color="auto"/>
        <w:bottom w:val="none" w:sz="0" w:space="0" w:color="auto"/>
        <w:right w:val="none" w:sz="0" w:space="0" w:color="auto"/>
      </w:divBdr>
    </w:div>
    <w:div w:id="757560405">
      <w:bodyDiv w:val="1"/>
      <w:marLeft w:val="0"/>
      <w:marRight w:val="0"/>
      <w:marTop w:val="0"/>
      <w:marBottom w:val="0"/>
      <w:divBdr>
        <w:top w:val="none" w:sz="0" w:space="0" w:color="auto"/>
        <w:left w:val="none" w:sz="0" w:space="0" w:color="auto"/>
        <w:bottom w:val="none" w:sz="0" w:space="0" w:color="auto"/>
        <w:right w:val="none" w:sz="0" w:space="0" w:color="auto"/>
      </w:divBdr>
    </w:div>
    <w:div w:id="773670652">
      <w:bodyDiv w:val="1"/>
      <w:marLeft w:val="0"/>
      <w:marRight w:val="0"/>
      <w:marTop w:val="0"/>
      <w:marBottom w:val="0"/>
      <w:divBdr>
        <w:top w:val="none" w:sz="0" w:space="0" w:color="auto"/>
        <w:left w:val="none" w:sz="0" w:space="0" w:color="auto"/>
        <w:bottom w:val="none" w:sz="0" w:space="0" w:color="auto"/>
        <w:right w:val="none" w:sz="0" w:space="0" w:color="auto"/>
      </w:divBdr>
      <w:divsChild>
        <w:div w:id="1430080168">
          <w:marLeft w:val="0"/>
          <w:marRight w:val="0"/>
          <w:marTop w:val="0"/>
          <w:marBottom w:val="0"/>
          <w:divBdr>
            <w:top w:val="none" w:sz="0" w:space="0" w:color="auto"/>
            <w:left w:val="none" w:sz="0" w:space="0" w:color="auto"/>
            <w:bottom w:val="none" w:sz="0" w:space="0" w:color="auto"/>
            <w:right w:val="none" w:sz="0" w:space="0" w:color="auto"/>
          </w:divBdr>
          <w:divsChild>
            <w:div w:id="5584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14933">
      <w:bodyDiv w:val="1"/>
      <w:marLeft w:val="0"/>
      <w:marRight w:val="0"/>
      <w:marTop w:val="0"/>
      <w:marBottom w:val="0"/>
      <w:divBdr>
        <w:top w:val="none" w:sz="0" w:space="0" w:color="auto"/>
        <w:left w:val="none" w:sz="0" w:space="0" w:color="auto"/>
        <w:bottom w:val="none" w:sz="0" w:space="0" w:color="auto"/>
        <w:right w:val="none" w:sz="0" w:space="0" w:color="auto"/>
      </w:divBdr>
    </w:div>
    <w:div w:id="1037000521">
      <w:bodyDiv w:val="1"/>
      <w:marLeft w:val="0"/>
      <w:marRight w:val="0"/>
      <w:marTop w:val="0"/>
      <w:marBottom w:val="0"/>
      <w:divBdr>
        <w:top w:val="none" w:sz="0" w:space="0" w:color="auto"/>
        <w:left w:val="none" w:sz="0" w:space="0" w:color="auto"/>
        <w:bottom w:val="none" w:sz="0" w:space="0" w:color="auto"/>
        <w:right w:val="none" w:sz="0" w:space="0" w:color="auto"/>
      </w:divBdr>
    </w:div>
    <w:div w:id="1045720153">
      <w:bodyDiv w:val="1"/>
      <w:marLeft w:val="0"/>
      <w:marRight w:val="0"/>
      <w:marTop w:val="0"/>
      <w:marBottom w:val="0"/>
      <w:divBdr>
        <w:top w:val="none" w:sz="0" w:space="0" w:color="auto"/>
        <w:left w:val="none" w:sz="0" w:space="0" w:color="auto"/>
        <w:bottom w:val="none" w:sz="0" w:space="0" w:color="auto"/>
        <w:right w:val="none" w:sz="0" w:space="0" w:color="auto"/>
      </w:divBdr>
    </w:div>
    <w:div w:id="1046179732">
      <w:bodyDiv w:val="1"/>
      <w:marLeft w:val="0"/>
      <w:marRight w:val="0"/>
      <w:marTop w:val="0"/>
      <w:marBottom w:val="0"/>
      <w:divBdr>
        <w:top w:val="none" w:sz="0" w:space="0" w:color="auto"/>
        <w:left w:val="none" w:sz="0" w:space="0" w:color="auto"/>
        <w:bottom w:val="none" w:sz="0" w:space="0" w:color="auto"/>
        <w:right w:val="none" w:sz="0" w:space="0" w:color="auto"/>
      </w:divBdr>
    </w:div>
    <w:div w:id="1189100136">
      <w:bodyDiv w:val="1"/>
      <w:marLeft w:val="0"/>
      <w:marRight w:val="0"/>
      <w:marTop w:val="0"/>
      <w:marBottom w:val="0"/>
      <w:divBdr>
        <w:top w:val="none" w:sz="0" w:space="0" w:color="auto"/>
        <w:left w:val="none" w:sz="0" w:space="0" w:color="auto"/>
        <w:bottom w:val="none" w:sz="0" w:space="0" w:color="auto"/>
        <w:right w:val="none" w:sz="0" w:space="0" w:color="auto"/>
      </w:divBdr>
    </w:div>
    <w:div w:id="1218207608">
      <w:bodyDiv w:val="1"/>
      <w:marLeft w:val="0"/>
      <w:marRight w:val="0"/>
      <w:marTop w:val="0"/>
      <w:marBottom w:val="0"/>
      <w:divBdr>
        <w:top w:val="none" w:sz="0" w:space="0" w:color="auto"/>
        <w:left w:val="none" w:sz="0" w:space="0" w:color="auto"/>
        <w:bottom w:val="none" w:sz="0" w:space="0" w:color="auto"/>
        <w:right w:val="none" w:sz="0" w:space="0" w:color="auto"/>
      </w:divBdr>
    </w:div>
    <w:div w:id="1222137934">
      <w:bodyDiv w:val="1"/>
      <w:marLeft w:val="0"/>
      <w:marRight w:val="0"/>
      <w:marTop w:val="0"/>
      <w:marBottom w:val="0"/>
      <w:divBdr>
        <w:top w:val="none" w:sz="0" w:space="0" w:color="auto"/>
        <w:left w:val="none" w:sz="0" w:space="0" w:color="auto"/>
        <w:bottom w:val="none" w:sz="0" w:space="0" w:color="auto"/>
        <w:right w:val="none" w:sz="0" w:space="0" w:color="auto"/>
      </w:divBdr>
    </w:div>
    <w:div w:id="1292008975">
      <w:bodyDiv w:val="1"/>
      <w:marLeft w:val="0"/>
      <w:marRight w:val="0"/>
      <w:marTop w:val="0"/>
      <w:marBottom w:val="0"/>
      <w:divBdr>
        <w:top w:val="none" w:sz="0" w:space="0" w:color="auto"/>
        <w:left w:val="none" w:sz="0" w:space="0" w:color="auto"/>
        <w:bottom w:val="none" w:sz="0" w:space="0" w:color="auto"/>
        <w:right w:val="none" w:sz="0" w:space="0" w:color="auto"/>
      </w:divBdr>
    </w:div>
    <w:div w:id="1325619611">
      <w:bodyDiv w:val="1"/>
      <w:marLeft w:val="0"/>
      <w:marRight w:val="0"/>
      <w:marTop w:val="0"/>
      <w:marBottom w:val="0"/>
      <w:divBdr>
        <w:top w:val="none" w:sz="0" w:space="0" w:color="auto"/>
        <w:left w:val="none" w:sz="0" w:space="0" w:color="auto"/>
        <w:bottom w:val="none" w:sz="0" w:space="0" w:color="auto"/>
        <w:right w:val="none" w:sz="0" w:space="0" w:color="auto"/>
      </w:divBdr>
    </w:div>
    <w:div w:id="1403257360">
      <w:bodyDiv w:val="1"/>
      <w:marLeft w:val="0"/>
      <w:marRight w:val="0"/>
      <w:marTop w:val="0"/>
      <w:marBottom w:val="0"/>
      <w:divBdr>
        <w:top w:val="none" w:sz="0" w:space="0" w:color="auto"/>
        <w:left w:val="none" w:sz="0" w:space="0" w:color="auto"/>
        <w:bottom w:val="none" w:sz="0" w:space="0" w:color="auto"/>
        <w:right w:val="none" w:sz="0" w:space="0" w:color="auto"/>
      </w:divBdr>
    </w:div>
    <w:div w:id="1596085154">
      <w:bodyDiv w:val="1"/>
      <w:marLeft w:val="0"/>
      <w:marRight w:val="0"/>
      <w:marTop w:val="0"/>
      <w:marBottom w:val="0"/>
      <w:divBdr>
        <w:top w:val="none" w:sz="0" w:space="0" w:color="auto"/>
        <w:left w:val="none" w:sz="0" w:space="0" w:color="auto"/>
        <w:bottom w:val="none" w:sz="0" w:space="0" w:color="auto"/>
        <w:right w:val="none" w:sz="0" w:space="0" w:color="auto"/>
      </w:divBdr>
    </w:div>
    <w:div w:id="1624575301">
      <w:bodyDiv w:val="1"/>
      <w:marLeft w:val="0"/>
      <w:marRight w:val="0"/>
      <w:marTop w:val="0"/>
      <w:marBottom w:val="0"/>
      <w:divBdr>
        <w:top w:val="none" w:sz="0" w:space="0" w:color="auto"/>
        <w:left w:val="none" w:sz="0" w:space="0" w:color="auto"/>
        <w:bottom w:val="none" w:sz="0" w:space="0" w:color="auto"/>
        <w:right w:val="none" w:sz="0" w:space="0" w:color="auto"/>
      </w:divBdr>
    </w:div>
    <w:div w:id="1663392596">
      <w:bodyDiv w:val="1"/>
      <w:marLeft w:val="0"/>
      <w:marRight w:val="0"/>
      <w:marTop w:val="0"/>
      <w:marBottom w:val="0"/>
      <w:divBdr>
        <w:top w:val="none" w:sz="0" w:space="0" w:color="auto"/>
        <w:left w:val="none" w:sz="0" w:space="0" w:color="auto"/>
        <w:bottom w:val="none" w:sz="0" w:space="0" w:color="auto"/>
        <w:right w:val="none" w:sz="0" w:space="0" w:color="auto"/>
      </w:divBdr>
      <w:divsChild>
        <w:div w:id="321348567">
          <w:marLeft w:val="0"/>
          <w:marRight w:val="0"/>
          <w:marTop w:val="0"/>
          <w:marBottom w:val="0"/>
          <w:divBdr>
            <w:top w:val="none" w:sz="0" w:space="0" w:color="auto"/>
            <w:left w:val="none" w:sz="0" w:space="0" w:color="auto"/>
            <w:bottom w:val="none" w:sz="0" w:space="0" w:color="auto"/>
            <w:right w:val="none" w:sz="0" w:space="0" w:color="auto"/>
          </w:divBdr>
          <w:divsChild>
            <w:div w:id="65460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55682">
      <w:bodyDiv w:val="1"/>
      <w:marLeft w:val="0"/>
      <w:marRight w:val="0"/>
      <w:marTop w:val="0"/>
      <w:marBottom w:val="0"/>
      <w:divBdr>
        <w:top w:val="none" w:sz="0" w:space="0" w:color="auto"/>
        <w:left w:val="none" w:sz="0" w:space="0" w:color="auto"/>
        <w:bottom w:val="none" w:sz="0" w:space="0" w:color="auto"/>
        <w:right w:val="none" w:sz="0" w:space="0" w:color="auto"/>
      </w:divBdr>
    </w:div>
    <w:div w:id="1770541292">
      <w:bodyDiv w:val="1"/>
      <w:marLeft w:val="0"/>
      <w:marRight w:val="0"/>
      <w:marTop w:val="0"/>
      <w:marBottom w:val="0"/>
      <w:divBdr>
        <w:top w:val="none" w:sz="0" w:space="0" w:color="auto"/>
        <w:left w:val="none" w:sz="0" w:space="0" w:color="auto"/>
        <w:bottom w:val="none" w:sz="0" w:space="0" w:color="auto"/>
        <w:right w:val="none" w:sz="0" w:space="0" w:color="auto"/>
      </w:divBdr>
    </w:div>
    <w:div w:id="1826318654">
      <w:bodyDiv w:val="1"/>
      <w:marLeft w:val="0"/>
      <w:marRight w:val="0"/>
      <w:marTop w:val="0"/>
      <w:marBottom w:val="0"/>
      <w:divBdr>
        <w:top w:val="none" w:sz="0" w:space="0" w:color="auto"/>
        <w:left w:val="none" w:sz="0" w:space="0" w:color="auto"/>
        <w:bottom w:val="none" w:sz="0" w:space="0" w:color="auto"/>
        <w:right w:val="none" w:sz="0" w:space="0" w:color="auto"/>
      </w:divBdr>
    </w:div>
    <w:div w:id="1857697459">
      <w:bodyDiv w:val="1"/>
      <w:marLeft w:val="0"/>
      <w:marRight w:val="0"/>
      <w:marTop w:val="0"/>
      <w:marBottom w:val="0"/>
      <w:divBdr>
        <w:top w:val="none" w:sz="0" w:space="0" w:color="auto"/>
        <w:left w:val="none" w:sz="0" w:space="0" w:color="auto"/>
        <w:bottom w:val="none" w:sz="0" w:space="0" w:color="auto"/>
        <w:right w:val="none" w:sz="0" w:space="0" w:color="auto"/>
      </w:divBdr>
    </w:div>
    <w:div w:id="1892568023">
      <w:bodyDiv w:val="1"/>
      <w:marLeft w:val="0"/>
      <w:marRight w:val="0"/>
      <w:marTop w:val="0"/>
      <w:marBottom w:val="0"/>
      <w:divBdr>
        <w:top w:val="none" w:sz="0" w:space="0" w:color="auto"/>
        <w:left w:val="none" w:sz="0" w:space="0" w:color="auto"/>
        <w:bottom w:val="none" w:sz="0" w:space="0" w:color="auto"/>
        <w:right w:val="none" w:sz="0" w:space="0" w:color="auto"/>
      </w:divBdr>
    </w:div>
    <w:div w:id="19348204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image" Target="media/image2.emf"/><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footer" Target="footer6.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0 112 24575,'0'-112'0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77</Pages>
  <Words>24645</Words>
  <Characters>140480</Characters>
  <DocSecurity>0</DocSecurity>
  <Lines>1170</Lines>
  <Paragraphs>329</Paragraphs>
  <ScaleCrop>false</ScaleCrop>
  <Manager/>
  <Company/>
  <LinksUpToDate>false</LinksUpToDate>
  <CharactersWithSpaces>164796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ModifiedBy/>
  <dcterms:created xsi:type="dcterms:W3CDTF">2026-09-21T18:39:00Z</dcterms:created>
  <dcterms:modified xsi:type="dcterms:W3CDTF">2026-09-22T14:09:00Z</dcterms:modified>
  <cp:category/>
</cp:coreProperties>
</file>