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wp14="http://schemas.microsoft.com/office/word/2010/wordml" w14:paraId="108D061C" wp14:textId="77777777">
      <w:pPr>
        <w:spacing w:before="0" w:after="40"/>
        <w:jc w:val="center"/>
      </w:pPr>
      <w:r>
        <w:rPr>
          <w:rFonts w:ascii="Arial" w:hAnsi="Arial" w:eastAsia="Arial" w:cs="Arial"/>
          <w:b/>
          <w:bCs/>
          <w:color w:val="1B3A6B"/>
          <w:sz w:val="36"/>
          <w:szCs w:val="36"/>
        </w:rPr>
        <w:t xml:space="preserve">EMPLOYMENT TRIBUNAL</w:t>
      </w:r>
    </w:p>
    <w:p xmlns:wp14="http://schemas.microsoft.com/office/word/2010/wordml" w14:paraId="6BECDA9E" wp14:textId="77777777">
      <w:pPr>
        <w:spacing w:before="0" w:after="20"/>
        <w:jc w:val="center"/>
      </w:pPr>
      <w:r>
        <w:rPr>
          <w:rFonts w:ascii="Arial" w:hAnsi="Arial" w:eastAsia="Arial" w:cs="Arial"/>
          <w:b/>
          <w:bCs/>
          <w:color w:val="1B3A6B"/>
          <w:sz w:val="44"/>
          <w:szCs w:val="44"/>
        </w:rPr>
        <w:t xml:space="preserve">JUDGMENT</w:t>
      </w:r>
    </w:p>
    <w:p xmlns:wp14="http://schemas.microsoft.com/office/word/2010/wordml" w14:paraId="7D25E85D" wp14:textId="77777777">
      <w:pPr>
        <w:spacing w:before="0" w:after="80"/>
        <w:jc w:val="center"/>
      </w:pPr>
      <w:r w:rsidRPr="16B818AA" w:rsidR="16B818AA">
        <w:rPr>
          <w:rFonts w:ascii="Arial" w:hAnsi="Arial" w:eastAsia="Arial" w:cs="Arial"/>
          <w:color w:val="B8860B"/>
          <w:sz w:val="22"/>
          <w:szCs w:val="22"/>
          <w:lang w:val="en-US"/>
        </w:rPr>
        <w:t>Taylor v Meridian Logistics Ltd  |  ET/1234/2024</w:t>
      </w:r>
    </w:p>
    <w:p xmlns:wp14="http://schemas.microsoft.com/office/word/2010/wordml" w14:paraId="672A6659" wp14:textId="77777777">
      <w:pPr>
        <w:pBdr>
          <w:bottom w:val="single" w:color="1B3A6B" w:sz="6" w:space="1"/>
        </w:pBdr>
        <w:spacing w:before="120" w:after="120"/>
      </w:pPr>
    </w:p>
    <w:p xmlns:wp14="http://schemas.microsoft.com/office/word/2010/wordml" w14:paraId="0A37501D" wp14:textId="77777777">
      <w:pPr>
        <w:spacing w:before="80" w:after="0"/>
      </w:pP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rsidTr="16B818AA" w14:paraId="194CA98C" wp14:textId="77777777">
        <w:tc>
          <w:tcPr>
            <w:tcW w:w="2500" w:type="dxa"/>
            <w:tcBorders>
              <w:top w:val="single" w:color="D0D3D9" w:sz="1"/>
              <w:left w:val="single" w:color="D0D3D9" w:sz="1"/>
              <w:bottom w:val="single" w:color="D0D3D9" w:sz="1"/>
              <w:right w:val="single" w:color="D0D3D9" w:sz="1"/>
            </w:tcBorders>
            <w:shd w:val="clear" w:color="auto" w:fill="F2F4F7"/>
            <w:tcMar>
              <w:top w:w="80" w:type="dxa"/>
              <w:left w:w="120" w:type="dxa"/>
              <w:bottom w:w="80" w:type="dxa"/>
              <w:right w:w="120" w:type="dxa"/>
            </w:tcMar>
          </w:tcPr>
          <w:p w14:paraId="444C3E7A" wp14:textId="77777777">
            <w:r>
              <w:rPr>
                <w:rFonts w:ascii="Arial" w:hAnsi="Arial" w:eastAsia="Arial" w:cs="Arial"/>
                <w:b/>
                <w:bCs/>
                <w:color w:val="1B3A6B"/>
                <w:sz w:val="20"/>
                <w:szCs w:val="20"/>
              </w:rPr>
              <w:t xml:space="preserve">Claimant</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14:paraId="32B9CEAD" wp14:textId="77777777">
            <w:r w:rsidRPr="16B818AA" w:rsidR="16B818AA">
              <w:rPr>
                <w:rFonts w:ascii="Arial" w:hAnsi="Arial" w:eastAsia="Arial" w:cs="Arial"/>
                <w:sz w:val="20"/>
                <w:szCs w:val="20"/>
                <w:lang w:val="en-US"/>
              </w:rPr>
              <w:t>Mr Marcus Taylor</w:t>
            </w:r>
          </w:p>
        </w:tc>
      </w:tr>
    </w:tbl>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14:paraId="54F6E00D" wp14:textId="77777777">
        <w:tc>
          <w:tcPr>
            <w:tcW w:w="2500" w:type="dxa"/>
            <w:tcBorders>
              <w:top w:val="single" w:color="D0D3D9" w:sz="1"/>
              <w:left w:val="single" w:color="D0D3D9" w:sz="1"/>
              <w:bottom w:val="single" w:color="D0D3D9" w:sz="1"/>
              <w:right w:val="single" w:color="D0D3D9" w:sz="1"/>
            </w:tcBorders>
            <w:shd w:val="clear" w:fill="F2F4F7"/>
            <w:tcMar>
              <w:top w:w="80" w:type="dxa"/>
              <w:left w:w="120" w:type="dxa"/>
              <w:bottom w:w="80" w:type="dxa"/>
              <w:right w:w="120" w:type="dxa"/>
            </w:tcMar>
          </w:tcPr>
          <w:p w14:paraId="451F7B67" wp14:textId="77777777">
            <w:r>
              <w:rPr>
                <w:rFonts w:ascii="Arial" w:hAnsi="Arial" w:eastAsia="Arial" w:cs="Arial"/>
                <w:b/>
                <w:bCs/>
                <w:color w:val="1B3A6B"/>
                <w:sz w:val="20"/>
                <w:szCs w:val="20"/>
              </w:rPr>
              <w:t xml:space="preserve">Respondent</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14:paraId="5B7FB528" wp14:textId="77777777">
            <w:r>
              <w:rPr>
                <w:rFonts w:ascii="Arial" w:hAnsi="Arial" w:eastAsia="Arial" w:cs="Arial"/>
                <w:sz w:val="20"/>
                <w:szCs w:val="20"/>
              </w:rPr>
              <w:t xml:space="preserve">Meridian Logistics Ltd</w:t>
            </w:r>
          </w:p>
        </w:tc>
      </w:tr>
    </w:tbl>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14:paraId="3E6E2A8C" wp14:textId="77777777">
        <w:tc>
          <w:tcPr>
            <w:tcW w:w="2500" w:type="dxa"/>
            <w:tcBorders>
              <w:top w:val="single" w:color="D0D3D9" w:sz="1"/>
              <w:left w:val="single" w:color="D0D3D9" w:sz="1"/>
              <w:bottom w:val="single" w:color="D0D3D9" w:sz="1"/>
              <w:right w:val="single" w:color="D0D3D9" w:sz="1"/>
            </w:tcBorders>
            <w:shd w:val="clear" w:fill="F2F4F7"/>
            <w:tcMar>
              <w:top w:w="80" w:type="dxa"/>
              <w:left w:w="120" w:type="dxa"/>
              <w:bottom w:w="80" w:type="dxa"/>
              <w:right w:w="120" w:type="dxa"/>
            </w:tcMar>
          </w:tcPr>
          <w:p w14:paraId="49F2FD14" wp14:textId="77777777">
            <w:r>
              <w:rPr>
                <w:rFonts w:ascii="Arial" w:hAnsi="Arial" w:eastAsia="Arial" w:cs="Arial"/>
                <w:b/>
                <w:bCs/>
                <w:color w:val="1B3A6B"/>
                <w:sz w:val="20"/>
                <w:szCs w:val="20"/>
              </w:rPr>
              <w:t xml:space="preserve">Heard at</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14:paraId="7F55B33E" wp14:textId="77777777">
            <w:r>
              <w:rPr>
                <w:rFonts w:ascii="Arial" w:hAnsi="Arial" w:eastAsia="Arial" w:cs="Arial"/>
                <w:sz w:val="20"/>
                <w:szCs w:val="20"/>
              </w:rPr>
              <w:t xml:space="preserve">Cardiff Employment Tribunal</w:t>
            </w:r>
          </w:p>
        </w:tc>
      </w:tr>
    </w:tbl>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rsidTr="16B818AA" w14:paraId="0C689506" wp14:textId="77777777">
        <w:tc>
          <w:tcPr>
            <w:tcW w:w="2500" w:type="dxa"/>
            <w:tcBorders>
              <w:top w:val="single" w:color="D0D3D9" w:sz="1"/>
              <w:left w:val="single" w:color="D0D3D9" w:sz="1"/>
              <w:bottom w:val="single" w:color="D0D3D9" w:sz="1"/>
              <w:right w:val="single" w:color="D0D3D9" w:sz="1"/>
            </w:tcBorders>
            <w:shd w:val="clear" w:color="auto" w:fill="F2F4F7"/>
            <w:tcMar>
              <w:top w:w="80" w:type="dxa"/>
              <w:left w:w="120" w:type="dxa"/>
              <w:bottom w:w="80" w:type="dxa"/>
              <w:right w:w="120" w:type="dxa"/>
            </w:tcMar>
          </w:tcPr>
          <w:p w14:paraId="34731F2D" wp14:textId="77777777">
            <w:r>
              <w:rPr>
                <w:rFonts w:ascii="Arial" w:hAnsi="Arial" w:eastAsia="Arial" w:cs="Arial"/>
                <w:b/>
                <w:bCs/>
                <w:color w:val="1B3A6B"/>
                <w:sz w:val="20"/>
                <w:szCs w:val="20"/>
              </w:rPr>
              <w:t xml:space="preserve">Before</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14:paraId="074EE2AF" wp14:textId="77777777">
            <w:r w:rsidRPr="16B818AA" w:rsidR="16B818AA">
              <w:rPr>
                <w:rFonts w:ascii="Arial" w:hAnsi="Arial" w:eastAsia="Arial" w:cs="Arial"/>
                <w:sz w:val="20"/>
                <w:szCs w:val="20"/>
                <w:lang w:val="en-US"/>
              </w:rPr>
              <w:t>Employment Judge [Student Name]  and two Lay Members</w:t>
            </w:r>
          </w:p>
        </w:tc>
      </w:tr>
    </w:tbl>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rsidTr="16B818AA" w14:paraId="13F03F14" wp14:textId="77777777">
        <w:tc>
          <w:tcPr>
            <w:tcW w:w="2500" w:type="dxa"/>
            <w:tcBorders>
              <w:top w:val="single" w:color="D0D3D9" w:sz="1"/>
              <w:left w:val="single" w:color="D0D3D9" w:sz="1"/>
              <w:bottom w:val="single" w:color="D0D3D9" w:sz="1"/>
              <w:right w:val="single" w:color="D0D3D9" w:sz="1"/>
            </w:tcBorders>
            <w:shd w:val="clear" w:color="auto" w:fill="F2F4F7"/>
            <w:tcMar>
              <w:top w:w="80" w:type="dxa"/>
              <w:left w:w="120" w:type="dxa"/>
              <w:bottom w:w="80" w:type="dxa"/>
              <w:right w:w="120" w:type="dxa"/>
            </w:tcMar>
          </w:tcPr>
          <w:p w14:paraId="02CB8A04" wp14:textId="77777777">
            <w:r>
              <w:rPr>
                <w:rFonts w:ascii="Arial" w:hAnsi="Arial" w:eastAsia="Arial" w:cs="Arial"/>
                <w:b/>
                <w:bCs/>
                <w:color w:val="1B3A6B"/>
                <w:sz w:val="20"/>
                <w:szCs w:val="20"/>
              </w:rPr>
              <w:t xml:space="preserve">Date of Judgment</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rsidP="16B818AA" w14:paraId="15C3ACF3" wp14:textId="0DD00DBD">
            <w:pPr>
              <w:rPr>
                <w:rFonts w:ascii="Arial" w:hAnsi="Arial" w:eastAsia="Arial" w:cs="Arial"/>
                <w:sz w:val="20"/>
                <w:szCs w:val="20"/>
              </w:rPr>
            </w:pPr>
            <w:r w:rsidRPr="16B818AA" w:rsidR="1115F5D4">
              <w:rPr>
                <w:rFonts w:ascii="Arial" w:hAnsi="Arial" w:eastAsia="Arial" w:cs="Arial"/>
                <w:sz w:val="20"/>
                <w:szCs w:val="20"/>
              </w:rPr>
              <w:t>6th May 2026</w:t>
            </w:r>
          </w:p>
        </w:tc>
      </w:tr>
    </w:tbl>
    <w:p xmlns:wp14="http://schemas.microsoft.com/office/word/2010/wordml" w14:paraId="5DAB6C7B" wp14:textId="77777777">
      <w:pPr>
        <w:spacing w:before="120" w:after="0"/>
      </w:pPr>
    </w:p>
    <w:p xmlns:wp14="http://schemas.microsoft.com/office/word/2010/wordml" w14:paraId="02FB0D7F" wp14:textId="77777777">
      <w:pPr>
        <w:pStyle w:val="Heading1"/>
        <w:spacing w:before="240" w:after="120"/>
      </w:pPr>
      <w:r>
        <w:rPr>
          <w:rFonts w:ascii="Arial" w:hAnsi="Arial" w:eastAsia="Arial" w:cs="Arial"/>
          <w:b/>
          <w:bCs/>
          <w:color w:val="1B3A6B"/>
          <w:sz w:val="32"/>
          <w:szCs w:val="32"/>
        </w:rPr>
        <w:t xml:space="preserve">JUDGMENT</w:t>
      </w:r>
    </w:p>
    <w:p xmlns:wp14="http://schemas.microsoft.com/office/word/2010/wordml" w14:paraId="0CD50041" wp14:textId="77777777">
      <w:pPr>
        <w:spacing w:before="60" w:after="60"/>
        <w:jc w:val="left"/>
      </w:pPr>
      <w:r>
        <w:rPr>
          <w:rFonts w:ascii="Arial" w:hAnsi="Arial" w:eastAsia="Arial" w:cs="Arial"/>
          <w:b w:val="false"/>
          <w:bCs w:val="false"/>
          <w:i w:val="false"/>
          <w:iCs w:val="false"/>
          <w:color w:val="000000"/>
          <w:sz w:val="22"/>
          <w:szCs w:val="22"/>
        </w:rPr>
        <w:t xml:space="preserve">The Claimant's claim of unfair dismissal succeeds.</w:t>
      </w:r>
    </w:p>
    <w:p xmlns:wp14="http://schemas.microsoft.com/office/word/2010/wordml" w14:paraId="02EB378F" wp14:textId="77777777">
      <w:pPr>
        <w:spacing w:before="80" w:after="0"/>
      </w:pPr>
    </w:p>
    <w:p xmlns:wp14="http://schemas.microsoft.com/office/word/2010/wordml" w14:paraId="32AD308D" wp14:textId="77777777">
      <w:pPr>
        <w:pStyle w:val="Heading1"/>
        <w:spacing w:before="240" w:after="120"/>
      </w:pPr>
      <w:r>
        <w:rPr>
          <w:rFonts w:ascii="Arial" w:hAnsi="Arial" w:eastAsia="Arial" w:cs="Arial"/>
          <w:b/>
          <w:bCs/>
          <w:color w:val="1B3A6B"/>
          <w:sz w:val="32"/>
          <w:szCs w:val="32"/>
        </w:rPr>
        <w:t xml:space="preserve">REASONS</w:t>
      </w:r>
    </w:p>
    <w:p xmlns:wp14="http://schemas.microsoft.com/office/word/2010/wordml" w14:paraId="151DFA44" wp14:textId="77777777">
      <w:pPr>
        <w:pStyle w:val="Heading2"/>
        <w:spacing w:before="200" w:after="100"/>
      </w:pPr>
      <w:r>
        <w:rPr>
          <w:rFonts w:ascii="Arial" w:hAnsi="Arial" w:eastAsia="Arial" w:cs="Arial"/>
          <w:b/>
          <w:bCs/>
          <w:color w:val="1B3A6B"/>
          <w:sz w:val="26"/>
          <w:szCs w:val="26"/>
        </w:rPr>
        <w:t xml:space="preserve">1.  Background</w:t>
      </w:r>
    </w:p>
    <w:p xmlns:wp14="http://schemas.microsoft.com/office/word/2010/wordml" w14:paraId="6B4A17BC" wp14:textId="77777777">
      <w:pPr>
        <w:spacing w:before="60" w:after="60"/>
        <w:jc w:val="left"/>
      </w:pPr>
      <w:r w:rsidRPr="16B818AA" w:rsidR="16B818AA">
        <w:rPr>
          <w:rFonts w:ascii="Arial" w:hAnsi="Arial" w:eastAsia="Arial" w:cs="Arial"/>
          <w:b w:val="0"/>
          <w:bCs w:val="0"/>
          <w:i w:val="0"/>
          <w:iCs w:val="0"/>
          <w:color w:val="000000"/>
          <w:sz w:val="22"/>
          <w:szCs w:val="22"/>
          <w:lang w:val="en-US"/>
        </w:rPr>
        <w:t>The Claimant, Mr Marcus Taylor, was employed as a Senior Logistics Coordinator by the Respondent from 1 March 2017 until his summary dismissal on 14 September 2023 — a period of approximately six and a half years. He was dismissed following a complaint by a colleague, Priya Shah, that he had made aggressive and threatening comments during a heated exchange on 5 September 2023. The Claimant denies making any threatening remarks.</w:t>
      </w:r>
    </w:p>
    <w:p xmlns:wp14="http://schemas.microsoft.com/office/word/2010/wordml" w14:paraId="6A05A809" wp14:textId="77777777">
      <w:pPr>
        <w:spacing w:before="80" w:after="0"/>
      </w:pPr>
    </w:p>
    <w:p xmlns:wp14="http://schemas.microsoft.com/office/word/2010/wordml" w14:paraId="41B4ED9D" wp14:textId="77777777">
      <w:pPr>
        <w:pStyle w:val="Heading2"/>
        <w:spacing w:before="200" w:after="100"/>
      </w:pPr>
      <w:r>
        <w:rPr>
          <w:rFonts w:ascii="Arial" w:hAnsi="Arial" w:eastAsia="Arial" w:cs="Arial"/>
          <w:b/>
          <w:bCs/>
          <w:color w:val="1B3A6B"/>
          <w:sz w:val="26"/>
          <w:szCs w:val="26"/>
        </w:rPr>
        <w:t xml:space="preserve">2.  The Law</w:t>
      </w:r>
    </w:p>
    <w:p xmlns:wp14="http://schemas.microsoft.com/office/word/2010/wordml" w14:paraId="30FF09B7" wp14:textId="77777777">
      <w:pPr>
        <w:spacing w:before="60" w:after="60"/>
        <w:jc w:val="left"/>
      </w:pPr>
      <w:r w:rsidRPr="16B818AA" w:rsidR="16B818AA">
        <w:rPr>
          <w:rFonts w:ascii="Arial" w:hAnsi="Arial" w:eastAsia="Arial" w:cs="Arial"/>
          <w:b w:val="0"/>
          <w:bCs w:val="0"/>
          <w:i w:val="0"/>
          <w:iCs w:val="0"/>
          <w:color w:val="000000"/>
          <w:sz w:val="22"/>
          <w:szCs w:val="22"/>
          <w:lang w:val="en-US"/>
        </w:rPr>
        <w:t>Section 98(1) ERA 1996 provides that the employer must show a potentially fair reason for dismissal. Section 98(2)(b) identifies 'conduct' as a potentially fair reason. Section 98(4) requires the tribunal to determine whether the dismissal was fair or unfair in all the circumstances, having regard to whether the employer acted reasonably in treating that reason as sufficient.</w:t>
      </w:r>
    </w:p>
    <w:p xmlns:wp14="http://schemas.microsoft.com/office/word/2010/wordml" w14:paraId="5A39BBE3" wp14:textId="77777777">
      <w:pPr>
        <w:spacing w:before="60" w:after="0"/>
      </w:pPr>
    </w:p>
    <w:p xmlns:wp14="http://schemas.microsoft.com/office/word/2010/wordml" w14:paraId="6D9E6B96" wp14:textId="77777777">
      <w:pPr>
        <w:spacing w:before="60" w:after="60"/>
        <w:jc w:val="left"/>
      </w:pPr>
      <w:r w:rsidRPr="16B818AA" w:rsidR="16B818AA">
        <w:rPr>
          <w:rFonts w:ascii="Arial" w:hAnsi="Arial" w:eastAsia="Arial" w:cs="Arial"/>
          <w:b w:val="0"/>
          <w:bCs w:val="0"/>
          <w:i w:val="0"/>
          <w:iCs w:val="0"/>
          <w:color w:val="000000"/>
          <w:sz w:val="22"/>
          <w:szCs w:val="22"/>
          <w:lang w:val="en-US"/>
        </w:rPr>
        <w:t>The correct approach to conduct dismissals is set out in British Home Stores v Burchell [1978] EAT 200/78: the employer must show (i) genuine belief in the misconduct, (ii) reasonable grounds for that belief, and (iii) a reasonable investigation. The tribunal must further apply the band of reasonable responses test: Iceland Frozen Foods v Jones [1982] ICR 17.</w:t>
      </w:r>
    </w:p>
    <w:p xmlns:wp14="http://schemas.microsoft.com/office/word/2010/wordml" w14:paraId="41C8F396" wp14:textId="77777777">
      <w:pPr>
        <w:spacing w:before="60" w:after="0"/>
      </w:pPr>
    </w:p>
    <w:p xmlns:wp14="http://schemas.microsoft.com/office/word/2010/wordml" w14:paraId="68B34084" wp14:textId="77777777">
      <w:pPr>
        <w:spacing w:before="60" w:after="60"/>
        <w:jc w:val="left"/>
      </w:pPr>
      <w:r w:rsidRPr="16B818AA" w:rsidR="16B818AA">
        <w:rPr>
          <w:rFonts w:ascii="Arial" w:hAnsi="Arial" w:eastAsia="Arial" w:cs="Arial"/>
          <w:b w:val="0"/>
          <w:bCs w:val="0"/>
          <w:i w:val="0"/>
          <w:iCs w:val="0"/>
          <w:color w:val="000000"/>
          <w:sz w:val="22"/>
          <w:szCs w:val="22"/>
          <w:lang w:val="en-US"/>
        </w:rPr>
        <w:t>The ACAS Code of Practice on Disciplinary and Grievance Procedures (2015) provides guidance on procedural standards. Failure to follow the Code does not itself render a dismissal unfair, but the tribunal must take it into account. Where there has been an unreasonable failure to follow the Code, the tribunal may uplift compensation by up to 25% pursuant to s.207A TULRCA 1992.</w:t>
      </w:r>
    </w:p>
    <w:p xmlns:wp14="http://schemas.microsoft.com/office/word/2010/wordml" w14:paraId="72A3D3EC" wp14:textId="77777777">
      <w:pPr>
        <w:spacing w:before="80" w:after="0"/>
      </w:pPr>
    </w:p>
    <w:p xmlns:wp14="http://schemas.microsoft.com/office/word/2010/wordml" w14:paraId="52AFAC91" wp14:textId="77777777">
      <w:pPr>
        <w:pStyle w:val="Heading2"/>
        <w:spacing w:before="200" w:after="100"/>
      </w:pPr>
      <w:r>
        <w:rPr>
          <w:rFonts w:ascii="Arial" w:hAnsi="Arial" w:eastAsia="Arial" w:cs="Arial"/>
          <w:b/>
          <w:bCs/>
          <w:color w:val="1B3A6B"/>
          <w:sz w:val="26"/>
          <w:szCs w:val="26"/>
        </w:rPr>
        <w:t xml:space="preserve">3.  Reason for Dismissal</w:t>
      </w:r>
    </w:p>
    <w:p xmlns:wp14="http://schemas.microsoft.com/office/word/2010/wordml" w14:paraId="715A16F0" wp14:textId="77777777">
      <w:pPr>
        <w:spacing w:before="60" w:after="60"/>
        <w:jc w:val="left"/>
      </w:pPr>
      <w:r w:rsidRPr="16B818AA" w:rsidR="16B818AA">
        <w:rPr>
          <w:rFonts w:ascii="Arial" w:hAnsi="Arial" w:eastAsia="Arial" w:cs="Arial"/>
          <w:b w:val="0"/>
          <w:bCs w:val="0"/>
          <w:i w:val="0"/>
          <w:iCs w:val="0"/>
          <w:color w:val="000000"/>
          <w:sz w:val="22"/>
          <w:szCs w:val="22"/>
          <w:lang w:val="en-US"/>
        </w:rPr>
        <w:t>We are satisfied that the Respondent had a potentially fair reason for dismissal — namely, the Claimant's conduct. The complaint was serious, corroborated by a witness, and engaged the Respondent's disciplinary procedure. This element of the test is readily satisfied.</w:t>
      </w:r>
    </w:p>
    <w:p xmlns:wp14="http://schemas.microsoft.com/office/word/2010/wordml" w14:paraId="0D0B940D" wp14:textId="77777777">
      <w:pPr>
        <w:spacing w:before="80" w:after="0"/>
      </w:pPr>
    </w:p>
    <w:p xmlns:wp14="http://schemas.microsoft.com/office/word/2010/wordml" w14:paraId="506B1BCC" wp14:textId="77777777">
      <w:pPr>
        <w:pStyle w:val="Heading2"/>
        <w:spacing w:before="200" w:after="100"/>
      </w:pPr>
      <w:r>
        <w:rPr>
          <w:rFonts w:ascii="Arial" w:hAnsi="Arial" w:eastAsia="Arial" w:cs="Arial"/>
          <w:b/>
          <w:bCs/>
          <w:color w:val="1B3A6B"/>
          <w:sz w:val="26"/>
          <w:szCs w:val="26"/>
        </w:rPr>
        <w:t xml:space="preserve">4.  Reasonableness — The Investigation</w:t>
      </w:r>
    </w:p>
    <w:p xmlns:wp14="http://schemas.microsoft.com/office/word/2010/wordml" w14:paraId="34F6E0A7" wp14:textId="77777777">
      <w:pPr>
        <w:spacing w:before="60" w:after="60"/>
        <w:jc w:val="left"/>
      </w:pPr>
      <w:r w:rsidRPr="16B818AA" w:rsidR="16B818AA">
        <w:rPr>
          <w:rFonts w:ascii="Arial" w:hAnsi="Arial" w:eastAsia="Arial" w:cs="Arial"/>
          <w:b w:val="0"/>
          <w:bCs w:val="0"/>
          <w:i w:val="0"/>
          <w:iCs w:val="0"/>
          <w:color w:val="000000"/>
          <w:sz w:val="22"/>
          <w:szCs w:val="22"/>
          <w:lang w:val="en-US"/>
        </w:rPr>
        <w:t>We have greater concerns about the investigation. Daniel Osei, the investigating manager, was the same person who authorised the shift rescheduling that formed the backdrop to the Claimant's complaint. The Claimant's grievance was, in substance, a criticism of a management decision for which Mr Osei bore responsibility.</w:t>
      </w:r>
    </w:p>
    <w:p xmlns:wp14="http://schemas.microsoft.com/office/word/2010/wordml" w14:paraId="0E27B00A" wp14:textId="77777777">
      <w:pPr>
        <w:spacing w:before="60" w:after="0"/>
      </w:pPr>
    </w:p>
    <w:p xmlns:wp14="http://schemas.microsoft.com/office/word/2010/wordml" w14:paraId="7BC97657" wp14:textId="77777777">
      <w:pPr>
        <w:spacing w:before="60" w:after="60"/>
        <w:jc w:val="left"/>
      </w:pPr>
      <w:r w:rsidRPr="16B818AA" w:rsidR="16B818AA">
        <w:rPr>
          <w:rFonts w:ascii="Arial" w:hAnsi="Arial" w:eastAsia="Arial" w:cs="Arial"/>
          <w:b w:val="0"/>
          <w:bCs w:val="0"/>
          <w:i w:val="0"/>
          <w:iCs w:val="0"/>
          <w:color w:val="000000"/>
          <w:sz w:val="22"/>
          <w:szCs w:val="22"/>
          <w:lang w:val="en-US"/>
        </w:rPr>
        <w:t>We accept that Meridian's policy does not expressly prohibit this, and that there may have been operational reasons for appointing Mr Osei. However, the appearance of impartiality is important to the fairness of any disciplinary process. A reasonable employer should have recognised the conflict and appointed an independent investigator. This was a procedural failure.</w:t>
      </w:r>
    </w:p>
    <w:p xmlns:wp14="http://schemas.microsoft.com/office/word/2010/wordml" w14:paraId="60061E4C" wp14:textId="77777777">
      <w:pPr>
        <w:spacing w:before="80" w:after="0"/>
      </w:pPr>
    </w:p>
    <w:p xmlns:wp14="http://schemas.microsoft.com/office/word/2010/wordml" w14:paraId="2C51CE5F" wp14:textId="77777777">
      <w:pPr>
        <w:pStyle w:val="Heading2"/>
        <w:spacing w:before="200" w:after="100"/>
      </w:pPr>
      <w:r>
        <w:rPr>
          <w:rFonts w:ascii="Arial" w:hAnsi="Arial" w:eastAsia="Arial" w:cs="Arial"/>
          <w:b/>
          <w:bCs/>
          <w:color w:val="1B3A6B"/>
          <w:sz w:val="26"/>
          <w:szCs w:val="26"/>
        </w:rPr>
        <w:t xml:space="preserve">5.  Reasonableness — Disclosure of Evidence</w:t>
      </w:r>
    </w:p>
    <w:p xmlns:wp14="http://schemas.microsoft.com/office/word/2010/wordml" w14:paraId="2E29DB84" wp14:textId="77777777">
      <w:pPr>
        <w:spacing w:before="60" w:after="60"/>
        <w:jc w:val="left"/>
      </w:pPr>
      <w:r w:rsidRPr="16B818AA" w:rsidR="16B818AA">
        <w:rPr>
          <w:rFonts w:ascii="Arial" w:hAnsi="Arial" w:eastAsia="Arial" w:cs="Arial"/>
          <w:b w:val="0"/>
          <w:bCs w:val="0"/>
          <w:i w:val="0"/>
          <w:iCs w:val="0"/>
          <w:color w:val="000000"/>
          <w:sz w:val="22"/>
          <w:szCs w:val="22"/>
          <w:lang w:val="en-US"/>
        </w:rPr>
        <w:t>The Claimant was not provided with Priya Shah's original witness statement prior to the disciplinary hearing. He received only a summary in the investigation report. On the morning of the hearing, he was handed the full statement with no time to consider it.</w:t>
      </w:r>
    </w:p>
    <w:p xmlns:wp14="http://schemas.microsoft.com/office/word/2010/wordml" w14:paraId="44EAFD9C" wp14:textId="77777777">
      <w:pPr>
        <w:spacing w:before="60" w:after="0"/>
      </w:pPr>
    </w:p>
    <w:p xmlns:wp14="http://schemas.microsoft.com/office/word/2010/wordml" w14:paraId="2E6DDA69" wp14:textId="77777777">
      <w:pPr>
        <w:spacing w:before="60" w:after="60"/>
        <w:jc w:val="left"/>
      </w:pPr>
      <w:r w:rsidRPr="16B818AA" w:rsidR="16B818AA">
        <w:rPr>
          <w:rFonts w:ascii="Arial" w:hAnsi="Arial" w:eastAsia="Arial" w:cs="Arial"/>
          <w:b w:val="0"/>
          <w:bCs w:val="0"/>
          <w:i w:val="0"/>
          <w:iCs w:val="0"/>
          <w:color w:val="000000"/>
          <w:sz w:val="22"/>
          <w:szCs w:val="22"/>
          <w:lang w:val="en-US"/>
        </w:rPr>
        <w:t>This was a significant procedural failing. The ability to consider and respond to evidence is fundamental to a fair hearing. The Respondent's own disciplinary policy required that copies of evidence to be relied upon be provided with the invitation to the hearing. The Respondent failed to follow its own procedure.</w:t>
      </w:r>
    </w:p>
    <w:p xmlns:wp14="http://schemas.microsoft.com/office/word/2010/wordml" w14:paraId="4B94D5A5" wp14:textId="77777777">
      <w:pPr>
        <w:spacing w:before="80" w:after="0"/>
      </w:pPr>
    </w:p>
    <w:p xmlns:wp14="http://schemas.microsoft.com/office/word/2010/wordml" w14:paraId="19698129" wp14:textId="77777777">
      <w:pPr>
        <w:pStyle w:val="Heading2"/>
        <w:spacing w:before="200" w:after="100"/>
      </w:pPr>
      <w:r>
        <w:rPr>
          <w:rFonts w:ascii="Arial" w:hAnsi="Arial" w:eastAsia="Arial" w:cs="Arial"/>
          <w:b/>
          <w:bCs/>
          <w:color w:val="1B3A6B"/>
          <w:sz w:val="26"/>
          <w:szCs w:val="26"/>
        </w:rPr>
        <w:t xml:space="preserve">6.  Reasonableness — The Sanction</w:t>
      </w:r>
    </w:p>
    <w:p xmlns:wp14="http://schemas.microsoft.com/office/word/2010/wordml" w14:paraId="72D78B1B" wp14:textId="77777777">
      <w:pPr>
        <w:spacing w:before="60" w:after="60"/>
        <w:jc w:val="left"/>
      </w:pPr>
      <w:r w:rsidRPr="16B818AA" w:rsidR="16B818AA">
        <w:rPr>
          <w:rFonts w:ascii="Arial" w:hAnsi="Arial" w:eastAsia="Arial" w:cs="Arial"/>
          <w:b w:val="0"/>
          <w:bCs w:val="0"/>
          <w:i w:val="0"/>
          <w:iCs w:val="0"/>
          <w:color w:val="000000"/>
          <w:sz w:val="22"/>
          <w:szCs w:val="22"/>
          <w:lang w:val="en-US"/>
        </w:rPr>
        <w:t>Applying the band of reasonable responses, we conclude that the decision to dismiss was not unreasonable per se — the conduct, if proved, was serious and the Claimant had a live written warning. We acknowledge that a reasonable employer could have reached the same conclusion as the Respondent. However, the procedural failings identified above are not minor. They go to the fairness of the process as a whole.</w:t>
      </w:r>
    </w:p>
    <w:p xmlns:wp14="http://schemas.microsoft.com/office/word/2010/wordml" w14:paraId="3DEEC669" wp14:textId="77777777">
      <w:pPr>
        <w:spacing w:before="80" w:after="0"/>
      </w:pPr>
    </w:p>
    <w:p xmlns:wp14="http://schemas.microsoft.com/office/word/2010/wordml" w14:paraId="70F0A9AF" wp14:textId="77777777">
      <w:pPr>
        <w:pStyle w:val="Heading2"/>
        <w:spacing w:before="200" w:after="100"/>
      </w:pPr>
      <w:r>
        <w:rPr>
          <w:rFonts w:ascii="Arial" w:hAnsi="Arial" w:eastAsia="Arial" w:cs="Arial"/>
          <w:b/>
          <w:bCs/>
          <w:color w:val="1B3A6B"/>
          <w:sz w:val="26"/>
          <w:szCs w:val="26"/>
        </w:rPr>
        <w:t xml:space="preserve">7.  Overall Conclusion</w:t>
      </w:r>
    </w:p>
    <w:p xmlns:wp14="http://schemas.microsoft.com/office/word/2010/wordml" w14:paraId="2176CA29" wp14:textId="77777777">
      <w:pPr>
        <w:spacing w:before="60" w:after="60"/>
        <w:jc w:val="left"/>
      </w:pPr>
      <w:r w:rsidRPr="16B818AA" w:rsidR="16B818AA">
        <w:rPr>
          <w:rFonts w:ascii="Arial" w:hAnsi="Arial" w:eastAsia="Arial" w:cs="Arial"/>
          <w:b w:val="0"/>
          <w:bCs w:val="0"/>
          <w:i w:val="0"/>
          <w:iCs w:val="0"/>
          <w:color w:val="000000"/>
          <w:sz w:val="22"/>
          <w:szCs w:val="22"/>
          <w:lang w:val="en-US"/>
        </w:rPr>
        <w:t>The cumulative procedural failings — the conflicted investigator, the failure to provide accompaniment at the investigation stage (contrary to the ACAS Code's guidance), and the failure to disclose key evidence in advance — rendered this dismissal procedurally unfair. We are not satisfied that these are trivial irregularities. The dismissal was therefore unfair under s.98(4) ERA 1996.</w:t>
      </w:r>
    </w:p>
    <w:p xmlns:wp14="http://schemas.microsoft.com/office/word/2010/wordml" w14:paraId="3656B9AB" wp14:textId="77777777">
      <w:pPr>
        <w:spacing w:before="80" w:after="0"/>
      </w:pPr>
    </w:p>
    <w:p xmlns:wp14="http://schemas.microsoft.com/office/word/2010/wordml" w14:paraId="37153CCE" wp14:textId="77777777">
      <w:pPr>
        <w:pStyle w:val="Heading2"/>
        <w:spacing w:before="200" w:after="100"/>
      </w:pPr>
      <w:r>
        <w:rPr>
          <w:rFonts w:ascii="Arial" w:hAnsi="Arial" w:eastAsia="Arial" w:cs="Arial"/>
          <w:b/>
          <w:bCs/>
          <w:color w:val="1B3A6B"/>
          <w:sz w:val="26"/>
          <w:szCs w:val="26"/>
        </w:rPr>
        <w:t xml:space="preserve">8.  Remedy</w:t>
      </w:r>
    </w:p>
    <w:p xmlns:wp14="http://schemas.microsoft.com/office/word/2010/wordml" w14:paraId="7756B9D2" wp14:textId="77777777">
      <w:pPr>
        <w:spacing w:before="160" w:after="80"/>
      </w:pPr>
      <w:r w:rsidRPr="16B818AA" w:rsidR="16B818AA">
        <w:rPr>
          <w:rFonts w:ascii="Arial" w:hAnsi="Arial" w:eastAsia="Arial" w:cs="Arial"/>
          <w:b w:val="1"/>
          <w:bCs w:val="1"/>
          <w:color w:val="B8860B"/>
          <w:sz w:val="22"/>
          <w:szCs w:val="22"/>
          <w:lang w:val="en-US"/>
        </w:rPr>
        <w:t>8.1  Reinstatement / Re-engagement</w:t>
      </w:r>
    </w:p>
    <w:p xmlns:wp14="http://schemas.microsoft.com/office/word/2010/wordml" w14:paraId="5F4AEB59" wp14:textId="77777777">
      <w:pPr>
        <w:spacing w:before="60" w:after="60"/>
        <w:jc w:val="left"/>
      </w:pPr>
      <w:r w:rsidRPr="16B818AA" w:rsidR="16B818AA">
        <w:rPr>
          <w:rFonts w:ascii="Arial" w:hAnsi="Arial" w:eastAsia="Arial" w:cs="Arial"/>
          <w:b w:val="0"/>
          <w:bCs w:val="0"/>
          <w:i w:val="0"/>
          <w:iCs w:val="0"/>
          <w:color w:val="000000"/>
          <w:sz w:val="22"/>
          <w:szCs w:val="22"/>
          <w:lang w:val="en-US"/>
        </w:rPr>
        <w:t>The Claimant does not seek reinstatement, given the breakdown in trust on both sides. We therefore consider compensation.</w:t>
      </w:r>
    </w:p>
    <w:p xmlns:wp14="http://schemas.microsoft.com/office/word/2010/wordml" w14:paraId="45FB0818" wp14:textId="77777777">
      <w:pPr>
        <w:spacing w:before="60" w:after="0"/>
      </w:pPr>
    </w:p>
    <w:p xmlns:wp14="http://schemas.microsoft.com/office/word/2010/wordml" w14:paraId="15F68346" wp14:textId="77777777">
      <w:pPr>
        <w:spacing w:before="160" w:after="80"/>
      </w:pPr>
      <w:r w:rsidRPr="16B818AA" w:rsidR="16B818AA">
        <w:rPr>
          <w:rFonts w:ascii="Arial" w:hAnsi="Arial" w:eastAsia="Arial" w:cs="Arial"/>
          <w:b w:val="1"/>
          <w:bCs w:val="1"/>
          <w:color w:val="B8860B"/>
          <w:sz w:val="22"/>
          <w:szCs w:val="22"/>
          <w:lang w:val="en-US"/>
        </w:rPr>
        <w:t>8.2  Basic Award</w:t>
      </w:r>
    </w:p>
    <w:p xmlns:wp14="http://schemas.microsoft.com/office/word/2010/wordml" w14:paraId="0F2352C9" wp14:textId="77777777">
      <w:pPr>
        <w:spacing w:before="60" w:after="60"/>
        <w:jc w:val="left"/>
      </w:pPr>
      <w:r w:rsidRPr="16B818AA" w:rsidR="16B818AA">
        <w:rPr>
          <w:rFonts w:ascii="Arial" w:hAnsi="Arial" w:eastAsia="Arial" w:cs="Arial"/>
          <w:b w:val="0"/>
          <w:bCs w:val="0"/>
          <w:i w:val="0"/>
          <w:iCs w:val="0"/>
          <w:color w:val="000000"/>
          <w:sz w:val="22"/>
          <w:szCs w:val="22"/>
          <w:lang w:val="en-US"/>
        </w:rPr>
        <w:t>Calculated as follows: 6.5 years' service x 1.5 weeks (age 38, over 22) x gross weekly pay. Students: insert figure based on a weekly wage of £550. Basic award = 6.5 x 1.5 x £550 = £5,362.50</w:t>
      </w:r>
    </w:p>
    <w:p xmlns:wp14="http://schemas.microsoft.com/office/word/2010/wordml" w14:paraId="049F31CB" wp14:textId="77777777">
      <w:pPr>
        <w:spacing w:before="60" w:after="0"/>
      </w:pPr>
    </w:p>
    <w:p xmlns:wp14="http://schemas.microsoft.com/office/word/2010/wordml" w14:paraId="561CF7A1" wp14:textId="77777777">
      <w:pPr>
        <w:spacing w:before="160" w:after="80"/>
      </w:pPr>
      <w:r w:rsidRPr="16B818AA" w:rsidR="16B818AA">
        <w:rPr>
          <w:rFonts w:ascii="Arial" w:hAnsi="Arial" w:eastAsia="Arial" w:cs="Arial"/>
          <w:b w:val="1"/>
          <w:bCs w:val="1"/>
          <w:color w:val="B8860B"/>
          <w:sz w:val="22"/>
          <w:szCs w:val="22"/>
          <w:lang w:val="en-US"/>
        </w:rPr>
        <w:t>8.3  Compensatory Award</w:t>
      </w:r>
    </w:p>
    <w:p xmlns:wp14="http://schemas.microsoft.com/office/word/2010/wordml" w14:paraId="01120D28" wp14:textId="55427E4F">
      <w:pPr>
        <w:spacing w:before="60" w:after="60"/>
        <w:jc w:val="left"/>
      </w:pPr>
      <w:r w:rsidRPr="16B818AA" w:rsidR="16B818AA">
        <w:rPr>
          <w:rFonts w:ascii="Arial" w:hAnsi="Arial" w:eastAsia="Arial" w:cs="Arial"/>
          <w:b w:val="0"/>
          <w:bCs w:val="0"/>
          <w:i w:val="0"/>
          <w:iCs w:val="0"/>
          <w:color w:val="000000"/>
          <w:sz w:val="22"/>
          <w:szCs w:val="22"/>
          <w:lang w:val="en-US"/>
        </w:rPr>
        <w:t>We award 6 months' pay by way of compensatory award (estimated future loss, taking into account reasonable steps to mitigate), subject to the statutory cap.</w:t>
      </w:r>
    </w:p>
    <w:p xmlns:wp14="http://schemas.microsoft.com/office/word/2010/wordml" w14:paraId="53128261" wp14:textId="77777777">
      <w:pPr>
        <w:spacing w:before="60" w:after="0"/>
      </w:pPr>
    </w:p>
    <w:p xmlns:wp14="http://schemas.microsoft.com/office/word/2010/wordml" w14:paraId="0C219B8A" wp14:textId="77777777">
      <w:pPr>
        <w:spacing w:before="160" w:after="80"/>
      </w:pPr>
      <w:r w:rsidRPr="16B818AA" w:rsidR="16B818AA">
        <w:rPr>
          <w:rFonts w:ascii="Arial" w:hAnsi="Arial" w:eastAsia="Arial" w:cs="Arial"/>
          <w:b w:val="1"/>
          <w:bCs w:val="1"/>
          <w:color w:val="B8860B"/>
          <w:sz w:val="22"/>
          <w:szCs w:val="22"/>
          <w:lang w:val="en-US"/>
        </w:rPr>
        <w:t>8.4  Polkey Reduction</w:t>
      </w:r>
    </w:p>
    <w:p xmlns:wp14="http://schemas.microsoft.com/office/word/2010/wordml" w14:paraId="705AB2F8" wp14:textId="77777777">
      <w:pPr>
        <w:spacing w:before="60" w:after="60"/>
        <w:jc w:val="left"/>
      </w:pPr>
      <w:r w:rsidRPr="16B818AA" w:rsidR="16B818AA">
        <w:rPr>
          <w:rFonts w:ascii="Arial" w:hAnsi="Arial" w:eastAsia="Arial" w:cs="Arial"/>
          <w:b w:val="0"/>
          <w:bCs w:val="0"/>
          <w:i w:val="0"/>
          <w:iCs w:val="0"/>
          <w:color w:val="000000"/>
          <w:sz w:val="22"/>
          <w:szCs w:val="22"/>
          <w:lang w:val="en-US"/>
        </w:rPr>
        <w:t>We apply a 25% Polkey reduction. The evidence satisfies us that, had a fair procedure been followed, there was a significant chance the Claimant would still have been dismissed given the corroborating witness evidence and his existing warning. The compensatory award is reduced accordingly.</w:t>
      </w:r>
    </w:p>
    <w:p xmlns:wp14="http://schemas.microsoft.com/office/word/2010/wordml" w14:paraId="62486C05" wp14:textId="77777777">
      <w:pPr>
        <w:spacing w:before="60" w:after="0"/>
      </w:pPr>
    </w:p>
    <w:p xmlns:wp14="http://schemas.microsoft.com/office/word/2010/wordml" w14:paraId="699D843A" wp14:textId="77777777">
      <w:pPr>
        <w:spacing w:before="160" w:after="80"/>
      </w:pPr>
      <w:r w:rsidRPr="16B818AA" w:rsidR="16B818AA">
        <w:rPr>
          <w:rFonts w:ascii="Arial" w:hAnsi="Arial" w:eastAsia="Arial" w:cs="Arial"/>
          <w:b w:val="1"/>
          <w:bCs w:val="1"/>
          <w:color w:val="B8860B"/>
          <w:sz w:val="22"/>
          <w:szCs w:val="22"/>
          <w:lang w:val="en-US"/>
        </w:rPr>
        <w:t>8.5  Contributory Fault</w:t>
      </w:r>
    </w:p>
    <w:p xmlns:wp14="http://schemas.microsoft.com/office/word/2010/wordml" w14:paraId="3555127A" wp14:textId="77777777">
      <w:pPr>
        <w:spacing w:before="60" w:after="60"/>
        <w:jc w:val="left"/>
      </w:pPr>
      <w:r>
        <w:rPr>
          <w:rFonts w:ascii="Arial" w:hAnsi="Arial" w:eastAsia="Arial" w:cs="Arial"/>
          <w:b w:val="false"/>
          <w:bCs w:val="false"/>
          <w:i w:val="false"/>
          <w:iCs w:val="false"/>
          <w:color w:val="000000"/>
          <w:sz w:val="22"/>
          <w:szCs w:val="22"/>
        </w:rPr>
        <w:t xml:space="preserve">We reduce the compensatory award by a further 15% for contributory fault. The Claimant's conduct in approaching Priya Shah in an agitated and loud manner contributed to the situation, even if it did not amount to gross misconduct.</w:t>
      </w:r>
    </w:p>
    <w:p xmlns:wp14="http://schemas.microsoft.com/office/word/2010/wordml" w14:paraId="4101652C" wp14:textId="77777777">
      <w:pPr>
        <w:spacing w:before="60" w:after="0"/>
      </w:pPr>
    </w:p>
    <w:p xmlns:wp14="http://schemas.microsoft.com/office/word/2010/wordml" w14:paraId="117E9778" wp14:textId="77777777">
      <w:pPr>
        <w:spacing w:before="160" w:after="80"/>
      </w:pPr>
      <w:r w:rsidRPr="16B818AA" w:rsidR="16B818AA">
        <w:rPr>
          <w:rFonts w:ascii="Arial" w:hAnsi="Arial" w:eastAsia="Arial" w:cs="Arial"/>
          <w:b w:val="1"/>
          <w:bCs w:val="1"/>
          <w:color w:val="B8860B"/>
          <w:sz w:val="22"/>
          <w:szCs w:val="22"/>
          <w:lang w:val="en-US"/>
        </w:rPr>
        <w:t>8.6  ACAS Code Uplift</w:t>
      </w:r>
    </w:p>
    <w:p xmlns:wp14="http://schemas.microsoft.com/office/word/2010/wordml" w14:paraId="39FA91A4" wp14:textId="77777777">
      <w:pPr>
        <w:spacing w:before="60" w:after="60"/>
        <w:jc w:val="left"/>
      </w:pPr>
      <w:r w:rsidRPr="16B818AA" w:rsidR="16B818AA">
        <w:rPr>
          <w:rFonts w:ascii="Arial" w:hAnsi="Arial" w:eastAsia="Arial" w:cs="Arial"/>
          <w:b w:val="0"/>
          <w:bCs w:val="0"/>
          <w:i w:val="0"/>
          <w:iCs w:val="0"/>
          <w:color w:val="000000"/>
          <w:sz w:val="22"/>
          <w:szCs w:val="22"/>
          <w:lang w:val="en-US"/>
        </w:rPr>
        <w:t>We award a 20% uplift to both the basic and compensatory awards pursuant to s.207A TULRCA 1992, in light of the Respondent's unreasonable failure to follow the ACAS Code in relation to disclosure of evidence and accompaniment guidance.</w:t>
      </w:r>
    </w:p>
    <w:p w:rsidR="16B818AA" w:rsidP="16B818AA" w:rsidRDefault="16B818AA" w14:paraId="57E170FE" w14:textId="73998F15">
      <w:pPr>
        <w:spacing w:before="60" w:after="60"/>
        <w:jc w:val="left"/>
        <w:rPr>
          <w:rFonts w:ascii="Arial" w:hAnsi="Arial" w:eastAsia="Arial" w:cs="Arial"/>
          <w:b w:val="0"/>
          <w:bCs w:val="0"/>
          <w:i w:val="0"/>
          <w:iCs w:val="0"/>
          <w:color w:val="000000"/>
          <w:sz w:val="22"/>
          <w:szCs w:val="22"/>
          <w:lang w:val="en-US"/>
        </w:rPr>
      </w:pPr>
    </w:p>
    <w:p w:rsidR="16B818AA" w:rsidP="16B818AA" w:rsidRDefault="16B818AA" w14:paraId="49238483" w14:textId="04ED32B4">
      <w:pPr>
        <w:spacing w:before="60" w:after="60"/>
        <w:jc w:val="left"/>
        <w:rPr>
          <w:rFonts w:ascii="Arial" w:hAnsi="Arial" w:eastAsia="Arial" w:cs="Arial"/>
          <w:b w:val="0"/>
          <w:bCs w:val="0"/>
          <w:i w:val="0"/>
          <w:iCs w:val="0"/>
          <w:color w:val="000000"/>
          <w:sz w:val="22"/>
          <w:szCs w:val="22"/>
          <w:lang w:val="en-US"/>
        </w:rPr>
      </w:pPr>
    </w:p>
    <w:p w:rsidR="16B818AA" w:rsidP="16B818AA" w:rsidRDefault="16B818AA" w14:paraId="6A54EA0C" w14:textId="67C0BA78">
      <w:pPr>
        <w:spacing w:before="60" w:after="60"/>
        <w:jc w:val="left"/>
        <w:rPr>
          <w:rFonts w:ascii="Arial" w:hAnsi="Arial" w:eastAsia="Arial" w:cs="Arial"/>
          <w:b w:val="0"/>
          <w:bCs w:val="0"/>
          <w:i w:val="0"/>
          <w:iCs w:val="0"/>
          <w:color w:val="000000"/>
          <w:sz w:val="22"/>
          <w:szCs w:val="22"/>
          <w:lang w:val="en-US"/>
        </w:rPr>
      </w:pPr>
    </w:p>
    <w:p w:rsidR="16B818AA" w:rsidP="16B818AA" w:rsidRDefault="16B818AA" w14:paraId="205BB652" w14:textId="7EFA4065">
      <w:pPr>
        <w:spacing w:before="60" w:after="60"/>
        <w:jc w:val="left"/>
        <w:rPr>
          <w:rFonts w:ascii="Arial" w:hAnsi="Arial" w:eastAsia="Arial" w:cs="Arial"/>
          <w:b w:val="0"/>
          <w:bCs w:val="0"/>
          <w:i w:val="0"/>
          <w:iCs w:val="0"/>
          <w:color w:val="000000"/>
          <w:sz w:val="22"/>
          <w:szCs w:val="22"/>
          <w:lang w:val="en-US"/>
        </w:rPr>
      </w:pPr>
    </w:p>
    <w:p w:rsidR="16B818AA" w:rsidP="16B818AA" w:rsidRDefault="16B818AA" w14:paraId="1FCB72CA" w14:textId="698603E3">
      <w:pPr>
        <w:spacing w:before="60" w:after="60"/>
        <w:jc w:val="left"/>
        <w:rPr>
          <w:rFonts w:ascii="Arial" w:hAnsi="Arial" w:eastAsia="Arial" w:cs="Arial"/>
          <w:b w:val="0"/>
          <w:bCs w:val="0"/>
          <w:i w:val="0"/>
          <w:iCs w:val="0"/>
          <w:color w:val="000000"/>
          <w:sz w:val="22"/>
          <w:szCs w:val="22"/>
          <w:lang w:val="en-US"/>
        </w:rPr>
      </w:pPr>
    </w:p>
    <w:p w:rsidR="16B818AA" w:rsidP="16B818AA" w:rsidRDefault="16B818AA" w14:paraId="55C76297" w14:textId="25534C3A">
      <w:pPr>
        <w:spacing w:before="60" w:after="60"/>
        <w:jc w:val="left"/>
        <w:rPr>
          <w:rFonts w:ascii="Arial" w:hAnsi="Arial" w:eastAsia="Arial" w:cs="Arial"/>
          <w:b w:val="0"/>
          <w:bCs w:val="0"/>
          <w:i w:val="0"/>
          <w:iCs w:val="0"/>
          <w:color w:val="000000"/>
          <w:sz w:val="22"/>
          <w:szCs w:val="22"/>
          <w:lang w:val="en-US"/>
        </w:rPr>
      </w:pPr>
    </w:p>
    <w:p w:rsidR="16B818AA" w:rsidP="16B818AA" w:rsidRDefault="16B818AA" w14:paraId="3616DAEC" w14:textId="62E7A508">
      <w:pPr>
        <w:spacing w:before="60" w:after="60"/>
        <w:jc w:val="left"/>
        <w:rPr>
          <w:rFonts w:ascii="Arial" w:hAnsi="Arial" w:eastAsia="Arial" w:cs="Arial"/>
          <w:b w:val="0"/>
          <w:bCs w:val="0"/>
          <w:i w:val="0"/>
          <w:iCs w:val="0"/>
          <w:color w:val="000000"/>
          <w:sz w:val="22"/>
          <w:szCs w:val="22"/>
          <w:lang w:val="en-US"/>
        </w:rPr>
      </w:pPr>
    </w:p>
    <w:p w:rsidR="16B818AA" w:rsidP="16B818AA" w:rsidRDefault="16B818AA" w14:paraId="01B43E3C" w14:textId="68FA6A58">
      <w:pPr>
        <w:spacing w:before="60" w:after="60"/>
        <w:jc w:val="left"/>
        <w:rPr>
          <w:rFonts w:ascii="Arial" w:hAnsi="Arial" w:eastAsia="Arial" w:cs="Arial"/>
          <w:b w:val="0"/>
          <w:bCs w:val="0"/>
          <w:i w:val="0"/>
          <w:iCs w:val="0"/>
          <w:color w:val="000000"/>
          <w:sz w:val="22"/>
          <w:szCs w:val="22"/>
          <w:lang w:val="en-US"/>
        </w:rPr>
      </w:pPr>
    </w:p>
    <w:p xmlns:wp14="http://schemas.microsoft.com/office/word/2010/wordml" w14:paraId="4B99056E" wp14:textId="77777777">
      <w:pPr>
        <w:spacing w:before="80" w:after="0"/>
      </w:pPr>
    </w:p>
    <w:p xmlns:wp14="http://schemas.microsoft.com/office/word/2010/wordml" w14:paraId="2F380BC8" wp14:textId="77777777">
      <w:pPr>
        <w:pStyle w:val="Heading2"/>
        <w:spacing w:before="200" w:after="100"/>
      </w:pPr>
      <w:r>
        <w:rPr>
          <w:rFonts w:ascii="Arial" w:hAnsi="Arial" w:eastAsia="Arial" w:cs="Arial"/>
          <w:b/>
          <w:bCs/>
          <w:color w:val="1B3A6B"/>
          <w:sz w:val="26"/>
          <w:szCs w:val="26"/>
        </w:rPr>
        <w:t xml:space="preserve">9.  Debrief Notes — What Were the Key Decision Points?</w:t>
      </w: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9026"/>
      </w:tblGrid>
      <w:tr xmlns:wp14="http://schemas.microsoft.com/office/word/2010/wordml" w:rsidTr="16B818AA" w14:paraId="4C3782F7" wp14:textId="77777777">
        <w:tc>
          <w:tcPr>
            <w:tcW w:w="9026" w:type="dxa"/>
            <w:tcBorders>
              <w:top w:val="single" w:color="1B3A6B" w:sz="4"/>
              <w:left w:val="single" w:color="1B3A6B" w:sz="4"/>
              <w:bottom w:val="single" w:color="D0D3D9" w:sz="1"/>
              <w:right w:val="single" w:color="D0D3D9" w:sz="1"/>
            </w:tcBorders>
            <w:shd w:val="clear" w:color="auto" w:fill="E8F0F8"/>
            <w:tcMar>
              <w:top w:w="120" w:type="dxa"/>
              <w:left w:w="160" w:type="dxa"/>
              <w:bottom w:w="120" w:type="dxa"/>
              <w:right w:w="160" w:type="dxa"/>
            </w:tcMar>
          </w:tcPr>
          <w:p w14:paraId="7B53BE10" wp14:textId="77777777">
            <w:pPr>
              <w:spacing w:before="80" w:after="80"/>
            </w:pPr>
            <w:r>
              <w:rPr>
                <w:rFonts w:ascii="Arial" w:hAnsi="Arial" w:eastAsia="Arial" w:cs="Arial"/>
                <w:b/>
                <w:bCs/>
                <w:color w:val="1B3A6B"/>
                <w:sz w:val="22"/>
                <w:szCs w:val="22"/>
              </w:rPr>
              <w:t xml:space="preserve">Discussion Points for Facilitator</w:t>
            </w:r>
          </w:p>
          <w:p w14:paraId="7ACEF585" wp14:textId="77777777">
            <w:pPr>
              <w:spacing w:before="40" w:after="40"/>
            </w:pPr>
            <w:r>
              <w:rPr>
                <w:rFonts w:ascii="Arial" w:hAnsi="Arial" w:eastAsia="Arial" w:cs="Arial"/>
                <w:sz w:val="21"/>
                <w:szCs w:val="21"/>
              </w:rPr>
              <w:t xml:space="preserve">• The dismissal was UNFAIR — but the outcome was genuinely contestable, which is the point</w:t>
            </w:r>
          </w:p>
          <w:p w14:paraId="68EE1F70" wp14:textId="77777777">
            <w:pPr>
              <w:spacing w:before="40" w:after="40"/>
            </w:pPr>
            <w:r w:rsidRPr="16B818AA" w:rsidR="16B818AA">
              <w:rPr>
                <w:rFonts w:ascii="Arial" w:hAnsi="Arial" w:eastAsia="Arial" w:cs="Arial"/>
                <w:sz w:val="21"/>
                <w:szCs w:val="21"/>
                <w:lang w:val="en-US"/>
              </w:rPr>
              <w:t>• The conflicted investigator is the strongest ground — probe whether students identified this</w:t>
            </w:r>
          </w:p>
          <w:p w14:paraId="496B3DEF" wp14:textId="77777777">
            <w:pPr>
              <w:spacing w:before="40" w:after="40"/>
            </w:pPr>
            <w:r w:rsidRPr="16B818AA" w:rsidR="16B818AA">
              <w:rPr>
                <w:rFonts w:ascii="Arial" w:hAnsi="Arial" w:eastAsia="Arial" w:cs="Arial"/>
                <w:sz w:val="21"/>
                <w:szCs w:val="21"/>
                <w:lang w:val="en-US"/>
              </w:rPr>
              <w:t>• The failure to disclose Priya Shah's statement is the clearest breach of Meridian's own policy</w:t>
            </w:r>
          </w:p>
          <w:p w14:paraId="7FE7B89B" wp14:textId="77777777">
            <w:pPr>
              <w:spacing w:before="40" w:after="40"/>
            </w:pPr>
            <w:r>
              <w:rPr>
                <w:rFonts w:ascii="Arial" w:hAnsi="Arial" w:eastAsia="Arial" w:cs="Arial"/>
                <w:sz w:val="21"/>
                <w:szCs w:val="21"/>
              </w:rPr>
              <w:t xml:space="preserve">• The 25% Polkey reduction reflects that a fair process might still have led to dismissal</w:t>
            </w:r>
          </w:p>
          <w:p w14:paraId="6CFB6CE7" wp14:textId="77777777">
            <w:pPr>
              <w:spacing w:before="40" w:after="40"/>
            </w:pPr>
            <w:r>
              <w:rPr>
                <w:rFonts w:ascii="Arial" w:hAnsi="Arial" w:eastAsia="Arial" w:cs="Arial"/>
                <w:sz w:val="21"/>
                <w:szCs w:val="21"/>
              </w:rPr>
              <w:t xml:space="preserve">• The 20% ACAS uplift reflects unreasonable but not egregious non-compliance</w:t>
            </w:r>
          </w:p>
          <w:p w14:paraId="24DAD82B" wp14:textId="77777777">
            <w:pPr>
              <w:spacing w:before="40" w:after="40"/>
            </w:pPr>
            <w:r>
              <w:rPr>
                <w:rFonts w:ascii="Arial" w:hAnsi="Arial" w:eastAsia="Arial" w:cs="Arial"/>
                <w:sz w:val="21"/>
                <w:szCs w:val="21"/>
              </w:rPr>
              <w:t xml:space="preserve">• Was anyone in Meridian's HR function in a position to prevent this? When did they lose control of the process?</w:t>
            </w:r>
          </w:p>
        </w:tc>
      </w:tr>
    </w:tbl>
    <w:sectPr>
      <w:headerReference w:type="default" r:id="rId7"/>
      <w:footerReference w:type="default" r:id="rId8"/>
      <w:pgSz w:w="11906" w:h="16838" w:orient="portrait"/>
      <w:pgMar w:top="1134" w:right="1134" w:bottom="1134" w:left="1134" w:header="708" w:footer="708" w:gutter="0"/>
      <w:pgNumType/>
      <w:docGrid w:linePitch="360"/>
      <w:cols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xmlns:wp14="http://schemas.microsoft.com/office/word/2010/wordml" w14:paraId="1FC39945" wp14:textId="77777777">
    <w:pPr>
      <w:pBdr>
        <w:top w:val="single" w:color="D0D3D9" w:sz="2" w:space="1"/>
      </w:pBdr>
      <w:spacing w:before="60" w:after="60"/>
    </w:pPr>
  </w:p>
  <w:p xmlns:wp14="http://schemas.microsoft.com/office/word/2010/wordml" w14:paraId="0FD2B6DA" wp14:textId="77777777">
    <w:pPr>
      <w:jc w:val="center"/>
    </w:pPr>
    <w:r>
      <w:rPr>
        <w:rFonts w:ascii="Arial" w:hAnsi="Arial" w:eastAsia="Arial" w:cs="Arial"/>
        <w:color w:val="D0D3D9"/>
        <w:sz w:val="18"/>
        <w:szCs w:val="18"/>
      </w:rPr>
      <w:t xml:space="preserve">Page </w:t>
    </w:r>
    <w:r>
      <w:rPr>
        <w:rFonts w:ascii="Arial" w:hAnsi="Arial" w:eastAsia="Arial" w:cs="Arial"/>
        <w:color w:val="D0D3D9"/>
        <w:sz w:val="18"/>
        <w:szCs w:val="18"/>
      </w:rPr>
      <w:fldChar w:fldCharType="begin"/>
    </w:r>
    <w:r>
      <w:rPr>
        <w:rFonts w:ascii="Arial" w:hAnsi="Arial" w:eastAsia="Arial" w:cs="Arial"/>
        <w:color w:val="D0D3D9"/>
        <w:sz w:val="18"/>
        <w:szCs w:val="18"/>
      </w:rPr>
      <w:instrText xml:space="preserve">PAGE</w:instrText>
    </w:r>
    <w:r>
      <w:rPr>
        <w:rFonts w:ascii="Arial" w:hAnsi="Arial" w:eastAsia="Arial" w:cs="Arial"/>
        <w:color w:val="D0D3D9"/>
        <w:sz w:val="18"/>
        <w:szCs w:val="18"/>
      </w:rPr>
      <w:fldChar w:fldCharType="separate"/>
    </w:r>
    <w:r>
      <w:rPr>
        <w:rFonts w:ascii="Arial" w:hAnsi="Arial" w:eastAsia="Arial" w:cs="Arial"/>
        <w:color w:val="D0D3D9"/>
        <w:sz w:val="18"/>
        <w:szCs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6026"/>
      <w:gridCol w:w="3000"/>
    </w:tblGrid>
    <w:tr xmlns:wp14="http://schemas.microsoft.com/office/word/2010/wordml" w14:paraId="2E8F3BCF" wp14:textId="77777777">
      <w:tc>
        <w:tcPr>
          <w:tcW w:w="6026" w:type="dxa"/>
          <w:tcBorders>
            <w:top w:val="none" w:color="FFFFFF" w:sz="0"/>
            <w:left w:val="none" w:color="FFFFFF" w:sz="0"/>
            <w:bottom w:val="none" w:color="FFFFFF" w:sz="0"/>
            <w:right w:val="none" w:color="FFFFFF" w:sz="0"/>
          </w:tcBorders>
          <w:tcMar>
            <w:top w:w="60" w:type="dxa"/>
            <w:left w:w="0" w:type="dxa"/>
            <w:bottom w:w="60" w:type="dxa"/>
            <w:right w:w="120" w:type="dxa"/>
          </w:tcMar>
          <w:vAlign w:val="center"/>
        </w:tcPr>
        <w:p w14:paraId="4AC8776F" wp14:textId="77777777">
          <w:r>
            <w:rPr>
              <w:rFonts w:ascii="Arial" w:hAnsi="Arial" w:eastAsia="Arial" w:cs="Arial"/>
              <w:b/>
              <w:bCs/>
              <w:color w:val="1B3A6B"/>
              <w:sz w:val="18"/>
              <w:szCs w:val="18"/>
            </w:rPr>
            <w:t xml:space="preserve">MOCK EMPLOYMENT TRIBUNAL</w:t>
          </w:r>
        </w:p>
      </w:tc>
      <w:tc>
        <w:tcPr>
          <w:tcW w:w="3000" w:type="dxa"/>
          <w:tcBorders>
            <w:top w:val="none" w:color="FFFFFF" w:sz="0"/>
            <w:left w:val="none" w:color="FFFFFF" w:sz="0"/>
            <w:bottom w:val="none" w:color="FFFFFF" w:sz="0"/>
            <w:right w:val="none" w:color="FFFFFF" w:sz="0"/>
          </w:tcBorders>
          <w:tcMar>
            <w:top w:w="60" w:type="dxa"/>
            <w:left w:w="120" w:type="dxa"/>
            <w:bottom w:w="60" w:type="dxa"/>
            <w:right w:w="0" w:type="dxa"/>
          </w:tcMar>
          <w:vAlign w:val="center"/>
        </w:tcPr>
        <w:p w14:paraId="189F1738" wp14:textId="77777777">
          <w:pPr>
            <w:jc w:val="right"/>
          </w:pPr>
          <w:r>
            <w:rPr>
              <w:rFonts w:ascii="Arial" w:hAnsi="Arial" w:eastAsia="Arial" w:cs="Arial"/>
              <w:color w:val="D0D3D9"/>
              <w:sz w:val="18"/>
              <w:szCs w:val="18"/>
            </w:rPr>
            <w:t xml:space="preserve">FACILITATOR — REVEAL AT DEBRIEF</w:t>
          </w:r>
        </w:p>
      </w:tc>
    </w:tr>
  </w:tbl>
  <w:p xmlns:wp14="http://schemas.microsoft.com/office/word/2010/wordml" w14:paraId="0FB78278" wp14:textId="77777777">
    <w:pPr>
      <w:pBdr>
        <w:bottom w:val="single" w:color="1B3A6B" w:sz="4" w:space="1"/>
      </w:pBdr>
      <w:spacing w:before="60" w:after="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35dde5fb"/>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abstractNum w:abstractNumId="4" w15:restartNumberingAfterBreak="0">
    <w:multiLevelType w:val="hybridMultilevel"/>
    <w:lvl w:ilvl="0" w15:tentative="1">
      <w:start w:val="1"/>
      <w:numFmt w:val="lowerLetter"/>
      <w:lvlText w:val="%1)"/>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name="compatibilityMode" w:uri="http://schemas.microsoft.com/office/word"/>
  </w:compat>
  <w14:docId w14:val="07F0C921"/>
  <w15:docId w15:val="{F6DF574C-F026-4F94-9E5F-697C2625C5C5}"/>
  <w:rsids>
    <w:rsidRoot w:val="1115F5D4"/>
    <w:rsid w:val="1115F5D4"/>
    <w:rsid w:val="16B818AA"/>
    <w:rsid w:val="3B21E17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0"/>
    <w:basedOn w:val="Normal"/>
    <w:next w:val="Normal"/>
    <w:qFormat/>
    <w:pPr>
      <w:spacing w:before="240" w:after="120"/>
      <w:outlineLvl w:val="0"/>
    </w:pPr>
    <w:rPr>
      <w:rFonts w:ascii="Arial" w:hAnsi="Arial" w:eastAsia="Arial" w:cs="Arial"/>
      <w:b/>
      <w:bCs/>
      <w:color w:val="1B3A6B"/>
      <w:sz w:val="32"/>
      <w:szCs w:val="32"/>
    </w:rPr>
  </w:style>
  <w:style w:type="paragraph" w:styleId="Heading2">
    <w:name w:val="heading 20"/>
    <w:basedOn w:val="Normal"/>
    <w:next w:val="Normal"/>
    <w:qFormat/>
    <w:pPr>
      <w:spacing w:before="200" w:after="100"/>
      <w:outlineLvl w:val="1"/>
    </w:pPr>
    <w:rPr>
      <w:rFonts w:ascii="Arial" w:hAnsi="Arial" w:eastAsia="Arial" w:cs="Arial"/>
      <w:b/>
      <w:bCs/>
      <w:color w:val="1B3A6B"/>
      <w:sz w:val="26"/>
      <w:szCs w:val="26"/>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header" Target="header1.xml" Id="rId7" /><Relationship Type="http://schemas.openxmlformats.org/officeDocument/2006/relationships/footer" Target="footer1.xml" Id="rId8" /><Relationship Type="http://schemas.openxmlformats.org/officeDocument/2006/relationships/fontTable" Target="fontTable.xml" Id="rId9" /></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Rebecca Francis-Davies</lastModifiedBy>
  <revision>2</revision>
  <dcterms:created xsi:type="dcterms:W3CDTF">2026-05-05T12:44:38.6600000Z</dcterms:created>
  <dcterms:modified xsi:type="dcterms:W3CDTF">2026-05-05T14:00:31.6479689Z</dcterms:modified>
</coreProperties>
</file>

<file path=docProps/custom.xml><?xml version="1.0" encoding="utf-8"?>
<Properties xmlns="http://schemas.openxmlformats.org/officeDocument/2006/custom-properties" xmlns:vt="http://schemas.openxmlformats.org/officeDocument/2006/docPropsVTypes"/>
</file>