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FCAAB" w14:textId="77777777" w:rsid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752B6B88" w14:textId="77777777" w:rsid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60503C9B" w14:textId="39E6DF28" w:rsidR="00FD7A5F" w:rsidRPr="003F0F06" w:rsidRDefault="00933F58" w:rsidP="003F0F06">
      <w:pPr>
        <w:rPr>
          <w:rFonts w:ascii="Arial" w:hAnsi="Arial" w:cs="Arial"/>
          <w:sz w:val="32"/>
          <w:szCs w:val="32"/>
        </w:rPr>
      </w:pPr>
      <w:r w:rsidRPr="003F0F06">
        <w:rPr>
          <w:rFonts w:ascii="Arial" w:hAnsi="Arial" w:cs="Arial"/>
          <w:sz w:val="32"/>
          <w:szCs w:val="32"/>
        </w:rPr>
        <w:t>Name:  Salma Zaidi</w:t>
      </w:r>
    </w:p>
    <w:p w14:paraId="2BC0F24F" w14:textId="77777777" w:rsidR="003F0F06" w:rsidRP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3359F37C" w14:textId="329A2D92" w:rsidR="00933F58" w:rsidRPr="003F0F06" w:rsidRDefault="00933F58" w:rsidP="003F0F06">
      <w:pPr>
        <w:rPr>
          <w:rFonts w:ascii="Arial" w:hAnsi="Arial" w:cs="Arial"/>
          <w:sz w:val="32"/>
          <w:szCs w:val="32"/>
        </w:rPr>
      </w:pPr>
      <w:r w:rsidRPr="003F0F06">
        <w:rPr>
          <w:rFonts w:ascii="Arial" w:hAnsi="Arial" w:cs="Arial"/>
          <w:sz w:val="32"/>
          <w:szCs w:val="32"/>
        </w:rPr>
        <w:t xml:space="preserve">Student </w:t>
      </w:r>
      <w:r w:rsidR="003F0F06" w:rsidRPr="003F0F06">
        <w:rPr>
          <w:rFonts w:ascii="Arial" w:hAnsi="Arial" w:cs="Arial"/>
          <w:sz w:val="32"/>
          <w:szCs w:val="32"/>
        </w:rPr>
        <w:t>N</w:t>
      </w:r>
      <w:r w:rsidRPr="003F0F06">
        <w:rPr>
          <w:rFonts w:ascii="Arial" w:hAnsi="Arial" w:cs="Arial"/>
          <w:sz w:val="32"/>
          <w:szCs w:val="32"/>
        </w:rPr>
        <w:t>umber:</w:t>
      </w:r>
      <w:r w:rsidR="003F0F06">
        <w:rPr>
          <w:rFonts w:ascii="Arial" w:hAnsi="Arial" w:cs="Arial"/>
          <w:sz w:val="32"/>
          <w:szCs w:val="32"/>
        </w:rPr>
        <w:t xml:space="preserve"> 2310093</w:t>
      </w:r>
    </w:p>
    <w:p w14:paraId="77FFB633" w14:textId="77777777" w:rsidR="003F0F06" w:rsidRP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5342FA75" w14:textId="5647D048" w:rsidR="00933F58" w:rsidRPr="003F0F06" w:rsidRDefault="00933F58" w:rsidP="003F0F06">
      <w:pPr>
        <w:rPr>
          <w:rFonts w:ascii="Arial" w:hAnsi="Arial" w:cs="Arial"/>
          <w:sz w:val="32"/>
          <w:szCs w:val="32"/>
        </w:rPr>
      </w:pPr>
      <w:r w:rsidRPr="003F0F06">
        <w:rPr>
          <w:rFonts w:ascii="Arial" w:hAnsi="Arial" w:cs="Arial"/>
          <w:sz w:val="32"/>
          <w:szCs w:val="32"/>
        </w:rPr>
        <w:t>Module: Empowering The Older Person</w:t>
      </w:r>
    </w:p>
    <w:p w14:paraId="4B13697A" w14:textId="77777777" w:rsidR="003F0F06" w:rsidRP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1720A301" w14:textId="60D7756E" w:rsidR="00933F58" w:rsidRPr="003F0F06" w:rsidRDefault="00933F58" w:rsidP="003F0F06">
      <w:pPr>
        <w:rPr>
          <w:rFonts w:ascii="Arial" w:hAnsi="Arial" w:cs="Arial"/>
          <w:sz w:val="32"/>
          <w:szCs w:val="32"/>
        </w:rPr>
      </w:pPr>
      <w:r w:rsidRPr="003F0F06">
        <w:rPr>
          <w:rFonts w:ascii="Arial" w:hAnsi="Arial" w:cs="Arial"/>
          <w:sz w:val="32"/>
          <w:szCs w:val="32"/>
        </w:rPr>
        <w:t>Module Code: BMHP6027</w:t>
      </w:r>
    </w:p>
    <w:p w14:paraId="31D1E5D6" w14:textId="77777777" w:rsidR="003F0F06" w:rsidRP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6272368E" w14:textId="4050604F" w:rsidR="00933F58" w:rsidRPr="003F0F06" w:rsidRDefault="00933F58" w:rsidP="003F0F06">
      <w:pPr>
        <w:rPr>
          <w:rFonts w:ascii="Arial" w:hAnsi="Arial" w:cs="Arial"/>
          <w:sz w:val="32"/>
          <w:szCs w:val="32"/>
        </w:rPr>
      </w:pPr>
      <w:r w:rsidRPr="003F0F06">
        <w:rPr>
          <w:rFonts w:ascii="Arial" w:hAnsi="Arial" w:cs="Arial"/>
          <w:sz w:val="32"/>
          <w:szCs w:val="32"/>
        </w:rPr>
        <w:t xml:space="preserve">Assignment </w:t>
      </w:r>
      <w:r w:rsidR="003F0F06" w:rsidRPr="003F0F06">
        <w:rPr>
          <w:rFonts w:ascii="Arial" w:hAnsi="Arial" w:cs="Arial"/>
          <w:sz w:val="32"/>
          <w:szCs w:val="32"/>
        </w:rPr>
        <w:t>T</w:t>
      </w:r>
      <w:r w:rsidRPr="003F0F06">
        <w:rPr>
          <w:rFonts w:ascii="Arial" w:hAnsi="Arial" w:cs="Arial"/>
          <w:sz w:val="32"/>
          <w:szCs w:val="32"/>
        </w:rPr>
        <w:t>itle: Component 2: Debate/Discussion</w:t>
      </w:r>
    </w:p>
    <w:p w14:paraId="118550B6" w14:textId="77777777" w:rsidR="003F0F06" w:rsidRP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797A16DF" w14:textId="2C338FCE" w:rsidR="00933F58" w:rsidRDefault="00933F58" w:rsidP="003F0F06">
      <w:pPr>
        <w:rPr>
          <w:rFonts w:ascii="Arial" w:hAnsi="Arial" w:cs="Arial"/>
          <w:sz w:val="32"/>
          <w:szCs w:val="32"/>
        </w:rPr>
      </w:pPr>
      <w:r w:rsidRPr="003F0F06">
        <w:rPr>
          <w:rFonts w:ascii="Arial" w:hAnsi="Arial" w:cs="Arial"/>
          <w:sz w:val="32"/>
          <w:szCs w:val="32"/>
        </w:rPr>
        <w:t>Lecturer: Rizwan Nadim</w:t>
      </w:r>
    </w:p>
    <w:p w14:paraId="5725988A" w14:textId="77777777" w:rsidR="003F0F06" w:rsidRDefault="003F0F06" w:rsidP="003F0F06">
      <w:pPr>
        <w:rPr>
          <w:rFonts w:ascii="Arial" w:hAnsi="Arial" w:cs="Arial"/>
          <w:sz w:val="32"/>
          <w:szCs w:val="32"/>
        </w:rPr>
      </w:pPr>
    </w:p>
    <w:p w14:paraId="057FCCA2" w14:textId="376E9671" w:rsidR="003F0F06" w:rsidRPr="003F0F06" w:rsidRDefault="003F0F06" w:rsidP="003F0F06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3F0F06">
        <w:rPr>
          <w:rFonts w:ascii="Arial" w:hAnsi="Arial" w:cs="Arial"/>
          <w:b/>
          <w:bCs/>
          <w:i/>
          <w:iCs/>
          <w:sz w:val="32"/>
          <w:szCs w:val="32"/>
        </w:rPr>
        <w:t>Which setting better promotes empowerment in older adults: Domiciliary Care or Residential Care?</w:t>
      </w:r>
    </w:p>
    <w:p w14:paraId="3224A18A" w14:textId="77777777" w:rsidR="00933F58" w:rsidRPr="003F0F06" w:rsidRDefault="00933F58" w:rsidP="003F0F06">
      <w:pPr>
        <w:jc w:val="center"/>
        <w:rPr>
          <w:i/>
          <w:iCs/>
          <w:sz w:val="32"/>
          <w:szCs w:val="32"/>
        </w:rPr>
      </w:pPr>
    </w:p>
    <w:p w14:paraId="74AB686F" w14:textId="77777777" w:rsidR="00933F58" w:rsidRPr="003F0F06" w:rsidRDefault="00933F58">
      <w:pPr>
        <w:rPr>
          <w:sz w:val="32"/>
          <w:szCs w:val="32"/>
        </w:rPr>
      </w:pPr>
    </w:p>
    <w:p w14:paraId="1802FD97" w14:textId="77777777" w:rsidR="00933F58" w:rsidRPr="003F0F06" w:rsidRDefault="00933F58">
      <w:pPr>
        <w:rPr>
          <w:sz w:val="32"/>
          <w:szCs w:val="32"/>
        </w:rPr>
      </w:pPr>
    </w:p>
    <w:p w14:paraId="37D03F34" w14:textId="77777777" w:rsidR="00933F58" w:rsidRPr="003F0F06" w:rsidRDefault="00933F58">
      <w:pPr>
        <w:rPr>
          <w:sz w:val="32"/>
          <w:szCs w:val="32"/>
        </w:rPr>
      </w:pPr>
    </w:p>
    <w:p w14:paraId="1438A048" w14:textId="77777777" w:rsidR="00933F58" w:rsidRPr="003F0F06" w:rsidRDefault="00933F58">
      <w:pPr>
        <w:rPr>
          <w:sz w:val="32"/>
          <w:szCs w:val="32"/>
        </w:rPr>
      </w:pPr>
    </w:p>
    <w:p w14:paraId="1E30FDF3" w14:textId="77777777" w:rsidR="00933F58" w:rsidRDefault="00933F58">
      <w:pPr>
        <w:rPr>
          <w:sz w:val="32"/>
          <w:szCs w:val="32"/>
        </w:rPr>
      </w:pPr>
    </w:p>
    <w:p w14:paraId="1F95FBA9" w14:textId="77777777" w:rsidR="003F0F06" w:rsidRDefault="003F0F06"/>
    <w:p w14:paraId="6B15AEAF" w14:textId="77777777" w:rsidR="00933F58" w:rsidRDefault="00933F58"/>
    <w:p w14:paraId="3150A325" w14:textId="77777777" w:rsidR="00933F58" w:rsidRDefault="00933F58"/>
    <w:p w14:paraId="05A2936A" w14:textId="77777777" w:rsidR="00933F58" w:rsidRDefault="00933F58"/>
    <w:p w14:paraId="53F8D48B" w14:textId="252E33C1" w:rsidR="00933F58" w:rsidRDefault="00933F58" w:rsidP="003F0F0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F0F06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04C009E2" w14:textId="77777777" w:rsidR="003F0F06" w:rsidRPr="003F0F06" w:rsidRDefault="003F0F06" w:rsidP="003F0F0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AC93B30" w14:textId="345BAE19" w:rsidR="00933F58" w:rsidRPr="003F0F06" w:rsidRDefault="00933F58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Atchley, R. (1989) ‘A continuity theory of normal ageing’, </w:t>
      </w:r>
      <w:r w:rsidRPr="003F0F06">
        <w:rPr>
          <w:rFonts w:ascii="Arial" w:hAnsi="Arial" w:cs="Arial"/>
          <w:i/>
          <w:iCs/>
        </w:rPr>
        <w:t>The Gerontologist</w:t>
      </w:r>
      <w:r w:rsidRPr="003F0F06">
        <w:rPr>
          <w:rFonts w:ascii="Arial" w:hAnsi="Arial" w:cs="Arial"/>
        </w:rPr>
        <w:t>, 29(2), pp. 183-190.</w:t>
      </w:r>
    </w:p>
    <w:p w14:paraId="0133C833" w14:textId="5A275FAA" w:rsidR="00933F58" w:rsidRPr="003F0F06" w:rsidRDefault="00933F58" w:rsidP="00933F58">
      <w:pPr>
        <w:pStyle w:val="ListParagraph"/>
        <w:rPr>
          <w:rFonts w:ascii="Arial" w:hAnsi="Arial" w:cs="Arial"/>
        </w:rPr>
      </w:pPr>
    </w:p>
    <w:p w14:paraId="4DE654B3" w14:textId="77777777" w:rsidR="00933F58" w:rsidRPr="003F0F06" w:rsidRDefault="00933F58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Backman, A., Sjogren, K., Lovhiem, H. and Edvardsson, D. (2021) ‘Older people’s perceived autonomy in residential care: An integrative review’, </w:t>
      </w:r>
      <w:r w:rsidRPr="003F0F06">
        <w:rPr>
          <w:rFonts w:ascii="Arial" w:hAnsi="Arial" w:cs="Arial"/>
          <w:i/>
          <w:iCs/>
        </w:rPr>
        <w:t>Nursing Ethics</w:t>
      </w:r>
      <w:r w:rsidRPr="003F0F06">
        <w:rPr>
          <w:rFonts w:ascii="Arial" w:hAnsi="Arial" w:cs="Arial"/>
        </w:rPr>
        <w:t>, 28 (7-8), pp. 1121-1133.</w:t>
      </w:r>
    </w:p>
    <w:p w14:paraId="184C2687" w14:textId="77777777" w:rsidR="00933F58" w:rsidRPr="003F0F06" w:rsidRDefault="00933F58" w:rsidP="00933F58">
      <w:pPr>
        <w:pStyle w:val="ListParagraph"/>
        <w:rPr>
          <w:rFonts w:ascii="Arial" w:hAnsi="Arial" w:cs="Arial"/>
        </w:rPr>
      </w:pPr>
    </w:p>
    <w:p w14:paraId="52F0F837" w14:textId="769AA484" w:rsidR="00DF3153" w:rsidRPr="003F0F06" w:rsidRDefault="00DF3153" w:rsidP="00DF315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Bowling, A. (2014) </w:t>
      </w:r>
      <w:r w:rsidRPr="003F0F06">
        <w:rPr>
          <w:rFonts w:ascii="Arial" w:hAnsi="Arial" w:cs="Arial"/>
          <w:i/>
          <w:iCs/>
        </w:rPr>
        <w:t xml:space="preserve">Research Methods in Health and Social Care. </w:t>
      </w:r>
      <w:r w:rsidRPr="003F0F06">
        <w:rPr>
          <w:rFonts w:ascii="Arial" w:hAnsi="Arial" w:cs="Arial"/>
        </w:rPr>
        <w:t>4</w:t>
      </w:r>
      <w:r w:rsidRPr="003F0F06">
        <w:rPr>
          <w:rFonts w:ascii="Arial" w:hAnsi="Arial" w:cs="Arial"/>
          <w:vertAlign w:val="superscript"/>
        </w:rPr>
        <w:t>th</w:t>
      </w:r>
      <w:r w:rsidRPr="003F0F06">
        <w:rPr>
          <w:rFonts w:ascii="Arial" w:hAnsi="Arial" w:cs="Arial"/>
        </w:rPr>
        <w:t xml:space="preserve"> edn. Maidenhead: Open University Press.</w:t>
      </w:r>
    </w:p>
    <w:p w14:paraId="45251847" w14:textId="77777777" w:rsidR="00DF3153" w:rsidRPr="003F0F06" w:rsidRDefault="00DF3153" w:rsidP="00DF3153">
      <w:pPr>
        <w:pStyle w:val="ListParagraph"/>
        <w:rPr>
          <w:rFonts w:ascii="Arial" w:hAnsi="Arial" w:cs="Arial"/>
        </w:rPr>
      </w:pPr>
    </w:p>
    <w:p w14:paraId="7AF932F7" w14:textId="77777777" w:rsidR="00DF3153" w:rsidRPr="003F0F06" w:rsidRDefault="00DF3153" w:rsidP="00DF3153">
      <w:pPr>
        <w:pStyle w:val="ListParagraph"/>
        <w:rPr>
          <w:rFonts w:ascii="Arial" w:hAnsi="Arial" w:cs="Arial"/>
        </w:rPr>
      </w:pPr>
    </w:p>
    <w:p w14:paraId="0F88AEDF" w14:textId="29251D0B" w:rsidR="00DF3153" w:rsidRPr="003F0F06" w:rsidRDefault="00DF3153" w:rsidP="00DF315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>Brooker, D. (2007</w:t>
      </w:r>
      <w:r w:rsidRPr="003F0F06">
        <w:rPr>
          <w:rFonts w:ascii="Arial" w:hAnsi="Arial" w:cs="Arial"/>
        </w:rPr>
        <w:t xml:space="preserve">) </w:t>
      </w:r>
      <w:r w:rsidRPr="003F0F06">
        <w:rPr>
          <w:rFonts w:ascii="Arial" w:hAnsi="Arial" w:cs="Arial"/>
          <w:i/>
          <w:iCs/>
        </w:rPr>
        <w:t>Person-Centred Dementia Care: Making Services Better</w:t>
      </w:r>
      <w:r w:rsidRPr="003F0F06">
        <w:rPr>
          <w:rFonts w:ascii="Arial" w:hAnsi="Arial" w:cs="Arial"/>
        </w:rPr>
        <w:t>. London: Jessica Kingsley Publishers.</w:t>
      </w:r>
    </w:p>
    <w:p w14:paraId="09A9680C" w14:textId="77777777" w:rsidR="00DF3153" w:rsidRPr="003F0F06" w:rsidRDefault="00DF3153" w:rsidP="00DF3153">
      <w:pPr>
        <w:pStyle w:val="ListParagraph"/>
        <w:rPr>
          <w:rFonts w:ascii="Arial" w:hAnsi="Arial" w:cs="Arial"/>
        </w:rPr>
      </w:pPr>
    </w:p>
    <w:p w14:paraId="243D673E" w14:textId="77777777" w:rsidR="00DF3153" w:rsidRPr="003F0F06" w:rsidRDefault="00DF3153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>Care Act 2014. London: The Stationary Office.</w:t>
      </w:r>
    </w:p>
    <w:p w14:paraId="62AE8D44" w14:textId="77777777" w:rsidR="00DF3153" w:rsidRPr="003F0F06" w:rsidRDefault="00DF3153" w:rsidP="00DF3153">
      <w:pPr>
        <w:pStyle w:val="ListParagraph"/>
        <w:rPr>
          <w:rFonts w:ascii="Arial" w:hAnsi="Arial" w:cs="Arial"/>
        </w:rPr>
      </w:pPr>
    </w:p>
    <w:p w14:paraId="117E4A5E" w14:textId="204A2DB3" w:rsidR="00DF3153" w:rsidRPr="003F0F06" w:rsidRDefault="00DF3153" w:rsidP="00F965F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Clegg, A., Young, J., lliffe, S., Rikkert, M.O. and Rockwood, K. (2013) </w:t>
      </w:r>
      <w:r w:rsidRPr="003F0F06">
        <w:rPr>
          <w:rFonts w:ascii="Arial" w:hAnsi="Arial" w:cs="Arial"/>
          <w:i/>
          <w:iCs/>
        </w:rPr>
        <w:t xml:space="preserve">‘Frailty in elderly people’, </w:t>
      </w:r>
      <w:r w:rsidR="00760C06" w:rsidRPr="003F0F06">
        <w:rPr>
          <w:rFonts w:ascii="Arial" w:hAnsi="Arial" w:cs="Arial"/>
          <w:i/>
          <w:iCs/>
        </w:rPr>
        <w:t xml:space="preserve">The Lancet, </w:t>
      </w:r>
      <w:r w:rsidR="00760C06" w:rsidRPr="003F0F06">
        <w:rPr>
          <w:rFonts w:ascii="Arial" w:hAnsi="Arial" w:cs="Arial"/>
        </w:rPr>
        <w:t>381(9868), pp. 752-762.</w:t>
      </w:r>
    </w:p>
    <w:p w14:paraId="56364470" w14:textId="77777777" w:rsidR="00760C06" w:rsidRPr="003F0F06" w:rsidRDefault="00760C06" w:rsidP="00760C06">
      <w:pPr>
        <w:pStyle w:val="ListParagraph"/>
        <w:rPr>
          <w:rFonts w:ascii="Arial" w:hAnsi="Arial" w:cs="Arial"/>
        </w:rPr>
      </w:pPr>
    </w:p>
    <w:p w14:paraId="390D81B8" w14:textId="77777777" w:rsidR="00760C06" w:rsidRPr="003F0F06" w:rsidRDefault="00760C06" w:rsidP="00760C06">
      <w:pPr>
        <w:pStyle w:val="ListParagraph"/>
        <w:rPr>
          <w:rFonts w:ascii="Arial" w:hAnsi="Arial" w:cs="Arial"/>
        </w:rPr>
      </w:pPr>
    </w:p>
    <w:p w14:paraId="5212A569" w14:textId="7958BD2C" w:rsidR="00760C06" w:rsidRPr="003F0F06" w:rsidRDefault="00DF3153" w:rsidP="00760C0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 </w:t>
      </w:r>
      <w:r w:rsidR="00760C06" w:rsidRPr="003F0F06">
        <w:rPr>
          <w:rFonts w:ascii="Arial" w:hAnsi="Arial" w:cs="Arial"/>
        </w:rPr>
        <w:t>Cumming, E. and Henry, W. (1961) Growing Old: The</w:t>
      </w:r>
      <w:r w:rsidR="00760C06" w:rsidRPr="003F0F06">
        <w:rPr>
          <w:rFonts w:ascii="Arial" w:hAnsi="Arial" w:cs="Arial"/>
        </w:rPr>
        <w:t xml:space="preserve"> </w:t>
      </w:r>
      <w:r w:rsidR="00760C06" w:rsidRPr="003F0F06">
        <w:rPr>
          <w:rFonts w:ascii="Arial" w:hAnsi="Arial" w:cs="Arial"/>
        </w:rPr>
        <w:t>P</w:t>
      </w:r>
      <w:r w:rsidR="00760C06" w:rsidRPr="003F0F06">
        <w:rPr>
          <w:rFonts w:ascii="Arial" w:hAnsi="Arial" w:cs="Arial"/>
        </w:rPr>
        <w:t>rocess of Disengagement. New York: Basic Books.</w:t>
      </w:r>
    </w:p>
    <w:p w14:paraId="306097B2" w14:textId="77777777" w:rsidR="00760C06" w:rsidRPr="003F0F06" w:rsidRDefault="00760C06" w:rsidP="00760C06">
      <w:pPr>
        <w:pStyle w:val="ListParagraph"/>
        <w:rPr>
          <w:rFonts w:ascii="Arial" w:hAnsi="Arial" w:cs="Arial"/>
        </w:rPr>
      </w:pPr>
    </w:p>
    <w:p w14:paraId="5940FB1A" w14:textId="6D9BDEE3" w:rsidR="00DF3153" w:rsidRPr="003F0F06" w:rsidRDefault="00760C06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Department of Health and Social Care (2021) </w:t>
      </w:r>
      <w:r w:rsidRPr="003F0F06">
        <w:rPr>
          <w:rFonts w:ascii="Arial" w:hAnsi="Arial" w:cs="Arial"/>
          <w:i/>
          <w:iCs/>
        </w:rPr>
        <w:t xml:space="preserve">People at the Heart of Care: Adult Social Care Reform White Paper. </w:t>
      </w:r>
      <w:r w:rsidRPr="003F0F06">
        <w:rPr>
          <w:rFonts w:ascii="Arial" w:hAnsi="Arial" w:cs="Arial"/>
        </w:rPr>
        <w:t>London DHSC.</w:t>
      </w:r>
    </w:p>
    <w:p w14:paraId="739C6952" w14:textId="77777777" w:rsidR="00760C06" w:rsidRPr="003F0F06" w:rsidRDefault="00760C06" w:rsidP="00760C06">
      <w:pPr>
        <w:pStyle w:val="ListParagraph"/>
        <w:rPr>
          <w:rFonts w:ascii="Arial" w:hAnsi="Arial" w:cs="Arial"/>
        </w:rPr>
      </w:pPr>
    </w:p>
    <w:p w14:paraId="35AAC6E1" w14:textId="5346988B" w:rsidR="00760C06" w:rsidRPr="003F0F06" w:rsidRDefault="00760C06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Fothergill, L., Mitchell, B. and McKeown, J (2025) ‘Technology-enabled care and independence in community-dewelling older adults’, </w:t>
      </w:r>
      <w:r w:rsidRPr="003F0F06">
        <w:rPr>
          <w:rFonts w:ascii="Arial" w:hAnsi="Arial" w:cs="Arial"/>
          <w:i/>
          <w:iCs/>
        </w:rPr>
        <w:t>BMC Geriatrics</w:t>
      </w:r>
      <w:r w:rsidRPr="003F0F06">
        <w:rPr>
          <w:rFonts w:ascii="Arial" w:hAnsi="Arial" w:cs="Arial"/>
        </w:rPr>
        <w:t>, 25(1), pp. 1-10.</w:t>
      </w:r>
    </w:p>
    <w:p w14:paraId="1F26246A" w14:textId="77777777" w:rsidR="00760C06" w:rsidRPr="003F0F06" w:rsidRDefault="00760C06" w:rsidP="00760C06">
      <w:pPr>
        <w:pStyle w:val="ListParagraph"/>
        <w:rPr>
          <w:rFonts w:ascii="Arial" w:hAnsi="Arial" w:cs="Arial"/>
        </w:rPr>
      </w:pPr>
    </w:p>
    <w:p w14:paraId="5E312A07" w14:textId="20663E4D" w:rsidR="00760C06" w:rsidRPr="003F0F06" w:rsidRDefault="00760C06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Greenhalgh, T. (2018) </w:t>
      </w:r>
      <w:r w:rsidRPr="003F0F06">
        <w:rPr>
          <w:rFonts w:ascii="Arial" w:hAnsi="Arial" w:cs="Arial"/>
          <w:i/>
          <w:iCs/>
        </w:rPr>
        <w:t>How to Implement Evidence-Based Healthcare</w:t>
      </w:r>
      <w:r w:rsidRPr="003F0F06">
        <w:rPr>
          <w:rFonts w:ascii="Arial" w:hAnsi="Arial" w:cs="Arial"/>
        </w:rPr>
        <w:t>. Oxford: Wiley-Blackwell.</w:t>
      </w:r>
    </w:p>
    <w:p w14:paraId="584E83DA" w14:textId="77777777" w:rsidR="00760C06" w:rsidRPr="003F0F06" w:rsidRDefault="00760C06" w:rsidP="00760C06">
      <w:pPr>
        <w:pStyle w:val="ListParagraph"/>
        <w:rPr>
          <w:rFonts w:ascii="Arial" w:hAnsi="Arial" w:cs="Arial"/>
        </w:rPr>
      </w:pPr>
    </w:p>
    <w:p w14:paraId="3DA75AAD" w14:textId="13EA6931" w:rsidR="00760C06" w:rsidRPr="003F0F06" w:rsidRDefault="007D4783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Havighurst, R. (1961) ‘Successful ageing’, </w:t>
      </w:r>
      <w:r w:rsidRPr="003F0F06">
        <w:rPr>
          <w:rFonts w:ascii="Arial" w:hAnsi="Arial" w:cs="Arial"/>
          <w:i/>
          <w:iCs/>
        </w:rPr>
        <w:t>The Gerontologist</w:t>
      </w:r>
      <w:r w:rsidRPr="003F0F06">
        <w:rPr>
          <w:rFonts w:ascii="Arial" w:hAnsi="Arial" w:cs="Arial"/>
        </w:rPr>
        <w:t>, 1 (1), pp. 8-13.</w:t>
      </w:r>
    </w:p>
    <w:p w14:paraId="6D4A61E1" w14:textId="77777777" w:rsidR="007D4783" w:rsidRPr="003F0F06" w:rsidRDefault="007D4783" w:rsidP="007D4783">
      <w:pPr>
        <w:pStyle w:val="ListParagraph"/>
        <w:rPr>
          <w:rFonts w:ascii="Arial" w:hAnsi="Arial" w:cs="Arial"/>
        </w:rPr>
      </w:pPr>
    </w:p>
    <w:p w14:paraId="77A0C249" w14:textId="14895CE0" w:rsidR="007D4783" w:rsidRPr="003F0F06" w:rsidRDefault="007D4783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>Health and Care Act 2022. London: The Stationery Office.</w:t>
      </w:r>
    </w:p>
    <w:p w14:paraId="53DF6241" w14:textId="77777777" w:rsidR="007D4783" w:rsidRPr="003F0F06" w:rsidRDefault="007D4783" w:rsidP="007D4783">
      <w:pPr>
        <w:pStyle w:val="ListParagraph"/>
        <w:rPr>
          <w:rFonts w:ascii="Arial" w:hAnsi="Arial" w:cs="Arial"/>
        </w:rPr>
      </w:pPr>
    </w:p>
    <w:p w14:paraId="060A4AAC" w14:textId="2CF8F61F" w:rsidR="007D4783" w:rsidRPr="003F0F06" w:rsidRDefault="007D4783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Kitwood, T. (1997) </w:t>
      </w:r>
      <w:r w:rsidRPr="003F0F06">
        <w:rPr>
          <w:rFonts w:ascii="Arial" w:hAnsi="Arial" w:cs="Arial"/>
          <w:i/>
          <w:iCs/>
        </w:rPr>
        <w:t>Dementia Reconsidered: The Person Comes First</w:t>
      </w:r>
      <w:r w:rsidRPr="003F0F06">
        <w:rPr>
          <w:rFonts w:ascii="Arial" w:hAnsi="Arial" w:cs="Arial"/>
        </w:rPr>
        <w:t>. Buckingham: Open University Press.</w:t>
      </w:r>
    </w:p>
    <w:p w14:paraId="2CD4E406" w14:textId="77777777" w:rsidR="007D4783" w:rsidRPr="003F0F06" w:rsidRDefault="007D4783" w:rsidP="007D4783">
      <w:pPr>
        <w:pStyle w:val="ListParagraph"/>
        <w:rPr>
          <w:rFonts w:ascii="Arial" w:hAnsi="Arial" w:cs="Arial"/>
        </w:rPr>
      </w:pPr>
    </w:p>
    <w:p w14:paraId="2BDF33D9" w14:textId="0021C155" w:rsidR="007D4783" w:rsidRPr="003F0F06" w:rsidRDefault="007D4783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>Maslow, A.H. (1943) ‘A theory of human motivation’, Psychological Review, 50(4), pp. 370-396.</w:t>
      </w:r>
    </w:p>
    <w:p w14:paraId="73BF708E" w14:textId="77777777" w:rsidR="007D4783" w:rsidRPr="003F0F06" w:rsidRDefault="007D4783" w:rsidP="007D4783">
      <w:pPr>
        <w:pStyle w:val="ListParagraph"/>
        <w:rPr>
          <w:rFonts w:ascii="Arial" w:hAnsi="Arial" w:cs="Arial"/>
        </w:rPr>
      </w:pPr>
    </w:p>
    <w:p w14:paraId="40D2D844" w14:textId="666A03D0" w:rsidR="007D4783" w:rsidRPr="003F0F06" w:rsidRDefault="007D4783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>Mental Capacity Act 2005. London: The Stationary Office.</w:t>
      </w:r>
    </w:p>
    <w:p w14:paraId="5432CFC7" w14:textId="77777777" w:rsidR="007D4783" w:rsidRPr="003F0F06" w:rsidRDefault="007D4783" w:rsidP="007D4783">
      <w:pPr>
        <w:pStyle w:val="ListParagraph"/>
        <w:rPr>
          <w:rFonts w:ascii="Arial" w:hAnsi="Arial" w:cs="Arial"/>
        </w:rPr>
      </w:pPr>
    </w:p>
    <w:p w14:paraId="355D8BEE" w14:textId="77777777" w:rsidR="007D4783" w:rsidRPr="003F0F06" w:rsidRDefault="007D4783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Nolan, M., Brown, J., Davies, S., Nolan, J. and Keady, J. (2004) ‘Beyond person-centred care: A new vision for gerontological nursing’, </w:t>
      </w:r>
      <w:r w:rsidRPr="003F0F06">
        <w:rPr>
          <w:rFonts w:ascii="Arial" w:hAnsi="Arial" w:cs="Arial"/>
          <w:i/>
          <w:iCs/>
        </w:rPr>
        <w:t>Journal of Clinical Nursing,</w:t>
      </w:r>
      <w:r w:rsidRPr="003F0F06">
        <w:rPr>
          <w:rFonts w:ascii="Arial" w:hAnsi="Arial" w:cs="Arial"/>
        </w:rPr>
        <w:t xml:space="preserve"> 13(s1), pp 45-53.</w:t>
      </w:r>
    </w:p>
    <w:p w14:paraId="60CDEEC5" w14:textId="77777777" w:rsidR="007D4783" w:rsidRPr="003F0F06" w:rsidRDefault="007D4783" w:rsidP="007D4783">
      <w:pPr>
        <w:pStyle w:val="ListParagraph"/>
        <w:rPr>
          <w:rFonts w:ascii="Arial" w:hAnsi="Arial" w:cs="Arial"/>
        </w:rPr>
      </w:pPr>
    </w:p>
    <w:p w14:paraId="6E37227C" w14:textId="51528941" w:rsidR="007D4783" w:rsidRPr="003F0F06" w:rsidRDefault="005A6732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Sixsmith, A., Sixsmith, J Fange, A., Naumann, D., Kucsera, C., Tomsone, S. and Woolrych, R. (2014) ‘Healthy ageing and home: The perspectives of very old people in five European countries’, </w:t>
      </w:r>
      <w:r w:rsidRPr="003F0F06">
        <w:rPr>
          <w:rFonts w:ascii="Arial" w:hAnsi="Arial" w:cs="Arial"/>
          <w:i/>
          <w:iCs/>
        </w:rPr>
        <w:t>Journal of Housing for the Elderly</w:t>
      </w:r>
      <w:r w:rsidRPr="003F0F06">
        <w:rPr>
          <w:rFonts w:ascii="Arial" w:hAnsi="Arial" w:cs="Arial"/>
        </w:rPr>
        <w:t>, 28(3), pp. 266-287.</w:t>
      </w:r>
      <w:r w:rsidR="007D4783" w:rsidRPr="003F0F06">
        <w:rPr>
          <w:rFonts w:ascii="Arial" w:hAnsi="Arial" w:cs="Arial"/>
        </w:rPr>
        <w:t xml:space="preserve"> </w:t>
      </w:r>
    </w:p>
    <w:p w14:paraId="02BEFEA8" w14:textId="77777777" w:rsidR="005A6732" w:rsidRPr="003F0F06" w:rsidRDefault="005A6732" w:rsidP="005A6732">
      <w:pPr>
        <w:pStyle w:val="ListParagraph"/>
        <w:rPr>
          <w:rFonts w:ascii="Arial" w:hAnsi="Arial" w:cs="Arial"/>
        </w:rPr>
      </w:pPr>
    </w:p>
    <w:p w14:paraId="4C340560" w14:textId="4E219CE8" w:rsidR="005A6732" w:rsidRPr="003F0F06" w:rsidRDefault="005A6732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Victor, C. (2010) </w:t>
      </w:r>
      <w:r w:rsidRPr="003F0F06">
        <w:rPr>
          <w:rFonts w:ascii="Arial" w:hAnsi="Arial" w:cs="Arial"/>
          <w:i/>
          <w:iCs/>
        </w:rPr>
        <w:t>The Social Context of Ageing: A Textbook of Gerontology</w:t>
      </w:r>
      <w:r w:rsidRPr="003F0F06">
        <w:rPr>
          <w:rFonts w:ascii="Arial" w:hAnsi="Arial" w:cs="Arial"/>
        </w:rPr>
        <w:t>. London: Routledge.</w:t>
      </w:r>
    </w:p>
    <w:p w14:paraId="7D730E77" w14:textId="77777777" w:rsidR="005A6732" w:rsidRPr="003F0F06" w:rsidRDefault="005A6732" w:rsidP="005A6732">
      <w:pPr>
        <w:pStyle w:val="ListParagraph"/>
        <w:rPr>
          <w:rFonts w:ascii="Arial" w:hAnsi="Arial" w:cs="Arial"/>
        </w:rPr>
      </w:pPr>
    </w:p>
    <w:p w14:paraId="1B35E3DB" w14:textId="4773967E" w:rsidR="005A6732" w:rsidRPr="003F0F06" w:rsidRDefault="005A6732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Walker, A. (2002) ‘A strategy for active ageing’, </w:t>
      </w:r>
      <w:r w:rsidRPr="003F0F06">
        <w:rPr>
          <w:rFonts w:ascii="Arial" w:hAnsi="Arial" w:cs="Arial"/>
          <w:i/>
          <w:iCs/>
        </w:rPr>
        <w:t>International Social Security Review</w:t>
      </w:r>
      <w:r w:rsidRPr="003F0F06">
        <w:rPr>
          <w:rFonts w:ascii="Arial" w:hAnsi="Arial" w:cs="Arial"/>
        </w:rPr>
        <w:t>, 55(1), pp. 121-139.</w:t>
      </w:r>
    </w:p>
    <w:p w14:paraId="39E82A08" w14:textId="77777777" w:rsidR="005A6732" w:rsidRPr="003F0F06" w:rsidRDefault="005A6732" w:rsidP="005A6732">
      <w:pPr>
        <w:pStyle w:val="ListParagraph"/>
        <w:rPr>
          <w:rFonts w:ascii="Arial" w:hAnsi="Arial" w:cs="Arial"/>
        </w:rPr>
      </w:pPr>
    </w:p>
    <w:p w14:paraId="037EFE23" w14:textId="45268174" w:rsidR="005A6732" w:rsidRPr="003F0F06" w:rsidRDefault="005A6732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>Wiles, J., Leibing, A., Guberman, N., Reeve, J. and Allen, R. (2012)</w:t>
      </w:r>
      <w:r w:rsidR="003F0F06" w:rsidRPr="003F0F06">
        <w:rPr>
          <w:rFonts w:ascii="Arial" w:hAnsi="Arial" w:cs="Arial"/>
        </w:rPr>
        <w:t xml:space="preserve"> ‘The meaning of “ageing in place” to older people’, </w:t>
      </w:r>
      <w:r w:rsidR="003F0F06" w:rsidRPr="003F0F06">
        <w:rPr>
          <w:rFonts w:ascii="Arial" w:hAnsi="Arial" w:cs="Arial"/>
          <w:i/>
          <w:iCs/>
        </w:rPr>
        <w:t>The Gerontologist,</w:t>
      </w:r>
      <w:r w:rsidR="003F0F06" w:rsidRPr="003F0F06">
        <w:rPr>
          <w:rFonts w:ascii="Arial" w:hAnsi="Arial" w:cs="Arial"/>
        </w:rPr>
        <w:t xml:space="preserve"> 52(3), pp. 357-366.</w:t>
      </w:r>
    </w:p>
    <w:p w14:paraId="017DFDAA" w14:textId="77777777" w:rsidR="003F0F06" w:rsidRPr="003F0F06" w:rsidRDefault="003F0F06" w:rsidP="003F0F06">
      <w:pPr>
        <w:pStyle w:val="ListParagraph"/>
        <w:rPr>
          <w:rFonts w:ascii="Arial" w:hAnsi="Arial" w:cs="Arial"/>
        </w:rPr>
      </w:pPr>
    </w:p>
    <w:p w14:paraId="66DE8415" w14:textId="47CB2A5D" w:rsidR="003F0F06" w:rsidRPr="003F0F06" w:rsidRDefault="003F0F06" w:rsidP="00933F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F0F06">
        <w:rPr>
          <w:rFonts w:ascii="Arial" w:hAnsi="Arial" w:cs="Arial"/>
        </w:rPr>
        <w:t xml:space="preserve">World Health Organisation (2015) </w:t>
      </w:r>
      <w:r w:rsidRPr="003F0F06">
        <w:rPr>
          <w:rFonts w:ascii="Arial" w:hAnsi="Arial" w:cs="Arial"/>
          <w:i/>
          <w:iCs/>
        </w:rPr>
        <w:t>World Report on Ageing and Health.</w:t>
      </w:r>
      <w:r w:rsidRPr="003F0F06">
        <w:rPr>
          <w:rFonts w:ascii="Arial" w:hAnsi="Arial" w:cs="Arial"/>
        </w:rPr>
        <w:t xml:space="preserve"> Geneva: WHO.</w:t>
      </w:r>
    </w:p>
    <w:p w14:paraId="47B2C065" w14:textId="77777777" w:rsidR="00933F58" w:rsidRPr="003F0F06" w:rsidRDefault="00933F58">
      <w:pPr>
        <w:rPr>
          <w:rFonts w:ascii="Arial" w:hAnsi="Arial" w:cs="Arial"/>
        </w:rPr>
      </w:pPr>
    </w:p>
    <w:sectPr w:rsidR="00933F58" w:rsidRPr="003F0F0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15E9D" w14:textId="77777777" w:rsidR="00E64E44" w:rsidRDefault="00E64E44" w:rsidP="003F0F06">
      <w:pPr>
        <w:spacing w:after="0" w:line="240" w:lineRule="auto"/>
      </w:pPr>
      <w:r>
        <w:separator/>
      </w:r>
    </w:p>
  </w:endnote>
  <w:endnote w:type="continuationSeparator" w:id="0">
    <w:p w14:paraId="4AA2E26F" w14:textId="77777777" w:rsidR="00E64E44" w:rsidRDefault="00E64E44" w:rsidP="003F0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6887642"/>
      <w:docPartObj>
        <w:docPartGallery w:val="Page Numbers (Bottom of Page)"/>
        <w:docPartUnique/>
      </w:docPartObj>
    </w:sdtPr>
    <w:sdtContent>
      <w:p w14:paraId="0AD03722" w14:textId="69FB6163" w:rsidR="003F0F06" w:rsidRDefault="003F0F0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9A887E" w14:textId="77777777" w:rsidR="003F0F06" w:rsidRDefault="003F0F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E040B" w14:textId="77777777" w:rsidR="00E64E44" w:rsidRDefault="00E64E44" w:rsidP="003F0F06">
      <w:pPr>
        <w:spacing w:after="0" w:line="240" w:lineRule="auto"/>
      </w:pPr>
      <w:r>
        <w:separator/>
      </w:r>
    </w:p>
  </w:footnote>
  <w:footnote w:type="continuationSeparator" w:id="0">
    <w:p w14:paraId="3333761C" w14:textId="77777777" w:rsidR="00E64E44" w:rsidRDefault="00E64E44" w:rsidP="003F0F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4491"/>
    <w:multiLevelType w:val="hybridMultilevel"/>
    <w:tmpl w:val="6CECF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735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F58"/>
    <w:rsid w:val="003F0F06"/>
    <w:rsid w:val="005A6732"/>
    <w:rsid w:val="00760C06"/>
    <w:rsid w:val="007D4783"/>
    <w:rsid w:val="00933F58"/>
    <w:rsid w:val="00B046B6"/>
    <w:rsid w:val="00C25126"/>
    <w:rsid w:val="00CC29C8"/>
    <w:rsid w:val="00DF3153"/>
    <w:rsid w:val="00E64E44"/>
    <w:rsid w:val="00FD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BD9A8"/>
  <w15:chartTrackingRefBased/>
  <w15:docId w15:val="{A7EBBD98-CDA5-45B4-AABE-3B3C35833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F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F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F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F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F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F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F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F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F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F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F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3F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F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F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F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F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F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F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F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F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F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3F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F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F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F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3F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F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F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F5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0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F06"/>
  </w:style>
  <w:style w:type="paragraph" w:styleId="Footer">
    <w:name w:val="footer"/>
    <w:basedOn w:val="Normal"/>
    <w:link w:val="FooterChar"/>
    <w:uiPriority w:val="99"/>
    <w:unhideWhenUsed/>
    <w:rsid w:val="003F0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zaidi</dc:creator>
  <cp:keywords/>
  <dc:description/>
  <cp:lastModifiedBy>salma zaidi</cp:lastModifiedBy>
  <cp:revision>1</cp:revision>
  <dcterms:created xsi:type="dcterms:W3CDTF">2026-03-11T11:41:00Z</dcterms:created>
  <dcterms:modified xsi:type="dcterms:W3CDTF">2026-03-11T12:43:00Z</dcterms:modified>
</cp:coreProperties>
</file>