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AB262A" w14:textId="53F137E0" w:rsidR="00D10A23" w:rsidRDefault="00D10A23" w:rsidP="00D10A23">
      <w:pPr>
        <w:pStyle w:val="NormalWeb"/>
        <w:spacing w:before="200" w:beforeAutospacing="0" w:after="200" w:afterAutospacing="0"/>
        <w:jc w:val="both"/>
      </w:pPr>
      <w:r>
        <w:rPr>
          <w:rFonts w:ascii="Calibri" w:hAnsi="Calibri" w:cs="Calibri"/>
          <w:color w:val="000000"/>
        </w:rPr>
        <w:t>Supervision Essay</w:t>
      </w:r>
      <w:r w:rsidR="000F0CB0">
        <w:rPr>
          <w:rFonts w:ascii="Calibri" w:hAnsi="Calibri" w:cs="Calibri"/>
          <w:color w:val="000000"/>
        </w:rPr>
        <w:t xml:space="preserve"> 2</w:t>
      </w:r>
      <w:bookmarkStart w:id="0" w:name="_GoBack"/>
      <w:bookmarkEnd w:id="0"/>
    </w:p>
    <w:p w14:paraId="40E3BB47" w14:textId="77777777" w:rsidR="00D10A23" w:rsidRDefault="00D10A23" w:rsidP="00D10A23">
      <w:pPr>
        <w:pStyle w:val="NormalWeb"/>
        <w:spacing w:before="200" w:beforeAutospacing="0" w:after="200" w:afterAutospacing="0"/>
        <w:jc w:val="both"/>
      </w:pPr>
      <w:r>
        <w:rPr>
          <w:rFonts w:ascii="Calibri" w:hAnsi="Calibri" w:cs="Calibri"/>
          <w:b/>
          <w:bCs/>
          <w:color w:val="000000"/>
        </w:rPr>
        <w:t>Critically analyse the role and functions of supervision in promoting effective youth work practice</w:t>
      </w:r>
    </w:p>
    <w:p w14:paraId="7B945819" w14:textId="77777777"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t>Used informally since the development of psychoanalysis and recognized universally as best practice, s</w:t>
      </w:r>
      <w:r>
        <w:rPr>
          <w:rFonts w:ascii="Calibri" w:hAnsi="Calibri" w:cs="Calibri"/>
          <w:color w:val="000000"/>
        </w:rPr>
        <w:t>upervision is considered to be an effective tool for supporting good work practices in most organisations, but especially surrounding helping work that involves children and young people, so that within the UK, regular supervision is a requirement in social work (Tsui, 2005). The supervisory sessions are necessary for the training and development of staff, but they also facilitate the need to encourage confidence and self-efficacy, to identify levels of stress and to encourage practices that lead to staff retention (Boyas and Wind, 2010). Inside these supervisory sessions, the supervisor and supervisee can develop trust and form a connection that builds a more positive working relationship, where thoughts can be shared to create a better understanding of work-based practice within their organisation (Jenkinson, 2010). Supervision can also be carried out in different formats; for example, group supervision has a main supervisor working with multiple supervisees at the same time; whilst peer supervision takes place amongst colleagues who supervise each other; some supervision is delegated to external agencies; however, direct managerial supervision is by far the most common type. The supervision experiences that are received by the youth worker are invaluable for their personal and professional development, and there is an element of supervisory knowledge that will be transferred to the youth worker which can then be utilised to benefit the relationship between youth worker and the young person that they support (Kadushin and Harkness, 2014). Though the ideal setting should adopt a more informal environment so that the young person feels that they are able to express themselves freely, the main advantage will be that the young person and the youth worker will both be comfortable enough to exchange narratives that are beneficial for social and organisational development (Jeffs and Smith, 1996). It is understood that youth work has many challenges and can be a very stressful occupation, but supervision is one of the main tools necessary to address the complexities that youth workers are confronted with on a daily basis (McNamara, Lawley and Towler, 2007). Once provided with adequate supervision, youth workers will then be able to focus on the young people who they support in a more positive way, because they too are receiving the support that they need from their managers or supervisors (Lee, Weaver and Hrostowski, 2011). As well as learning and support, supervision can also be used to highlight the youth worker’s successes and achievements.</w:t>
      </w:r>
    </w:p>
    <w:p w14:paraId="0504C36D" w14:textId="77777777" w:rsidR="00D10A23" w:rsidRDefault="00D10A23" w:rsidP="00D10A23">
      <w:pPr>
        <w:pStyle w:val="NormalWeb"/>
        <w:spacing w:before="200" w:beforeAutospacing="0" w:after="200" w:afterAutospacing="0"/>
        <w:jc w:val="both"/>
      </w:pPr>
      <w:r>
        <w:rPr>
          <w:rFonts w:ascii="Calibri" w:hAnsi="Calibri" w:cs="Calibri"/>
          <w:color w:val="000000"/>
        </w:rPr>
        <w:t xml:space="preserve">The relationship between the youth worker and the young person takes time to develop and through regular dialogue and consistent support, the young person will then become more trusting of the youth worker; through such relationship building, the young person will be encouraged to engage with discussions surrounding personal development and reflection (Young, 1999). This process is similar to the supervision that the youth worker will receive from the supervisor or manager, following the same progression from relationship building, to trust and then on to developing better working practices (Sapkin, 2013). </w:t>
      </w:r>
      <w:r>
        <w:rPr>
          <w:rFonts w:ascii="Calibri" w:hAnsi="Calibri" w:cs="Calibri"/>
          <w:color w:val="000000"/>
          <w:shd w:val="clear" w:color="auto" w:fill="FCFCFC"/>
        </w:rPr>
        <w:t xml:space="preserve">Freire (1972) describes the ideal learning experience to be one that is not steered by authority, but instead where both parties are learning and gaining from each other and, in this way, the supervisory sessions are therefore producing teachable moments for both supervisor and supervisee, as well as providing an exemplar as to the transferable skills that youth workers will be able to </w:t>
      </w:r>
      <w:r>
        <w:rPr>
          <w:rFonts w:ascii="Calibri" w:hAnsi="Calibri" w:cs="Calibri"/>
          <w:color w:val="000000"/>
          <w:shd w:val="clear" w:color="auto" w:fill="FCFCFC"/>
        </w:rPr>
        <w:lastRenderedPageBreak/>
        <w:t>integrate into their contact sessions with young people. The young person will be able to better express and share their thoughts and feelings because there are no authoritarian demands; instead, there is the mutual benefit of learning to all parties involved (Wiedow, 2017).</w:t>
      </w:r>
      <w:r>
        <w:rPr>
          <w:rFonts w:ascii="Calibri" w:hAnsi="Calibri" w:cs="Calibri"/>
          <w:color w:val="000000"/>
        </w:rPr>
        <w:t xml:space="preserve"> Everyone has unique qualities that they bring to an organisation, but in order to guide the supervisee into bringing these characteristics to the fore, the supervisor must engage in actively listening to the expressions of the supervisee (Mitchell, 2019).</w:t>
      </w:r>
    </w:p>
    <w:p w14:paraId="22C9E851" w14:textId="77777777"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t>Similar in nature to the support that the youth worker is providing to the young person, the relationship between the supervisor and the supervisee stimulates an attitude of continual learning and improvement, providing opportunities to develop problem solving abilities and supplying a practical example of how to remain emotionally present through the use of active listening skills, focusing upon the emotional aspect of the role and the way the youth worker’s reactions to their emotions affects their work (Frosch, 2018, pg. 2).   </w:t>
      </w:r>
    </w:p>
    <w:p w14:paraId="36E23C59" w14:textId="77777777"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t>One of the major aspects of supervision is the arrangement of meetings that are consistent, anticipated and well planned for in advance, but this is rarely the case for most youth workers, who instead are called to justify the needs for funding youth projects and are given very little opportunity to discuss areas of concerns within their organisations.</w:t>
      </w:r>
      <w:r>
        <w:rPr>
          <w:rFonts w:ascii="Calibri" w:hAnsi="Calibri" w:cs="Calibri"/>
          <w:color w:val="000000"/>
        </w:rPr>
        <w:t xml:space="preserve"> Although most helping organisations subscribe to the principle of supervision, for many youth workers the issue of supervision is only raised when there is a problem, such as a disciplinary or safeguarding issue; while counsellors view their formally implemented supervision system as an ethical obligation, youth work does not tend to see supervision as an organisational priority. Youth work is often based upon long hours with a hectic schedule, working under pressure to support young people with difficult lives. </w:t>
      </w:r>
    </w:p>
    <w:p w14:paraId="203202C4" w14:textId="77777777" w:rsidR="00D10A23" w:rsidRDefault="00D10A23" w:rsidP="00D10A23">
      <w:pPr>
        <w:pStyle w:val="NormalWeb"/>
        <w:spacing w:before="200" w:beforeAutospacing="0" w:after="200" w:afterAutospacing="0"/>
        <w:jc w:val="both"/>
      </w:pPr>
      <w:r>
        <w:rPr>
          <w:rFonts w:ascii="Calibri" w:hAnsi="Calibri" w:cs="Calibri"/>
          <w:color w:val="000000"/>
        </w:rPr>
        <w:t>A supervisor’s responses should always be personal rather than objective, being based upon the needs of the supervisee, whilst also allowing for the maintaining of professional boundaries within the relationship, which requires that both parties be simultaneously professional and  emotionally vulnerable; having greater experience, it is traditionally a supervisor’s role to provide oversight and guidance to the supervisee, although this can be blurred into assessment when the supervision role is carried out by a manager, creating a conflict of interests between the separate and potentially antagonistic motivations of the roles (Mitchell, 2019). It is not reasonable to expect a youth worker to essentially incriminate themselves by opening up about their weaknesses and inadequacies to the person who is responsible for maintaining their employment, without a high level of trust already being in place.  </w:t>
      </w:r>
    </w:p>
    <w:p w14:paraId="39A0EA47" w14:textId="77777777"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t>Although most youth workers would express that they feel their work to be rewarding, meaningful and necessary, the role can also present a variety of challenges and emotional difficulties, particularly due to the vulnerability presented by their service user’s age and general lack of life experience, seemingly requiring ever-greater interventions on the part of the youth worker (Johnco, Salloum, Olson and Edwards, 2014). Stress from either party can hinder the development of positive relationships and, in addition to other organisational concerns such as increasingly excessive amounts of paperwork, can lead to youth worker burnout and higher levels of staff turnover (Faulkner, Gerstenblatt, Lee, Vallejo and Travis, 2016). On the other hand, retention has been shown to be achievable by helping workers to discover personal significance in their roles, using the supervision process to reinforce the youth worker’s own reasons for engaging with their chosen profession (O’Rourke, 2011).</w:t>
      </w:r>
    </w:p>
    <w:p w14:paraId="6D486DCC" w14:textId="77777777"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lastRenderedPageBreak/>
        <w:t>Most young people don’t access youth services with the outright intention of forming meaningful relationships with youth workers (Jeffs and Smith, 1998), but are mostly accessing these services because they are attracted to the activities that are on offer; the relationship process is something that happens after the fact, as the youth workers make themselves available to the young people, whether taking the time to have fun with them on residential trips or just listening to their stories that they feel comfortable to share during youth sessions. When the young person comes to the realisation that there is something valuable between them and the youth worker, they can appreciate and then increasingly value their time spent at youth meetings; this development is unspoken and occurs naturally, perhaps even over extended periods of time (Young, 1999).</w:t>
      </w:r>
    </w:p>
    <w:p w14:paraId="0EA91A4E" w14:textId="317478E4"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t xml:space="preserve">Youth workers need supervision, as there is a high demand for expectations, such as the requirement to evidence positive outcomes for young people in order to generate continued government funding. The informal learning environment in which most youth work is undertaken requires youth workers to be self-dependent on their own skills, work in isolation and make difficult decisions that could impact the lives of young people, which can be challenging as there are often very little resources available (Richardson and Wolf, 2001). Schon (1982, pg. 39) describes this course as demonstrating </w:t>
      </w:r>
      <w:r>
        <w:rPr>
          <w:rFonts w:ascii="Calibri" w:hAnsi="Calibri" w:cs="Calibri"/>
          <w:i/>
          <w:iCs/>
          <w:color w:val="000000"/>
          <w:shd w:val="clear" w:color="auto" w:fill="FCFCFC"/>
        </w:rPr>
        <w:t xml:space="preserve">“complexity, uncertainty, instability, uniqueness and value-conflict”. </w:t>
      </w:r>
      <w:r>
        <w:rPr>
          <w:rFonts w:ascii="Calibri" w:hAnsi="Calibri" w:cs="Calibri"/>
          <w:color w:val="000000"/>
          <w:shd w:val="clear" w:color="auto" w:fill="FCFCFC"/>
        </w:rPr>
        <w:t xml:space="preserve">The need for validation about the decisions that were made by the youth worker is beneficial for personal growth and development, but most importantly, for confidence, knowing that right choices are being made for the benefit of the young people that are being supported. Having the time with a supervisor to address these issues and being given clarity, allows for </w:t>
      </w:r>
      <w:r>
        <w:rPr>
          <w:rFonts w:ascii="Calibri" w:hAnsi="Calibri" w:cs="Calibri"/>
          <w:color w:val="000000"/>
          <w:shd w:val="clear" w:color="auto" w:fill="FCFCFC"/>
        </w:rPr>
        <w:t>self-reflection</w:t>
      </w:r>
      <w:r>
        <w:rPr>
          <w:rFonts w:ascii="Calibri" w:hAnsi="Calibri" w:cs="Calibri"/>
          <w:color w:val="000000"/>
          <w:shd w:val="clear" w:color="auto" w:fill="FCFCFC"/>
        </w:rPr>
        <w:t xml:space="preserve"> and approval (Richardson and Wolf, 2001).   </w:t>
      </w:r>
      <w:r>
        <w:rPr>
          <w:rStyle w:val="apple-tab-span"/>
          <w:rFonts w:ascii="Calibri" w:hAnsi="Calibri" w:cs="Calibri"/>
          <w:color w:val="000000"/>
          <w:shd w:val="clear" w:color="auto" w:fill="FCFCFC"/>
        </w:rPr>
        <w:tab/>
      </w:r>
    </w:p>
    <w:p w14:paraId="0862EB18" w14:textId="5B04AC47"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t xml:space="preserve">According to Youth Work in Wales, </w:t>
      </w:r>
      <w:r>
        <w:rPr>
          <w:rFonts w:ascii="Calibri" w:hAnsi="Calibri" w:cs="Calibri"/>
          <w:i/>
          <w:iCs/>
          <w:color w:val="000000"/>
          <w:shd w:val="clear" w:color="auto" w:fill="FCFCFC"/>
        </w:rPr>
        <w:t xml:space="preserve">Principles and Purposes </w:t>
      </w:r>
      <w:r>
        <w:rPr>
          <w:rFonts w:ascii="Calibri" w:hAnsi="Calibri" w:cs="Calibri"/>
          <w:color w:val="000000"/>
          <w:shd w:val="clear" w:color="auto" w:fill="FCFCFC"/>
        </w:rPr>
        <w:t xml:space="preserve">(2013), the five pillars of youth work are that services should be: educative, expressive, participative, inclusive and empowering. All these valuable attributes that are important to young people’s development can only be accomplished with the support of youth workers who have been given adequate supervision, who are recognised and appreciated for the value they bring to their organisations, but also they will be in the process of receiving or will already have received adequate training (Sapkin, 2013). These five pillars are necessary </w:t>
      </w:r>
      <w:r>
        <w:rPr>
          <w:rFonts w:ascii="Calibri" w:hAnsi="Calibri" w:cs="Calibri"/>
          <w:color w:val="000000"/>
          <w:shd w:val="clear" w:color="auto" w:fill="FCFCFC"/>
        </w:rPr>
        <w:t>elements for</w:t>
      </w:r>
      <w:r>
        <w:rPr>
          <w:rFonts w:ascii="Calibri" w:hAnsi="Calibri" w:cs="Calibri"/>
          <w:color w:val="000000"/>
          <w:shd w:val="clear" w:color="auto" w:fill="FCFCFC"/>
        </w:rPr>
        <w:t xml:space="preserve"> promoting responsible and healthy young people, but also, these factors are requisite to the progression of youth workers. Young people and adults are constantly changing, the decisions made are based on experiences and past outcomes, so that there is a felt need to do better and to be better (Knowles, Holton and Swanson, 2005).</w:t>
      </w:r>
    </w:p>
    <w:p w14:paraId="55E1B981" w14:textId="1CB45940" w:rsidR="00D10A23" w:rsidRDefault="00D10A23" w:rsidP="00D10A23">
      <w:pPr>
        <w:pStyle w:val="NormalWeb"/>
        <w:spacing w:before="200" w:beforeAutospacing="0" w:after="200" w:afterAutospacing="0"/>
        <w:jc w:val="both"/>
      </w:pPr>
      <w:r>
        <w:rPr>
          <w:rFonts w:ascii="Calibri" w:hAnsi="Calibri" w:cs="Calibri"/>
          <w:color w:val="000000"/>
          <w:shd w:val="clear" w:color="auto" w:fill="FCFCFC"/>
        </w:rPr>
        <w:t xml:space="preserve">In conclusion, supervision is a necessary factor of youth work or any supportive role. The time spent with a manager or supervisor who understands the benefits of supervision enables the youth worker to discuss points that are beneficial to personal development. The supervisory sessions provide the platform for relationship building between the youth worker and the manager or supervisor, but also encourages learning between both parties, in addition, the supervisor will gain a knowledge of the other beneficial skills and expertise of the youth worker, and getting to know the staff within the organisation through conversation will in turn advance the working practices of the organisation and contribute to the level of proficiency available. Young people will gain the rewards of successful supervision, having </w:t>
      </w:r>
      <w:r>
        <w:rPr>
          <w:rFonts w:ascii="Calibri" w:hAnsi="Calibri" w:cs="Calibri"/>
          <w:color w:val="000000"/>
          <w:shd w:val="clear" w:color="auto" w:fill="FCFCFC"/>
        </w:rPr>
        <w:t>a youth</w:t>
      </w:r>
      <w:r>
        <w:rPr>
          <w:rFonts w:ascii="Calibri" w:hAnsi="Calibri" w:cs="Calibri"/>
          <w:color w:val="000000"/>
          <w:shd w:val="clear" w:color="auto" w:fill="FCFCFC"/>
        </w:rPr>
        <w:t xml:space="preserve"> worker who feels better equipped to manage their own workload confidently while supporting the young people with better resources, better job satisfaction and more stability, </w:t>
      </w:r>
      <w:r>
        <w:rPr>
          <w:rFonts w:ascii="Calibri" w:hAnsi="Calibri" w:cs="Calibri"/>
          <w:color w:val="000000"/>
          <w:shd w:val="clear" w:color="auto" w:fill="FCFCFC"/>
        </w:rPr>
        <w:lastRenderedPageBreak/>
        <w:t xml:space="preserve">can lead to less staff turnover. Supervision is worthwhile for </w:t>
      </w:r>
      <w:r>
        <w:rPr>
          <w:rFonts w:ascii="Calibri" w:hAnsi="Calibri" w:cs="Calibri"/>
          <w:color w:val="000000"/>
          <w:shd w:val="clear" w:color="auto" w:fill="FCFCFC"/>
        </w:rPr>
        <w:t>self-exploration</w:t>
      </w:r>
      <w:r>
        <w:rPr>
          <w:rFonts w:ascii="Calibri" w:hAnsi="Calibri" w:cs="Calibri"/>
          <w:color w:val="000000"/>
          <w:shd w:val="clear" w:color="auto" w:fill="FCFCFC"/>
        </w:rPr>
        <w:t xml:space="preserve"> and relationship building, but it also examines the need for further training. Youth engagement is </w:t>
      </w:r>
      <w:r>
        <w:rPr>
          <w:rFonts w:ascii="Calibri" w:hAnsi="Calibri" w:cs="Calibri"/>
          <w:color w:val="000000"/>
          <w:shd w:val="clear" w:color="auto" w:fill="FCFCFC"/>
        </w:rPr>
        <w:t>voluntary,</w:t>
      </w:r>
      <w:r>
        <w:rPr>
          <w:rFonts w:ascii="Calibri" w:hAnsi="Calibri" w:cs="Calibri"/>
          <w:color w:val="000000"/>
          <w:shd w:val="clear" w:color="auto" w:fill="FCFCFC"/>
        </w:rPr>
        <w:t xml:space="preserve"> and this can make it difficult for youth workers to interact with young people during youth sessions if the young person is inconsistent with attendance. However, a skilled youth worker is more likely to keep young people interested and therefore able to positively influence their lives.</w:t>
      </w:r>
    </w:p>
    <w:p w14:paraId="31BC455F" w14:textId="77777777" w:rsidR="00D10A23" w:rsidRDefault="00D10A23">
      <w:pPr>
        <w:rPr>
          <w:rFonts w:ascii="Calibri" w:eastAsia="Times New Roman" w:hAnsi="Calibri" w:cs="Calibri"/>
          <w:color w:val="000000"/>
          <w:sz w:val="24"/>
          <w:szCs w:val="24"/>
          <w:shd w:val="clear" w:color="auto" w:fill="FCFCFC"/>
          <w:lang w:eastAsia="en-GB"/>
        </w:rPr>
      </w:pPr>
      <w:r>
        <w:rPr>
          <w:rFonts w:ascii="Calibri" w:hAnsi="Calibri" w:cs="Calibri"/>
          <w:color w:val="000000"/>
          <w:shd w:val="clear" w:color="auto" w:fill="FCFCFC"/>
        </w:rPr>
        <w:br w:type="page"/>
      </w:r>
    </w:p>
    <w:p w14:paraId="4F967622" w14:textId="1BD0BBAB" w:rsidR="00D10A23" w:rsidRDefault="00D10A23" w:rsidP="00D10A23">
      <w:pPr>
        <w:pStyle w:val="NormalWeb"/>
        <w:spacing w:before="200" w:beforeAutospacing="0" w:after="200" w:afterAutospacing="0"/>
      </w:pPr>
      <w:r>
        <w:rPr>
          <w:rFonts w:ascii="Calibri" w:hAnsi="Calibri" w:cs="Calibri"/>
          <w:color w:val="000000"/>
          <w:shd w:val="clear" w:color="auto" w:fill="FCFCFC"/>
        </w:rPr>
        <w:lastRenderedPageBreak/>
        <w:t>References</w:t>
      </w:r>
    </w:p>
    <w:p w14:paraId="5A3EE23F" w14:textId="77777777" w:rsidR="00D10A23" w:rsidRDefault="00D10A23" w:rsidP="00D10A23">
      <w:pPr>
        <w:pStyle w:val="NormalWeb"/>
        <w:spacing w:before="200" w:beforeAutospacing="0" w:after="200" w:afterAutospacing="0"/>
      </w:pPr>
      <w:r>
        <w:rPr>
          <w:rFonts w:ascii="Calibri" w:hAnsi="Calibri" w:cs="Calibri"/>
          <w:color w:val="000000"/>
        </w:rPr>
        <w:t xml:space="preserve">Boyas. J and Wind. L. H (2010) Employment-based social capital, job stress, and employee burnout: A public child welfare employee structural model, </w:t>
      </w:r>
      <w:r>
        <w:rPr>
          <w:rFonts w:ascii="Calibri" w:hAnsi="Calibri" w:cs="Calibri"/>
          <w:i/>
          <w:iCs/>
          <w:color w:val="000000"/>
        </w:rPr>
        <w:t>Children and Youth Services Review 32</w:t>
      </w:r>
      <w:r>
        <w:rPr>
          <w:rFonts w:ascii="Calibri" w:hAnsi="Calibri" w:cs="Calibri"/>
          <w:color w:val="000000"/>
        </w:rPr>
        <w:t>(3) pgs. 380-388</w:t>
      </w:r>
    </w:p>
    <w:p w14:paraId="397A7A4E" w14:textId="669E9165"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Faulkner. M, Gerstenblatt. P, Lee. A, Vallejo. V and Travis. D (2016) </w:t>
      </w:r>
      <w:r w:rsidR="00A75E42">
        <w:rPr>
          <w:rFonts w:ascii="Calibri" w:hAnsi="Calibri" w:cs="Calibri"/>
          <w:color w:val="000000"/>
          <w:shd w:val="clear" w:color="auto" w:fill="FCFCFC"/>
        </w:rPr>
        <w:t>Childcare</w:t>
      </w:r>
      <w:r>
        <w:rPr>
          <w:rFonts w:ascii="Calibri" w:hAnsi="Calibri" w:cs="Calibri"/>
          <w:color w:val="000000"/>
          <w:shd w:val="clear" w:color="auto" w:fill="FCFCFC"/>
        </w:rPr>
        <w:t xml:space="preserve"> providers: Work stress and personal well-being, </w:t>
      </w:r>
      <w:r>
        <w:rPr>
          <w:rFonts w:ascii="Calibri" w:hAnsi="Calibri" w:cs="Calibri"/>
          <w:i/>
          <w:iCs/>
          <w:color w:val="000000"/>
          <w:shd w:val="clear" w:color="auto" w:fill="FCFCFC"/>
        </w:rPr>
        <w:t>Journal of Early Childhood Research</w:t>
      </w:r>
      <w:r>
        <w:rPr>
          <w:rFonts w:ascii="Calibri" w:hAnsi="Calibri" w:cs="Calibri"/>
          <w:color w:val="000000"/>
          <w:shd w:val="clear" w:color="auto" w:fill="FCFCFC"/>
        </w:rPr>
        <w:t xml:space="preserve"> 14(3) pgs. 280-293</w:t>
      </w:r>
    </w:p>
    <w:p w14:paraId="2AB2DFFF" w14:textId="77777777" w:rsidR="00D10A23" w:rsidRDefault="00D10A23" w:rsidP="00D10A23">
      <w:pPr>
        <w:pStyle w:val="NormalWeb"/>
        <w:spacing w:before="200" w:beforeAutospacing="0" w:after="200" w:afterAutospacing="0"/>
      </w:pPr>
      <w:r>
        <w:rPr>
          <w:rFonts w:ascii="Calibri" w:hAnsi="Calibri" w:cs="Calibri"/>
          <w:color w:val="000000"/>
        </w:rPr>
        <w:t xml:space="preserve">Freire. P (1972) </w:t>
      </w:r>
      <w:r>
        <w:rPr>
          <w:rFonts w:ascii="Calibri" w:hAnsi="Calibri" w:cs="Calibri"/>
          <w:i/>
          <w:iCs/>
          <w:color w:val="000000"/>
        </w:rPr>
        <w:t>Pedagogy of the Oppressed</w:t>
      </w:r>
      <w:r>
        <w:rPr>
          <w:rFonts w:ascii="Calibri" w:hAnsi="Calibri" w:cs="Calibri"/>
          <w:color w:val="000000"/>
        </w:rPr>
        <w:t>, Harmondsworth: Penguin</w:t>
      </w:r>
    </w:p>
    <w:p w14:paraId="2B48156D"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Frosch. C (2018) Impact of Reflective Supervision on Early Childhood Interventionists’ Perceptions of Self‐Efficacy, Job Satisfaction, and Job Stress, </w:t>
      </w:r>
      <w:r>
        <w:rPr>
          <w:rFonts w:ascii="Calibri" w:hAnsi="Calibri" w:cs="Calibri"/>
          <w:i/>
          <w:iCs/>
          <w:color w:val="000000"/>
          <w:shd w:val="clear" w:color="auto" w:fill="FCFCFC"/>
        </w:rPr>
        <w:t>Infant Mental Health Journal</w:t>
      </w:r>
      <w:r>
        <w:rPr>
          <w:rFonts w:ascii="Calibri" w:hAnsi="Calibri" w:cs="Calibri"/>
          <w:color w:val="000000"/>
          <w:shd w:val="clear" w:color="auto" w:fill="FCFCFC"/>
        </w:rPr>
        <w:t xml:space="preserve"> 39(4) pgs. 385-395</w:t>
      </w:r>
    </w:p>
    <w:p w14:paraId="076ABDA2"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Jeffs. T and Smith. M (1996) </w:t>
      </w:r>
      <w:r>
        <w:rPr>
          <w:rFonts w:ascii="Calibri" w:hAnsi="Calibri" w:cs="Calibri"/>
          <w:i/>
          <w:iCs/>
          <w:color w:val="000000"/>
          <w:shd w:val="clear" w:color="auto" w:fill="FCFCFC"/>
        </w:rPr>
        <w:t xml:space="preserve">Informal Education-Conversation, Democracy and Learning, </w:t>
      </w:r>
      <w:r>
        <w:rPr>
          <w:rFonts w:ascii="Calibri" w:hAnsi="Calibri" w:cs="Calibri"/>
          <w:color w:val="000000"/>
          <w:shd w:val="clear" w:color="auto" w:fill="FCFCFC"/>
        </w:rPr>
        <w:t>Derby: Education Now Publishing Co-operative Ltd</w:t>
      </w:r>
    </w:p>
    <w:p w14:paraId="24F9AAD2"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Jeffs. T and Smith. M (1998) The problem of ‘Youth’ for Youth Work, </w:t>
      </w:r>
      <w:r>
        <w:rPr>
          <w:rFonts w:ascii="Calibri" w:hAnsi="Calibri" w:cs="Calibri"/>
          <w:i/>
          <w:iCs/>
          <w:color w:val="000000"/>
          <w:shd w:val="clear" w:color="auto" w:fill="FCFCFC"/>
        </w:rPr>
        <w:t>Youth and Policy</w:t>
      </w:r>
      <w:r>
        <w:rPr>
          <w:rFonts w:ascii="Calibri" w:hAnsi="Calibri" w:cs="Calibri"/>
          <w:color w:val="000000"/>
          <w:shd w:val="clear" w:color="auto" w:fill="FCFCFC"/>
        </w:rPr>
        <w:t xml:space="preserve"> 62(1) pgs. 45-66</w:t>
      </w:r>
    </w:p>
    <w:p w14:paraId="191B1242" w14:textId="77777777" w:rsidR="00D10A23" w:rsidRDefault="00D10A23" w:rsidP="00D10A23">
      <w:pPr>
        <w:pStyle w:val="NormalWeb"/>
        <w:spacing w:before="200" w:beforeAutospacing="0" w:after="200" w:afterAutospacing="0"/>
      </w:pPr>
      <w:r>
        <w:rPr>
          <w:rFonts w:ascii="Calibri" w:hAnsi="Calibri" w:cs="Calibri"/>
          <w:color w:val="000000"/>
        </w:rPr>
        <w:t xml:space="preserve">Jenkinson. H (2010) The Importance and Benefits of Supervision in Youth Work Practice, </w:t>
      </w:r>
      <w:r>
        <w:rPr>
          <w:rFonts w:ascii="Calibri" w:hAnsi="Calibri" w:cs="Calibri"/>
          <w:i/>
          <w:iCs/>
          <w:color w:val="000000"/>
        </w:rPr>
        <w:t>Child &amp; Youth Services</w:t>
      </w:r>
      <w:r>
        <w:rPr>
          <w:rFonts w:ascii="Calibri" w:hAnsi="Calibri" w:cs="Calibri"/>
          <w:color w:val="000000"/>
        </w:rPr>
        <w:t xml:space="preserve"> 31(3) pgs. 157-169</w:t>
      </w:r>
    </w:p>
    <w:p w14:paraId="3E982AE5"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Johnco. C, Salloum. A, Olson. K. R and Edwards. L. M. (2014) Child welfare workers’ perspectives on contributing factors to retention and turnover: Recommendations for improvement, </w:t>
      </w:r>
      <w:r>
        <w:rPr>
          <w:rFonts w:ascii="Calibri" w:hAnsi="Calibri" w:cs="Calibri"/>
          <w:i/>
          <w:iCs/>
          <w:color w:val="000000"/>
          <w:shd w:val="clear" w:color="auto" w:fill="FCFCFC"/>
        </w:rPr>
        <w:t>Children &amp; Youth Services Review</w:t>
      </w:r>
      <w:r>
        <w:rPr>
          <w:rFonts w:ascii="Calibri" w:hAnsi="Calibri" w:cs="Calibri"/>
          <w:color w:val="000000"/>
          <w:shd w:val="clear" w:color="auto" w:fill="FCFCFC"/>
        </w:rPr>
        <w:t xml:space="preserve"> 47(1) pgs. 397-407</w:t>
      </w:r>
    </w:p>
    <w:p w14:paraId="6EB26084"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Kadushin. A and Harkness. D (2014) </w:t>
      </w:r>
      <w:r>
        <w:rPr>
          <w:rFonts w:ascii="Calibri" w:hAnsi="Calibri" w:cs="Calibri"/>
          <w:i/>
          <w:iCs/>
          <w:color w:val="000000"/>
          <w:shd w:val="clear" w:color="auto" w:fill="FCFCFC"/>
        </w:rPr>
        <w:t>Supervision in social work</w:t>
      </w:r>
      <w:r>
        <w:rPr>
          <w:rFonts w:ascii="Calibri" w:hAnsi="Calibri" w:cs="Calibri"/>
          <w:color w:val="000000"/>
          <w:shd w:val="clear" w:color="auto" w:fill="FCFCFC"/>
        </w:rPr>
        <w:t>, New York: Columbia University Press</w:t>
      </w:r>
    </w:p>
    <w:p w14:paraId="4C2D932D"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Knowles. M. S, Holton. E. F and Swanson. R. A (2005) </w:t>
      </w:r>
      <w:r>
        <w:rPr>
          <w:rFonts w:ascii="Calibri" w:hAnsi="Calibri" w:cs="Calibri"/>
          <w:i/>
          <w:iCs/>
          <w:color w:val="000000"/>
          <w:shd w:val="clear" w:color="auto" w:fill="FCFCFC"/>
        </w:rPr>
        <w:t>The adult learner: The definitive classic in adult education and human resource development</w:t>
      </w:r>
      <w:r>
        <w:rPr>
          <w:rFonts w:ascii="Calibri" w:hAnsi="Calibri" w:cs="Calibri"/>
          <w:color w:val="000000"/>
          <w:shd w:val="clear" w:color="auto" w:fill="FCFCFC"/>
        </w:rPr>
        <w:t>, Amsterdam: Elsevier</w:t>
      </w:r>
    </w:p>
    <w:p w14:paraId="0B73FC7E"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Lee. J, Weaver. C and Hrostowski. S (2011) Psychological empowerment and child welfare worker outcomes: A path analysis, </w:t>
      </w:r>
      <w:r>
        <w:rPr>
          <w:rFonts w:ascii="Calibri" w:hAnsi="Calibri" w:cs="Calibri"/>
          <w:i/>
          <w:iCs/>
          <w:color w:val="000000"/>
          <w:shd w:val="clear" w:color="auto" w:fill="FCFCFC"/>
        </w:rPr>
        <w:t>Child &amp; Youth Care Forum 40</w:t>
      </w:r>
      <w:r>
        <w:rPr>
          <w:rFonts w:ascii="Calibri" w:hAnsi="Calibri" w:cs="Calibri"/>
          <w:color w:val="000000"/>
          <w:shd w:val="clear" w:color="auto" w:fill="FCFCFC"/>
        </w:rPr>
        <w:t>(6) pgs. 479-497</w:t>
      </w:r>
    </w:p>
    <w:p w14:paraId="7BAA2AC3" w14:textId="77777777" w:rsidR="00D10A23" w:rsidRDefault="00D10A23" w:rsidP="00D10A23">
      <w:pPr>
        <w:pStyle w:val="NormalWeb"/>
        <w:spacing w:before="200" w:beforeAutospacing="0" w:after="200" w:afterAutospacing="0"/>
      </w:pPr>
      <w:r>
        <w:rPr>
          <w:rFonts w:ascii="Calibri" w:hAnsi="Calibri" w:cs="Calibri"/>
          <w:color w:val="000000"/>
        </w:rPr>
        <w:t xml:space="preserve">McNamara. Y, Lawley. M and Towler. J (2007) Supervision in the context of Youth and Community Work Training, </w:t>
      </w:r>
      <w:r>
        <w:rPr>
          <w:rFonts w:ascii="Calibri" w:hAnsi="Calibri" w:cs="Calibri"/>
          <w:i/>
          <w:iCs/>
          <w:color w:val="000000"/>
        </w:rPr>
        <w:t>Youth &amp; Policy</w:t>
      </w:r>
      <w:r>
        <w:rPr>
          <w:rFonts w:ascii="Calibri" w:hAnsi="Calibri" w:cs="Calibri"/>
          <w:color w:val="000000"/>
        </w:rPr>
        <w:t xml:space="preserve"> 97(98) pgs. 73-90</w:t>
      </w:r>
    </w:p>
    <w:p w14:paraId="4A37757F" w14:textId="77777777" w:rsidR="00D10A23" w:rsidRDefault="00D10A23" w:rsidP="00D10A23">
      <w:pPr>
        <w:pStyle w:val="NormalWeb"/>
        <w:spacing w:before="200" w:beforeAutospacing="0" w:after="200" w:afterAutospacing="0"/>
      </w:pPr>
      <w:r>
        <w:rPr>
          <w:rFonts w:ascii="Calibri" w:hAnsi="Calibri" w:cs="Calibri"/>
          <w:color w:val="000000"/>
        </w:rPr>
        <w:t xml:space="preserve">Mitchell. D (2019) Reflections on Existential Supervision, Existential Analysis, </w:t>
      </w:r>
      <w:r>
        <w:rPr>
          <w:rFonts w:ascii="Calibri" w:hAnsi="Calibri" w:cs="Calibri"/>
          <w:i/>
          <w:iCs/>
          <w:color w:val="000000"/>
        </w:rPr>
        <w:t>Journal of the Society for Existential Analysis</w:t>
      </w:r>
      <w:r>
        <w:rPr>
          <w:rFonts w:ascii="Calibri" w:hAnsi="Calibri" w:cs="Calibri"/>
          <w:color w:val="000000"/>
        </w:rPr>
        <w:t xml:space="preserve"> 30(2) pgs. 275-284</w:t>
      </w:r>
    </w:p>
    <w:p w14:paraId="4CA37050"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O’Rourke. P (2011) The significance of reflective supervision for infant mental health work, </w:t>
      </w:r>
      <w:r>
        <w:rPr>
          <w:rFonts w:ascii="Calibri" w:hAnsi="Calibri" w:cs="Calibri"/>
          <w:i/>
          <w:iCs/>
          <w:color w:val="000000"/>
          <w:shd w:val="clear" w:color="auto" w:fill="FCFCFC"/>
        </w:rPr>
        <w:t>Infant Mental Health Journal</w:t>
      </w:r>
      <w:r>
        <w:rPr>
          <w:rFonts w:ascii="Calibri" w:hAnsi="Calibri" w:cs="Calibri"/>
          <w:color w:val="000000"/>
          <w:shd w:val="clear" w:color="auto" w:fill="FCFCFC"/>
        </w:rPr>
        <w:t xml:space="preserve"> 32(2) pgs. 165-173</w:t>
      </w:r>
    </w:p>
    <w:p w14:paraId="35188B79" w14:textId="77777777" w:rsidR="00D10A23" w:rsidRDefault="00D10A23" w:rsidP="00D10A23">
      <w:pPr>
        <w:pStyle w:val="NormalWeb"/>
        <w:spacing w:before="200" w:beforeAutospacing="0" w:after="200" w:afterAutospacing="0"/>
      </w:pPr>
      <w:r>
        <w:rPr>
          <w:rFonts w:ascii="Calibri" w:hAnsi="Calibri" w:cs="Calibri"/>
          <w:color w:val="000000"/>
        </w:rPr>
        <w:t xml:space="preserve">Richardson. L. D and Wolf. M (2001) </w:t>
      </w:r>
      <w:r>
        <w:rPr>
          <w:rFonts w:ascii="Calibri" w:hAnsi="Calibri" w:cs="Calibri"/>
          <w:i/>
          <w:iCs/>
          <w:color w:val="000000"/>
        </w:rPr>
        <w:t>Principles and Practice of Informal Education</w:t>
      </w:r>
      <w:r>
        <w:rPr>
          <w:rFonts w:ascii="Calibri" w:hAnsi="Calibri" w:cs="Calibri"/>
          <w:color w:val="000000"/>
        </w:rPr>
        <w:t>, Routledge: New York</w:t>
      </w:r>
    </w:p>
    <w:p w14:paraId="09AB75B4" w14:textId="77777777" w:rsidR="00D10A23" w:rsidRDefault="00D10A23" w:rsidP="00D10A23">
      <w:pPr>
        <w:pStyle w:val="NormalWeb"/>
        <w:spacing w:before="200" w:beforeAutospacing="0" w:after="200" w:afterAutospacing="0"/>
      </w:pPr>
      <w:r>
        <w:rPr>
          <w:rFonts w:ascii="Calibri" w:hAnsi="Calibri" w:cs="Calibri"/>
          <w:color w:val="000000"/>
        </w:rPr>
        <w:t xml:space="preserve">Sapin. K (2013) </w:t>
      </w:r>
      <w:r>
        <w:rPr>
          <w:rFonts w:ascii="Calibri" w:hAnsi="Calibri" w:cs="Calibri"/>
          <w:i/>
          <w:iCs/>
          <w:color w:val="000000"/>
        </w:rPr>
        <w:t>Essential skills for youth work practice</w:t>
      </w:r>
      <w:r>
        <w:rPr>
          <w:rFonts w:ascii="Calibri" w:hAnsi="Calibri" w:cs="Calibri"/>
          <w:color w:val="000000"/>
        </w:rPr>
        <w:t xml:space="preserve"> (2</w:t>
      </w:r>
      <w:r>
        <w:rPr>
          <w:rFonts w:ascii="Calibri" w:hAnsi="Calibri" w:cs="Calibri"/>
          <w:color w:val="000000"/>
          <w:sz w:val="14"/>
          <w:szCs w:val="14"/>
          <w:vertAlign w:val="superscript"/>
        </w:rPr>
        <w:t>nd</w:t>
      </w:r>
      <w:r>
        <w:rPr>
          <w:rFonts w:ascii="Calibri" w:hAnsi="Calibri" w:cs="Calibri"/>
          <w:color w:val="000000"/>
        </w:rPr>
        <w:t xml:space="preserve"> Ed), London: Sage</w:t>
      </w:r>
    </w:p>
    <w:p w14:paraId="11CF3E94" w14:textId="3FAAA480"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Schon. D. A (1982) </w:t>
      </w:r>
      <w:r>
        <w:rPr>
          <w:rFonts w:ascii="Calibri" w:hAnsi="Calibri" w:cs="Calibri"/>
          <w:i/>
          <w:iCs/>
          <w:color w:val="000000"/>
          <w:shd w:val="clear" w:color="auto" w:fill="FCFCFC"/>
        </w:rPr>
        <w:t>The Reflectio</w:t>
      </w:r>
      <w:r w:rsidR="00F06757">
        <w:rPr>
          <w:rFonts w:ascii="Calibri" w:hAnsi="Calibri" w:cs="Calibri"/>
          <w:i/>
          <w:iCs/>
          <w:color w:val="000000"/>
          <w:shd w:val="clear" w:color="auto" w:fill="FCFCFC"/>
        </w:rPr>
        <w:t>n</w:t>
      </w:r>
      <w:r w:rsidR="008E017F">
        <w:rPr>
          <w:rFonts w:ascii="Calibri" w:hAnsi="Calibri" w:cs="Calibri"/>
          <w:i/>
          <w:iCs/>
          <w:color w:val="000000"/>
          <w:shd w:val="clear" w:color="auto" w:fill="FCFCFC"/>
        </w:rPr>
        <w:t xml:space="preserve"> of</w:t>
      </w:r>
      <w:r>
        <w:rPr>
          <w:rFonts w:ascii="Calibri" w:hAnsi="Calibri" w:cs="Calibri"/>
          <w:i/>
          <w:iCs/>
          <w:color w:val="000000"/>
          <w:shd w:val="clear" w:color="auto" w:fill="FCFCFC"/>
        </w:rPr>
        <w:t>: How Professionals Think in Action</w:t>
      </w:r>
      <w:r>
        <w:rPr>
          <w:rFonts w:ascii="Calibri" w:hAnsi="Calibri" w:cs="Calibri"/>
          <w:color w:val="000000"/>
          <w:shd w:val="clear" w:color="auto" w:fill="FCFCFC"/>
        </w:rPr>
        <w:t>, Education Basic Books </w:t>
      </w:r>
    </w:p>
    <w:p w14:paraId="56A0727B"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lastRenderedPageBreak/>
        <w:t xml:space="preserve">Tsui. M (2005) </w:t>
      </w:r>
      <w:r>
        <w:rPr>
          <w:rFonts w:ascii="Calibri" w:hAnsi="Calibri" w:cs="Calibri"/>
          <w:i/>
          <w:iCs/>
          <w:color w:val="000000"/>
          <w:shd w:val="clear" w:color="auto" w:fill="FCFCFC"/>
        </w:rPr>
        <w:t>Social work supervision: Contexts and concepts</w:t>
      </w:r>
      <w:r>
        <w:rPr>
          <w:rFonts w:ascii="Calibri" w:hAnsi="Calibri" w:cs="Calibri"/>
          <w:color w:val="000000"/>
          <w:shd w:val="clear" w:color="auto" w:fill="FCFCFC"/>
        </w:rPr>
        <w:t>, Thousand Oaks: Sage</w:t>
      </w:r>
    </w:p>
    <w:p w14:paraId="6454B3CB"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Wiedow. J (2017) Youth Work Supervision: Supporting Practice through Reflection, </w:t>
      </w:r>
      <w:r>
        <w:rPr>
          <w:rFonts w:ascii="Calibri" w:hAnsi="Calibri" w:cs="Calibri"/>
          <w:i/>
          <w:iCs/>
          <w:color w:val="000000"/>
          <w:shd w:val="clear" w:color="auto" w:fill="FCFCFC"/>
        </w:rPr>
        <w:t>Journal of youth development</w:t>
      </w:r>
      <w:r>
        <w:rPr>
          <w:rFonts w:ascii="Calibri" w:hAnsi="Calibri" w:cs="Calibri"/>
          <w:color w:val="000000"/>
          <w:shd w:val="clear" w:color="auto" w:fill="FCFCFC"/>
        </w:rPr>
        <w:t xml:space="preserve"> 12(1) pgs. 29-46</w:t>
      </w:r>
    </w:p>
    <w:p w14:paraId="20826E28" w14:textId="77777777" w:rsidR="00D10A23" w:rsidRDefault="00D10A23" w:rsidP="00D10A23">
      <w:pPr>
        <w:pStyle w:val="NormalWeb"/>
        <w:spacing w:before="200" w:beforeAutospacing="0" w:after="200" w:afterAutospacing="0"/>
      </w:pPr>
      <w:r>
        <w:rPr>
          <w:rFonts w:ascii="Calibri" w:hAnsi="Calibri" w:cs="Calibri"/>
          <w:color w:val="000000"/>
          <w:shd w:val="clear" w:color="auto" w:fill="FCFCFC"/>
        </w:rPr>
        <w:t xml:space="preserve">Young. K (1999) </w:t>
      </w:r>
      <w:r>
        <w:rPr>
          <w:rFonts w:ascii="Calibri" w:hAnsi="Calibri" w:cs="Calibri"/>
          <w:i/>
          <w:iCs/>
          <w:color w:val="000000"/>
          <w:shd w:val="clear" w:color="auto" w:fill="FCFCFC"/>
        </w:rPr>
        <w:t>The Art of Youth Work</w:t>
      </w:r>
      <w:r>
        <w:rPr>
          <w:rFonts w:ascii="Calibri" w:hAnsi="Calibri" w:cs="Calibri"/>
          <w:color w:val="000000"/>
          <w:shd w:val="clear" w:color="auto" w:fill="FCFCFC"/>
        </w:rPr>
        <w:t>, Dorset: Russell House Publishing Ltd</w:t>
      </w:r>
    </w:p>
    <w:p w14:paraId="46C8AE3A" w14:textId="77777777" w:rsidR="00D10A23" w:rsidRDefault="00D10A23" w:rsidP="00D10A23">
      <w:pPr>
        <w:pStyle w:val="NormalWeb"/>
        <w:spacing w:before="200" w:beforeAutospacing="0" w:after="200" w:afterAutospacing="0"/>
      </w:pPr>
      <w:r>
        <w:rPr>
          <w:rFonts w:ascii="Calibri" w:hAnsi="Calibri" w:cs="Calibri"/>
          <w:color w:val="000000"/>
        </w:rPr>
        <w:t>Youth work in Wales Review Group (2013) Youth work in Wales: Principles and Purposes</w:t>
      </w:r>
    </w:p>
    <w:p w14:paraId="344C8BF4" w14:textId="6425F979" w:rsidR="00235BBF" w:rsidRPr="00334D91" w:rsidRDefault="00241CA8" w:rsidP="00824F87">
      <w:r>
        <w:rPr>
          <w:rFonts w:cstheme="minorHAnsi"/>
          <w:shd w:val="clear" w:color="auto" w:fill="FCFCFC"/>
        </w:rPr>
        <w:t xml:space="preserve"> </w:t>
      </w:r>
    </w:p>
    <w:sectPr w:rsidR="00235BBF" w:rsidRPr="00334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F28"/>
    <w:rsid w:val="00007646"/>
    <w:rsid w:val="00011FAC"/>
    <w:rsid w:val="00013D54"/>
    <w:rsid w:val="00017495"/>
    <w:rsid w:val="00026FE6"/>
    <w:rsid w:val="00044F23"/>
    <w:rsid w:val="0005058F"/>
    <w:rsid w:val="00053D0D"/>
    <w:rsid w:val="000676A9"/>
    <w:rsid w:val="000745C2"/>
    <w:rsid w:val="0008080C"/>
    <w:rsid w:val="00082213"/>
    <w:rsid w:val="00085B6D"/>
    <w:rsid w:val="0008638D"/>
    <w:rsid w:val="00093529"/>
    <w:rsid w:val="000A78ED"/>
    <w:rsid w:val="000B1E19"/>
    <w:rsid w:val="000D503D"/>
    <w:rsid w:val="000E26E9"/>
    <w:rsid w:val="000E7090"/>
    <w:rsid w:val="000E771A"/>
    <w:rsid w:val="000F0CB0"/>
    <w:rsid w:val="000F1CDC"/>
    <w:rsid w:val="000F3F2B"/>
    <w:rsid w:val="00105881"/>
    <w:rsid w:val="00105C96"/>
    <w:rsid w:val="001317F1"/>
    <w:rsid w:val="001423E9"/>
    <w:rsid w:val="00150B0C"/>
    <w:rsid w:val="001642CE"/>
    <w:rsid w:val="00175C77"/>
    <w:rsid w:val="001A5398"/>
    <w:rsid w:val="001C4012"/>
    <w:rsid w:val="001D47BE"/>
    <w:rsid w:val="001D4C41"/>
    <w:rsid w:val="001E312D"/>
    <w:rsid w:val="001E3977"/>
    <w:rsid w:val="001E4B60"/>
    <w:rsid w:val="001E66AE"/>
    <w:rsid w:val="001E7C4A"/>
    <w:rsid w:val="002231C5"/>
    <w:rsid w:val="00235BBF"/>
    <w:rsid w:val="00241CA8"/>
    <w:rsid w:val="00250948"/>
    <w:rsid w:val="00264D22"/>
    <w:rsid w:val="00287D3C"/>
    <w:rsid w:val="00293F49"/>
    <w:rsid w:val="00295380"/>
    <w:rsid w:val="002A2F1A"/>
    <w:rsid w:val="002A6AF7"/>
    <w:rsid w:val="002B0D5F"/>
    <w:rsid w:val="002B1CD2"/>
    <w:rsid w:val="002C0D60"/>
    <w:rsid w:val="002C5498"/>
    <w:rsid w:val="002E096F"/>
    <w:rsid w:val="002E50CA"/>
    <w:rsid w:val="002F5989"/>
    <w:rsid w:val="00317DC1"/>
    <w:rsid w:val="0033262E"/>
    <w:rsid w:val="00334D91"/>
    <w:rsid w:val="0035740D"/>
    <w:rsid w:val="0038660B"/>
    <w:rsid w:val="003A7AE6"/>
    <w:rsid w:val="003C2642"/>
    <w:rsid w:val="003C5C27"/>
    <w:rsid w:val="003C72F7"/>
    <w:rsid w:val="003D7730"/>
    <w:rsid w:val="003F220B"/>
    <w:rsid w:val="0040539D"/>
    <w:rsid w:val="004177DE"/>
    <w:rsid w:val="00420246"/>
    <w:rsid w:val="00422E3E"/>
    <w:rsid w:val="00430A7E"/>
    <w:rsid w:val="00435F8A"/>
    <w:rsid w:val="0047569F"/>
    <w:rsid w:val="00484F5E"/>
    <w:rsid w:val="004B3B40"/>
    <w:rsid w:val="004C5D4D"/>
    <w:rsid w:val="004D2381"/>
    <w:rsid w:val="004D71A7"/>
    <w:rsid w:val="004D7D01"/>
    <w:rsid w:val="004F38CC"/>
    <w:rsid w:val="004F76F6"/>
    <w:rsid w:val="00525103"/>
    <w:rsid w:val="00546B23"/>
    <w:rsid w:val="005616EE"/>
    <w:rsid w:val="00561E23"/>
    <w:rsid w:val="00564C77"/>
    <w:rsid w:val="005A56F5"/>
    <w:rsid w:val="005E0806"/>
    <w:rsid w:val="005E31FB"/>
    <w:rsid w:val="005E51F0"/>
    <w:rsid w:val="005F01C8"/>
    <w:rsid w:val="00611780"/>
    <w:rsid w:val="006352DE"/>
    <w:rsid w:val="00662E6C"/>
    <w:rsid w:val="006663C2"/>
    <w:rsid w:val="00674C28"/>
    <w:rsid w:val="00682DBC"/>
    <w:rsid w:val="006B0C00"/>
    <w:rsid w:val="006B6AE8"/>
    <w:rsid w:val="006D320E"/>
    <w:rsid w:val="006E1FC0"/>
    <w:rsid w:val="006E55E1"/>
    <w:rsid w:val="006F0A3F"/>
    <w:rsid w:val="006F4D03"/>
    <w:rsid w:val="00707055"/>
    <w:rsid w:val="0071573F"/>
    <w:rsid w:val="00731919"/>
    <w:rsid w:val="00732F17"/>
    <w:rsid w:val="00750697"/>
    <w:rsid w:val="00762EB4"/>
    <w:rsid w:val="00780AC5"/>
    <w:rsid w:val="007A36A7"/>
    <w:rsid w:val="007D60DE"/>
    <w:rsid w:val="007E08F2"/>
    <w:rsid w:val="007E18A5"/>
    <w:rsid w:val="007E346E"/>
    <w:rsid w:val="00824F87"/>
    <w:rsid w:val="00845A12"/>
    <w:rsid w:val="008757ED"/>
    <w:rsid w:val="00876077"/>
    <w:rsid w:val="008761EB"/>
    <w:rsid w:val="00877288"/>
    <w:rsid w:val="00882476"/>
    <w:rsid w:val="008B4EE8"/>
    <w:rsid w:val="008C0B18"/>
    <w:rsid w:val="008C485A"/>
    <w:rsid w:val="008C4D03"/>
    <w:rsid w:val="008D16A1"/>
    <w:rsid w:val="008D66E3"/>
    <w:rsid w:val="008E017F"/>
    <w:rsid w:val="008F3843"/>
    <w:rsid w:val="009250A2"/>
    <w:rsid w:val="009309DD"/>
    <w:rsid w:val="00937A84"/>
    <w:rsid w:val="00941E33"/>
    <w:rsid w:val="0094751A"/>
    <w:rsid w:val="00966FBF"/>
    <w:rsid w:val="00974D55"/>
    <w:rsid w:val="00982766"/>
    <w:rsid w:val="009A2975"/>
    <w:rsid w:val="009B5E5B"/>
    <w:rsid w:val="009B7482"/>
    <w:rsid w:val="009C72BF"/>
    <w:rsid w:val="009D5D0E"/>
    <w:rsid w:val="009E7D35"/>
    <w:rsid w:val="009F0FB5"/>
    <w:rsid w:val="00A04CB9"/>
    <w:rsid w:val="00A348F3"/>
    <w:rsid w:val="00A50DAB"/>
    <w:rsid w:val="00A61E21"/>
    <w:rsid w:val="00A66670"/>
    <w:rsid w:val="00A75E42"/>
    <w:rsid w:val="00A84DF5"/>
    <w:rsid w:val="00A85AB4"/>
    <w:rsid w:val="00AB4137"/>
    <w:rsid w:val="00AB660C"/>
    <w:rsid w:val="00AC6529"/>
    <w:rsid w:val="00AE4145"/>
    <w:rsid w:val="00AE6E3E"/>
    <w:rsid w:val="00AF3E74"/>
    <w:rsid w:val="00AF6E14"/>
    <w:rsid w:val="00B15A77"/>
    <w:rsid w:val="00B278F3"/>
    <w:rsid w:val="00B32478"/>
    <w:rsid w:val="00B4208B"/>
    <w:rsid w:val="00B45F5C"/>
    <w:rsid w:val="00B46BB6"/>
    <w:rsid w:val="00B703AC"/>
    <w:rsid w:val="00B82049"/>
    <w:rsid w:val="00B90655"/>
    <w:rsid w:val="00B92899"/>
    <w:rsid w:val="00BC169A"/>
    <w:rsid w:val="00BC7296"/>
    <w:rsid w:val="00BD332A"/>
    <w:rsid w:val="00BF4284"/>
    <w:rsid w:val="00C32E4A"/>
    <w:rsid w:val="00C61DD6"/>
    <w:rsid w:val="00C66C62"/>
    <w:rsid w:val="00C9548F"/>
    <w:rsid w:val="00CB37A6"/>
    <w:rsid w:val="00CB74E9"/>
    <w:rsid w:val="00CD465A"/>
    <w:rsid w:val="00CE451D"/>
    <w:rsid w:val="00CF1818"/>
    <w:rsid w:val="00D04A44"/>
    <w:rsid w:val="00D10A23"/>
    <w:rsid w:val="00D10F28"/>
    <w:rsid w:val="00D11F70"/>
    <w:rsid w:val="00D14946"/>
    <w:rsid w:val="00D3550E"/>
    <w:rsid w:val="00D524BC"/>
    <w:rsid w:val="00D65059"/>
    <w:rsid w:val="00D6569A"/>
    <w:rsid w:val="00D82338"/>
    <w:rsid w:val="00D91551"/>
    <w:rsid w:val="00DA6093"/>
    <w:rsid w:val="00DC02C4"/>
    <w:rsid w:val="00DE6750"/>
    <w:rsid w:val="00DE7657"/>
    <w:rsid w:val="00DF359E"/>
    <w:rsid w:val="00E1674E"/>
    <w:rsid w:val="00E3505C"/>
    <w:rsid w:val="00E44190"/>
    <w:rsid w:val="00E4593A"/>
    <w:rsid w:val="00E50B45"/>
    <w:rsid w:val="00E50D09"/>
    <w:rsid w:val="00E56F37"/>
    <w:rsid w:val="00E652B0"/>
    <w:rsid w:val="00E7290C"/>
    <w:rsid w:val="00E74831"/>
    <w:rsid w:val="00E75B92"/>
    <w:rsid w:val="00E96CA0"/>
    <w:rsid w:val="00EA5F33"/>
    <w:rsid w:val="00EC4D8B"/>
    <w:rsid w:val="00EE3479"/>
    <w:rsid w:val="00EF7080"/>
    <w:rsid w:val="00F012DD"/>
    <w:rsid w:val="00F04E5C"/>
    <w:rsid w:val="00F06757"/>
    <w:rsid w:val="00F10CEB"/>
    <w:rsid w:val="00F14146"/>
    <w:rsid w:val="00F271FE"/>
    <w:rsid w:val="00F37F02"/>
    <w:rsid w:val="00F452A2"/>
    <w:rsid w:val="00F500F6"/>
    <w:rsid w:val="00F63973"/>
    <w:rsid w:val="00F651DE"/>
    <w:rsid w:val="00F77D26"/>
    <w:rsid w:val="00FA178C"/>
    <w:rsid w:val="00FA4319"/>
    <w:rsid w:val="00FB320D"/>
    <w:rsid w:val="00FB41DE"/>
    <w:rsid w:val="00FC6376"/>
    <w:rsid w:val="00FC7451"/>
    <w:rsid w:val="00FD57BE"/>
    <w:rsid w:val="00FD6715"/>
    <w:rsid w:val="00FF3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4CB7"/>
  <w15:chartTrackingRefBased/>
  <w15:docId w15:val="{91631F5E-F77D-4C7C-A002-0904DB604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231C5"/>
    <w:rPr>
      <w:color w:val="0000FF"/>
      <w:u w:val="single"/>
    </w:rPr>
  </w:style>
  <w:style w:type="paragraph" w:customStyle="1" w:styleId="c-article-referencestext">
    <w:name w:val="c-article-references__text"/>
    <w:basedOn w:val="Normal"/>
    <w:rsid w:val="00B15A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Indent">
    <w:name w:val="Body Text Indent"/>
    <w:basedOn w:val="Normal"/>
    <w:link w:val="BodyTextIndentChar"/>
    <w:unhideWhenUsed/>
    <w:rsid w:val="00CB37A6"/>
    <w:pPr>
      <w:spacing w:after="120" w:line="240" w:lineRule="auto"/>
      <w:ind w:left="283"/>
    </w:pPr>
    <w:rPr>
      <w:rFonts w:ascii="Times New Roman" w:eastAsia="Times New Roman" w:hAnsi="Times New Roman" w:cs="Times New Roman"/>
      <w:sz w:val="24"/>
      <w:szCs w:val="24"/>
      <w:lang w:eastAsia="en-GB"/>
    </w:rPr>
  </w:style>
  <w:style w:type="character" w:customStyle="1" w:styleId="BodyTextIndentChar">
    <w:name w:val="Body Text Indent Char"/>
    <w:basedOn w:val="DefaultParagraphFont"/>
    <w:link w:val="BodyTextIndent"/>
    <w:rsid w:val="00CB37A6"/>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10A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D10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894911">
      <w:bodyDiv w:val="1"/>
      <w:marLeft w:val="0"/>
      <w:marRight w:val="0"/>
      <w:marTop w:val="0"/>
      <w:marBottom w:val="0"/>
      <w:divBdr>
        <w:top w:val="none" w:sz="0" w:space="0" w:color="auto"/>
        <w:left w:val="none" w:sz="0" w:space="0" w:color="auto"/>
        <w:bottom w:val="none" w:sz="0" w:space="0" w:color="auto"/>
        <w:right w:val="none" w:sz="0" w:space="0" w:color="auto"/>
      </w:divBdr>
    </w:div>
    <w:div w:id="358624331">
      <w:bodyDiv w:val="1"/>
      <w:marLeft w:val="0"/>
      <w:marRight w:val="0"/>
      <w:marTop w:val="0"/>
      <w:marBottom w:val="0"/>
      <w:divBdr>
        <w:top w:val="none" w:sz="0" w:space="0" w:color="auto"/>
        <w:left w:val="none" w:sz="0" w:space="0" w:color="auto"/>
        <w:bottom w:val="none" w:sz="0" w:space="0" w:color="auto"/>
        <w:right w:val="none" w:sz="0" w:space="0" w:color="auto"/>
      </w:divBdr>
    </w:div>
    <w:div w:id="532157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TotalTime>
  <Pages>6</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Jonas</dc:creator>
  <cp:keywords/>
  <dc:description/>
  <cp:lastModifiedBy>Sheree Jonas</cp:lastModifiedBy>
  <cp:revision>235</cp:revision>
  <dcterms:created xsi:type="dcterms:W3CDTF">2020-05-08T11:22:00Z</dcterms:created>
  <dcterms:modified xsi:type="dcterms:W3CDTF">2020-05-11T18:47:00Z</dcterms:modified>
</cp:coreProperties>
</file>