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D7CD8" w14:textId="26C0F121" w:rsidR="00FF7FAA" w:rsidRPr="00AF3B72" w:rsidRDefault="00ED6B6D" w:rsidP="00FF7FAA">
      <w:pPr>
        <w:jc w:val="center"/>
        <w:rPr>
          <w:sz w:val="40"/>
          <w:szCs w:val="40"/>
        </w:rPr>
      </w:pPr>
      <w:r w:rsidRPr="00AF3B72">
        <w:rPr>
          <w:sz w:val="40"/>
          <w:szCs w:val="40"/>
        </w:rPr>
        <w:t xml:space="preserve">The </w:t>
      </w:r>
      <w:r w:rsidR="00DB5735" w:rsidRPr="00AF3B72">
        <w:rPr>
          <w:sz w:val="40"/>
          <w:szCs w:val="40"/>
        </w:rPr>
        <w:t>I</w:t>
      </w:r>
      <w:r w:rsidRPr="00AF3B72">
        <w:rPr>
          <w:sz w:val="40"/>
          <w:szCs w:val="40"/>
        </w:rPr>
        <w:t xml:space="preserve">nfluence of Global Trade Agreements on </w:t>
      </w:r>
      <w:r w:rsidR="006A39DF" w:rsidRPr="00AF3B72">
        <w:rPr>
          <w:sz w:val="40"/>
          <w:szCs w:val="40"/>
        </w:rPr>
        <w:t>Stakeholder Engagement Strategies</w:t>
      </w:r>
    </w:p>
    <w:p w14:paraId="43BB6919" w14:textId="4DA0816F" w:rsidR="00FF7FAA" w:rsidRDefault="00ED6B6D" w:rsidP="00FF7FAA">
      <w:pPr>
        <w:jc w:val="center"/>
        <w:rPr>
          <w:sz w:val="48"/>
          <w:szCs w:val="48"/>
        </w:rPr>
      </w:pPr>
      <w:r>
        <w:rPr>
          <w:noProof/>
          <w:sz w:val="48"/>
          <w:szCs w:val="48"/>
        </w:rPr>
        <w:drawing>
          <wp:inline distT="0" distB="0" distL="0" distR="0" wp14:anchorId="21924F33" wp14:editId="3870B54B">
            <wp:extent cx="3454400" cy="1746250"/>
            <wp:effectExtent l="95250" t="76200" r="88900" b="939800"/>
            <wp:docPr id="1677219565" name="Picture 2"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19565" name="Picture 2" descr="A close up of word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54400" cy="174625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2D625706" w14:textId="61F9092F" w:rsidR="003C75D6" w:rsidRDefault="00BB6285" w:rsidP="00FF7FAA">
      <w:pPr>
        <w:jc w:val="center"/>
        <w:rPr>
          <w:color w:val="0D0D0D"/>
          <w:sz w:val="40"/>
          <w:szCs w:val="40"/>
          <w:shd w:val="clear" w:color="auto" w:fill="FFFFFF"/>
        </w:rPr>
      </w:pPr>
      <w:r>
        <w:rPr>
          <w:color w:val="0D0D0D"/>
          <w:sz w:val="40"/>
          <w:szCs w:val="40"/>
          <w:shd w:val="clear" w:color="auto" w:fill="FFFFFF"/>
        </w:rPr>
        <w:t>Exploring the crucial question of how multinational corporations can adapt stakeholder engagement strategies for the challenges posed by global trade agreements</w:t>
      </w:r>
      <w:r w:rsidR="00CF3ABF">
        <w:rPr>
          <w:color w:val="0D0D0D"/>
          <w:sz w:val="40"/>
          <w:szCs w:val="40"/>
          <w:shd w:val="clear" w:color="auto" w:fill="FFFFFF"/>
        </w:rPr>
        <w:t>.</w:t>
      </w:r>
      <w:r>
        <w:rPr>
          <w:color w:val="0D0D0D"/>
          <w:sz w:val="40"/>
          <w:szCs w:val="40"/>
          <w:shd w:val="clear" w:color="auto" w:fill="FFFFFF"/>
        </w:rPr>
        <w:t xml:space="preserve"> </w:t>
      </w:r>
    </w:p>
    <w:p w14:paraId="7AF9E679" w14:textId="77777777" w:rsidR="003C04E4" w:rsidRDefault="003C04E4" w:rsidP="00FF7FAA">
      <w:pPr>
        <w:jc w:val="center"/>
        <w:rPr>
          <w:sz w:val="40"/>
          <w:szCs w:val="40"/>
        </w:rPr>
      </w:pPr>
    </w:p>
    <w:p w14:paraId="273AF07C" w14:textId="7BEC255D" w:rsidR="00FF7FAA" w:rsidRPr="00E64623" w:rsidRDefault="00FF7FAA" w:rsidP="00FF7FAA">
      <w:pPr>
        <w:jc w:val="center"/>
        <w:rPr>
          <w:sz w:val="40"/>
          <w:szCs w:val="40"/>
        </w:rPr>
      </w:pPr>
      <w:r w:rsidRPr="00E64623">
        <w:rPr>
          <w:sz w:val="40"/>
          <w:szCs w:val="40"/>
        </w:rPr>
        <w:t>Research Proposal</w:t>
      </w:r>
    </w:p>
    <w:p w14:paraId="1B288EC7" w14:textId="77777777" w:rsidR="00FF7FAA" w:rsidRDefault="00FF7FAA" w:rsidP="00FF7FAA">
      <w:pPr>
        <w:jc w:val="center"/>
        <w:rPr>
          <w:sz w:val="48"/>
          <w:szCs w:val="48"/>
        </w:rPr>
      </w:pPr>
    </w:p>
    <w:p w14:paraId="7DFA37F0" w14:textId="4CF5CE1E" w:rsidR="00ED6B6D" w:rsidRDefault="00FF7FAA" w:rsidP="00FF7FAA">
      <w:pPr>
        <w:jc w:val="center"/>
        <w:rPr>
          <w:sz w:val="40"/>
          <w:szCs w:val="40"/>
        </w:rPr>
      </w:pPr>
      <w:r w:rsidRPr="00E64623">
        <w:rPr>
          <w:sz w:val="40"/>
          <w:szCs w:val="40"/>
        </w:rPr>
        <w:t>Mark Lewis – 2017589</w:t>
      </w:r>
    </w:p>
    <w:p w14:paraId="3B5247FD" w14:textId="1D421606" w:rsidR="003C04E4" w:rsidRPr="00E64623" w:rsidRDefault="003C04E4" w:rsidP="00FF7FAA">
      <w:pPr>
        <w:jc w:val="center"/>
        <w:rPr>
          <w:sz w:val="40"/>
          <w:szCs w:val="40"/>
        </w:rPr>
      </w:pPr>
      <w:r>
        <w:rPr>
          <w:sz w:val="40"/>
          <w:szCs w:val="40"/>
        </w:rPr>
        <w:t>19 April 2024</w:t>
      </w:r>
    </w:p>
    <w:p w14:paraId="0CF132F0" w14:textId="77777777" w:rsidR="00ED6B6D" w:rsidRDefault="00ED6B6D">
      <w:pPr>
        <w:autoSpaceDE/>
        <w:autoSpaceDN/>
        <w:adjustRightInd/>
        <w:spacing w:after="160" w:line="259" w:lineRule="auto"/>
        <w:rPr>
          <w:sz w:val="48"/>
          <w:szCs w:val="48"/>
        </w:rPr>
      </w:pPr>
      <w:r>
        <w:rPr>
          <w:sz w:val="48"/>
          <w:szCs w:val="48"/>
        </w:rPr>
        <w:br w:type="page"/>
      </w:r>
    </w:p>
    <w:sdt>
      <w:sdtPr>
        <w:rPr>
          <w:rFonts w:ascii="Calibri" w:eastAsiaTheme="minorHAnsi" w:hAnsi="Calibri" w:cs="Calibri"/>
          <w:color w:val="auto"/>
          <w:sz w:val="22"/>
          <w:szCs w:val="22"/>
          <w:lang w:val="en-GB"/>
        </w:rPr>
        <w:id w:val="-1504272219"/>
        <w:docPartObj>
          <w:docPartGallery w:val="Table of Contents"/>
          <w:docPartUnique/>
        </w:docPartObj>
      </w:sdtPr>
      <w:sdtEndPr>
        <w:rPr>
          <w:b/>
          <w:bCs/>
          <w:noProof/>
        </w:rPr>
      </w:sdtEndPr>
      <w:sdtContent>
        <w:p w14:paraId="736B7D91" w14:textId="7FA55D9E" w:rsidR="006A39DF" w:rsidRPr="009B20BA" w:rsidRDefault="009B20BA">
          <w:pPr>
            <w:pStyle w:val="TOCHeading"/>
            <w:rPr>
              <w:color w:val="0070C0"/>
            </w:rPr>
          </w:pPr>
          <w:r w:rsidRPr="009B20BA">
            <w:rPr>
              <w:color w:val="0070C0"/>
            </w:rPr>
            <w:t xml:space="preserve">Table of </w:t>
          </w:r>
          <w:r w:rsidR="006A39DF" w:rsidRPr="009B20BA">
            <w:rPr>
              <w:color w:val="0070C0"/>
            </w:rPr>
            <w:t>Contents</w:t>
          </w:r>
        </w:p>
        <w:p w14:paraId="59D772B2" w14:textId="5527D48F" w:rsidR="00785679" w:rsidRPr="003013BC" w:rsidRDefault="006A39DF">
          <w:pPr>
            <w:pStyle w:val="TOC1"/>
            <w:tabs>
              <w:tab w:val="right" w:leader="dot" w:pos="9016"/>
            </w:tabs>
            <w:rPr>
              <w:rFonts w:ascii="Times New Roman" w:eastAsiaTheme="minorEastAsia" w:hAnsi="Times New Roman" w:cs="Times New Roman"/>
              <w:noProof/>
              <w:kern w:val="2"/>
              <w:lang w:eastAsia="en-GB"/>
              <w14:ligatures w14:val="standardContextual"/>
            </w:rPr>
          </w:pPr>
          <w:r>
            <w:fldChar w:fldCharType="begin"/>
          </w:r>
          <w:r>
            <w:instrText xml:space="preserve"> TOC \o "1-3" \h \z \u </w:instrText>
          </w:r>
          <w:r>
            <w:fldChar w:fldCharType="separate"/>
          </w:r>
          <w:hyperlink w:anchor="_Toc163889303" w:history="1">
            <w:r w:rsidR="00785679" w:rsidRPr="003013BC">
              <w:rPr>
                <w:rStyle w:val="Hyperlink"/>
                <w:rFonts w:ascii="Times New Roman" w:hAnsi="Times New Roman" w:cs="Times New Roman"/>
                <w:noProof/>
              </w:rPr>
              <w:t>1.0 Introduction</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_Toc163889303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3</w:t>
            </w:r>
            <w:r w:rsidR="00785679" w:rsidRPr="003013BC">
              <w:rPr>
                <w:rFonts w:ascii="Times New Roman" w:hAnsi="Times New Roman" w:cs="Times New Roman"/>
                <w:noProof/>
                <w:webHidden/>
              </w:rPr>
              <w:fldChar w:fldCharType="end"/>
            </w:r>
          </w:hyperlink>
        </w:p>
        <w:p w14:paraId="3957F719" w14:textId="55F29113" w:rsidR="00785679" w:rsidRPr="003013BC" w:rsidRDefault="00BF67D4">
          <w:pPr>
            <w:pStyle w:val="TOC2"/>
            <w:rPr>
              <w:rFonts w:eastAsiaTheme="minorEastAsia"/>
              <w:kern w:val="2"/>
              <w:lang w:eastAsia="en-GB"/>
              <w14:ligatures w14:val="standardContextual"/>
            </w:rPr>
          </w:pPr>
          <w:hyperlink w:anchor="_Toc163889304" w:history="1">
            <w:r w:rsidR="00785679" w:rsidRPr="003013BC">
              <w:rPr>
                <w:rStyle w:val="Hyperlink"/>
                <w:lang w:eastAsia="en-GB"/>
              </w:rPr>
              <w:t>1.1 Background</w:t>
            </w:r>
            <w:r w:rsidR="00785679" w:rsidRPr="003013BC">
              <w:rPr>
                <w:webHidden/>
              </w:rPr>
              <w:tab/>
            </w:r>
            <w:r w:rsidR="00785679" w:rsidRPr="003013BC">
              <w:rPr>
                <w:webHidden/>
              </w:rPr>
              <w:fldChar w:fldCharType="begin"/>
            </w:r>
            <w:r w:rsidR="00785679" w:rsidRPr="003013BC">
              <w:rPr>
                <w:webHidden/>
              </w:rPr>
              <w:instrText xml:space="preserve"> PAGEREF _Toc163889304 \h </w:instrText>
            </w:r>
            <w:r w:rsidR="00785679" w:rsidRPr="003013BC">
              <w:rPr>
                <w:webHidden/>
              </w:rPr>
            </w:r>
            <w:r w:rsidR="00785679" w:rsidRPr="003013BC">
              <w:rPr>
                <w:webHidden/>
              </w:rPr>
              <w:fldChar w:fldCharType="separate"/>
            </w:r>
            <w:r w:rsidR="00785679" w:rsidRPr="003013BC">
              <w:rPr>
                <w:webHidden/>
              </w:rPr>
              <w:t>3</w:t>
            </w:r>
            <w:r w:rsidR="00785679" w:rsidRPr="003013BC">
              <w:rPr>
                <w:webHidden/>
              </w:rPr>
              <w:fldChar w:fldCharType="end"/>
            </w:r>
          </w:hyperlink>
        </w:p>
        <w:p w14:paraId="7EAF4B27" w14:textId="2591B50D" w:rsidR="00785679" w:rsidRPr="003013BC" w:rsidRDefault="00BF67D4">
          <w:pPr>
            <w:pStyle w:val="TOC2"/>
            <w:rPr>
              <w:rFonts w:eastAsiaTheme="minorEastAsia"/>
              <w:kern w:val="2"/>
              <w:lang w:eastAsia="en-GB"/>
              <w14:ligatures w14:val="standardContextual"/>
            </w:rPr>
          </w:pPr>
          <w:hyperlink w:anchor="_Toc163889305" w:history="1">
            <w:r w:rsidR="00785679" w:rsidRPr="003013BC">
              <w:rPr>
                <w:rStyle w:val="Hyperlink"/>
              </w:rPr>
              <w:t xml:space="preserve">1.2 Problem </w:t>
            </w:r>
            <w:r w:rsidR="00145802" w:rsidRPr="003013BC">
              <w:rPr>
                <w:rStyle w:val="Hyperlink"/>
              </w:rPr>
              <w:t>Statement</w:t>
            </w:r>
            <w:r w:rsidR="00785679" w:rsidRPr="003013BC">
              <w:rPr>
                <w:webHidden/>
              </w:rPr>
              <w:tab/>
            </w:r>
            <w:r w:rsidR="00785679" w:rsidRPr="003013BC">
              <w:rPr>
                <w:webHidden/>
              </w:rPr>
              <w:fldChar w:fldCharType="begin"/>
            </w:r>
            <w:r w:rsidR="00785679" w:rsidRPr="003013BC">
              <w:rPr>
                <w:webHidden/>
              </w:rPr>
              <w:instrText xml:space="preserve"> PAGEREF _Toc163889305 \h </w:instrText>
            </w:r>
            <w:r w:rsidR="00785679" w:rsidRPr="003013BC">
              <w:rPr>
                <w:webHidden/>
              </w:rPr>
            </w:r>
            <w:r w:rsidR="00785679" w:rsidRPr="003013BC">
              <w:rPr>
                <w:webHidden/>
              </w:rPr>
              <w:fldChar w:fldCharType="separate"/>
            </w:r>
            <w:r w:rsidR="00785679" w:rsidRPr="003013BC">
              <w:rPr>
                <w:webHidden/>
              </w:rPr>
              <w:t>3</w:t>
            </w:r>
            <w:r w:rsidR="00785679" w:rsidRPr="003013BC">
              <w:rPr>
                <w:webHidden/>
              </w:rPr>
              <w:fldChar w:fldCharType="end"/>
            </w:r>
          </w:hyperlink>
        </w:p>
        <w:p w14:paraId="25E3058A" w14:textId="1CC1086C" w:rsidR="00785679" w:rsidRPr="003013BC" w:rsidRDefault="00BF67D4">
          <w:pPr>
            <w:pStyle w:val="TOC2"/>
            <w:rPr>
              <w:rFonts w:eastAsiaTheme="minorEastAsia"/>
              <w:kern w:val="2"/>
              <w:lang w:eastAsia="en-GB"/>
              <w14:ligatures w14:val="standardContextual"/>
            </w:rPr>
          </w:pPr>
          <w:hyperlink w:anchor="_Toc163889306" w:history="1">
            <w:r w:rsidR="00785679" w:rsidRPr="003013BC">
              <w:rPr>
                <w:rStyle w:val="Hyperlink"/>
              </w:rPr>
              <w:t>1.3 Aims of the Research</w:t>
            </w:r>
            <w:r w:rsidR="00785679" w:rsidRPr="003013BC">
              <w:rPr>
                <w:webHidden/>
              </w:rPr>
              <w:tab/>
            </w:r>
            <w:r w:rsidR="00785679" w:rsidRPr="003013BC">
              <w:rPr>
                <w:webHidden/>
              </w:rPr>
              <w:fldChar w:fldCharType="begin"/>
            </w:r>
            <w:r w:rsidR="00785679" w:rsidRPr="003013BC">
              <w:rPr>
                <w:webHidden/>
              </w:rPr>
              <w:instrText xml:space="preserve"> PAGEREF _Toc163889306 \h </w:instrText>
            </w:r>
            <w:r w:rsidR="00785679" w:rsidRPr="003013BC">
              <w:rPr>
                <w:webHidden/>
              </w:rPr>
            </w:r>
            <w:r w:rsidR="00785679" w:rsidRPr="003013BC">
              <w:rPr>
                <w:webHidden/>
              </w:rPr>
              <w:fldChar w:fldCharType="separate"/>
            </w:r>
            <w:r w:rsidR="00785679" w:rsidRPr="003013BC">
              <w:rPr>
                <w:webHidden/>
              </w:rPr>
              <w:t>4</w:t>
            </w:r>
            <w:r w:rsidR="00785679" w:rsidRPr="003013BC">
              <w:rPr>
                <w:webHidden/>
              </w:rPr>
              <w:fldChar w:fldCharType="end"/>
            </w:r>
          </w:hyperlink>
        </w:p>
        <w:p w14:paraId="1158480B" w14:textId="6D591ABE" w:rsidR="00785679" w:rsidRPr="003013BC" w:rsidRDefault="00BF67D4">
          <w:pPr>
            <w:pStyle w:val="TOC2"/>
            <w:rPr>
              <w:rFonts w:eastAsiaTheme="minorEastAsia"/>
              <w:kern w:val="2"/>
              <w:lang w:eastAsia="en-GB"/>
              <w14:ligatures w14:val="standardContextual"/>
            </w:rPr>
          </w:pPr>
          <w:hyperlink w:anchor="_Toc163889307" w:history="1">
            <w:r w:rsidR="00785679" w:rsidRPr="003013BC">
              <w:rPr>
                <w:rStyle w:val="Hyperlink"/>
              </w:rPr>
              <w:t>1.4 Conclusion</w:t>
            </w:r>
            <w:r w:rsidR="00785679" w:rsidRPr="003013BC">
              <w:rPr>
                <w:webHidden/>
              </w:rPr>
              <w:tab/>
            </w:r>
            <w:r w:rsidR="00785679" w:rsidRPr="003013BC">
              <w:rPr>
                <w:webHidden/>
              </w:rPr>
              <w:fldChar w:fldCharType="begin"/>
            </w:r>
            <w:r w:rsidR="00785679" w:rsidRPr="003013BC">
              <w:rPr>
                <w:webHidden/>
              </w:rPr>
              <w:instrText xml:space="preserve"> PAGEREF _Toc163889307 \h </w:instrText>
            </w:r>
            <w:r w:rsidR="00785679" w:rsidRPr="003013BC">
              <w:rPr>
                <w:webHidden/>
              </w:rPr>
            </w:r>
            <w:r w:rsidR="00785679" w:rsidRPr="003013BC">
              <w:rPr>
                <w:webHidden/>
              </w:rPr>
              <w:fldChar w:fldCharType="separate"/>
            </w:r>
            <w:r w:rsidR="00785679" w:rsidRPr="003013BC">
              <w:rPr>
                <w:webHidden/>
              </w:rPr>
              <w:t>5</w:t>
            </w:r>
            <w:r w:rsidR="00785679" w:rsidRPr="003013BC">
              <w:rPr>
                <w:webHidden/>
              </w:rPr>
              <w:fldChar w:fldCharType="end"/>
            </w:r>
          </w:hyperlink>
        </w:p>
        <w:p w14:paraId="02D0775C" w14:textId="4B0B0CEF" w:rsidR="00785679" w:rsidRPr="003013BC" w:rsidRDefault="00BF67D4">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63889308" w:history="1">
            <w:r w:rsidR="00785679" w:rsidRPr="003013BC">
              <w:rPr>
                <w:rStyle w:val="Hyperlink"/>
                <w:rFonts w:ascii="Times New Roman" w:hAnsi="Times New Roman" w:cs="Times New Roman"/>
                <w:noProof/>
              </w:rPr>
              <w:t>2.0 Rationale</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_Toc163889308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6</w:t>
            </w:r>
            <w:r w:rsidR="00785679" w:rsidRPr="003013BC">
              <w:rPr>
                <w:rFonts w:ascii="Times New Roman" w:hAnsi="Times New Roman" w:cs="Times New Roman"/>
                <w:noProof/>
                <w:webHidden/>
              </w:rPr>
              <w:fldChar w:fldCharType="end"/>
            </w:r>
          </w:hyperlink>
        </w:p>
        <w:p w14:paraId="127FC217" w14:textId="22B8CA54" w:rsidR="00785679" w:rsidRPr="003013BC" w:rsidRDefault="00BF67D4">
          <w:pPr>
            <w:pStyle w:val="TOC2"/>
            <w:rPr>
              <w:rFonts w:eastAsiaTheme="minorEastAsia"/>
              <w:kern w:val="2"/>
              <w:lang w:eastAsia="en-GB"/>
              <w14:ligatures w14:val="standardContextual"/>
            </w:rPr>
          </w:pPr>
          <w:hyperlink w:anchor="_Toc163889309" w:history="1">
            <w:r w:rsidR="00785679" w:rsidRPr="003013BC">
              <w:rPr>
                <w:rStyle w:val="Hyperlink"/>
              </w:rPr>
              <w:t>2.1 Addressing Research Gaps and Challenges</w:t>
            </w:r>
            <w:r w:rsidR="00785679" w:rsidRPr="003013BC">
              <w:rPr>
                <w:webHidden/>
              </w:rPr>
              <w:tab/>
            </w:r>
            <w:r w:rsidR="00785679" w:rsidRPr="003013BC">
              <w:rPr>
                <w:webHidden/>
              </w:rPr>
              <w:fldChar w:fldCharType="begin"/>
            </w:r>
            <w:r w:rsidR="00785679" w:rsidRPr="003013BC">
              <w:rPr>
                <w:webHidden/>
              </w:rPr>
              <w:instrText xml:space="preserve"> PAGEREF _Toc163889309 \h </w:instrText>
            </w:r>
            <w:r w:rsidR="00785679" w:rsidRPr="003013BC">
              <w:rPr>
                <w:webHidden/>
              </w:rPr>
            </w:r>
            <w:r w:rsidR="00785679" w:rsidRPr="003013BC">
              <w:rPr>
                <w:webHidden/>
              </w:rPr>
              <w:fldChar w:fldCharType="separate"/>
            </w:r>
            <w:r w:rsidR="00785679" w:rsidRPr="003013BC">
              <w:rPr>
                <w:webHidden/>
              </w:rPr>
              <w:t>6</w:t>
            </w:r>
            <w:r w:rsidR="00785679" w:rsidRPr="003013BC">
              <w:rPr>
                <w:webHidden/>
              </w:rPr>
              <w:fldChar w:fldCharType="end"/>
            </w:r>
          </w:hyperlink>
        </w:p>
        <w:p w14:paraId="4A45B2A4" w14:textId="5480B487" w:rsidR="00785679" w:rsidRPr="003013BC" w:rsidRDefault="00BF67D4">
          <w:pPr>
            <w:pStyle w:val="TOC2"/>
            <w:rPr>
              <w:rFonts w:eastAsiaTheme="minorEastAsia"/>
              <w:kern w:val="2"/>
              <w:lang w:eastAsia="en-GB"/>
              <w14:ligatures w14:val="standardContextual"/>
            </w:rPr>
          </w:pPr>
          <w:hyperlink w:anchor="_Toc163889310" w:history="1">
            <w:r w:rsidR="00785679" w:rsidRPr="003013BC">
              <w:rPr>
                <w:rStyle w:val="Hyperlink"/>
              </w:rPr>
              <w:t>2.2. Advantages of the Research</w:t>
            </w:r>
            <w:r w:rsidR="00785679" w:rsidRPr="003013BC">
              <w:rPr>
                <w:webHidden/>
              </w:rPr>
              <w:tab/>
            </w:r>
            <w:r w:rsidR="00785679" w:rsidRPr="003013BC">
              <w:rPr>
                <w:webHidden/>
              </w:rPr>
              <w:fldChar w:fldCharType="begin"/>
            </w:r>
            <w:r w:rsidR="00785679" w:rsidRPr="003013BC">
              <w:rPr>
                <w:webHidden/>
              </w:rPr>
              <w:instrText xml:space="preserve"> PAGEREF _Toc163889310 \h </w:instrText>
            </w:r>
            <w:r w:rsidR="00785679" w:rsidRPr="003013BC">
              <w:rPr>
                <w:webHidden/>
              </w:rPr>
            </w:r>
            <w:r w:rsidR="00785679" w:rsidRPr="003013BC">
              <w:rPr>
                <w:webHidden/>
              </w:rPr>
              <w:fldChar w:fldCharType="separate"/>
            </w:r>
            <w:r w:rsidR="00785679" w:rsidRPr="003013BC">
              <w:rPr>
                <w:webHidden/>
              </w:rPr>
              <w:t>6</w:t>
            </w:r>
            <w:r w:rsidR="00785679" w:rsidRPr="003013BC">
              <w:rPr>
                <w:webHidden/>
              </w:rPr>
              <w:fldChar w:fldCharType="end"/>
            </w:r>
          </w:hyperlink>
        </w:p>
        <w:p w14:paraId="6EE31697" w14:textId="04D15F61" w:rsidR="00785679" w:rsidRPr="003013BC" w:rsidRDefault="00BF67D4">
          <w:pPr>
            <w:pStyle w:val="TOC2"/>
            <w:rPr>
              <w:rFonts w:eastAsiaTheme="minorEastAsia"/>
              <w:kern w:val="2"/>
              <w:lang w:eastAsia="en-GB"/>
              <w14:ligatures w14:val="standardContextual"/>
            </w:rPr>
          </w:pPr>
          <w:hyperlink w:anchor="_Toc163889311" w:history="1">
            <w:r w:rsidR="00785679" w:rsidRPr="003013BC">
              <w:rPr>
                <w:rStyle w:val="Hyperlink"/>
              </w:rPr>
              <w:t>2.3 Stakeholder Benefits</w:t>
            </w:r>
            <w:r w:rsidR="00785679" w:rsidRPr="003013BC">
              <w:rPr>
                <w:webHidden/>
              </w:rPr>
              <w:tab/>
            </w:r>
            <w:r w:rsidR="00785679" w:rsidRPr="003013BC">
              <w:rPr>
                <w:webHidden/>
              </w:rPr>
              <w:fldChar w:fldCharType="begin"/>
            </w:r>
            <w:r w:rsidR="00785679" w:rsidRPr="003013BC">
              <w:rPr>
                <w:webHidden/>
              </w:rPr>
              <w:instrText xml:space="preserve"> PAGEREF _Toc163889311 \h </w:instrText>
            </w:r>
            <w:r w:rsidR="00785679" w:rsidRPr="003013BC">
              <w:rPr>
                <w:webHidden/>
              </w:rPr>
            </w:r>
            <w:r w:rsidR="00785679" w:rsidRPr="003013BC">
              <w:rPr>
                <w:webHidden/>
              </w:rPr>
              <w:fldChar w:fldCharType="separate"/>
            </w:r>
            <w:r w:rsidR="00785679" w:rsidRPr="003013BC">
              <w:rPr>
                <w:webHidden/>
              </w:rPr>
              <w:t>7</w:t>
            </w:r>
            <w:r w:rsidR="00785679" w:rsidRPr="003013BC">
              <w:rPr>
                <w:webHidden/>
              </w:rPr>
              <w:fldChar w:fldCharType="end"/>
            </w:r>
          </w:hyperlink>
        </w:p>
        <w:p w14:paraId="18E696F8" w14:textId="39CBCCE8" w:rsidR="00785679" w:rsidRPr="003013BC" w:rsidRDefault="00BF67D4">
          <w:pPr>
            <w:pStyle w:val="TOC2"/>
            <w:rPr>
              <w:rFonts w:eastAsiaTheme="minorEastAsia"/>
              <w:kern w:val="2"/>
              <w:lang w:eastAsia="en-GB"/>
              <w14:ligatures w14:val="standardContextual"/>
            </w:rPr>
          </w:pPr>
          <w:hyperlink w:anchor="_Toc163889312" w:history="1">
            <w:r w:rsidR="00785679" w:rsidRPr="003013BC">
              <w:rPr>
                <w:rStyle w:val="Hyperlink"/>
              </w:rPr>
              <w:t>2.4 Conclusion</w:t>
            </w:r>
            <w:r w:rsidR="00785679" w:rsidRPr="003013BC">
              <w:rPr>
                <w:webHidden/>
              </w:rPr>
              <w:tab/>
            </w:r>
            <w:r w:rsidR="00785679" w:rsidRPr="003013BC">
              <w:rPr>
                <w:webHidden/>
              </w:rPr>
              <w:fldChar w:fldCharType="begin"/>
            </w:r>
            <w:r w:rsidR="00785679" w:rsidRPr="003013BC">
              <w:rPr>
                <w:webHidden/>
              </w:rPr>
              <w:instrText xml:space="preserve"> PAGEREF _Toc163889312 \h </w:instrText>
            </w:r>
            <w:r w:rsidR="00785679" w:rsidRPr="003013BC">
              <w:rPr>
                <w:webHidden/>
              </w:rPr>
            </w:r>
            <w:r w:rsidR="00785679" w:rsidRPr="003013BC">
              <w:rPr>
                <w:webHidden/>
              </w:rPr>
              <w:fldChar w:fldCharType="separate"/>
            </w:r>
            <w:r w:rsidR="00785679" w:rsidRPr="003013BC">
              <w:rPr>
                <w:webHidden/>
              </w:rPr>
              <w:t>8</w:t>
            </w:r>
            <w:r w:rsidR="00785679" w:rsidRPr="003013BC">
              <w:rPr>
                <w:webHidden/>
              </w:rPr>
              <w:fldChar w:fldCharType="end"/>
            </w:r>
          </w:hyperlink>
        </w:p>
        <w:p w14:paraId="613A6229" w14:textId="670C23BF" w:rsidR="00785679" w:rsidRPr="003013BC" w:rsidRDefault="00BF67D4">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63889313" w:history="1">
            <w:r w:rsidR="00785679" w:rsidRPr="003013BC">
              <w:rPr>
                <w:rStyle w:val="Hyperlink"/>
                <w:rFonts w:ascii="Times New Roman" w:hAnsi="Times New Roman" w:cs="Times New Roman"/>
                <w:noProof/>
              </w:rPr>
              <w:t>3.0 Literature Review</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_Toc163889313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9</w:t>
            </w:r>
            <w:r w:rsidR="00785679" w:rsidRPr="003013BC">
              <w:rPr>
                <w:rFonts w:ascii="Times New Roman" w:hAnsi="Times New Roman" w:cs="Times New Roman"/>
                <w:noProof/>
                <w:webHidden/>
              </w:rPr>
              <w:fldChar w:fldCharType="end"/>
            </w:r>
          </w:hyperlink>
        </w:p>
        <w:p w14:paraId="17D4B655" w14:textId="2576171D" w:rsidR="00785679" w:rsidRPr="003013BC" w:rsidRDefault="00BF67D4">
          <w:pPr>
            <w:pStyle w:val="TOC2"/>
            <w:rPr>
              <w:rFonts w:eastAsiaTheme="minorEastAsia"/>
              <w:kern w:val="2"/>
              <w:lang w:eastAsia="en-GB"/>
              <w14:ligatures w14:val="standardContextual"/>
            </w:rPr>
          </w:pPr>
          <w:hyperlink w:anchor="_Toc163889314" w:history="1">
            <w:r w:rsidR="00785679" w:rsidRPr="003013BC">
              <w:rPr>
                <w:rStyle w:val="Hyperlink"/>
              </w:rPr>
              <w:t>3.1 Inclusivity in Trade Negotiations</w:t>
            </w:r>
            <w:r w:rsidR="00785679" w:rsidRPr="003013BC">
              <w:rPr>
                <w:webHidden/>
              </w:rPr>
              <w:tab/>
            </w:r>
            <w:r w:rsidR="00785679" w:rsidRPr="003013BC">
              <w:rPr>
                <w:webHidden/>
              </w:rPr>
              <w:fldChar w:fldCharType="begin"/>
            </w:r>
            <w:r w:rsidR="00785679" w:rsidRPr="003013BC">
              <w:rPr>
                <w:webHidden/>
              </w:rPr>
              <w:instrText xml:space="preserve"> PAGEREF _Toc163889314 \h </w:instrText>
            </w:r>
            <w:r w:rsidR="00785679" w:rsidRPr="003013BC">
              <w:rPr>
                <w:webHidden/>
              </w:rPr>
            </w:r>
            <w:r w:rsidR="00785679" w:rsidRPr="003013BC">
              <w:rPr>
                <w:webHidden/>
              </w:rPr>
              <w:fldChar w:fldCharType="separate"/>
            </w:r>
            <w:r w:rsidR="00785679" w:rsidRPr="003013BC">
              <w:rPr>
                <w:webHidden/>
              </w:rPr>
              <w:t>9</w:t>
            </w:r>
            <w:r w:rsidR="00785679" w:rsidRPr="003013BC">
              <w:rPr>
                <w:webHidden/>
              </w:rPr>
              <w:fldChar w:fldCharType="end"/>
            </w:r>
          </w:hyperlink>
        </w:p>
        <w:p w14:paraId="5663A2E2" w14:textId="7DE13D9F" w:rsidR="00785679" w:rsidRPr="003013BC" w:rsidRDefault="00BF67D4">
          <w:pPr>
            <w:pStyle w:val="TOC2"/>
            <w:rPr>
              <w:rFonts w:eastAsiaTheme="minorEastAsia"/>
              <w:kern w:val="2"/>
              <w:lang w:eastAsia="en-GB"/>
              <w14:ligatures w14:val="standardContextual"/>
            </w:rPr>
          </w:pPr>
          <w:hyperlink w:anchor="_Toc163889315" w:history="1">
            <w:r w:rsidR="00785679" w:rsidRPr="003013BC">
              <w:rPr>
                <w:rStyle w:val="Hyperlink"/>
              </w:rPr>
              <w:t>3.2 Corporate Social Responsibility (CSR) Alignment</w:t>
            </w:r>
            <w:r w:rsidR="00785679" w:rsidRPr="003013BC">
              <w:rPr>
                <w:webHidden/>
              </w:rPr>
              <w:tab/>
            </w:r>
            <w:r w:rsidR="00785679" w:rsidRPr="003013BC">
              <w:rPr>
                <w:webHidden/>
              </w:rPr>
              <w:fldChar w:fldCharType="begin"/>
            </w:r>
            <w:r w:rsidR="00785679" w:rsidRPr="003013BC">
              <w:rPr>
                <w:webHidden/>
              </w:rPr>
              <w:instrText xml:space="preserve"> PAGEREF _Toc163889315 \h </w:instrText>
            </w:r>
            <w:r w:rsidR="00785679" w:rsidRPr="003013BC">
              <w:rPr>
                <w:webHidden/>
              </w:rPr>
            </w:r>
            <w:r w:rsidR="00785679" w:rsidRPr="003013BC">
              <w:rPr>
                <w:webHidden/>
              </w:rPr>
              <w:fldChar w:fldCharType="separate"/>
            </w:r>
            <w:r w:rsidR="00785679" w:rsidRPr="003013BC">
              <w:rPr>
                <w:webHidden/>
              </w:rPr>
              <w:t>10</w:t>
            </w:r>
            <w:r w:rsidR="00785679" w:rsidRPr="003013BC">
              <w:rPr>
                <w:webHidden/>
              </w:rPr>
              <w:fldChar w:fldCharType="end"/>
            </w:r>
          </w:hyperlink>
        </w:p>
        <w:p w14:paraId="476CA74C" w14:textId="748B7A96" w:rsidR="00785679" w:rsidRPr="003013BC" w:rsidRDefault="00BF67D4">
          <w:pPr>
            <w:pStyle w:val="TOC2"/>
            <w:rPr>
              <w:rFonts w:eastAsiaTheme="minorEastAsia"/>
              <w:kern w:val="2"/>
              <w:lang w:eastAsia="en-GB"/>
              <w14:ligatures w14:val="standardContextual"/>
            </w:rPr>
          </w:pPr>
          <w:hyperlink w:anchor="_Toc163889316" w:history="1">
            <w:r w:rsidR="00785679" w:rsidRPr="003013BC">
              <w:rPr>
                <w:rStyle w:val="Hyperlink"/>
              </w:rPr>
              <w:t>3.3 Regulatory Harmonisation Challenges</w:t>
            </w:r>
            <w:r w:rsidR="00785679" w:rsidRPr="003013BC">
              <w:rPr>
                <w:webHidden/>
              </w:rPr>
              <w:tab/>
            </w:r>
            <w:r w:rsidR="00785679" w:rsidRPr="003013BC">
              <w:rPr>
                <w:webHidden/>
              </w:rPr>
              <w:fldChar w:fldCharType="begin"/>
            </w:r>
            <w:r w:rsidR="00785679" w:rsidRPr="003013BC">
              <w:rPr>
                <w:webHidden/>
              </w:rPr>
              <w:instrText xml:space="preserve"> PAGEREF _Toc163889316 \h </w:instrText>
            </w:r>
            <w:r w:rsidR="00785679" w:rsidRPr="003013BC">
              <w:rPr>
                <w:webHidden/>
              </w:rPr>
            </w:r>
            <w:r w:rsidR="00785679" w:rsidRPr="003013BC">
              <w:rPr>
                <w:webHidden/>
              </w:rPr>
              <w:fldChar w:fldCharType="separate"/>
            </w:r>
            <w:r w:rsidR="00785679" w:rsidRPr="003013BC">
              <w:rPr>
                <w:webHidden/>
              </w:rPr>
              <w:t>11</w:t>
            </w:r>
            <w:r w:rsidR="00785679" w:rsidRPr="003013BC">
              <w:rPr>
                <w:webHidden/>
              </w:rPr>
              <w:fldChar w:fldCharType="end"/>
            </w:r>
          </w:hyperlink>
        </w:p>
        <w:p w14:paraId="2E5AD75E" w14:textId="5E525200" w:rsidR="00785679" w:rsidRPr="003013BC" w:rsidRDefault="00BF67D4">
          <w:pPr>
            <w:pStyle w:val="TOC2"/>
            <w:rPr>
              <w:rFonts w:eastAsiaTheme="minorEastAsia"/>
              <w:kern w:val="2"/>
              <w:lang w:eastAsia="en-GB"/>
              <w14:ligatures w14:val="standardContextual"/>
            </w:rPr>
          </w:pPr>
          <w:hyperlink w:anchor="_Toc163889317" w:history="1">
            <w:r w:rsidR="00785679" w:rsidRPr="003013BC">
              <w:rPr>
                <w:rStyle w:val="Hyperlink"/>
              </w:rPr>
              <w:t>3.3.1 Labour Rights</w:t>
            </w:r>
            <w:r w:rsidR="00785679" w:rsidRPr="003013BC">
              <w:rPr>
                <w:webHidden/>
              </w:rPr>
              <w:tab/>
            </w:r>
            <w:r w:rsidR="00785679" w:rsidRPr="003013BC">
              <w:rPr>
                <w:webHidden/>
              </w:rPr>
              <w:fldChar w:fldCharType="begin"/>
            </w:r>
            <w:r w:rsidR="00785679" w:rsidRPr="003013BC">
              <w:rPr>
                <w:webHidden/>
              </w:rPr>
              <w:instrText xml:space="preserve"> PAGEREF _Toc163889317 \h </w:instrText>
            </w:r>
            <w:r w:rsidR="00785679" w:rsidRPr="003013BC">
              <w:rPr>
                <w:webHidden/>
              </w:rPr>
            </w:r>
            <w:r w:rsidR="00785679" w:rsidRPr="003013BC">
              <w:rPr>
                <w:webHidden/>
              </w:rPr>
              <w:fldChar w:fldCharType="separate"/>
            </w:r>
            <w:r w:rsidR="00785679" w:rsidRPr="003013BC">
              <w:rPr>
                <w:webHidden/>
              </w:rPr>
              <w:t>12</w:t>
            </w:r>
            <w:r w:rsidR="00785679" w:rsidRPr="003013BC">
              <w:rPr>
                <w:webHidden/>
              </w:rPr>
              <w:fldChar w:fldCharType="end"/>
            </w:r>
          </w:hyperlink>
        </w:p>
        <w:p w14:paraId="6E04F2EF" w14:textId="32E2A828" w:rsidR="00785679" w:rsidRPr="003013BC" w:rsidRDefault="00BF67D4">
          <w:pPr>
            <w:pStyle w:val="TOC2"/>
            <w:rPr>
              <w:rFonts w:eastAsiaTheme="minorEastAsia"/>
              <w:kern w:val="2"/>
              <w:lang w:eastAsia="en-GB"/>
              <w14:ligatures w14:val="standardContextual"/>
            </w:rPr>
          </w:pPr>
          <w:hyperlink w:anchor="_Toc163889318" w:history="1">
            <w:r w:rsidR="00785679" w:rsidRPr="003013BC">
              <w:rPr>
                <w:rStyle w:val="Hyperlink"/>
              </w:rPr>
              <w:t>3.1.2 Consumer Safety</w:t>
            </w:r>
            <w:r w:rsidR="00785679" w:rsidRPr="003013BC">
              <w:rPr>
                <w:webHidden/>
              </w:rPr>
              <w:tab/>
            </w:r>
            <w:r w:rsidR="00785679" w:rsidRPr="003013BC">
              <w:rPr>
                <w:webHidden/>
              </w:rPr>
              <w:fldChar w:fldCharType="begin"/>
            </w:r>
            <w:r w:rsidR="00785679" w:rsidRPr="003013BC">
              <w:rPr>
                <w:webHidden/>
              </w:rPr>
              <w:instrText xml:space="preserve"> PAGEREF _Toc163889318 \h </w:instrText>
            </w:r>
            <w:r w:rsidR="00785679" w:rsidRPr="003013BC">
              <w:rPr>
                <w:webHidden/>
              </w:rPr>
            </w:r>
            <w:r w:rsidR="00785679" w:rsidRPr="003013BC">
              <w:rPr>
                <w:webHidden/>
              </w:rPr>
              <w:fldChar w:fldCharType="separate"/>
            </w:r>
            <w:r w:rsidR="00785679" w:rsidRPr="003013BC">
              <w:rPr>
                <w:webHidden/>
              </w:rPr>
              <w:t>12</w:t>
            </w:r>
            <w:r w:rsidR="00785679" w:rsidRPr="003013BC">
              <w:rPr>
                <w:webHidden/>
              </w:rPr>
              <w:fldChar w:fldCharType="end"/>
            </w:r>
          </w:hyperlink>
        </w:p>
        <w:p w14:paraId="4EE8A718" w14:textId="5AC0A3C3" w:rsidR="00785679" w:rsidRPr="003013BC" w:rsidRDefault="00BF67D4">
          <w:pPr>
            <w:pStyle w:val="TOC2"/>
            <w:rPr>
              <w:rFonts w:eastAsiaTheme="minorEastAsia"/>
              <w:kern w:val="2"/>
              <w:lang w:eastAsia="en-GB"/>
              <w14:ligatures w14:val="standardContextual"/>
            </w:rPr>
          </w:pPr>
          <w:hyperlink w:anchor="_Toc163889319" w:history="1">
            <w:r w:rsidR="00785679" w:rsidRPr="003013BC">
              <w:rPr>
                <w:rStyle w:val="Hyperlink"/>
              </w:rPr>
              <w:t>3.4 Conclusion</w:t>
            </w:r>
            <w:r w:rsidR="00785679" w:rsidRPr="003013BC">
              <w:rPr>
                <w:webHidden/>
              </w:rPr>
              <w:tab/>
            </w:r>
            <w:r w:rsidR="00785679" w:rsidRPr="003013BC">
              <w:rPr>
                <w:webHidden/>
              </w:rPr>
              <w:fldChar w:fldCharType="begin"/>
            </w:r>
            <w:r w:rsidR="00785679" w:rsidRPr="003013BC">
              <w:rPr>
                <w:webHidden/>
              </w:rPr>
              <w:instrText xml:space="preserve"> PAGEREF _Toc163889319 \h </w:instrText>
            </w:r>
            <w:r w:rsidR="00785679" w:rsidRPr="003013BC">
              <w:rPr>
                <w:webHidden/>
              </w:rPr>
            </w:r>
            <w:r w:rsidR="00785679" w:rsidRPr="003013BC">
              <w:rPr>
                <w:webHidden/>
              </w:rPr>
              <w:fldChar w:fldCharType="separate"/>
            </w:r>
            <w:r w:rsidR="00785679" w:rsidRPr="003013BC">
              <w:rPr>
                <w:webHidden/>
              </w:rPr>
              <w:t>12</w:t>
            </w:r>
            <w:r w:rsidR="00785679" w:rsidRPr="003013BC">
              <w:rPr>
                <w:webHidden/>
              </w:rPr>
              <w:fldChar w:fldCharType="end"/>
            </w:r>
          </w:hyperlink>
        </w:p>
        <w:p w14:paraId="4E5F2FB1" w14:textId="0615ADEF" w:rsidR="00785679" w:rsidRPr="003013BC" w:rsidRDefault="00BF67D4">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63889320" w:history="1">
            <w:r w:rsidR="00785679" w:rsidRPr="003013BC">
              <w:rPr>
                <w:rStyle w:val="Hyperlink"/>
                <w:rFonts w:ascii="Times New Roman" w:hAnsi="Times New Roman" w:cs="Times New Roman"/>
                <w:noProof/>
              </w:rPr>
              <w:t>4.0 Methodology</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_Toc163889320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14</w:t>
            </w:r>
            <w:r w:rsidR="00785679" w:rsidRPr="003013BC">
              <w:rPr>
                <w:rFonts w:ascii="Times New Roman" w:hAnsi="Times New Roman" w:cs="Times New Roman"/>
                <w:noProof/>
                <w:webHidden/>
              </w:rPr>
              <w:fldChar w:fldCharType="end"/>
            </w:r>
          </w:hyperlink>
        </w:p>
        <w:p w14:paraId="34B56953" w14:textId="5182A17A" w:rsidR="00785679" w:rsidRPr="003013BC" w:rsidRDefault="00BF67D4">
          <w:pPr>
            <w:pStyle w:val="TOC2"/>
            <w:rPr>
              <w:rFonts w:eastAsiaTheme="minorEastAsia"/>
              <w:kern w:val="2"/>
              <w:lang w:eastAsia="en-GB"/>
              <w14:ligatures w14:val="standardContextual"/>
            </w:rPr>
          </w:pPr>
          <w:hyperlink w:anchor="_Toc163889321" w:history="1">
            <w:r w:rsidR="00785679" w:rsidRPr="003013BC">
              <w:rPr>
                <w:rStyle w:val="Hyperlink"/>
              </w:rPr>
              <w:t>4.1 Introduction</w:t>
            </w:r>
            <w:r w:rsidR="00785679" w:rsidRPr="003013BC">
              <w:rPr>
                <w:webHidden/>
              </w:rPr>
              <w:tab/>
            </w:r>
            <w:r w:rsidR="00785679" w:rsidRPr="003013BC">
              <w:rPr>
                <w:webHidden/>
              </w:rPr>
              <w:fldChar w:fldCharType="begin"/>
            </w:r>
            <w:r w:rsidR="00785679" w:rsidRPr="003013BC">
              <w:rPr>
                <w:webHidden/>
              </w:rPr>
              <w:instrText xml:space="preserve"> PAGEREF _Toc163889321 \h </w:instrText>
            </w:r>
            <w:r w:rsidR="00785679" w:rsidRPr="003013BC">
              <w:rPr>
                <w:webHidden/>
              </w:rPr>
            </w:r>
            <w:r w:rsidR="00785679" w:rsidRPr="003013BC">
              <w:rPr>
                <w:webHidden/>
              </w:rPr>
              <w:fldChar w:fldCharType="separate"/>
            </w:r>
            <w:r w:rsidR="00785679" w:rsidRPr="003013BC">
              <w:rPr>
                <w:webHidden/>
              </w:rPr>
              <w:t>14</w:t>
            </w:r>
            <w:r w:rsidR="00785679" w:rsidRPr="003013BC">
              <w:rPr>
                <w:webHidden/>
              </w:rPr>
              <w:fldChar w:fldCharType="end"/>
            </w:r>
          </w:hyperlink>
        </w:p>
        <w:p w14:paraId="2E966EB1" w14:textId="3B5EC6B9" w:rsidR="00785679" w:rsidRPr="003013BC" w:rsidRDefault="00BF67D4">
          <w:pPr>
            <w:pStyle w:val="TOC2"/>
            <w:rPr>
              <w:rFonts w:eastAsiaTheme="minorEastAsia"/>
              <w:kern w:val="2"/>
              <w:lang w:eastAsia="en-GB"/>
              <w14:ligatures w14:val="standardContextual"/>
            </w:rPr>
          </w:pPr>
          <w:hyperlink w:anchor="_Toc163889322" w:history="1">
            <w:r w:rsidR="00785679" w:rsidRPr="003013BC">
              <w:rPr>
                <w:rStyle w:val="Hyperlink"/>
              </w:rPr>
              <w:t>4.2 Research Philosophy</w:t>
            </w:r>
            <w:r w:rsidR="00785679" w:rsidRPr="003013BC">
              <w:rPr>
                <w:webHidden/>
              </w:rPr>
              <w:tab/>
            </w:r>
            <w:r w:rsidR="00785679" w:rsidRPr="003013BC">
              <w:rPr>
                <w:webHidden/>
              </w:rPr>
              <w:fldChar w:fldCharType="begin"/>
            </w:r>
            <w:r w:rsidR="00785679" w:rsidRPr="003013BC">
              <w:rPr>
                <w:webHidden/>
              </w:rPr>
              <w:instrText xml:space="preserve"> PAGEREF _Toc163889322 \h </w:instrText>
            </w:r>
            <w:r w:rsidR="00785679" w:rsidRPr="003013BC">
              <w:rPr>
                <w:webHidden/>
              </w:rPr>
            </w:r>
            <w:r w:rsidR="00785679" w:rsidRPr="003013BC">
              <w:rPr>
                <w:webHidden/>
              </w:rPr>
              <w:fldChar w:fldCharType="separate"/>
            </w:r>
            <w:r w:rsidR="00785679" w:rsidRPr="003013BC">
              <w:rPr>
                <w:webHidden/>
              </w:rPr>
              <w:t>15</w:t>
            </w:r>
            <w:r w:rsidR="00785679" w:rsidRPr="003013BC">
              <w:rPr>
                <w:webHidden/>
              </w:rPr>
              <w:fldChar w:fldCharType="end"/>
            </w:r>
          </w:hyperlink>
        </w:p>
        <w:p w14:paraId="5C215876" w14:textId="1BDF928A" w:rsidR="00785679" w:rsidRPr="003013BC" w:rsidRDefault="00BF67D4">
          <w:pPr>
            <w:pStyle w:val="TOC3"/>
            <w:tabs>
              <w:tab w:val="right" w:leader="dot" w:pos="9016"/>
            </w:tabs>
            <w:rPr>
              <w:rFonts w:ascii="Times New Roman" w:eastAsiaTheme="minorEastAsia" w:hAnsi="Times New Roman" w:cs="Times New Roman"/>
              <w:noProof/>
              <w:kern w:val="2"/>
              <w:lang w:eastAsia="en-GB"/>
              <w14:ligatures w14:val="standardContextual"/>
            </w:rPr>
          </w:pPr>
          <w:hyperlink w:anchor="_Toc163889323" w:history="1">
            <w:r w:rsidR="00785679" w:rsidRPr="003013BC">
              <w:rPr>
                <w:rStyle w:val="Hyperlink"/>
                <w:rFonts w:ascii="Times New Roman" w:hAnsi="Times New Roman" w:cs="Times New Roman"/>
                <w:noProof/>
              </w:rPr>
              <w:t>4.3 The Research Onion</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_Toc163889323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17</w:t>
            </w:r>
            <w:r w:rsidR="00785679" w:rsidRPr="003013BC">
              <w:rPr>
                <w:rFonts w:ascii="Times New Roman" w:hAnsi="Times New Roman" w:cs="Times New Roman"/>
                <w:noProof/>
                <w:webHidden/>
              </w:rPr>
              <w:fldChar w:fldCharType="end"/>
            </w:r>
          </w:hyperlink>
        </w:p>
        <w:p w14:paraId="064B90BF" w14:textId="251F85A3" w:rsidR="00785679" w:rsidRPr="003013BC" w:rsidRDefault="00BF67D4">
          <w:pPr>
            <w:pStyle w:val="TOC3"/>
            <w:tabs>
              <w:tab w:val="right" w:leader="dot" w:pos="9016"/>
            </w:tabs>
            <w:rPr>
              <w:rFonts w:ascii="Times New Roman" w:eastAsiaTheme="minorEastAsia" w:hAnsi="Times New Roman" w:cs="Times New Roman"/>
              <w:noProof/>
              <w:kern w:val="2"/>
              <w:lang w:eastAsia="en-GB"/>
              <w14:ligatures w14:val="standardContextual"/>
            </w:rPr>
          </w:pPr>
          <w:hyperlink w:anchor="_Toc163889324" w:history="1">
            <w:r w:rsidR="00785679" w:rsidRPr="003013BC">
              <w:rPr>
                <w:rStyle w:val="Hyperlink"/>
                <w:rFonts w:ascii="Times New Roman" w:hAnsi="Times New Roman" w:cs="Times New Roman"/>
                <w:noProof/>
              </w:rPr>
              <w:t>4.3.1 Research Justification</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_Toc163889324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18</w:t>
            </w:r>
            <w:r w:rsidR="00785679" w:rsidRPr="003013BC">
              <w:rPr>
                <w:rFonts w:ascii="Times New Roman" w:hAnsi="Times New Roman" w:cs="Times New Roman"/>
                <w:noProof/>
                <w:webHidden/>
              </w:rPr>
              <w:fldChar w:fldCharType="end"/>
            </w:r>
          </w:hyperlink>
        </w:p>
        <w:p w14:paraId="1BFC95C1" w14:textId="7BDE3C98" w:rsidR="00785679" w:rsidRPr="003013BC" w:rsidRDefault="00BF67D4">
          <w:pPr>
            <w:pStyle w:val="TOC2"/>
            <w:rPr>
              <w:rFonts w:eastAsiaTheme="minorEastAsia"/>
              <w:kern w:val="2"/>
              <w:lang w:eastAsia="en-GB"/>
              <w14:ligatures w14:val="standardContextual"/>
            </w:rPr>
          </w:pPr>
          <w:hyperlink w:anchor="_Toc163889325" w:history="1">
            <w:r w:rsidR="00785679" w:rsidRPr="003013BC">
              <w:rPr>
                <w:rStyle w:val="Hyperlink"/>
              </w:rPr>
              <w:t>4.3.2 Broader Perspective</w:t>
            </w:r>
            <w:r w:rsidR="00785679" w:rsidRPr="003013BC">
              <w:rPr>
                <w:webHidden/>
              </w:rPr>
              <w:tab/>
            </w:r>
            <w:r w:rsidR="00785679" w:rsidRPr="003013BC">
              <w:rPr>
                <w:webHidden/>
              </w:rPr>
              <w:fldChar w:fldCharType="begin"/>
            </w:r>
            <w:r w:rsidR="00785679" w:rsidRPr="003013BC">
              <w:rPr>
                <w:webHidden/>
              </w:rPr>
              <w:instrText xml:space="preserve"> PAGEREF _Toc163889325 \h </w:instrText>
            </w:r>
            <w:r w:rsidR="00785679" w:rsidRPr="003013BC">
              <w:rPr>
                <w:webHidden/>
              </w:rPr>
            </w:r>
            <w:r w:rsidR="00785679" w:rsidRPr="003013BC">
              <w:rPr>
                <w:webHidden/>
              </w:rPr>
              <w:fldChar w:fldCharType="separate"/>
            </w:r>
            <w:r w:rsidR="00785679" w:rsidRPr="003013BC">
              <w:rPr>
                <w:webHidden/>
              </w:rPr>
              <w:t>19</w:t>
            </w:r>
            <w:r w:rsidR="00785679" w:rsidRPr="003013BC">
              <w:rPr>
                <w:webHidden/>
              </w:rPr>
              <w:fldChar w:fldCharType="end"/>
            </w:r>
          </w:hyperlink>
        </w:p>
        <w:p w14:paraId="4409C097" w14:textId="558EA018" w:rsidR="00785679" w:rsidRPr="003013BC" w:rsidRDefault="00BF67D4">
          <w:pPr>
            <w:pStyle w:val="TOC3"/>
            <w:tabs>
              <w:tab w:val="right" w:leader="dot" w:pos="9016"/>
            </w:tabs>
            <w:rPr>
              <w:rFonts w:ascii="Times New Roman" w:eastAsiaTheme="minorEastAsia" w:hAnsi="Times New Roman" w:cs="Times New Roman"/>
              <w:noProof/>
              <w:kern w:val="2"/>
              <w:lang w:eastAsia="en-GB"/>
              <w14:ligatures w14:val="standardContextual"/>
            </w:rPr>
          </w:pPr>
          <w:hyperlink w:anchor="_Toc163889326" w:history="1">
            <w:r w:rsidR="00785679" w:rsidRPr="003013BC">
              <w:rPr>
                <w:rStyle w:val="Hyperlink"/>
                <w:rFonts w:ascii="Times New Roman" w:hAnsi="Times New Roman" w:cs="Times New Roman"/>
                <w:noProof/>
              </w:rPr>
              <w:t>4.3.3. Validation and Corroboration</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_Toc163889326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19</w:t>
            </w:r>
            <w:r w:rsidR="00785679" w:rsidRPr="003013BC">
              <w:rPr>
                <w:rFonts w:ascii="Times New Roman" w:hAnsi="Times New Roman" w:cs="Times New Roman"/>
                <w:noProof/>
                <w:webHidden/>
              </w:rPr>
              <w:fldChar w:fldCharType="end"/>
            </w:r>
          </w:hyperlink>
        </w:p>
        <w:p w14:paraId="452E3287" w14:textId="746B2117" w:rsidR="00785679" w:rsidRPr="003013BC" w:rsidRDefault="00BF67D4">
          <w:pPr>
            <w:pStyle w:val="TOC3"/>
            <w:tabs>
              <w:tab w:val="right" w:leader="dot" w:pos="9016"/>
            </w:tabs>
            <w:rPr>
              <w:rFonts w:ascii="Times New Roman" w:eastAsiaTheme="minorEastAsia" w:hAnsi="Times New Roman" w:cs="Times New Roman"/>
              <w:noProof/>
              <w:kern w:val="2"/>
              <w:lang w:eastAsia="en-GB"/>
              <w14:ligatures w14:val="standardContextual"/>
            </w:rPr>
          </w:pPr>
          <w:hyperlink w:anchor="_Toc163889327" w:history="1">
            <w:r w:rsidR="00785679" w:rsidRPr="003013BC">
              <w:rPr>
                <w:rStyle w:val="Hyperlink"/>
                <w:rFonts w:ascii="Times New Roman" w:hAnsi="Times New Roman" w:cs="Times New Roman"/>
                <w:noProof/>
              </w:rPr>
              <w:t>4.3.4 Richer data for complex Phenomena</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_Toc163889327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20</w:t>
            </w:r>
            <w:r w:rsidR="00785679" w:rsidRPr="003013BC">
              <w:rPr>
                <w:rFonts w:ascii="Times New Roman" w:hAnsi="Times New Roman" w:cs="Times New Roman"/>
                <w:noProof/>
                <w:webHidden/>
              </w:rPr>
              <w:fldChar w:fldCharType="end"/>
            </w:r>
          </w:hyperlink>
        </w:p>
        <w:p w14:paraId="18553E6F" w14:textId="1E0406D7" w:rsidR="00785679" w:rsidRPr="003013BC" w:rsidRDefault="00BF67D4">
          <w:pPr>
            <w:pStyle w:val="TOC2"/>
            <w:rPr>
              <w:rFonts w:eastAsiaTheme="minorEastAsia"/>
              <w:kern w:val="2"/>
              <w:lang w:eastAsia="en-GB"/>
              <w14:ligatures w14:val="standardContextual"/>
            </w:rPr>
          </w:pPr>
          <w:hyperlink w:anchor="_Toc163889328" w:history="1">
            <w:r w:rsidR="00785679" w:rsidRPr="003013BC">
              <w:rPr>
                <w:rStyle w:val="Hyperlink"/>
              </w:rPr>
              <w:t>4.4 Conclusion</w:t>
            </w:r>
            <w:r w:rsidR="00785679" w:rsidRPr="003013BC">
              <w:rPr>
                <w:webHidden/>
              </w:rPr>
              <w:tab/>
            </w:r>
            <w:r w:rsidR="00785679" w:rsidRPr="003013BC">
              <w:rPr>
                <w:webHidden/>
              </w:rPr>
              <w:fldChar w:fldCharType="begin"/>
            </w:r>
            <w:r w:rsidR="00785679" w:rsidRPr="003013BC">
              <w:rPr>
                <w:webHidden/>
              </w:rPr>
              <w:instrText xml:space="preserve"> PAGEREF _Toc163889328 \h </w:instrText>
            </w:r>
            <w:r w:rsidR="00785679" w:rsidRPr="003013BC">
              <w:rPr>
                <w:webHidden/>
              </w:rPr>
            </w:r>
            <w:r w:rsidR="00785679" w:rsidRPr="003013BC">
              <w:rPr>
                <w:webHidden/>
              </w:rPr>
              <w:fldChar w:fldCharType="separate"/>
            </w:r>
            <w:r w:rsidR="00785679" w:rsidRPr="003013BC">
              <w:rPr>
                <w:webHidden/>
              </w:rPr>
              <w:t>21</w:t>
            </w:r>
            <w:r w:rsidR="00785679" w:rsidRPr="003013BC">
              <w:rPr>
                <w:webHidden/>
              </w:rPr>
              <w:fldChar w:fldCharType="end"/>
            </w:r>
          </w:hyperlink>
        </w:p>
        <w:p w14:paraId="1948F68D" w14:textId="1FA67D64" w:rsidR="00785679" w:rsidRPr="003013BC" w:rsidRDefault="00BF67D4">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63889329" w:history="1">
            <w:r w:rsidR="00785679" w:rsidRPr="003013BC">
              <w:rPr>
                <w:rStyle w:val="Hyperlink"/>
                <w:rFonts w:ascii="Times New Roman" w:hAnsi="Times New Roman" w:cs="Times New Roman"/>
                <w:noProof/>
              </w:rPr>
              <w:t>6.0 Resource Planning</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_Toc163889329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23</w:t>
            </w:r>
            <w:r w:rsidR="00785679" w:rsidRPr="003013BC">
              <w:rPr>
                <w:rFonts w:ascii="Times New Roman" w:hAnsi="Times New Roman" w:cs="Times New Roman"/>
                <w:noProof/>
                <w:webHidden/>
              </w:rPr>
              <w:fldChar w:fldCharType="end"/>
            </w:r>
          </w:hyperlink>
        </w:p>
        <w:p w14:paraId="1F274AFA" w14:textId="4721AF29" w:rsidR="00785679" w:rsidRPr="003013BC" w:rsidRDefault="00BF67D4">
          <w:pPr>
            <w:pStyle w:val="TOC2"/>
            <w:rPr>
              <w:rFonts w:eastAsiaTheme="minorEastAsia"/>
              <w:kern w:val="2"/>
              <w:lang w:eastAsia="en-GB"/>
              <w14:ligatures w14:val="standardContextual"/>
            </w:rPr>
          </w:pPr>
          <w:hyperlink w:anchor="_Toc163889330" w:history="1">
            <w:r w:rsidR="00785679" w:rsidRPr="003013BC">
              <w:rPr>
                <w:rStyle w:val="Hyperlink"/>
                <w:lang w:eastAsia="en-GB"/>
              </w:rPr>
              <w:t>6.1 Personnel</w:t>
            </w:r>
            <w:r w:rsidR="00785679" w:rsidRPr="003013BC">
              <w:rPr>
                <w:webHidden/>
              </w:rPr>
              <w:tab/>
            </w:r>
            <w:r w:rsidR="00785679" w:rsidRPr="003013BC">
              <w:rPr>
                <w:webHidden/>
              </w:rPr>
              <w:fldChar w:fldCharType="begin"/>
            </w:r>
            <w:r w:rsidR="00785679" w:rsidRPr="003013BC">
              <w:rPr>
                <w:webHidden/>
              </w:rPr>
              <w:instrText xml:space="preserve"> PAGEREF _Toc163889330 \h </w:instrText>
            </w:r>
            <w:r w:rsidR="00785679" w:rsidRPr="003013BC">
              <w:rPr>
                <w:webHidden/>
              </w:rPr>
            </w:r>
            <w:r w:rsidR="00785679" w:rsidRPr="003013BC">
              <w:rPr>
                <w:webHidden/>
              </w:rPr>
              <w:fldChar w:fldCharType="separate"/>
            </w:r>
            <w:r w:rsidR="00785679" w:rsidRPr="003013BC">
              <w:rPr>
                <w:webHidden/>
              </w:rPr>
              <w:t>23</w:t>
            </w:r>
            <w:r w:rsidR="00785679" w:rsidRPr="003013BC">
              <w:rPr>
                <w:webHidden/>
              </w:rPr>
              <w:fldChar w:fldCharType="end"/>
            </w:r>
          </w:hyperlink>
        </w:p>
        <w:p w14:paraId="417424CC" w14:textId="6F2B2D29" w:rsidR="00785679" w:rsidRPr="003013BC" w:rsidRDefault="00BF67D4">
          <w:pPr>
            <w:pStyle w:val="TOC2"/>
            <w:rPr>
              <w:rFonts w:eastAsiaTheme="minorEastAsia"/>
              <w:kern w:val="2"/>
              <w:lang w:eastAsia="en-GB"/>
              <w14:ligatures w14:val="standardContextual"/>
            </w:rPr>
          </w:pPr>
          <w:hyperlink w:anchor="_Toc163889331" w:history="1">
            <w:r w:rsidR="00785679" w:rsidRPr="003013BC">
              <w:rPr>
                <w:rStyle w:val="Hyperlink"/>
              </w:rPr>
              <w:t>6.2 Timeline</w:t>
            </w:r>
            <w:r w:rsidR="00785679" w:rsidRPr="003013BC">
              <w:rPr>
                <w:webHidden/>
              </w:rPr>
              <w:tab/>
            </w:r>
            <w:r w:rsidR="00785679" w:rsidRPr="003013BC">
              <w:rPr>
                <w:webHidden/>
              </w:rPr>
              <w:fldChar w:fldCharType="begin"/>
            </w:r>
            <w:r w:rsidR="00785679" w:rsidRPr="003013BC">
              <w:rPr>
                <w:webHidden/>
              </w:rPr>
              <w:instrText xml:space="preserve"> PAGEREF _Toc163889331 \h </w:instrText>
            </w:r>
            <w:r w:rsidR="00785679" w:rsidRPr="003013BC">
              <w:rPr>
                <w:webHidden/>
              </w:rPr>
            </w:r>
            <w:r w:rsidR="00785679" w:rsidRPr="003013BC">
              <w:rPr>
                <w:webHidden/>
              </w:rPr>
              <w:fldChar w:fldCharType="separate"/>
            </w:r>
            <w:r w:rsidR="00785679" w:rsidRPr="003013BC">
              <w:rPr>
                <w:webHidden/>
              </w:rPr>
              <w:t>23</w:t>
            </w:r>
            <w:r w:rsidR="00785679" w:rsidRPr="003013BC">
              <w:rPr>
                <w:webHidden/>
              </w:rPr>
              <w:fldChar w:fldCharType="end"/>
            </w:r>
          </w:hyperlink>
        </w:p>
        <w:p w14:paraId="1FB486FE" w14:textId="77422C50" w:rsidR="00785679" w:rsidRPr="003013BC" w:rsidRDefault="00BF67D4">
          <w:pPr>
            <w:pStyle w:val="TOC2"/>
            <w:rPr>
              <w:rFonts w:eastAsiaTheme="minorEastAsia"/>
              <w:kern w:val="2"/>
              <w:lang w:eastAsia="en-GB"/>
              <w14:ligatures w14:val="standardContextual"/>
            </w:rPr>
          </w:pPr>
          <w:hyperlink w:anchor="_Toc163889332" w:history="1">
            <w:r w:rsidR="00785679" w:rsidRPr="003013BC">
              <w:rPr>
                <w:rStyle w:val="Hyperlink"/>
              </w:rPr>
              <w:t>6.3 Equipment and Facilities</w:t>
            </w:r>
            <w:r w:rsidR="00785679" w:rsidRPr="003013BC">
              <w:rPr>
                <w:webHidden/>
              </w:rPr>
              <w:tab/>
            </w:r>
            <w:r w:rsidR="00785679" w:rsidRPr="003013BC">
              <w:rPr>
                <w:webHidden/>
              </w:rPr>
              <w:fldChar w:fldCharType="begin"/>
            </w:r>
            <w:r w:rsidR="00785679" w:rsidRPr="003013BC">
              <w:rPr>
                <w:webHidden/>
              </w:rPr>
              <w:instrText xml:space="preserve"> PAGEREF _Toc163889332 \h </w:instrText>
            </w:r>
            <w:r w:rsidR="00785679" w:rsidRPr="003013BC">
              <w:rPr>
                <w:webHidden/>
              </w:rPr>
            </w:r>
            <w:r w:rsidR="00785679" w:rsidRPr="003013BC">
              <w:rPr>
                <w:webHidden/>
              </w:rPr>
              <w:fldChar w:fldCharType="separate"/>
            </w:r>
            <w:r w:rsidR="00785679" w:rsidRPr="003013BC">
              <w:rPr>
                <w:webHidden/>
              </w:rPr>
              <w:t>23</w:t>
            </w:r>
            <w:r w:rsidR="00785679" w:rsidRPr="003013BC">
              <w:rPr>
                <w:webHidden/>
              </w:rPr>
              <w:fldChar w:fldCharType="end"/>
            </w:r>
          </w:hyperlink>
        </w:p>
        <w:p w14:paraId="6BAB92CA" w14:textId="7A07D250" w:rsidR="00785679" w:rsidRPr="003013BC" w:rsidRDefault="00BF67D4">
          <w:pPr>
            <w:pStyle w:val="TOC2"/>
            <w:rPr>
              <w:rFonts w:eastAsiaTheme="minorEastAsia"/>
              <w:kern w:val="2"/>
              <w:lang w:eastAsia="en-GB"/>
              <w14:ligatures w14:val="standardContextual"/>
            </w:rPr>
          </w:pPr>
          <w:hyperlink w:anchor="_Toc163889333" w:history="1">
            <w:r w:rsidR="00785679" w:rsidRPr="003013BC">
              <w:rPr>
                <w:rStyle w:val="Hyperlink"/>
                <w:lang w:eastAsia="en-GB"/>
              </w:rPr>
              <w:t>6.4 Contingency Plan</w:t>
            </w:r>
            <w:r w:rsidR="00785679" w:rsidRPr="003013BC">
              <w:rPr>
                <w:webHidden/>
              </w:rPr>
              <w:tab/>
            </w:r>
            <w:r w:rsidR="00785679" w:rsidRPr="003013BC">
              <w:rPr>
                <w:webHidden/>
              </w:rPr>
              <w:fldChar w:fldCharType="begin"/>
            </w:r>
            <w:r w:rsidR="00785679" w:rsidRPr="003013BC">
              <w:rPr>
                <w:webHidden/>
              </w:rPr>
              <w:instrText xml:space="preserve"> PAGEREF _Toc163889333 \h </w:instrText>
            </w:r>
            <w:r w:rsidR="00785679" w:rsidRPr="003013BC">
              <w:rPr>
                <w:webHidden/>
              </w:rPr>
            </w:r>
            <w:r w:rsidR="00785679" w:rsidRPr="003013BC">
              <w:rPr>
                <w:webHidden/>
              </w:rPr>
              <w:fldChar w:fldCharType="separate"/>
            </w:r>
            <w:r w:rsidR="00785679" w:rsidRPr="003013BC">
              <w:rPr>
                <w:webHidden/>
              </w:rPr>
              <w:t>23</w:t>
            </w:r>
            <w:r w:rsidR="00785679" w:rsidRPr="003013BC">
              <w:rPr>
                <w:webHidden/>
              </w:rPr>
              <w:fldChar w:fldCharType="end"/>
            </w:r>
          </w:hyperlink>
        </w:p>
        <w:p w14:paraId="302B4B64" w14:textId="39FF99C4" w:rsidR="00785679" w:rsidRPr="003013BC" w:rsidRDefault="00BF67D4">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63889334" w:history="1">
            <w:r w:rsidR="00785679" w:rsidRPr="003013BC">
              <w:rPr>
                <w:rStyle w:val="Hyperlink"/>
                <w:rFonts w:ascii="Times New Roman" w:hAnsi="Times New Roman" w:cs="Times New Roman"/>
                <w:noProof/>
              </w:rPr>
              <w:t>7.0 Ethical consideration and limitations</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_Toc163889334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24</w:t>
            </w:r>
            <w:r w:rsidR="00785679" w:rsidRPr="003013BC">
              <w:rPr>
                <w:rFonts w:ascii="Times New Roman" w:hAnsi="Times New Roman" w:cs="Times New Roman"/>
                <w:noProof/>
                <w:webHidden/>
              </w:rPr>
              <w:fldChar w:fldCharType="end"/>
            </w:r>
          </w:hyperlink>
        </w:p>
        <w:p w14:paraId="07F8067C" w14:textId="61D0B860" w:rsidR="00785679" w:rsidRDefault="00BF67D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889335" w:history="1">
            <w:r w:rsidR="00785679" w:rsidRPr="003013BC">
              <w:rPr>
                <w:rStyle w:val="Hyperlink"/>
                <w:rFonts w:ascii="Times New Roman" w:hAnsi="Times New Roman" w:cs="Times New Roman"/>
                <w:noProof/>
              </w:rPr>
              <w:t>8.0 Reference list</w:t>
            </w:r>
            <w:r w:rsidR="00785679" w:rsidRPr="003013BC">
              <w:rPr>
                <w:rFonts w:ascii="Times New Roman" w:hAnsi="Times New Roman" w:cs="Times New Roman"/>
                <w:noProof/>
                <w:webHidden/>
              </w:rPr>
              <w:tab/>
            </w:r>
            <w:r w:rsidR="00785679" w:rsidRPr="003013BC">
              <w:rPr>
                <w:rFonts w:ascii="Times New Roman" w:hAnsi="Times New Roman" w:cs="Times New Roman"/>
                <w:noProof/>
                <w:webHidden/>
              </w:rPr>
              <w:fldChar w:fldCharType="begin"/>
            </w:r>
            <w:r w:rsidR="00785679" w:rsidRPr="003013BC">
              <w:rPr>
                <w:rFonts w:ascii="Times New Roman" w:hAnsi="Times New Roman" w:cs="Times New Roman"/>
                <w:noProof/>
                <w:webHidden/>
              </w:rPr>
              <w:instrText xml:space="preserve"> PAGEREF _Toc163889335 \h </w:instrText>
            </w:r>
            <w:r w:rsidR="00785679" w:rsidRPr="003013BC">
              <w:rPr>
                <w:rFonts w:ascii="Times New Roman" w:hAnsi="Times New Roman" w:cs="Times New Roman"/>
                <w:noProof/>
                <w:webHidden/>
              </w:rPr>
            </w:r>
            <w:r w:rsidR="00785679" w:rsidRPr="003013BC">
              <w:rPr>
                <w:rFonts w:ascii="Times New Roman" w:hAnsi="Times New Roman" w:cs="Times New Roman"/>
                <w:noProof/>
                <w:webHidden/>
              </w:rPr>
              <w:fldChar w:fldCharType="separate"/>
            </w:r>
            <w:r w:rsidR="00785679" w:rsidRPr="003013BC">
              <w:rPr>
                <w:rFonts w:ascii="Times New Roman" w:hAnsi="Times New Roman" w:cs="Times New Roman"/>
                <w:noProof/>
                <w:webHidden/>
              </w:rPr>
              <w:t>25</w:t>
            </w:r>
            <w:r w:rsidR="00785679" w:rsidRPr="003013BC">
              <w:rPr>
                <w:rFonts w:ascii="Times New Roman" w:hAnsi="Times New Roman" w:cs="Times New Roman"/>
                <w:noProof/>
                <w:webHidden/>
              </w:rPr>
              <w:fldChar w:fldCharType="end"/>
            </w:r>
          </w:hyperlink>
        </w:p>
        <w:p w14:paraId="7DBD188F" w14:textId="511D7DA4" w:rsidR="006A39DF" w:rsidRDefault="006A39DF">
          <w:r>
            <w:rPr>
              <w:b/>
              <w:bCs/>
              <w:noProof/>
            </w:rPr>
            <w:fldChar w:fldCharType="end"/>
          </w:r>
        </w:p>
      </w:sdtContent>
    </w:sdt>
    <w:p w14:paraId="51CCFE02" w14:textId="239AAC4A" w:rsidR="00D32ABE" w:rsidRPr="002B05E8" w:rsidRDefault="002B05E8" w:rsidP="002B05E8">
      <w:pPr>
        <w:pStyle w:val="Heading1"/>
        <w:rPr>
          <w:color w:val="0070C0"/>
        </w:rPr>
      </w:pPr>
      <w:bookmarkStart w:id="0" w:name="_Toc163889303"/>
      <w:r w:rsidRPr="002B05E8">
        <w:rPr>
          <w:color w:val="0070C0"/>
        </w:rPr>
        <w:lastRenderedPageBreak/>
        <w:t xml:space="preserve">1.0 </w:t>
      </w:r>
      <w:r w:rsidR="00D1166F" w:rsidRPr="002B05E8">
        <w:rPr>
          <w:color w:val="0070C0"/>
        </w:rPr>
        <w:t>Introduction</w:t>
      </w:r>
      <w:bookmarkEnd w:id="0"/>
    </w:p>
    <w:p w14:paraId="6BB3AE8A" w14:textId="55465479" w:rsidR="00D52B5B" w:rsidRPr="00D52B5B" w:rsidRDefault="00D52B5B" w:rsidP="00D52B5B">
      <w:pPr>
        <w:pStyle w:val="Heading2"/>
        <w:rPr>
          <w:color w:val="0070C0"/>
          <w:lang w:eastAsia="en-GB"/>
        </w:rPr>
      </w:pPr>
      <w:bookmarkStart w:id="1" w:name="_Toc163889304"/>
      <w:r w:rsidRPr="00D52B5B">
        <w:rPr>
          <w:color w:val="0070C0"/>
          <w:lang w:eastAsia="en-GB"/>
        </w:rPr>
        <w:t>1.1 Background</w:t>
      </w:r>
      <w:bookmarkEnd w:id="1"/>
    </w:p>
    <w:p w14:paraId="7362C96E" w14:textId="21AED288" w:rsidR="00256384" w:rsidRPr="002C40E9" w:rsidRDefault="00E2117B" w:rsidP="002C40E9">
      <w:pPr>
        <w:spacing w:line="480" w:lineRule="auto"/>
        <w:jc w:val="both"/>
        <w:rPr>
          <w:rFonts w:ascii="Times New Roman" w:hAnsi="Times New Roman" w:cs="Times New Roman"/>
          <w:sz w:val="24"/>
          <w:szCs w:val="24"/>
          <w:lang w:eastAsia="en-GB"/>
        </w:rPr>
      </w:pPr>
      <w:r w:rsidRPr="002C40E9">
        <w:rPr>
          <w:rFonts w:ascii="Times New Roman" w:hAnsi="Times New Roman" w:cs="Times New Roman"/>
          <w:sz w:val="24"/>
          <w:szCs w:val="24"/>
          <w:lang w:eastAsia="en-GB"/>
        </w:rPr>
        <w:t xml:space="preserve">Multinational corporations (MNCs) </w:t>
      </w:r>
      <w:r w:rsidR="00BB6285">
        <w:rPr>
          <w:rFonts w:ascii="Times New Roman" w:hAnsi="Times New Roman" w:cs="Times New Roman"/>
          <w:sz w:val="24"/>
          <w:szCs w:val="24"/>
          <w:lang w:eastAsia="en-GB"/>
        </w:rPr>
        <w:t xml:space="preserve">play a pivotal role in driving economic growth, innovation, and development in today's global economy. Their operations span multiple jurisdictions and diverse markets, navigating a complex landscape shaped by international trade agreements, regulatory frameworks, and market access barriers </w:t>
      </w:r>
      <w:r w:rsidR="00BB6285" w:rsidRPr="00BB6285">
        <w:rPr>
          <w:rFonts w:ascii="Times New Roman" w:hAnsi="Times New Roman" w:cs="Times New Roman"/>
          <w:sz w:val="24"/>
          <w:szCs w:val="24"/>
          <w:highlight w:val="yellow"/>
          <w:lang w:eastAsia="en-GB"/>
        </w:rPr>
        <w:t>(Pinkse and Kolk, 2010).</w:t>
      </w:r>
      <w:r w:rsidR="00BB6285">
        <w:rPr>
          <w:rFonts w:ascii="Times New Roman" w:hAnsi="Times New Roman" w:cs="Times New Roman"/>
          <w:sz w:val="24"/>
          <w:szCs w:val="24"/>
          <w:lang w:eastAsia="en-GB"/>
        </w:rPr>
        <w:t xml:space="preserve"> These agreements, which could range from bilateral trade pacts to multilateral treaties, define the terms of international trade and significantly influence MNCs' strategies for market entry, supply chain management, and regulatory compliance. However, the implications of these agreements are not always straightforward</w:t>
      </w:r>
      <w:r w:rsidR="00740447" w:rsidRPr="002C40E9">
        <w:rPr>
          <w:rFonts w:ascii="Times New Roman" w:hAnsi="Times New Roman" w:cs="Times New Roman"/>
          <w:sz w:val="24"/>
          <w:szCs w:val="24"/>
          <w:lang w:eastAsia="en-GB"/>
        </w:rPr>
        <w:t xml:space="preserve">. </w:t>
      </w:r>
      <w:r w:rsidR="007C4956" w:rsidRPr="002C40E9">
        <w:rPr>
          <w:rFonts w:ascii="Times New Roman" w:hAnsi="Times New Roman" w:cs="Times New Roman"/>
          <w:sz w:val="24"/>
          <w:szCs w:val="24"/>
          <w:highlight w:val="yellow"/>
        </w:rPr>
        <w:t>R</w:t>
      </w:r>
      <w:r w:rsidR="007123BE" w:rsidRPr="002C40E9">
        <w:rPr>
          <w:rFonts w:ascii="Times New Roman" w:hAnsi="Times New Roman" w:cs="Times New Roman"/>
          <w:sz w:val="24"/>
          <w:szCs w:val="24"/>
          <w:highlight w:val="yellow"/>
        </w:rPr>
        <w:t>odik</w:t>
      </w:r>
      <w:r w:rsidR="009532EB" w:rsidRPr="002C40E9">
        <w:rPr>
          <w:rFonts w:ascii="Times New Roman" w:hAnsi="Times New Roman" w:cs="Times New Roman"/>
          <w:sz w:val="24"/>
          <w:szCs w:val="24"/>
          <w:highlight w:val="yellow"/>
        </w:rPr>
        <w:t xml:space="preserve"> (2011)</w:t>
      </w:r>
      <w:r w:rsidR="007C4956" w:rsidRPr="002C40E9">
        <w:rPr>
          <w:rFonts w:ascii="Times New Roman" w:hAnsi="Times New Roman" w:cs="Times New Roman"/>
          <w:sz w:val="24"/>
          <w:szCs w:val="24"/>
        </w:rPr>
        <w:t xml:space="preserve"> argues </w:t>
      </w:r>
      <w:r w:rsidR="001C17B6" w:rsidRPr="002C40E9">
        <w:rPr>
          <w:rFonts w:ascii="Times New Roman" w:hAnsi="Times New Roman" w:cs="Times New Roman"/>
          <w:sz w:val="24"/>
          <w:szCs w:val="24"/>
        </w:rPr>
        <w:t xml:space="preserve">that </w:t>
      </w:r>
      <w:r w:rsidR="00D362FF" w:rsidRPr="002C40E9">
        <w:rPr>
          <w:rFonts w:ascii="Times New Roman" w:hAnsi="Times New Roman" w:cs="Times New Roman"/>
          <w:color w:val="0D0D0D"/>
          <w:sz w:val="24"/>
          <w:szCs w:val="24"/>
          <w:shd w:val="clear" w:color="auto" w:fill="FFFFFF"/>
        </w:rPr>
        <w:t xml:space="preserve">the hyper-globalization model, </w:t>
      </w:r>
      <w:r w:rsidR="007C4956" w:rsidRPr="002C40E9">
        <w:rPr>
          <w:rFonts w:ascii="Times New Roman" w:hAnsi="Times New Roman" w:cs="Times New Roman"/>
          <w:color w:val="0D0D0D"/>
          <w:sz w:val="24"/>
          <w:szCs w:val="24"/>
          <w:shd w:val="clear" w:color="auto" w:fill="FFFFFF"/>
        </w:rPr>
        <w:t>characterised</w:t>
      </w:r>
      <w:r w:rsidR="00D362FF" w:rsidRPr="002C40E9">
        <w:rPr>
          <w:rFonts w:ascii="Times New Roman" w:hAnsi="Times New Roman" w:cs="Times New Roman"/>
          <w:color w:val="0D0D0D"/>
          <w:sz w:val="24"/>
          <w:szCs w:val="24"/>
          <w:shd w:val="clear" w:color="auto" w:fill="FFFFFF"/>
        </w:rPr>
        <w:t xml:space="preserve"> by </w:t>
      </w:r>
      <w:r w:rsidR="007C4956" w:rsidRPr="002C40E9">
        <w:rPr>
          <w:rFonts w:ascii="Times New Roman" w:hAnsi="Times New Roman" w:cs="Times New Roman"/>
          <w:color w:val="0D0D0D"/>
          <w:sz w:val="24"/>
          <w:szCs w:val="24"/>
          <w:shd w:val="clear" w:color="auto" w:fill="FFFFFF"/>
        </w:rPr>
        <w:t>profound</w:t>
      </w:r>
      <w:r w:rsidR="00D362FF" w:rsidRPr="002C40E9">
        <w:rPr>
          <w:rFonts w:ascii="Times New Roman" w:hAnsi="Times New Roman" w:cs="Times New Roman"/>
          <w:color w:val="0D0D0D"/>
          <w:sz w:val="24"/>
          <w:szCs w:val="24"/>
          <w:shd w:val="clear" w:color="auto" w:fill="FFFFFF"/>
        </w:rPr>
        <w:t xml:space="preserve"> economic integration through free trade agreements, might </w:t>
      </w:r>
      <w:r w:rsidR="00E454AB" w:rsidRPr="002C40E9">
        <w:rPr>
          <w:rFonts w:ascii="Times New Roman" w:hAnsi="Times New Roman" w:cs="Times New Roman"/>
          <w:color w:val="0D0D0D"/>
          <w:sz w:val="24"/>
          <w:szCs w:val="24"/>
          <w:shd w:val="clear" w:color="auto" w:fill="FFFFFF"/>
        </w:rPr>
        <w:t>only sometimes</w:t>
      </w:r>
      <w:r w:rsidR="00D362FF" w:rsidRPr="002C40E9">
        <w:rPr>
          <w:rFonts w:ascii="Times New Roman" w:hAnsi="Times New Roman" w:cs="Times New Roman"/>
          <w:color w:val="0D0D0D"/>
          <w:sz w:val="24"/>
          <w:szCs w:val="24"/>
          <w:shd w:val="clear" w:color="auto" w:fill="FFFFFF"/>
        </w:rPr>
        <w:t xml:space="preserve"> lead to beneficial outcomes for all involved parties, especially developing countries. </w:t>
      </w:r>
      <w:r w:rsidR="009532EB" w:rsidRPr="002C40E9">
        <w:rPr>
          <w:rFonts w:ascii="Times New Roman" w:hAnsi="Times New Roman" w:cs="Times New Roman"/>
          <w:color w:val="0D0D0D"/>
          <w:sz w:val="24"/>
          <w:szCs w:val="24"/>
          <w:shd w:val="clear" w:color="auto" w:fill="FFFFFF"/>
        </w:rPr>
        <w:t>It is</w:t>
      </w:r>
      <w:r w:rsidR="005B6E1E" w:rsidRPr="002C40E9">
        <w:rPr>
          <w:rFonts w:ascii="Times New Roman" w:hAnsi="Times New Roman" w:cs="Times New Roman"/>
          <w:color w:val="0D0D0D"/>
          <w:sz w:val="24"/>
          <w:szCs w:val="24"/>
          <w:shd w:val="clear" w:color="auto" w:fill="FFFFFF"/>
        </w:rPr>
        <w:t xml:space="preserve"> further</w:t>
      </w:r>
      <w:r w:rsidR="009532EB" w:rsidRPr="002C40E9">
        <w:rPr>
          <w:rFonts w:ascii="Times New Roman" w:hAnsi="Times New Roman" w:cs="Times New Roman"/>
          <w:color w:val="0D0D0D"/>
          <w:sz w:val="24"/>
          <w:szCs w:val="24"/>
          <w:shd w:val="clear" w:color="auto" w:fill="FFFFFF"/>
        </w:rPr>
        <w:t xml:space="preserve"> suggested </w:t>
      </w:r>
      <w:r w:rsidR="00136C53" w:rsidRPr="002C40E9">
        <w:rPr>
          <w:rFonts w:ascii="Times New Roman" w:hAnsi="Times New Roman" w:cs="Times New Roman"/>
          <w:color w:val="0D0D0D"/>
          <w:sz w:val="24"/>
          <w:szCs w:val="24"/>
          <w:shd w:val="clear" w:color="auto" w:fill="FFFFFF"/>
        </w:rPr>
        <w:t>by Rodik (2011</w:t>
      </w:r>
      <w:r w:rsidR="00CC65ED" w:rsidRPr="002C40E9">
        <w:rPr>
          <w:rFonts w:ascii="Times New Roman" w:hAnsi="Times New Roman" w:cs="Times New Roman"/>
          <w:color w:val="0D0D0D"/>
          <w:sz w:val="24"/>
          <w:szCs w:val="24"/>
          <w:shd w:val="clear" w:color="auto" w:fill="FFFFFF"/>
        </w:rPr>
        <w:t xml:space="preserve">) </w:t>
      </w:r>
      <w:r w:rsidR="00D362FF" w:rsidRPr="002C40E9">
        <w:rPr>
          <w:rFonts w:ascii="Times New Roman" w:hAnsi="Times New Roman" w:cs="Times New Roman"/>
          <w:color w:val="0D0D0D"/>
          <w:sz w:val="24"/>
          <w:szCs w:val="24"/>
          <w:shd w:val="clear" w:color="auto" w:fill="FFFFFF"/>
        </w:rPr>
        <w:t xml:space="preserve">that such </w:t>
      </w:r>
      <w:r w:rsidR="009532EB" w:rsidRPr="002C40E9">
        <w:rPr>
          <w:rFonts w:ascii="Times New Roman" w:hAnsi="Times New Roman" w:cs="Times New Roman"/>
          <w:color w:val="0D0D0D"/>
          <w:sz w:val="24"/>
          <w:szCs w:val="24"/>
          <w:shd w:val="clear" w:color="auto" w:fill="FFFFFF"/>
        </w:rPr>
        <w:t>contracts</w:t>
      </w:r>
      <w:r w:rsidR="00D362FF" w:rsidRPr="002C40E9">
        <w:rPr>
          <w:rFonts w:ascii="Times New Roman" w:hAnsi="Times New Roman" w:cs="Times New Roman"/>
          <w:color w:val="0D0D0D"/>
          <w:sz w:val="24"/>
          <w:szCs w:val="24"/>
          <w:shd w:val="clear" w:color="auto" w:fill="FFFFFF"/>
        </w:rPr>
        <w:t xml:space="preserve"> can sometimes undermine national policies and the ability of governments to regulate their economies in the public interest</w:t>
      </w:r>
      <w:r w:rsidR="003760B1">
        <w:rPr>
          <w:rFonts w:ascii="Times New Roman" w:hAnsi="Times New Roman" w:cs="Times New Roman"/>
          <w:color w:val="0D0D0D"/>
          <w:sz w:val="24"/>
          <w:szCs w:val="24"/>
          <w:shd w:val="clear" w:color="auto" w:fill="FFFFFF"/>
        </w:rPr>
        <w:t>.</w:t>
      </w:r>
    </w:p>
    <w:p w14:paraId="4E099377" w14:textId="4D4EBF31" w:rsidR="00EF1FE1" w:rsidRDefault="00862173" w:rsidP="002C4B41">
      <w:pPr>
        <w:spacing w:line="480" w:lineRule="auto"/>
        <w:jc w:val="both"/>
        <w:rPr>
          <w:color w:val="0070C0"/>
          <w:sz w:val="28"/>
          <w:szCs w:val="28"/>
        </w:rPr>
      </w:pPr>
      <w:r w:rsidRPr="002C40E9">
        <w:rPr>
          <w:rFonts w:ascii="Times New Roman" w:hAnsi="Times New Roman" w:cs="Times New Roman"/>
          <w:sz w:val="24"/>
          <w:szCs w:val="24"/>
          <w:lang w:eastAsia="en-GB"/>
        </w:rPr>
        <w:t xml:space="preserve">Stakeholder engagement has become a crucial approach for multinational corporations (MNCs) to navigate the complexities of global trade agreements. It helps </w:t>
      </w:r>
      <w:r w:rsidR="00136446" w:rsidRPr="002C40E9">
        <w:rPr>
          <w:rFonts w:ascii="Times New Roman" w:hAnsi="Times New Roman" w:cs="Times New Roman"/>
          <w:sz w:val="24"/>
          <w:szCs w:val="24"/>
          <w:lang w:eastAsia="en-GB"/>
        </w:rPr>
        <w:t>build collaborative relationships with various stakeholders</w:t>
      </w:r>
      <w:r w:rsidR="00066326" w:rsidRPr="002C40E9">
        <w:rPr>
          <w:rFonts w:ascii="Times New Roman" w:hAnsi="Times New Roman" w:cs="Times New Roman"/>
          <w:sz w:val="24"/>
          <w:szCs w:val="24"/>
          <w:lang w:eastAsia="en-GB"/>
        </w:rPr>
        <w:t>,</w:t>
      </w:r>
      <w:r w:rsidR="00136446" w:rsidRPr="002C40E9">
        <w:rPr>
          <w:rFonts w:ascii="Times New Roman" w:hAnsi="Times New Roman" w:cs="Times New Roman"/>
          <w:sz w:val="24"/>
          <w:szCs w:val="24"/>
          <w:lang w:eastAsia="en-GB"/>
        </w:rPr>
        <w:t xml:space="preserve"> such as governments, regulatory bodies, industry </w:t>
      </w:r>
      <w:r w:rsidR="00713DD3" w:rsidRPr="002C40E9">
        <w:rPr>
          <w:rFonts w:ascii="Times New Roman" w:hAnsi="Times New Roman" w:cs="Times New Roman"/>
          <w:sz w:val="24"/>
          <w:szCs w:val="24"/>
          <w:lang w:eastAsia="en-GB"/>
        </w:rPr>
        <w:t>associations, and</w:t>
      </w:r>
      <w:r w:rsidR="006F12B4" w:rsidRPr="002C40E9">
        <w:rPr>
          <w:rFonts w:ascii="Times New Roman" w:hAnsi="Times New Roman" w:cs="Times New Roman"/>
          <w:sz w:val="24"/>
          <w:szCs w:val="24"/>
          <w:lang w:eastAsia="en-GB"/>
        </w:rPr>
        <w:t xml:space="preserve"> </w:t>
      </w:r>
      <w:r w:rsidR="00136446" w:rsidRPr="002C40E9">
        <w:rPr>
          <w:rFonts w:ascii="Times New Roman" w:hAnsi="Times New Roman" w:cs="Times New Roman"/>
          <w:sz w:val="24"/>
          <w:szCs w:val="24"/>
          <w:lang w:eastAsia="en-GB"/>
        </w:rPr>
        <w:t>customers</w:t>
      </w:r>
      <w:r w:rsidRPr="002C40E9">
        <w:rPr>
          <w:rFonts w:ascii="Times New Roman" w:hAnsi="Times New Roman" w:cs="Times New Roman"/>
          <w:sz w:val="24"/>
          <w:szCs w:val="24"/>
          <w:lang w:eastAsia="en-GB"/>
        </w:rPr>
        <w:t xml:space="preserve">. It also </w:t>
      </w:r>
      <w:r w:rsidR="00136446" w:rsidRPr="002C40E9">
        <w:rPr>
          <w:rFonts w:ascii="Times New Roman" w:hAnsi="Times New Roman" w:cs="Times New Roman"/>
          <w:sz w:val="24"/>
          <w:szCs w:val="24"/>
          <w:lang w:eastAsia="en-GB"/>
        </w:rPr>
        <w:t>addresses</w:t>
      </w:r>
      <w:r w:rsidRPr="002C40E9">
        <w:rPr>
          <w:rFonts w:ascii="Times New Roman" w:hAnsi="Times New Roman" w:cs="Times New Roman"/>
          <w:sz w:val="24"/>
          <w:szCs w:val="24"/>
          <w:lang w:eastAsia="en-GB"/>
        </w:rPr>
        <w:t xml:space="preserve"> emerging challenges like regulatory compliance, supply chain </w:t>
      </w:r>
      <w:r w:rsidR="00136446" w:rsidRPr="002C40E9">
        <w:rPr>
          <w:rFonts w:ascii="Times New Roman" w:hAnsi="Times New Roman" w:cs="Times New Roman"/>
          <w:sz w:val="24"/>
          <w:szCs w:val="24"/>
          <w:lang w:eastAsia="en-GB"/>
        </w:rPr>
        <w:t>optimisation</w:t>
      </w:r>
      <w:r w:rsidRPr="002C40E9">
        <w:rPr>
          <w:rFonts w:ascii="Times New Roman" w:hAnsi="Times New Roman" w:cs="Times New Roman"/>
          <w:sz w:val="24"/>
          <w:szCs w:val="24"/>
          <w:lang w:eastAsia="en-GB"/>
        </w:rPr>
        <w:t xml:space="preserve">, and market access barriers </w:t>
      </w:r>
      <w:r w:rsidRPr="002C40E9">
        <w:rPr>
          <w:rFonts w:ascii="Times New Roman" w:hAnsi="Times New Roman" w:cs="Times New Roman"/>
          <w:sz w:val="24"/>
          <w:szCs w:val="24"/>
          <w:highlight w:val="yellow"/>
          <w:lang w:eastAsia="en-GB"/>
        </w:rPr>
        <w:t>(Steger, 2004).</w:t>
      </w:r>
      <w:r w:rsidRPr="002C40E9">
        <w:rPr>
          <w:rFonts w:ascii="Times New Roman" w:hAnsi="Times New Roman" w:cs="Times New Roman"/>
          <w:sz w:val="24"/>
          <w:szCs w:val="24"/>
          <w:lang w:eastAsia="en-GB"/>
        </w:rPr>
        <w:t xml:space="preserve"> </w:t>
      </w:r>
      <w:bookmarkStart w:id="2" w:name="_Toc163889305"/>
      <w:r w:rsidR="002C4B41" w:rsidRPr="002C4B41">
        <w:rPr>
          <w:rFonts w:ascii="Times New Roman" w:hAnsi="Times New Roman" w:cs="Times New Roman"/>
          <w:sz w:val="24"/>
          <w:szCs w:val="24"/>
        </w:rPr>
        <w:t xml:space="preserve">The effectiveness, challenges, and impact of multinational </w:t>
      </w:r>
      <w:r w:rsidR="00570BAC">
        <w:rPr>
          <w:rFonts w:ascii="Times New Roman" w:hAnsi="Times New Roman" w:cs="Times New Roman"/>
          <w:sz w:val="24"/>
          <w:szCs w:val="24"/>
        </w:rPr>
        <w:t>corporations</w:t>
      </w:r>
      <w:r w:rsidR="002C4B41" w:rsidRPr="002C4B41">
        <w:rPr>
          <w:rFonts w:ascii="Times New Roman" w:hAnsi="Times New Roman" w:cs="Times New Roman"/>
          <w:sz w:val="24"/>
          <w:szCs w:val="24"/>
        </w:rPr>
        <w:t xml:space="preserve"> (MNCs) stakeholder engagement strategies in the context of global trade agreements require further research, as highlighted by </w:t>
      </w:r>
      <w:r w:rsidR="002C4B41" w:rsidRPr="00537DE3">
        <w:rPr>
          <w:rFonts w:ascii="Times New Roman" w:hAnsi="Times New Roman" w:cs="Times New Roman"/>
          <w:sz w:val="24"/>
          <w:szCs w:val="24"/>
          <w:highlight w:val="yellow"/>
        </w:rPr>
        <w:t>Zhou (2017).</w:t>
      </w:r>
    </w:p>
    <w:p w14:paraId="281DE962" w14:textId="4783EAE0" w:rsidR="007A01ED" w:rsidRPr="00EF4A81" w:rsidRDefault="007A01ED" w:rsidP="00EF4A81">
      <w:pPr>
        <w:pStyle w:val="Heading2"/>
        <w:rPr>
          <w:color w:val="0070C0"/>
          <w:sz w:val="28"/>
          <w:szCs w:val="28"/>
        </w:rPr>
      </w:pPr>
      <w:r w:rsidRPr="00EF4A81">
        <w:rPr>
          <w:color w:val="0070C0"/>
          <w:sz w:val="28"/>
          <w:szCs w:val="28"/>
        </w:rPr>
        <w:t>1.2 Problem statement</w:t>
      </w:r>
      <w:bookmarkEnd w:id="2"/>
    </w:p>
    <w:p w14:paraId="7667B061" w14:textId="1D2EC0A3" w:rsidR="00105925" w:rsidRPr="002C40E9" w:rsidRDefault="00044CA2" w:rsidP="002C40E9">
      <w:pPr>
        <w:spacing w:line="480" w:lineRule="auto"/>
        <w:jc w:val="both"/>
        <w:rPr>
          <w:rFonts w:ascii="Times New Roman" w:hAnsi="Times New Roman" w:cs="Times New Roman"/>
          <w:sz w:val="24"/>
          <w:szCs w:val="24"/>
          <w:lang w:eastAsia="en-GB"/>
        </w:rPr>
      </w:pPr>
      <w:r w:rsidRPr="002C40E9">
        <w:rPr>
          <w:rFonts w:ascii="Times New Roman" w:hAnsi="Times New Roman" w:cs="Times New Roman"/>
          <w:sz w:val="24"/>
          <w:szCs w:val="24"/>
          <w:lang w:eastAsia="en-GB"/>
        </w:rPr>
        <w:t xml:space="preserve">The rapidly evolving landscape of global trade agreements poses multifaceted challenges for MNCs, necessitating </w:t>
      </w:r>
      <w:r w:rsidR="00D52B5B" w:rsidRPr="002C40E9">
        <w:rPr>
          <w:rFonts w:ascii="Times New Roman" w:hAnsi="Times New Roman" w:cs="Times New Roman"/>
          <w:sz w:val="24"/>
          <w:szCs w:val="24"/>
          <w:lang w:eastAsia="en-GB"/>
        </w:rPr>
        <w:t xml:space="preserve">their evaluation of </w:t>
      </w:r>
      <w:r w:rsidRPr="002C40E9">
        <w:rPr>
          <w:rFonts w:ascii="Times New Roman" w:hAnsi="Times New Roman" w:cs="Times New Roman"/>
          <w:sz w:val="24"/>
          <w:szCs w:val="24"/>
          <w:lang w:eastAsia="en-GB"/>
        </w:rPr>
        <w:t xml:space="preserve">their stakeholder engagement strategies to effectively </w:t>
      </w:r>
      <w:r w:rsidRPr="002C40E9">
        <w:rPr>
          <w:rFonts w:ascii="Times New Roman" w:hAnsi="Times New Roman" w:cs="Times New Roman"/>
          <w:sz w:val="24"/>
          <w:szCs w:val="24"/>
          <w:lang w:eastAsia="en-GB"/>
        </w:rPr>
        <w:lastRenderedPageBreak/>
        <w:t xml:space="preserve">manage changes in market access, regulatory compliance, supply chain </w:t>
      </w:r>
      <w:r w:rsidR="00D52B5B" w:rsidRPr="002C40E9">
        <w:rPr>
          <w:rFonts w:ascii="Times New Roman" w:hAnsi="Times New Roman" w:cs="Times New Roman"/>
          <w:sz w:val="24"/>
          <w:szCs w:val="24"/>
          <w:lang w:eastAsia="en-GB"/>
        </w:rPr>
        <w:t>optimisation</w:t>
      </w:r>
      <w:r w:rsidRPr="002C40E9">
        <w:rPr>
          <w:rFonts w:ascii="Times New Roman" w:hAnsi="Times New Roman" w:cs="Times New Roman"/>
          <w:sz w:val="24"/>
          <w:szCs w:val="24"/>
          <w:lang w:eastAsia="en-GB"/>
        </w:rPr>
        <w:t>, and market access barriers</w:t>
      </w:r>
      <w:r w:rsidR="00373DBF" w:rsidRPr="002C40E9">
        <w:rPr>
          <w:rFonts w:ascii="Times New Roman" w:hAnsi="Times New Roman" w:cs="Times New Roman"/>
          <w:sz w:val="24"/>
          <w:szCs w:val="24"/>
          <w:lang w:eastAsia="en-GB"/>
        </w:rPr>
        <w:t xml:space="preserve"> </w:t>
      </w:r>
      <w:r w:rsidR="00373DBF" w:rsidRPr="002C40E9">
        <w:rPr>
          <w:rFonts w:ascii="Times New Roman" w:hAnsi="Times New Roman" w:cs="Times New Roman"/>
          <w:sz w:val="24"/>
          <w:szCs w:val="24"/>
          <w:highlight w:val="yellow"/>
        </w:rPr>
        <w:t>(Cullen and Parboteeah, 2010)</w:t>
      </w:r>
      <w:r w:rsidR="00373DBF" w:rsidRPr="002C40E9">
        <w:rPr>
          <w:rFonts w:ascii="Times New Roman" w:hAnsi="Times New Roman" w:cs="Times New Roman"/>
          <w:sz w:val="24"/>
          <w:szCs w:val="24"/>
        </w:rPr>
        <w:t xml:space="preserve">. </w:t>
      </w:r>
      <w:r w:rsidR="00373DBF" w:rsidRPr="002C40E9">
        <w:rPr>
          <w:rFonts w:ascii="Times New Roman" w:hAnsi="Times New Roman" w:cs="Times New Roman"/>
          <w:sz w:val="24"/>
          <w:szCs w:val="24"/>
          <w:lang w:eastAsia="en-GB"/>
        </w:rPr>
        <w:t xml:space="preserve">Despite the growing importance of stakeholder engagement in navigating the complexities of global trade, there </w:t>
      </w:r>
      <w:r w:rsidR="00AB047A" w:rsidRPr="002C40E9">
        <w:rPr>
          <w:rFonts w:ascii="Times New Roman" w:hAnsi="Times New Roman" w:cs="Times New Roman"/>
          <w:sz w:val="24"/>
          <w:szCs w:val="24"/>
          <w:lang w:eastAsia="en-GB"/>
        </w:rPr>
        <w:t xml:space="preserve">still needs to be </w:t>
      </w:r>
      <w:r w:rsidR="001322AB" w:rsidRPr="002C40E9">
        <w:rPr>
          <w:rFonts w:ascii="Times New Roman" w:hAnsi="Times New Roman" w:cs="Times New Roman"/>
          <w:sz w:val="24"/>
          <w:szCs w:val="24"/>
          <w:lang w:eastAsia="en-GB"/>
        </w:rPr>
        <w:t xml:space="preserve">a </w:t>
      </w:r>
      <w:r w:rsidR="00AB047A" w:rsidRPr="002C40E9">
        <w:rPr>
          <w:rFonts w:ascii="Times New Roman" w:hAnsi="Times New Roman" w:cs="Times New Roman"/>
          <w:sz w:val="24"/>
          <w:szCs w:val="24"/>
          <w:lang w:eastAsia="en-GB"/>
        </w:rPr>
        <w:t>comprehensive</w:t>
      </w:r>
      <w:r w:rsidR="00373DBF" w:rsidRPr="002C40E9">
        <w:rPr>
          <w:rFonts w:ascii="Times New Roman" w:hAnsi="Times New Roman" w:cs="Times New Roman"/>
          <w:sz w:val="24"/>
          <w:szCs w:val="24"/>
          <w:lang w:eastAsia="en-GB"/>
        </w:rPr>
        <w:t xml:space="preserve"> understanding regarding the effectiveness, challenges, and impact of MNCs' </w:t>
      </w:r>
      <w:r w:rsidR="008C45BD" w:rsidRPr="002C40E9">
        <w:rPr>
          <w:rFonts w:ascii="Times New Roman" w:hAnsi="Times New Roman" w:cs="Times New Roman"/>
          <w:sz w:val="24"/>
          <w:szCs w:val="24"/>
          <w:lang w:eastAsia="en-GB"/>
        </w:rPr>
        <w:t>Stakeholder</w:t>
      </w:r>
      <w:r w:rsidR="00373DBF" w:rsidRPr="002C40E9">
        <w:rPr>
          <w:rFonts w:ascii="Times New Roman" w:hAnsi="Times New Roman" w:cs="Times New Roman"/>
          <w:sz w:val="24"/>
          <w:szCs w:val="24"/>
          <w:lang w:eastAsia="en-GB"/>
        </w:rPr>
        <w:t xml:space="preserve"> engagement practices in this context</w:t>
      </w:r>
      <w:r w:rsidR="00526E07" w:rsidRPr="002C40E9">
        <w:rPr>
          <w:rFonts w:ascii="Times New Roman" w:hAnsi="Times New Roman" w:cs="Times New Roman"/>
          <w:sz w:val="24"/>
          <w:szCs w:val="24"/>
          <w:lang w:eastAsia="en-GB"/>
        </w:rPr>
        <w:t xml:space="preserve"> </w:t>
      </w:r>
      <w:r w:rsidR="00526E07" w:rsidRPr="002C40E9">
        <w:rPr>
          <w:rFonts w:ascii="Times New Roman" w:hAnsi="Times New Roman" w:cs="Times New Roman"/>
          <w:sz w:val="24"/>
          <w:szCs w:val="24"/>
          <w:highlight w:val="yellow"/>
        </w:rPr>
        <w:t>(Anastasi, 2020)</w:t>
      </w:r>
      <w:r w:rsidR="00526E07" w:rsidRPr="002C40E9">
        <w:rPr>
          <w:rFonts w:ascii="Times New Roman" w:hAnsi="Times New Roman" w:cs="Times New Roman"/>
          <w:sz w:val="24"/>
          <w:szCs w:val="24"/>
        </w:rPr>
        <w:t>.</w:t>
      </w:r>
      <w:r w:rsidR="00373DBF" w:rsidRPr="002C40E9">
        <w:rPr>
          <w:rFonts w:ascii="Times New Roman" w:hAnsi="Times New Roman" w:cs="Times New Roman"/>
          <w:sz w:val="24"/>
          <w:szCs w:val="24"/>
          <w:lang w:eastAsia="en-GB"/>
        </w:rPr>
        <w:t xml:space="preserve"> </w:t>
      </w:r>
      <w:r w:rsidR="00EE52FA" w:rsidRPr="002C40E9">
        <w:rPr>
          <w:rFonts w:ascii="Times New Roman" w:hAnsi="Times New Roman" w:cs="Times New Roman"/>
          <w:sz w:val="24"/>
          <w:szCs w:val="24"/>
          <w:lang w:eastAsia="en-GB"/>
        </w:rPr>
        <w:t>There is an immediate need for research to explore the intricacies of multinational corporations' strategies for engaging with stakeholders within the framework of international trade agreements</w:t>
      </w:r>
      <w:r w:rsidR="00293928">
        <w:rPr>
          <w:rFonts w:ascii="Times New Roman" w:hAnsi="Times New Roman" w:cs="Times New Roman"/>
          <w:sz w:val="24"/>
          <w:szCs w:val="24"/>
          <w:lang w:eastAsia="en-GB"/>
        </w:rPr>
        <w:t xml:space="preserve"> </w:t>
      </w:r>
      <w:r w:rsidR="00293928" w:rsidRPr="00293928">
        <w:rPr>
          <w:rFonts w:ascii="Times New Roman" w:hAnsi="Times New Roman" w:cs="Times New Roman"/>
          <w:sz w:val="24"/>
          <w:szCs w:val="24"/>
          <w:highlight w:val="yellow"/>
          <w:lang w:eastAsia="en-GB"/>
        </w:rPr>
        <w:t>(Caves, 1996)</w:t>
      </w:r>
      <w:r w:rsidR="00EE52FA" w:rsidRPr="00293928">
        <w:rPr>
          <w:rFonts w:ascii="Times New Roman" w:hAnsi="Times New Roman" w:cs="Times New Roman"/>
          <w:sz w:val="24"/>
          <w:szCs w:val="24"/>
          <w:highlight w:val="yellow"/>
          <w:lang w:eastAsia="en-GB"/>
        </w:rPr>
        <w:t>.</w:t>
      </w:r>
      <w:r w:rsidR="00EE52FA" w:rsidRPr="002C40E9">
        <w:rPr>
          <w:rFonts w:ascii="Times New Roman" w:hAnsi="Times New Roman" w:cs="Times New Roman"/>
          <w:sz w:val="24"/>
          <w:szCs w:val="24"/>
          <w:lang w:eastAsia="en-GB"/>
        </w:rPr>
        <w:t xml:space="preserve"> This research should aim to develop recommendations and best practices based on evidence to guide multinational </w:t>
      </w:r>
      <w:r w:rsidR="00F520F3" w:rsidRPr="002C40E9">
        <w:rPr>
          <w:rFonts w:ascii="Times New Roman" w:hAnsi="Times New Roman" w:cs="Times New Roman"/>
          <w:sz w:val="24"/>
          <w:szCs w:val="24"/>
          <w:lang w:eastAsia="en-GB"/>
        </w:rPr>
        <w:t>c</w:t>
      </w:r>
      <w:r w:rsidR="00015167" w:rsidRPr="002C40E9">
        <w:rPr>
          <w:rFonts w:ascii="Times New Roman" w:hAnsi="Times New Roman" w:cs="Times New Roman"/>
          <w:sz w:val="24"/>
          <w:szCs w:val="24"/>
          <w:lang w:eastAsia="en-GB"/>
        </w:rPr>
        <w:t>orporations</w:t>
      </w:r>
      <w:r w:rsidR="00EE52FA" w:rsidRPr="002C40E9">
        <w:rPr>
          <w:rFonts w:ascii="Times New Roman" w:hAnsi="Times New Roman" w:cs="Times New Roman"/>
          <w:sz w:val="24"/>
          <w:szCs w:val="24"/>
          <w:lang w:eastAsia="en-GB"/>
        </w:rPr>
        <w:t>, policymakers, industry associations, and other stakeholders in improving their engagement efforts with stakeholders in response to the changing dynamics of global trade</w:t>
      </w:r>
      <w:r w:rsidR="00175A29" w:rsidRPr="002C40E9">
        <w:rPr>
          <w:rFonts w:ascii="Times New Roman" w:hAnsi="Times New Roman" w:cs="Times New Roman"/>
          <w:sz w:val="24"/>
          <w:szCs w:val="24"/>
          <w:lang w:eastAsia="en-GB"/>
        </w:rPr>
        <w:t xml:space="preserve"> </w:t>
      </w:r>
      <w:r w:rsidR="00175A29" w:rsidRPr="002C40E9">
        <w:rPr>
          <w:rFonts w:ascii="Times New Roman" w:hAnsi="Times New Roman" w:cs="Times New Roman"/>
          <w:sz w:val="24"/>
          <w:szCs w:val="24"/>
          <w:highlight w:val="yellow"/>
        </w:rPr>
        <w:t>(Ndlela, 2019).</w:t>
      </w:r>
    </w:p>
    <w:p w14:paraId="56D9A293" w14:textId="70D1227F" w:rsidR="00044CA2" w:rsidRPr="009C6FA3" w:rsidRDefault="00044CA2" w:rsidP="009C6FA3">
      <w:pPr>
        <w:pStyle w:val="Heading2"/>
        <w:rPr>
          <w:color w:val="0070C0"/>
          <w:sz w:val="28"/>
          <w:szCs w:val="28"/>
        </w:rPr>
      </w:pPr>
      <w:bookmarkStart w:id="3" w:name="_Toc163889306"/>
      <w:r w:rsidRPr="009C6FA3">
        <w:rPr>
          <w:color w:val="0070C0"/>
          <w:sz w:val="28"/>
          <w:szCs w:val="28"/>
        </w:rPr>
        <w:t xml:space="preserve">1.3 Aims of the </w:t>
      </w:r>
      <w:r w:rsidR="00BE1C3C" w:rsidRPr="009C6FA3">
        <w:rPr>
          <w:color w:val="0070C0"/>
          <w:sz w:val="28"/>
          <w:szCs w:val="28"/>
        </w:rPr>
        <w:t>R</w:t>
      </w:r>
      <w:r w:rsidR="00256384" w:rsidRPr="009C6FA3">
        <w:rPr>
          <w:color w:val="0070C0"/>
          <w:sz w:val="28"/>
          <w:szCs w:val="28"/>
        </w:rPr>
        <w:t>esearch</w:t>
      </w:r>
      <w:bookmarkEnd w:id="3"/>
    </w:p>
    <w:p w14:paraId="74CD09DD" w14:textId="0CBA2A3E" w:rsidR="007B02A2" w:rsidRPr="002C40E9" w:rsidRDefault="007B02A2" w:rsidP="002C40E9">
      <w:pPr>
        <w:spacing w:line="480" w:lineRule="auto"/>
        <w:jc w:val="both"/>
        <w:rPr>
          <w:rFonts w:ascii="Times New Roman" w:hAnsi="Times New Roman" w:cs="Times New Roman"/>
          <w:sz w:val="24"/>
          <w:szCs w:val="24"/>
          <w:lang w:eastAsia="en-GB"/>
        </w:rPr>
      </w:pPr>
      <w:r w:rsidRPr="002C40E9">
        <w:rPr>
          <w:rFonts w:ascii="Times New Roman" w:hAnsi="Times New Roman" w:cs="Times New Roman"/>
          <w:sz w:val="24"/>
          <w:szCs w:val="24"/>
          <w:lang w:eastAsia="en-GB"/>
        </w:rPr>
        <w:t xml:space="preserve">To examine the effectiveness of multinational corporations' stakeholder engagement strategies in navigating changes in market access, regulatory compliance, and supply chain </w:t>
      </w:r>
      <w:r w:rsidR="00875115" w:rsidRPr="002C40E9">
        <w:rPr>
          <w:rFonts w:ascii="Times New Roman" w:hAnsi="Times New Roman" w:cs="Times New Roman"/>
          <w:sz w:val="24"/>
          <w:szCs w:val="24"/>
          <w:lang w:eastAsia="en-GB"/>
        </w:rPr>
        <w:t>optimisation</w:t>
      </w:r>
      <w:r w:rsidRPr="002C40E9">
        <w:rPr>
          <w:rFonts w:ascii="Times New Roman" w:hAnsi="Times New Roman" w:cs="Times New Roman"/>
          <w:sz w:val="24"/>
          <w:szCs w:val="24"/>
          <w:lang w:eastAsia="en-GB"/>
        </w:rPr>
        <w:t xml:space="preserve"> resulting from global trade agreements.</w:t>
      </w:r>
    </w:p>
    <w:p w14:paraId="7900674E" w14:textId="56460239" w:rsidR="007B02A2" w:rsidRPr="002C40E9" w:rsidRDefault="007B02A2" w:rsidP="002C40E9">
      <w:pPr>
        <w:pStyle w:val="ListParagraph"/>
        <w:numPr>
          <w:ilvl w:val="0"/>
          <w:numId w:val="18"/>
        </w:numPr>
        <w:spacing w:line="480" w:lineRule="auto"/>
        <w:jc w:val="both"/>
        <w:rPr>
          <w:rFonts w:ascii="Times New Roman" w:hAnsi="Times New Roman" w:cs="Times New Roman"/>
          <w:sz w:val="24"/>
          <w:szCs w:val="24"/>
          <w:lang w:eastAsia="en-GB"/>
        </w:rPr>
      </w:pPr>
      <w:r w:rsidRPr="002C40E9">
        <w:rPr>
          <w:rFonts w:ascii="Times New Roman" w:hAnsi="Times New Roman" w:cs="Times New Roman"/>
          <w:sz w:val="24"/>
          <w:szCs w:val="24"/>
          <w:lang w:eastAsia="en-GB"/>
        </w:rPr>
        <w:t xml:space="preserve">To identify the key challenges and opportunities </w:t>
      </w:r>
      <w:r w:rsidR="00875115" w:rsidRPr="002C40E9">
        <w:rPr>
          <w:rFonts w:ascii="Times New Roman" w:hAnsi="Times New Roman" w:cs="Times New Roman"/>
          <w:sz w:val="24"/>
          <w:szCs w:val="24"/>
          <w:lang w:eastAsia="en-GB"/>
        </w:rPr>
        <w:t>multinational corporations face</w:t>
      </w:r>
      <w:r w:rsidRPr="002C40E9">
        <w:rPr>
          <w:rFonts w:ascii="Times New Roman" w:hAnsi="Times New Roman" w:cs="Times New Roman"/>
          <w:sz w:val="24"/>
          <w:szCs w:val="24"/>
          <w:lang w:eastAsia="en-GB"/>
        </w:rPr>
        <w:t xml:space="preserve"> in modifying their stakeholder engagement strategies to address market-specific dynamics, industry-specific requirements, and emerging technologies in the context of global trade agreements</w:t>
      </w:r>
      <w:r w:rsidR="00502299" w:rsidRPr="002C40E9">
        <w:rPr>
          <w:rFonts w:ascii="Times New Roman" w:hAnsi="Times New Roman" w:cs="Times New Roman"/>
          <w:sz w:val="24"/>
          <w:szCs w:val="24"/>
          <w:lang w:eastAsia="en-GB"/>
        </w:rPr>
        <w:t xml:space="preserve"> </w:t>
      </w:r>
      <w:r w:rsidR="00502299" w:rsidRPr="002C40E9">
        <w:rPr>
          <w:rFonts w:ascii="Times New Roman" w:hAnsi="Times New Roman" w:cs="Times New Roman"/>
          <w:sz w:val="24"/>
          <w:szCs w:val="24"/>
          <w:highlight w:val="yellow"/>
        </w:rPr>
        <w:t>(Looney, 2019)</w:t>
      </w:r>
      <w:r w:rsidR="00215E6F" w:rsidRPr="002C40E9">
        <w:rPr>
          <w:rFonts w:ascii="Times New Roman" w:hAnsi="Times New Roman" w:cs="Times New Roman"/>
          <w:sz w:val="24"/>
          <w:szCs w:val="24"/>
        </w:rPr>
        <w:t>.</w:t>
      </w:r>
    </w:p>
    <w:p w14:paraId="1F881DA3" w14:textId="58F0579A" w:rsidR="007B02A2" w:rsidRPr="002C40E9" w:rsidRDefault="007B02A2" w:rsidP="002C40E9">
      <w:pPr>
        <w:pStyle w:val="ListParagraph"/>
        <w:numPr>
          <w:ilvl w:val="0"/>
          <w:numId w:val="18"/>
        </w:numPr>
        <w:spacing w:line="480" w:lineRule="auto"/>
        <w:jc w:val="both"/>
        <w:rPr>
          <w:rFonts w:ascii="Times New Roman" w:hAnsi="Times New Roman" w:cs="Times New Roman"/>
          <w:sz w:val="24"/>
          <w:szCs w:val="24"/>
          <w:highlight w:val="yellow"/>
          <w:lang w:eastAsia="en-GB"/>
        </w:rPr>
      </w:pPr>
      <w:r w:rsidRPr="002C40E9">
        <w:rPr>
          <w:rFonts w:ascii="Times New Roman" w:hAnsi="Times New Roman" w:cs="Times New Roman"/>
          <w:sz w:val="24"/>
          <w:szCs w:val="24"/>
          <w:lang w:eastAsia="en-GB"/>
        </w:rPr>
        <w:t xml:space="preserve">To assess the impact of </w:t>
      </w:r>
      <w:r w:rsidR="009A7B33" w:rsidRPr="002C40E9">
        <w:rPr>
          <w:rFonts w:ascii="Times New Roman" w:hAnsi="Times New Roman" w:cs="Times New Roman"/>
          <w:sz w:val="24"/>
          <w:szCs w:val="24"/>
          <w:lang w:eastAsia="en-GB"/>
        </w:rPr>
        <w:t xml:space="preserve">these practices on business performance, competitiveness, and sustainability outcomes, including revenue growth, cost </w:t>
      </w:r>
      <w:r w:rsidR="00136446" w:rsidRPr="002C40E9">
        <w:rPr>
          <w:rFonts w:ascii="Times New Roman" w:hAnsi="Times New Roman" w:cs="Times New Roman"/>
          <w:sz w:val="24"/>
          <w:szCs w:val="24"/>
          <w:lang w:eastAsia="en-GB"/>
        </w:rPr>
        <w:t>optimisation</w:t>
      </w:r>
      <w:r w:rsidRPr="002C40E9">
        <w:rPr>
          <w:rFonts w:ascii="Times New Roman" w:hAnsi="Times New Roman" w:cs="Times New Roman"/>
          <w:sz w:val="24"/>
          <w:szCs w:val="24"/>
          <w:lang w:eastAsia="en-GB"/>
        </w:rPr>
        <w:t>, and corporate social responsibility initiatives</w:t>
      </w:r>
      <w:r w:rsidR="00BB7B9E" w:rsidRPr="002C40E9">
        <w:rPr>
          <w:rFonts w:ascii="Times New Roman" w:hAnsi="Times New Roman" w:cs="Times New Roman"/>
          <w:sz w:val="24"/>
          <w:szCs w:val="24"/>
          <w:lang w:eastAsia="en-GB"/>
        </w:rPr>
        <w:t xml:space="preserve"> </w:t>
      </w:r>
      <w:r w:rsidR="00C2434D" w:rsidRPr="002C40E9">
        <w:rPr>
          <w:rFonts w:ascii="Times New Roman" w:hAnsi="Times New Roman" w:cs="Times New Roman"/>
          <w:sz w:val="24"/>
          <w:szCs w:val="24"/>
          <w:highlight w:val="yellow"/>
        </w:rPr>
        <w:t>(Porter, 1979).</w:t>
      </w:r>
    </w:p>
    <w:p w14:paraId="43E5CB42" w14:textId="31E7D001" w:rsidR="003C24A4" w:rsidRPr="002C40E9" w:rsidRDefault="007B02A2" w:rsidP="002C40E9">
      <w:pPr>
        <w:pStyle w:val="ListParagraph"/>
        <w:numPr>
          <w:ilvl w:val="0"/>
          <w:numId w:val="18"/>
        </w:numPr>
        <w:spacing w:line="480" w:lineRule="auto"/>
        <w:jc w:val="both"/>
        <w:rPr>
          <w:rFonts w:ascii="Times New Roman" w:hAnsi="Times New Roman" w:cs="Times New Roman"/>
          <w:sz w:val="24"/>
          <w:szCs w:val="24"/>
        </w:rPr>
      </w:pPr>
      <w:r w:rsidRPr="002C40E9">
        <w:rPr>
          <w:rFonts w:ascii="Times New Roman" w:hAnsi="Times New Roman" w:cs="Times New Roman"/>
          <w:sz w:val="24"/>
          <w:szCs w:val="24"/>
          <w:lang w:eastAsia="en-GB"/>
        </w:rPr>
        <w:t xml:space="preserve">To develop evidence-based recommendations and best practices for multinational corporations, policymakers, industry associations, and other stakeholders to enhance </w:t>
      </w:r>
      <w:r w:rsidRPr="002C40E9">
        <w:rPr>
          <w:rFonts w:ascii="Times New Roman" w:hAnsi="Times New Roman" w:cs="Times New Roman"/>
          <w:sz w:val="24"/>
          <w:szCs w:val="24"/>
          <w:lang w:eastAsia="en-GB"/>
        </w:rPr>
        <w:lastRenderedPageBreak/>
        <w:t>stakeholder engagement strategies in response to changes in global trade agreements, regulatory environments, and market access barriers</w:t>
      </w:r>
      <w:r w:rsidR="002A603F" w:rsidRPr="002C40E9">
        <w:rPr>
          <w:rFonts w:ascii="Times New Roman" w:hAnsi="Times New Roman" w:cs="Times New Roman"/>
          <w:sz w:val="24"/>
          <w:szCs w:val="24"/>
          <w:lang w:eastAsia="en-GB"/>
        </w:rPr>
        <w:t xml:space="preserve"> </w:t>
      </w:r>
      <w:r w:rsidR="002A603F" w:rsidRPr="002C40E9">
        <w:rPr>
          <w:rFonts w:ascii="Times New Roman" w:hAnsi="Times New Roman" w:cs="Times New Roman"/>
          <w:sz w:val="24"/>
          <w:szCs w:val="24"/>
          <w:highlight w:val="yellow"/>
        </w:rPr>
        <w:t>(Acharya, 2016</w:t>
      </w:r>
      <w:r w:rsidR="002A603F" w:rsidRPr="002C40E9">
        <w:rPr>
          <w:rFonts w:ascii="Times New Roman" w:hAnsi="Times New Roman" w:cs="Times New Roman"/>
          <w:sz w:val="24"/>
          <w:szCs w:val="24"/>
        </w:rPr>
        <w:t>).</w:t>
      </w:r>
    </w:p>
    <w:p w14:paraId="7A3DB287" w14:textId="0A9F7EE2" w:rsidR="00865F11" w:rsidRPr="00AA5FC0" w:rsidRDefault="00865F11" w:rsidP="00AA5FC0">
      <w:pPr>
        <w:pStyle w:val="Heading2"/>
        <w:rPr>
          <w:color w:val="0070C0"/>
          <w:sz w:val="28"/>
          <w:szCs w:val="28"/>
        </w:rPr>
      </w:pPr>
      <w:bookmarkStart w:id="4" w:name="_Toc163889307"/>
      <w:r w:rsidRPr="00AA5FC0">
        <w:rPr>
          <w:color w:val="0070C0"/>
          <w:sz w:val="28"/>
          <w:szCs w:val="28"/>
        </w:rPr>
        <w:t>1.4 Conclusion</w:t>
      </w:r>
      <w:bookmarkEnd w:id="4"/>
      <w:r w:rsidRPr="00AA5FC0">
        <w:rPr>
          <w:color w:val="0070C0"/>
          <w:sz w:val="28"/>
          <w:szCs w:val="28"/>
        </w:rPr>
        <w:t xml:space="preserve"> </w:t>
      </w:r>
    </w:p>
    <w:p w14:paraId="1E145EF3" w14:textId="4AF0C2B6" w:rsidR="006B540E" w:rsidRPr="006B540E" w:rsidRDefault="006B540E" w:rsidP="006B540E">
      <w:pPr>
        <w:spacing w:line="480" w:lineRule="auto"/>
        <w:jc w:val="both"/>
        <w:rPr>
          <w:rFonts w:ascii="Times New Roman" w:hAnsi="Times New Roman" w:cs="Times New Roman"/>
          <w:sz w:val="24"/>
          <w:szCs w:val="24"/>
        </w:rPr>
      </w:pPr>
      <w:r w:rsidRPr="006B540E">
        <w:rPr>
          <w:rFonts w:ascii="Times New Roman" w:hAnsi="Times New Roman" w:cs="Times New Roman"/>
          <w:sz w:val="24"/>
          <w:szCs w:val="24"/>
        </w:rPr>
        <w:t xml:space="preserve">In conclusion, the evolving landscape of global trade agreements presents significant challenges for multinational corporations (MNCs), necessitating a critical evaluation of their stakeholder engagement strategies. While MNCs play a pivotal role in driving economic growth and innovation globally, their operations are increasingly shaped by complex regulatory frameworks, market access barriers, and the dynamics of international trade agreements. However, the effectiveness and impact of MNCs' stakeholder engagement practices within this context </w:t>
      </w:r>
      <w:r w:rsidR="00570BAC">
        <w:rPr>
          <w:rFonts w:ascii="Times New Roman" w:hAnsi="Times New Roman" w:cs="Times New Roman"/>
          <w:sz w:val="24"/>
          <w:szCs w:val="24"/>
        </w:rPr>
        <w:t>still need to be more adequately</w:t>
      </w:r>
      <w:r w:rsidRPr="006B540E">
        <w:rPr>
          <w:rFonts w:ascii="Times New Roman" w:hAnsi="Times New Roman" w:cs="Times New Roman"/>
          <w:sz w:val="24"/>
          <w:szCs w:val="24"/>
        </w:rPr>
        <w:t xml:space="preserve"> understood, highlighting a crucial gap in current research.</w:t>
      </w:r>
    </w:p>
    <w:p w14:paraId="0E8B4DB9" w14:textId="5FF54E6D" w:rsidR="006B540E" w:rsidRPr="006B540E" w:rsidRDefault="006B540E" w:rsidP="006B540E">
      <w:pPr>
        <w:spacing w:line="480" w:lineRule="auto"/>
        <w:jc w:val="both"/>
        <w:rPr>
          <w:rFonts w:ascii="Times New Roman" w:hAnsi="Times New Roman" w:cs="Times New Roman"/>
          <w:sz w:val="24"/>
          <w:szCs w:val="24"/>
        </w:rPr>
      </w:pPr>
      <w:r w:rsidRPr="006B540E">
        <w:rPr>
          <w:rFonts w:ascii="Times New Roman" w:hAnsi="Times New Roman" w:cs="Times New Roman"/>
          <w:sz w:val="24"/>
          <w:szCs w:val="24"/>
        </w:rPr>
        <w:t xml:space="preserve">To address these challenges, this research </w:t>
      </w:r>
      <w:r w:rsidR="00570BAC">
        <w:rPr>
          <w:rFonts w:ascii="Times New Roman" w:hAnsi="Times New Roman" w:cs="Times New Roman"/>
          <w:sz w:val="24"/>
          <w:szCs w:val="24"/>
        </w:rPr>
        <w:t>examines</w:t>
      </w:r>
      <w:r w:rsidRPr="006B540E">
        <w:rPr>
          <w:rFonts w:ascii="Times New Roman" w:hAnsi="Times New Roman" w:cs="Times New Roman"/>
          <w:sz w:val="24"/>
          <w:szCs w:val="24"/>
        </w:rPr>
        <w:t xml:space="preserve"> the effectiveness of MNCs' stakeholder engagement strategies in navigating changes in market access, regulatory compliance, and supply chain </w:t>
      </w:r>
      <w:r w:rsidR="00570BAC">
        <w:rPr>
          <w:rFonts w:ascii="Times New Roman" w:hAnsi="Times New Roman" w:cs="Times New Roman"/>
          <w:sz w:val="24"/>
          <w:szCs w:val="24"/>
        </w:rPr>
        <w:t>optimisation</w:t>
      </w:r>
      <w:r w:rsidRPr="006B540E">
        <w:rPr>
          <w:rFonts w:ascii="Times New Roman" w:hAnsi="Times New Roman" w:cs="Times New Roman"/>
          <w:sz w:val="24"/>
          <w:szCs w:val="24"/>
        </w:rPr>
        <w:t xml:space="preserve"> resulting from global trade agreements. It seeks to identify </w:t>
      </w:r>
      <w:r w:rsidR="00570BAC">
        <w:rPr>
          <w:rFonts w:ascii="Times New Roman" w:hAnsi="Times New Roman" w:cs="Times New Roman"/>
          <w:sz w:val="24"/>
          <w:szCs w:val="24"/>
        </w:rPr>
        <w:t>critical</w:t>
      </w:r>
      <w:r w:rsidRPr="006B540E">
        <w:rPr>
          <w:rFonts w:ascii="Times New Roman" w:hAnsi="Times New Roman" w:cs="Times New Roman"/>
          <w:sz w:val="24"/>
          <w:szCs w:val="24"/>
        </w:rPr>
        <w:t xml:space="preserve"> challenges and opportunities </w:t>
      </w:r>
      <w:r w:rsidR="00570BAC">
        <w:rPr>
          <w:rFonts w:ascii="Times New Roman" w:hAnsi="Times New Roman" w:cs="Times New Roman"/>
          <w:sz w:val="24"/>
          <w:szCs w:val="24"/>
        </w:rPr>
        <w:t>MNCs face</w:t>
      </w:r>
      <w:r w:rsidRPr="006B540E">
        <w:rPr>
          <w:rFonts w:ascii="Times New Roman" w:hAnsi="Times New Roman" w:cs="Times New Roman"/>
          <w:sz w:val="24"/>
          <w:szCs w:val="24"/>
        </w:rPr>
        <w:t xml:space="preserve"> in modifying their engagement strategies, assess the impact of these practices on business performance and sustainability outcomes, and develop evidence-based recommendations for enhancing stakeholder engagement efforts.</w:t>
      </w:r>
    </w:p>
    <w:p w14:paraId="6BB8F6FA" w14:textId="5F7B73BF" w:rsidR="007B02A2" w:rsidRPr="002C40E9" w:rsidRDefault="003C24A4" w:rsidP="002C40E9">
      <w:pPr>
        <w:autoSpaceDE/>
        <w:autoSpaceDN/>
        <w:adjustRightInd/>
        <w:spacing w:after="160" w:line="480" w:lineRule="auto"/>
        <w:jc w:val="both"/>
        <w:rPr>
          <w:rFonts w:ascii="Times New Roman" w:hAnsi="Times New Roman" w:cs="Times New Roman"/>
          <w:sz w:val="24"/>
          <w:szCs w:val="24"/>
        </w:rPr>
      </w:pPr>
      <w:r w:rsidRPr="002C40E9">
        <w:rPr>
          <w:rFonts w:ascii="Times New Roman" w:hAnsi="Times New Roman" w:cs="Times New Roman"/>
          <w:sz w:val="24"/>
          <w:szCs w:val="24"/>
        </w:rPr>
        <w:br w:type="page"/>
      </w:r>
    </w:p>
    <w:p w14:paraId="244C21BF" w14:textId="49879D94" w:rsidR="009112CB" w:rsidRDefault="006A39DF" w:rsidP="006A39DF">
      <w:pPr>
        <w:pStyle w:val="Heading1"/>
        <w:rPr>
          <w:color w:val="0070C0"/>
        </w:rPr>
      </w:pPr>
      <w:bookmarkStart w:id="5" w:name="_Toc163889308"/>
      <w:r w:rsidRPr="006A39DF">
        <w:rPr>
          <w:color w:val="0070C0"/>
        </w:rPr>
        <w:lastRenderedPageBreak/>
        <w:t xml:space="preserve">2.0 </w:t>
      </w:r>
      <w:r w:rsidR="008846BA" w:rsidRPr="006A39DF">
        <w:rPr>
          <w:color w:val="0070C0"/>
        </w:rPr>
        <w:t>Rationale</w:t>
      </w:r>
      <w:bookmarkEnd w:id="5"/>
      <w:r w:rsidR="008846BA" w:rsidRPr="006A39DF">
        <w:rPr>
          <w:color w:val="0070C0"/>
        </w:rPr>
        <w:t xml:space="preserve"> </w:t>
      </w:r>
    </w:p>
    <w:p w14:paraId="2E10AB1F" w14:textId="4B0D0085" w:rsidR="009112CB" w:rsidRPr="00194173" w:rsidRDefault="009112CB" w:rsidP="00194173">
      <w:pPr>
        <w:pStyle w:val="Heading2"/>
        <w:rPr>
          <w:color w:val="0070C0"/>
        </w:rPr>
      </w:pPr>
      <w:bookmarkStart w:id="6" w:name="_Toc163889309"/>
      <w:r w:rsidRPr="00194173">
        <w:rPr>
          <w:color w:val="0070C0"/>
        </w:rPr>
        <w:t>2.1 Addressing Research Gaps and Challenges</w:t>
      </w:r>
      <w:bookmarkEnd w:id="6"/>
    </w:p>
    <w:p w14:paraId="2339FE39" w14:textId="5810DC48" w:rsidR="00C17995" w:rsidRPr="00CC46E9" w:rsidRDefault="003C5748" w:rsidP="00CC46E9">
      <w:pPr>
        <w:spacing w:line="480" w:lineRule="auto"/>
        <w:jc w:val="both"/>
        <w:rPr>
          <w:rFonts w:ascii="Times New Roman" w:hAnsi="Times New Roman" w:cs="Times New Roman"/>
          <w:sz w:val="24"/>
          <w:szCs w:val="24"/>
        </w:rPr>
      </w:pPr>
      <w:r w:rsidRPr="00CC46E9">
        <w:rPr>
          <w:rFonts w:ascii="Times New Roman" w:hAnsi="Times New Roman" w:cs="Times New Roman"/>
          <w:sz w:val="24"/>
          <w:szCs w:val="24"/>
        </w:rPr>
        <w:t xml:space="preserve">The </w:t>
      </w:r>
      <w:r w:rsidR="009F291D" w:rsidRPr="00CC46E9">
        <w:rPr>
          <w:rFonts w:ascii="Times New Roman" w:hAnsi="Times New Roman" w:cs="Times New Roman"/>
          <w:sz w:val="24"/>
          <w:szCs w:val="24"/>
        </w:rPr>
        <w:t xml:space="preserve">literature on </w:t>
      </w:r>
      <w:r w:rsidR="00235539" w:rsidRPr="00CC46E9">
        <w:rPr>
          <w:rFonts w:ascii="Times New Roman" w:hAnsi="Times New Roman" w:cs="Times New Roman"/>
          <w:sz w:val="24"/>
          <w:szCs w:val="24"/>
        </w:rPr>
        <w:t>multinational corporations (MNCs) engaging</w:t>
      </w:r>
      <w:r w:rsidR="009F291D" w:rsidRPr="00CC46E9">
        <w:rPr>
          <w:rFonts w:ascii="Times New Roman" w:hAnsi="Times New Roman" w:cs="Times New Roman"/>
          <w:sz w:val="24"/>
          <w:szCs w:val="24"/>
        </w:rPr>
        <w:t xml:space="preserve"> with their stakeholders within global trade agreements has </w:t>
      </w:r>
      <w:r w:rsidRPr="00CC46E9">
        <w:rPr>
          <w:rFonts w:ascii="Times New Roman" w:hAnsi="Times New Roman" w:cs="Times New Roman"/>
          <w:sz w:val="24"/>
          <w:szCs w:val="24"/>
        </w:rPr>
        <w:t xml:space="preserve">significant gaps and challenges. Although stakeholder engagement is widely perceived as a way for MNCs to navigate the complexities of international trade, there </w:t>
      </w:r>
      <w:r w:rsidR="009576A3" w:rsidRPr="00CC46E9">
        <w:rPr>
          <w:rFonts w:ascii="Times New Roman" w:hAnsi="Times New Roman" w:cs="Times New Roman"/>
          <w:sz w:val="24"/>
          <w:szCs w:val="24"/>
        </w:rPr>
        <w:t xml:space="preserve">needs to be </w:t>
      </w:r>
      <w:r w:rsidR="001322AB" w:rsidRPr="00CC46E9">
        <w:rPr>
          <w:rFonts w:ascii="Times New Roman" w:hAnsi="Times New Roman" w:cs="Times New Roman"/>
          <w:sz w:val="24"/>
          <w:szCs w:val="24"/>
        </w:rPr>
        <w:t xml:space="preserve">a </w:t>
      </w:r>
      <w:r w:rsidR="009576A3" w:rsidRPr="00CC46E9">
        <w:rPr>
          <w:rFonts w:ascii="Times New Roman" w:hAnsi="Times New Roman" w:cs="Times New Roman"/>
          <w:sz w:val="24"/>
          <w:szCs w:val="24"/>
        </w:rPr>
        <w:t>more</w:t>
      </w:r>
      <w:r w:rsidRPr="00CC46E9">
        <w:rPr>
          <w:rFonts w:ascii="Times New Roman" w:hAnsi="Times New Roman" w:cs="Times New Roman"/>
          <w:sz w:val="24"/>
          <w:szCs w:val="24"/>
        </w:rPr>
        <w:t xml:space="preserve"> comprehensive understanding </w:t>
      </w:r>
      <w:r w:rsidR="001C17B6" w:rsidRPr="00CC46E9">
        <w:rPr>
          <w:rFonts w:ascii="Times New Roman" w:hAnsi="Times New Roman" w:cs="Times New Roman"/>
          <w:sz w:val="24"/>
          <w:szCs w:val="24"/>
        </w:rPr>
        <w:t>of</w:t>
      </w:r>
      <w:r w:rsidRPr="00CC46E9">
        <w:rPr>
          <w:rFonts w:ascii="Times New Roman" w:hAnsi="Times New Roman" w:cs="Times New Roman"/>
          <w:sz w:val="24"/>
          <w:szCs w:val="24"/>
        </w:rPr>
        <w:t xml:space="preserve"> its effectiveness, challenges, and impact</w:t>
      </w:r>
      <w:r w:rsidR="009A6CAA" w:rsidRPr="00CC46E9">
        <w:rPr>
          <w:rFonts w:ascii="Times New Roman" w:hAnsi="Times New Roman" w:cs="Times New Roman"/>
          <w:sz w:val="24"/>
          <w:szCs w:val="24"/>
        </w:rPr>
        <w:t xml:space="preserve"> </w:t>
      </w:r>
      <w:r w:rsidR="009A6CAA" w:rsidRPr="00CC46E9">
        <w:rPr>
          <w:rFonts w:ascii="Times New Roman" w:hAnsi="Times New Roman" w:cs="Times New Roman"/>
          <w:sz w:val="24"/>
          <w:szCs w:val="24"/>
          <w:highlight w:val="yellow"/>
        </w:rPr>
        <w:t>(Aguilera et al., 2019)</w:t>
      </w:r>
      <w:r w:rsidR="00235539" w:rsidRPr="00CC46E9">
        <w:rPr>
          <w:rFonts w:ascii="Times New Roman" w:hAnsi="Times New Roman" w:cs="Times New Roman"/>
          <w:sz w:val="24"/>
          <w:szCs w:val="24"/>
          <w:highlight w:val="yellow"/>
        </w:rPr>
        <w:t>.</w:t>
      </w:r>
      <w:r w:rsidRPr="00CC46E9">
        <w:rPr>
          <w:rFonts w:ascii="Times New Roman" w:hAnsi="Times New Roman" w:cs="Times New Roman"/>
          <w:sz w:val="24"/>
          <w:szCs w:val="24"/>
        </w:rPr>
        <w:t xml:space="preserve"> Existing research tends to be fragmented and only focuses on specific aspects of stakeholder engagement or trade policy, th</w:t>
      </w:r>
      <w:r w:rsidR="009A6CAA" w:rsidRPr="00CC46E9">
        <w:rPr>
          <w:rFonts w:ascii="Times New Roman" w:hAnsi="Times New Roman" w:cs="Times New Roman"/>
          <w:sz w:val="24"/>
          <w:szCs w:val="24"/>
        </w:rPr>
        <w:t>ereby</w:t>
      </w:r>
      <w:r w:rsidRPr="00CC46E9">
        <w:rPr>
          <w:rFonts w:ascii="Times New Roman" w:hAnsi="Times New Roman" w:cs="Times New Roman"/>
          <w:sz w:val="24"/>
          <w:szCs w:val="24"/>
        </w:rPr>
        <w:t xml:space="preserve"> failing to consider the interdisciplinary nature of the topic. Moreover, while stakeholder engagement is often presented as a solution to complex problems, its implementation may encounter power imbalances, conflicting interests, and resource limitations</w:t>
      </w:r>
      <w:r w:rsidR="00374574" w:rsidRPr="00CC46E9">
        <w:rPr>
          <w:rFonts w:ascii="Times New Roman" w:hAnsi="Times New Roman" w:cs="Times New Roman"/>
          <w:sz w:val="24"/>
          <w:szCs w:val="24"/>
        </w:rPr>
        <w:t xml:space="preserve"> </w:t>
      </w:r>
      <w:r w:rsidR="00374574" w:rsidRPr="00CC46E9">
        <w:rPr>
          <w:rFonts w:ascii="Times New Roman" w:hAnsi="Times New Roman" w:cs="Times New Roman"/>
          <w:sz w:val="24"/>
          <w:szCs w:val="24"/>
          <w:highlight w:val="yellow"/>
        </w:rPr>
        <w:t>(Janning, 2021)</w:t>
      </w:r>
      <w:r w:rsidR="00374574" w:rsidRPr="00CC46E9">
        <w:rPr>
          <w:rFonts w:ascii="Times New Roman" w:hAnsi="Times New Roman" w:cs="Times New Roman"/>
          <w:sz w:val="24"/>
          <w:szCs w:val="24"/>
        </w:rPr>
        <w:t>.</w:t>
      </w:r>
      <w:r w:rsidR="00140226" w:rsidRPr="00CC46E9">
        <w:rPr>
          <w:rFonts w:ascii="Times New Roman" w:hAnsi="Times New Roman" w:cs="Times New Roman"/>
          <w:sz w:val="24"/>
          <w:szCs w:val="24"/>
        </w:rPr>
        <w:t xml:space="preserve"> </w:t>
      </w:r>
      <w:r w:rsidR="00C17995" w:rsidRPr="00CC46E9">
        <w:rPr>
          <w:rFonts w:ascii="Times New Roman" w:hAnsi="Times New Roman" w:cs="Times New Roman"/>
          <w:sz w:val="24"/>
          <w:szCs w:val="24"/>
        </w:rPr>
        <w:t xml:space="preserve">Therefore, it is crucial to conduct research that bridges these gaps, provides nuanced insights, and offers evidence-based recommendations to address the complexities inherent in MNCs' stakeholder engagement strategies within the global trade landscape </w:t>
      </w:r>
      <w:r w:rsidR="00C17995" w:rsidRPr="00CC46E9">
        <w:rPr>
          <w:rFonts w:ascii="Times New Roman" w:hAnsi="Times New Roman" w:cs="Times New Roman"/>
          <w:sz w:val="24"/>
          <w:szCs w:val="24"/>
          <w:highlight w:val="yellow"/>
        </w:rPr>
        <w:t>(Bloomfield, 2013).</w:t>
      </w:r>
    </w:p>
    <w:p w14:paraId="7CAD0070" w14:textId="304D208A" w:rsidR="00BD6A52" w:rsidRPr="00AA5FC0" w:rsidRDefault="003347BC" w:rsidP="002C6EC2">
      <w:pPr>
        <w:pStyle w:val="Heading2"/>
        <w:spacing w:line="480" w:lineRule="auto"/>
        <w:jc w:val="both"/>
        <w:rPr>
          <w:color w:val="0070C0"/>
          <w:sz w:val="28"/>
          <w:szCs w:val="28"/>
        </w:rPr>
      </w:pPr>
      <w:bookmarkStart w:id="7" w:name="_Toc163889310"/>
      <w:r w:rsidRPr="00AA5FC0">
        <w:rPr>
          <w:color w:val="0070C0"/>
          <w:sz w:val="28"/>
          <w:szCs w:val="28"/>
        </w:rPr>
        <w:t>2.2. Advantages of the Research</w:t>
      </w:r>
      <w:bookmarkEnd w:id="7"/>
    </w:p>
    <w:p w14:paraId="645F1CC3" w14:textId="61123F82" w:rsidR="00E31C82" w:rsidRPr="00A8645D" w:rsidRDefault="009F291D" w:rsidP="00CC46E9">
      <w:pPr>
        <w:spacing w:line="480" w:lineRule="auto"/>
        <w:jc w:val="both"/>
        <w:rPr>
          <w:rFonts w:ascii="Times New Roman" w:hAnsi="Times New Roman" w:cs="Times New Roman"/>
          <w:sz w:val="24"/>
          <w:szCs w:val="24"/>
        </w:rPr>
      </w:pPr>
      <w:r w:rsidRPr="00A8645D">
        <w:rPr>
          <w:rFonts w:ascii="Times New Roman" w:hAnsi="Times New Roman" w:cs="Times New Roman"/>
          <w:sz w:val="24"/>
          <w:szCs w:val="24"/>
        </w:rPr>
        <w:t>Researching</w:t>
      </w:r>
      <w:r w:rsidR="00E31C82" w:rsidRPr="00A8645D">
        <w:rPr>
          <w:rFonts w:ascii="Times New Roman" w:hAnsi="Times New Roman" w:cs="Times New Roman"/>
          <w:sz w:val="24"/>
          <w:szCs w:val="24"/>
        </w:rPr>
        <w:t xml:space="preserve"> MNCs' stakeholder engagement strategies in the context of global trade agreements offers several advantages. Firstly, it contributes to advancing scholarly knowledge by </w:t>
      </w:r>
      <w:r w:rsidRPr="00A8645D">
        <w:rPr>
          <w:rFonts w:ascii="Times New Roman" w:hAnsi="Times New Roman" w:cs="Times New Roman"/>
          <w:sz w:val="24"/>
          <w:szCs w:val="24"/>
        </w:rPr>
        <w:t>comprehensively understanding</w:t>
      </w:r>
      <w:r w:rsidR="00E31C82" w:rsidRPr="00A8645D">
        <w:rPr>
          <w:rFonts w:ascii="Times New Roman" w:hAnsi="Times New Roman" w:cs="Times New Roman"/>
          <w:sz w:val="24"/>
          <w:szCs w:val="24"/>
        </w:rPr>
        <w:t xml:space="preserve"> the effectiveness, challenges, and impact of stakeholder engagement practices in global trade</w:t>
      </w:r>
      <w:r w:rsidR="007B4453" w:rsidRPr="00A8645D">
        <w:rPr>
          <w:rFonts w:ascii="Times New Roman" w:hAnsi="Times New Roman" w:cs="Times New Roman"/>
          <w:sz w:val="24"/>
          <w:szCs w:val="24"/>
        </w:rPr>
        <w:t xml:space="preserve"> </w:t>
      </w:r>
      <w:r w:rsidR="007B4453" w:rsidRPr="00A8645D">
        <w:rPr>
          <w:rFonts w:ascii="Times New Roman" w:hAnsi="Times New Roman" w:cs="Times New Roman"/>
          <w:sz w:val="24"/>
          <w:szCs w:val="24"/>
          <w:highlight w:val="yellow"/>
        </w:rPr>
        <w:t>(Edwards, 2017).</w:t>
      </w:r>
      <w:r w:rsidR="00E31C82" w:rsidRPr="00A8645D">
        <w:rPr>
          <w:rFonts w:ascii="Times New Roman" w:hAnsi="Times New Roman" w:cs="Times New Roman"/>
          <w:sz w:val="24"/>
          <w:szCs w:val="24"/>
        </w:rPr>
        <w:t xml:space="preserve"> This knowledge can inform theoretical frameworks and academic discourse, enriching international business studies. Secondly, the </w:t>
      </w:r>
      <w:r w:rsidR="00F553E7">
        <w:rPr>
          <w:rFonts w:ascii="Times New Roman" w:hAnsi="Times New Roman" w:cs="Times New Roman"/>
          <w:sz w:val="24"/>
          <w:szCs w:val="24"/>
        </w:rPr>
        <w:t>Research</w:t>
      </w:r>
      <w:r w:rsidR="00E31C82" w:rsidRPr="00A8645D">
        <w:rPr>
          <w:rFonts w:ascii="Times New Roman" w:hAnsi="Times New Roman" w:cs="Times New Roman"/>
          <w:sz w:val="24"/>
          <w:szCs w:val="24"/>
        </w:rPr>
        <w:t xml:space="preserve"> holds practical significance for stakeholders such as MNCs, policymakers, industry associations, and civil society </w:t>
      </w:r>
      <w:r w:rsidR="007B4453" w:rsidRPr="00A8645D">
        <w:rPr>
          <w:rFonts w:ascii="Times New Roman" w:hAnsi="Times New Roman" w:cs="Times New Roman"/>
          <w:sz w:val="24"/>
          <w:szCs w:val="24"/>
        </w:rPr>
        <w:t>organisations</w:t>
      </w:r>
      <w:r w:rsidR="004E237D">
        <w:rPr>
          <w:rFonts w:ascii="Times New Roman" w:hAnsi="Times New Roman" w:cs="Times New Roman"/>
          <w:sz w:val="24"/>
          <w:szCs w:val="24"/>
        </w:rPr>
        <w:t xml:space="preserve"> </w:t>
      </w:r>
      <w:r w:rsidR="004E237D" w:rsidRPr="004E237D">
        <w:rPr>
          <w:rFonts w:ascii="Times New Roman" w:hAnsi="Times New Roman" w:cs="Times New Roman"/>
          <w:sz w:val="24"/>
          <w:szCs w:val="24"/>
          <w:highlight w:val="yellow"/>
        </w:rPr>
        <w:t>(Schuerkens, 2015)</w:t>
      </w:r>
      <w:r w:rsidR="004E237D" w:rsidRPr="004E237D">
        <w:rPr>
          <w:rFonts w:ascii="Times New Roman" w:hAnsi="Times New Roman" w:cs="Times New Roman"/>
          <w:sz w:val="24"/>
          <w:szCs w:val="24"/>
        </w:rPr>
        <w:t>.</w:t>
      </w:r>
      <w:r w:rsidR="007B4453" w:rsidRPr="00A8645D">
        <w:rPr>
          <w:rFonts w:ascii="Times New Roman" w:hAnsi="Times New Roman" w:cs="Times New Roman"/>
          <w:sz w:val="24"/>
          <w:szCs w:val="24"/>
        </w:rPr>
        <w:t xml:space="preserve"> By</w:t>
      </w:r>
      <w:r w:rsidR="00E31C82" w:rsidRPr="00A8645D">
        <w:rPr>
          <w:rFonts w:ascii="Times New Roman" w:hAnsi="Times New Roman" w:cs="Times New Roman"/>
          <w:sz w:val="24"/>
          <w:szCs w:val="24"/>
        </w:rPr>
        <w:t xml:space="preserve"> offering evidence-based recommendations and best practices, the research equips these stakeholders with actionable insights to enhance stakeholder engagement efforts, navigate regulatory complexities, and address emerging challenges in the global trade environment</w:t>
      </w:r>
      <w:r w:rsidR="001B6512" w:rsidRPr="00A8645D">
        <w:rPr>
          <w:rFonts w:ascii="Times New Roman" w:hAnsi="Times New Roman" w:cs="Times New Roman"/>
          <w:sz w:val="24"/>
          <w:szCs w:val="24"/>
        </w:rPr>
        <w:t xml:space="preserve"> </w:t>
      </w:r>
      <w:r w:rsidR="001B6512" w:rsidRPr="00A8645D">
        <w:rPr>
          <w:rFonts w:ascii="Times New Roman" w:hAnsi="Times New Roman" w:cs="Times New Roman"/>
          <w:sz w:val="24"/>
          <w:szCs w:val="24"/>
          <w:highlight w:val="yellow"/>
        </w:rPr>
        <w:t>(Zinkin, 2019).</w:t>
      </w:r>
      <w:r w:rsidR="00BD5963" w:rsidRPr="00A8645D">
        <w:rPr>
          <w:rFonts w:ascii="Times New Roman" w:hAnsi="Times New Roman" w:cs="Times New Roman"/>
          <w:sz w:val="24"/>
          <w:szCs w:val="24"/>
        </w:rPr>
        <w:t xml:space="preserve"> </w:t>
      </w:r>
      <w:r w:rsidR="00E31C82" w:rsidRPr="00A8645D">
        <w:rPr>
          <w:rFonts w:ascii="Times New Roman" w:hAnsi="Times New Roman" w:cs="Times New Roman"/>
          <w:sz w:val="24"/>
          <w:szCs w:val="24"/>
        </w:rPr>
        <w:t xml:space="preserve">This </w:t>
      </w:r>
      <w:r w:rsidRPr="00A8645D">
        <w:rPr>
          <w:rFonts w:ascii="Times New Roman" w:hAnsi="Times New Roman" w:cs="Times New Roman"/>
          <w:sz w:val="24"/>
          <w:szCs w:val="24"/>
        </w:rPr>
        <w:lastRenderedPageBreak/>
        <w:t>multidisciplinary</w:t>
      </w:r>
      <w:r w:rsidR="00E31C82" w:rsidRPr="00A8645D">
        <w:rPr>
          <w:rFonts w:ascii="Times New Roman" w:hAnsi="Times New Roman" w:cs="Times New Roman"/>
          <w:sz w:val="24"/>
          <w:szCs w:val="24"/>
        </w:rPr>
        <w:t xml:space="preserve"> approach </w:t>
      </w:r>
      <w:r w:rsidR="00D61522">
        <w:rPr>
          <w:rFonts w:ascii="Times New Roman" w:hAnsi="Times New Roman" w:cs="Times New Roman"/>
          <w:sz w:val="24"/>
          <w:szCs w:val="24"/>
        </w:rPr>
        <w:t>Promotes</w:t>
      </w:r>
      <w:r w:rsidR="00E31C82" w:rsidRPr="00A8645D">
        <w:rPr>
          <w:rFonts w:ascii="Times New Roman" w:hAnsi="Times New Roman" w:cs="Times New Roman"/>
          <w:sz w:val="24"/>
          <w:szCs w:val="24"/>
        </w:rPr>
        <w:t xml:space="preserve"> holistic understanding and encourages innovative solutions to complex real-world problems in </w:t>
      </w:r>
      <w:r w:rsidR="00F553E7">
        <w:rPr>
          <w:rFonts w:ascii="Times New Roman" w:hAnsi="Times New Roman" w:cs="Times New Roman"/>
          <w:sz w:val="24"/>
          <w:szCs w:val="24"/>
        </w:rPr>
        <w:t>international</w:t>
      </w:r>
      <w:r w:rsidR="00E31C82" w:rsidRPr="00A8645D">
        <w:rPr>
          <w:rFonts w:ascii="Times New Roman" w:hAnsi="Times New Roman" w:cs="Times New Roman"/>
          <w:sz w:val="24"/>
          <w:szCs w:val="24"/>
        </w:rPr>
        <w:t xml:space="preserve"> business operations.</w:t>
      </w:r>
    </w:p>
    <w:p w14:paraId="19316982" w14:textId="00A4B018" w:rsidR="00E31C82" w:rsidRPr="00AA5FC0" w:rsidRDefault="00E31C82" w:rsidP="00AA5FC0">
      <w:pPr>
        <w:pStyle w:val="Heading2"/>
        <w:rPr>
          <w:color w:val="0070C0"/>
          <w:sz w:val="28"/>
          <w:szCs w:val="28"/>
        </w:rPr>
      </w:pPr>
      <w:bookmarkStart w:id="8" w:name="_Toc163889311"/>
      <w:r w:rsidRPr="00AA5FC0">
        <w:rPr>
          <w:color w:val="0070C0"/>
          <w:sz w:val="28"/>
          <w:szCs w:val="28"/>
        </w:rPr>
        <w:t xml:space="preserve">2.3 </w:t>
      </w:r>
      <w:r w:rsidR="00FC1911" w:rsidRPr="00AA5FC0">
        <w:rPr>
          <w:color w:val="0070C0"/>
          <w:sz w:val="28"/>
          <w:szCs w:val="28"/>
        </w:rPr>
        <w:t>Stakeholder</w:t>
      </w:r>
      <w:r w:rsidR="00A03A19" w:rsidRPr="00AA5FC0">
        <w:rPr>
          <w:color w:val="0070C0"/>
          <w:sz w:val="28"/>
          <w:szCs w:val="28"/>
        </w:rPr>
        <w:t xml:space="preserve"> </w:t>
      </w:r>
      <w:r w:rsidR="00401B11" w:rsidRPr="00AA5FC0">
        <w:rPr>
          <w:color w:val="0070C0"/>
          <w:sz w:val="28"/>
          <w:szCs w:val="28"/>
        </w:rPr>
        <w:t>Benefits</w:t>
      </w:r>
      <w:bookmarkEnd w:id="8"/>
    </w:p>
    <w:p w14:paraId="66F2D66A" w14:textId="70FA08D9" w:rsidR="00E518DC" w:rsidRDefault="00ED77D6" w:rsidP="00E518DC">
      <w:pPr>
        <w:spacing w:line="480" w:lineRule="auto"/>
        <w:jc w:val="both"/>
        <w:rPr>
          <w:rFonts w:ascii="Times New Roman" w:hAnsi="Times New Roman" w:cs="Times New Roman"/>
          <w:sz w:val="24"/>
          <w:szCs w:val="24"/>
        </w:rPr>
      </w:pPr>
      <w:r w:rsidRPr="00A8645D">
        <w:rPr>
          <w:rFonts w:ascii="Times New Roman" w:hAnsi="Times New Roman" w:cs="Times New Roman"/>
          <w:sz w:val="24"/>
          <w:szCs w:val="24"/>
          <w:shd w:val="clear" w:color="auto" w:fill="FFFFFF"/>
        </w:rPr>
        <w:t xml:space="preserve">Multinational corporations (MNCs) have become </w:t>
      </w:r>
      <w:r w:rsidR="00524B6C" w:rsidRPr="00A8645D">
        <w:rPr>
          <w:rFonts w:ascii="Times New Roman" w:hAnsi="Times New Roman" w:cs="Times New Roman"/>
          <w:sz w:val="24"/>
          <w:szCs w:val="24"/>
          <w:shd w:val="clear" w:color="auto" w:fill="FFFFFF"/>
        </w:rPr>
        <w:t>integral to</w:t>
      </w:r>
      <w:r w:rsidRPr="00A8645D">
        <w:rPr>
          <w:rFonts w:ascii="Times New Roman" w:hAnsi="Times New Roman" w:cs="Times New Roman"/>
          <w:sz w:val="24"/>
          <w:szCs w:val="24"/>
          <w:shd w:val="clear" w:color="auto" w:fill="FFFFFF"/>
        </w:rPr>
        <w:t xml:space="preserve"> the international trade landscape in today's </w:t>
      </w:r>
      <w:r w:rsidR="00524B6C" w:rsidRPr="00A8645D">
        <w:rPr>
          <w:rFonts w:ascii="Times New Roman" w:hAnsi="Times New Roman" w:cs="Times New Roman"/>
          <w:sz w:val="24"/>
          <w:szCs w:val="24"/>
          <w:shd w:val="clear" w:color="auto" w:fill="FFFFFF"/>
        </w:rPr>
        <w:t>globalised</w:t>
      </w:r>
      <w:r w:rsidRPr="00A8645D">
        <w:rPr>
          <w:rFonts w:ascii="Times New Roman" w:hAnsi="Times New Roman" w:cs="Times New Roman"/>
          <w:sz w:val="24"/>
          <w:szCs w:val="24"/>
          <w:shd w:val="clear" w:color="auto" w:fill="FFFFFF"/>
        </w:rPr>
        <w:t xml:space="preserve"> world. These MNCs operate across borders and </w:t>
      </w:r>
      <w:r w:rsidR="00524B6C" w:rsidRPr="00A8645D">
        <w:rPr>
          <w:rFonts w:ascii="Times New Roman" w:hAnsi="Times New Roman" w:cs="Times New Roman"/>
          <w:sz w:val="24"/>
          <w:szCs w:val="24"/>
          <w:shd w:val="clear" w:color="auto" w:fill="FFFFFF"/>
        </w:rPr>
        <w:t>significantly impact</w:t>
      </w:r>
      <w:r w:rsidRPr="00A8645D">
        <w:rPr>
          <w:rFonts w:ascii="Times New Roman" w:hAnsi="Times New Roman" w:cs="Times New Roman"/>
          <w:sz w:val="24"/>
          <w:szCs w:val="24"/>
          <w:shd w:val="clear" w:color="auto" w:fill="FFFFFF"/>
        </w:rPr>
        <w:t xml:space="preserve"> global trade, </w:t>
      </w:r>
      <w:r w:rsidR="00C336CA">
        <w:rPr>
          <w:rFonts w:ascii="Times New Roman" w:hAnsi="Times New Roman" w:cs="Times New Roman"/>
          <w:sz w:val="24"/>
          <w:szCs w:val="24"/>
          <w:shd w:val="clear" w:color="auto" w:fill="FFFFFF"/>
        </w:rPr>
        <w:t>so</w:t>
      </w:r>
      <w:r w:rsidRPr="00A8645D">
        <w:rPr>
          <w:rFonts w:ascii="Times New Roman" w:hAnsi="Times New Roman" w:cs="Times New Roman"/>
          <w:sz w:val="24"/>
          <w:szCs w:val="24"/>
          <w:shd w:val="clear" w:color="auto" w:fill="FFFFFF"/>
        </w:rPr>
        <w:t xml:space="preserve"> </w:t>
      </w:r>
      <w:r w:rsidR="00D300AB">
        <w:rPr>
          <w:rFonts w:ascii="Times New Roman" w:hAnsi="Times New Roman" w:cs="Times New Roman"/>
          <w:sz w:val="24"/>
          <w:szCs w:val="24"/>
          <w:shd w:val="clear" w:color="auto" w:fill="FFFFFF"/>
        </w:rPr>
        <w:t>exploring their various strategies for engaging with stakeholders is crucial</w:t>
      </w:r>
      <w:r w:rsidRPr="00A8645D">
        <w:rPr>
          <w:rFonts w:ascii="Times New Roman" w:hAnsi="Times New Roman" w:cs="Times New Roman"/>
          <w:sz w:val="24"/>
          <w:szCs w:val="24"/>
          <w:shd w:val="clear" w:color="auto" w:fill="FFFFFF"/>
        </w:rPr>
        <w:t xml:space="preserve">. </w:t>
      </w:r>
      <w:r w:rsidR="00E518DC" w:rsidRPr="00A8645D">
        <w:rPr>
          <w:rFonts w:ascii="Times New Roman" w:hAnsi="Times New Roman" w:cs="Times New Roman"/>
          <w:sz w:val="24"/>
          <w:szCs w:val="24"/>
          <w:shd w:val="clear" w:color="auto" w:fill="FFFFFF"/>
        </w:rPr>
        <w:t>Stakeholder engagement is a critical aspect of international trade, and it goes beyond the interests of MNCs</w:t>
      </w:r>
      <w:r w:rsidR="008A31D9">
        <w:rPr>
          <w:rFonts w:ascii="Times New Roman" w:hAnsi="Times New Roman" w:cs="Times New Roman"/>
          <w:sz w:val="24"/>
          <w:szCs w:val="24"/>
          <w:shd w:val="clear" w:color="auto" w:fill="FFFFFF"/>
        </w:rPr>
        <w:t xml:space="preserve"> </w:t>
      </w:r>
      <w:r w:rsidR="008A31D9" w:rsidRPr="00E65667">
        <w:rPr>
          <w:rFonts w:ascii="Times New Roman" w:hAnsi="Times New Roman" w:cs="Times New Roman"/>
          <w:sz w:val="24"/>
          <w:szCs w:val="24"/>
          <w:highlight w:val="yellow"/>
        </w:rPr>
        <w:t>(Held, 2000</w:t>
      </w:r>
      <w:r w:rsidR="008A31D9" w:rsidRPr="00E65667">
        <w:rPr>
          <w:rFonts w:ascii="Times New Roman" w:hAnsi="Times New Roman" w:cs="Times New Roman"/>
          <w:sz w:val="24"/>
          <w:szCs w:val="24"/>
        </w:rPr>
        <w:t>)</w:t>
      </w:r>
      <w:r w:rsidR="00E65667" w:rsidRPr="00E65667">
        <w:rPr>
          <w:rFonts w:ascii="Times New Roman" w:hAnsi="Times New Roman" w:cs="Times New Roman"/>
          <w:sz w:val="24"/>
          <w:szCs w:val="24"/>
        </w:rPr>
        <w:t>.</w:t>
      </w:r>
      <w:r w:rsidR="00E518DC" w:rsidRPr="00A8645D">
        <w:rPr>
          <w:rFonts w:ascii="Times New Roman" w:hAnsi="Times New Roman" w:cs="Times New Roman"/>
          <w:sz w:val="24"/>
          <w:szCs w:val="24"/>
          <w:shd w:val="clear" w:color="auto" w:fill="FFFFFF"/>
        </w:rPr>
        <w:t xml:space="preserve"> It involves many stakeholders, including policymakers, industry associations, civil society organisations, and academic institutions. These stakeholders play a crucial role in shaping the regulatory frameworks and policies that govern international trade</w:t>
      </w:r>
      <w:r w:rsidR="00E518DC">
        <w:rPr>
          <w:rFonts w:ascii="Times New Roman" w:hAnsi="Times New Roman" w:cs="Times New Roman"/>
          <w:sz w:val="24"/>
          <w:szCs w:val="24"/>
          <w:shd w:val="clear" w:color="auto" w:fill="FFFFFF"/>
        </w:rPr>
        <w:t xml:space="preserve"> </w:t>
      </w:r>
      <w:r w:rsidR="00E518DC" w:rsidRPr="007A7CC0">
        <w:rPr>
          <w:rFonts w:ascii="Times New Roman" w:hAnsi="Times New Roman" w:cs="Times New Roman"/>
          <w:sz w:val="24"/>
          <w:szCs w:val="24"/>
          <w:highlight w:val="yellow"/>
        </w:rPr>
        <w:t>(Franklin, 2021)</w:t>
      </w:r>
      <w:r w:rsidR="00E518DC">
        <w:rPr>
          <w:rFonts w:ascii="Times New Roman" w:hAnsi="Times New Roman" w:cs="Times New Roman"/>
          <w:sz w:val="24"/>
          <w:szCs w:val="24"/>
        </w:rPr>
        <w:t>.</w:t>
      </w:r>
    </w:p>
    <w:p w14:paraId="1E218E9F" w14:textId="2EE9D5F8" w:rsidR="00047AA2" w:rsidRPr="00047AA2" w:rsidRDefault="00E65667" w:rsidP="00047AA2">
      <w:pPr>
        <w:spacing w:line="480" w:lineRule="auto"/>
        <w:jc w:val="both"/>
        <w:rPr>
          <w:rFonts w:ascii="Times New Roman" w:hAnsi="Times New Roman" w:cs="Times New Roman"/>
          <w:sz w:val="24"/>
          <w:szCs w:val="24"/>
          <w:shd w:val="clear" w:color="auto" w:fill="FFFFFF"/>
        </w:rPr>
      </w:pPr>
      <w:r>
        <w:rPr>
          <w:rFonts w:ascii="Times New Roman" w:hAnsi="Times New Roman" w:cs="Times New Roman"/>
          <w:color w:val="0D0D0D"/>
          <w:sz w:val="24"/>
          <w:szCs w:val="24"/>
          <w:shd w:val="clear" w:color="auto" w:fill="FFFFFF"/>
        </w:rPr>
        <w:t>T</w:t>
      </w:r>
      <w:r w:rsidR="00047AA2" w:rsidRPr="00047AA2">
        <w:rPr>
          <w:rFonts w:ascii="Times New Roman" w:hAnsi="Times New Roman" w:cs="Times New Roman"/>
          <w:color w:val="0D0D0D"/>
          <w:sz w:val="24"/>
          <w:szCs w:val="24"/>
          <w:shd w:val="clear" w:color="auto" w:fill="FFFFFF"/>
        </w:rPr>
        <w:t xml:space="preserve">he influence of multinational corporations (MNCs) extends beyond mere participation in global trade; they often wield significant power in shaping regulatory frameworks and policies. This power dynamic can result in asymmetrical relationships with other stakeholders, potentially </w:t>
      </w:r>
      <w:r w:rsidR="00570BAC">
        <w:rPr>
          <w:rFonts w:ascii="Times New Roman" w:hAnsi="Times New Roman" w:cs="Times New Roman"/>
          <w:color w:val="0D0D0D"/>
          <w:sz w:val="24"/>
          <w:szCs w:val="24"/>
          <w:shd w:val="clear" w:color="auto" w:fill="FFFFFF"/>
        </w:rPr>
        <w:t>marginalising</w:t>
      </w:r>
      <w:r w:rsidR="00047AA2" w:rsidRPr="00047AA2">
        <w:rPr>
          <w:rFonts w:ascii="Times New Roman" w:hAnsi="Times New Roman" w:cs="Times New Roman"/>
          <w:color w:val="0D0D0D"/>
          <w:sz w:val="24"/>
          <w:szCs w:val="24"/>
          <w:shd w:val="clear" w:color="auto" w:fill="FFFFFF"/>
        </w:rPr>
        <w:t xml:space="preserve"> the voices of </w:t>
      </w:r>
      <w:r w:rsidR="00570BAC">
        <w:rPr>
          <w:rFonts w:ascii="Times New Roman" w:hAnsi="Times New Roman" w:cs="Times New Roman"/>
          <w:color w:val="0D0D0D"/>
          <w:sz w:val="24"/>
          <w:szCs w:val="24"/>
          <w:shd w:val="clear" w:color="auto" w:fill="FFFFFF"/>
        </w:rPr>
        <w:t>more minor</w:t>
      </w:r>
      <w:r w:rsidR="00047AA2" w:rsidRPr="00047AA2">
        <w:rPr>
          <w:rFonts w:ascii="Times New Roman" w:hAnsi="Times New Roman" w:cs="Times New Roman"/>
          <w:color w:val="0D0D0D"/>
          <w:sz w:val="24"/>
          <w:szCs w:val="24"/>
          <w:shd w:val="clear" w:color="auto" w:fill="FFFFFF"/>
        </w:rPr>
        <w:t xml:space="preserve"> actors such as civil society </w:t>
      </w:r>
      <w:r w:rsidR="00570BAC">
        <w:rPr>
          <w:rFonts w:ascii="Times New Roman" w:hAnsi="Times New Roman" w:cs="Times New Roman"/>
          <w:color w:val="0D0D0D"/>
          <w:sz w:val="24"/>
          <w:szCs w:val="24"/>
          <w:shd w:val="clear" w:color="auto" w:fill="FFFFFF"/>
        </w:rPr>
        <w:t>organisations</w:t>
      </w:r>
      <w:r w:rsidR="00047AA2" w:rsidRPr="00047AA2">
        <w:rPr>
          <w:rFonts w:ascii="Times New Roman" w:hAnsi="Times New Roman" w:cs="Times New Roman"/>
          <w:color w:val="0D0D0D"/>
          <w:sz w:val="24"/>
          <w:szCs w:val="24"/>
          <w:shd w:val="clear" w:color="auto" w:fill="FFFFFF"/>
        </w:rPr>
        <w:t xml:space="preserve"> and local communities. </w:t>
      </w:r>
      <w:r w:rsidR="00047AA2" w:rsidRPr="00E518DC">
        <w:rPr>
          <w:rFonts w:ascii="Times New Roman" w:hAnsi="Times New Roman" w:cs="Times New Roman"/>
          <w:color w:val="0D0D0D"/>
          <w:sz w:val="24"/>
          <w:szCs w:val="24"/>
          <w:highlight w:val="yellow"/>
          <w:shd w:val="clear" w:color="auto" w:fill="FFFFFF"/>
        </w:rPr>
        <w:t>Franklin (2021)</w:t>
      </w:r>
      <w:r w:rsidR="00047AA2" w:rsidRPr="00047AA2">
        <w:rPr>
          <w:rFonts w:ascii="Times New Roman" w:hAnsi="Times New Roman" w:cs="Times New Roman"/>
          <w:color w:val="0D0D0D"/>
          <w:sz w:val="24"/>
          <w:szCs w:val="24"/>
          <w:shd w:val="clear" w:color="auto" w:fill="FFFFFF"/>
        </w:rPr>
        <w:t xml:space="preserve"> underscores the importance of acknowledging these power dynamics in stakeholder engagement efforts within the international trade landscape. Failure to address power imbalances may lead to inequitable outcomes and hinder the achievement of sustainable and inclusive global trade policies.</w:t>
      </w:r>
    </w:p>
    <w:p w14:paraId="26F95F14" w14:textId="6C137F4F" w:rsidR="00ED77D6" w:rsidRDefault="00524B6C" w:rsidP="00047AA2">
      <w:pPr>
        <w:spacing w:line="480" w:lineRule="auto"/>
        <w:jc w:val="both"/>
        <w:rPr>
          <w:rFonts w:ascii="Times New Roman" w:hAnsi="Times New Roman" w:cs="Times New Roman"/>
          <w:sz w:val="24"/>
          <w:szCs w:val="24"/>
        </w:rPr>
      </w:pPr>
      <w:r w:rsidRPr="00A8645D">
        <w:rPr>
          <w:rFonts w:ascii="Times New Roman" w:hAnsi="Times New Roman" w:cs="Times New Roman"/>
          <w:sz w:val="24"/>
          <w:szCs w:val="24"/>
          <w:shd w:val="clear" w:color="auto" w:fill="FFFFFF"/>
        </w:rPr>
        <w:t>A</w:t>
      </w:r>
      <w:r w:rsidR="00676647" w:rsidRPr="00A8645D">
        <w:rPr>
          <w:rFonts w:ascii="Times New Roman" w:hAnsi="Times New Roman" w:cs="Times New Roman"/>
          <w:sz w:val="24"/>
          <w:szCs w:val="24"/>
          <w:shd w:val="clear" w:color="auto" w:fill="FFFFFF"/>
        </w:rPr>
        <w:t>nalysing</w:t>
      </w:r>
      <w:r w:rsidR="00ED77D6" w:rsidRPr="00A8645D">
        <w:rPr>
          <w:rFonts w:ascii="Times New Roman" w:hAnsi="Times New Roman" w:cs="Times New Roman"/>
          <w:sz w:val="24"/>
          <w:szCs w:val="24"/>
          <w:shd w:val="clear" w:color="auto" w:fill="FFFFFF"/>
        </w:rPr>
        <w:t xml:space="preserve"> the stakeholder engagement strategies employed by MNCs can provide valuable insights into enhancing stakeholder engagement efforts and navigating complex regulatory frameworks. This research can help identify best practices </w:t>
      </w:r>
      <w:r w:rsidR="00676647" w:rsidRPr="00A8645D">
        <w:rPr>
          <w:rFonts w:ascii="Times New Roman" w:hAnsi="Times New Roman" w:cs="Times New Roman"/>
          <w:sz w:val="24"/>
          <w:szCs w:val="24"/>
          <w:shd w:val="clear" w:color="auto" w:fill="FFFFFF"/>
        </w:rPr>
        <w:t>other businesses can adopt</w:t>
      </w:r>
      <w:r w:rsidR="00ED77D6" w:rsidRPr="00A8645D">
        <w:rPr>
          <w:rFonts w:ascii="Times New Roman" w:hAnsi="Times New Roman" w:cs="Times New Roman"/>
          <w:sz w:val="24"/>
          <w:szCs w:val="24"/>
          <w:shd w:val="clear" w:color="auto" w:fill="FFFFFF"/>
        </w:rPr>
        <w:t xml:space="preserve"> to advance responsible business practices and promote sustainable development</w:t>
      </w:r>
      <w:r w:rsidR="008C45BD">
        <w:rPr>
          <w:rFonts w:ascii="Times New Roman" w:hAnsi="Times New Roman" w:cs="Times New Roman"/>
          <w:sz w:val="24"/>
          <w:szCs w:val="24"/>
          <w:shd w:val="clear" w:color="auto" w:fill="FFFFFF"/>
        </w:rPr>
        <w:t xml:space="preserve"> </w:t>
      </w:r>
      <w:r w:rsidR="008C45BD" w:rsidRPr="008C45BD">
        <w:rPr>
          <w:rFonts w:ascii="Times New Roman" w:hAnsi="Times New Roman" w:cs="Times New Roman"/>
          <w:sz w:val="24"/>
          <w:szCs w:val="24"/>
          <w:highlight w:val="yellow"/>
        </w:rPr>
        <w:t>(Bourne, 2009)</w:t>
      </w:r>
      <w:r w:rsidR="008C45BD">
        <w:rPr>
          <w:rFonts w:ascii="Times New Roman" w:hAnsi="Times New Roman" w:cs="Times New Roman"/>
          <w:sz w:val="24"/>
          <w:szCs w:val="24"/>
        </w:rPr>
        <w:t>.</w:t>
      </w:r>
    </w:p>
    <w:p w14:paraId="390E0C48" w14:textId="77777777" w:rsidR="00047AA2" w:rsidRDefault="00047AA2" w:rsidP="000A3A0A">
      <w:pPr>
        <w:pStyle w:val="Heading2"/>
        <w:rPr>
          <w:color w:val="0070C0"/>
          <w:sz w:val="28"/>
          <w:szCs w:val="28"/>
        </w:rPr>
      </w:pPr>
    </w:p>
    <w:p w14:paraId="5D1A9981" w14:textId="64D77771" w:rsidR="000A3A0A" w:rsidRPr="00090D9A" w:rsidRDefault="000A3A0A" w:rsidP="000A3A0A">
      <w:pPr>
        <w:pStyle w:val="Heading2"/>
        <w:rPr>
          <w:color w:val="0070C0"/>
          <w:sz w:val="28"/>
          <w:szCs w:val="28"/>
          <w:shd w:val="clear" w:color="auto" w:fill="FFFFFF"/>
        </w:rPr>
      </w:pPr>
      <w:bookmarkStart w:id="9" w:name="_Toc163889312"/>
      <w:r w:rsidRPr="00090D9A">
        <w:rPr>
          <w:color w:val="0070C0"/>
          <w:sz w:val="28"/>
          <w:szCs w:val="28"/>
        </w:rPr>
        <w:t>2.4 Conclusion</w:t>
      </w:r>
      <w:bookmarkEnd w:id="9"/>
    </w:p>
    <w:p w14:paraId="0325445D" w14:textId="677068ED" w:rsidR="00676647" w:rsidRPr="00123BC9" w:rsidRDefault="002C448C" w:rsidP="00090D9A">
      <w:pPr>
        <w:spacing w:line="480" w:lineRule="auto"/>
        <w:jc w:val="both"/>
        <w:rPr>
          <w:rFonts w:ascii="Arial" w:eastAsiaTheme="majorEastAsia" w:hAnsi="Arial" w:cs="Arial"/>
          <w:color w:val="0070C0"/>
          <w:sz w:val="24"/>
          <w:szCs w:val="24"/>
        </w:rPr>
      </w:pPr>
      <w:r w:rsidRPr="002C448C">
        <w:rPr>
          <w:rFonts w:ascii="Times New Roman" w:hAnsi="Times New Roman" w:cs="Times New Roman"/>
          <w:color w:val="0D0D0D"/>
          <w:sz w:val="24"/>
          <w:szCs w:val="24"/>
          <w:shd w:val="clear" w:color="auto" w:fill="FFFFFF"/>
        </w:rPr>
        <w:t xml:space="preserve">In conclusion, the rationale behind researching multinational </w:t>
      </w:r>
      <w:r w:rsidR="00F913CD">
        <w:rPr>
          <w:rFonts w:ascii="Times New Roman" w:hAnsi="Times New Roman" w:cs="Times New Roman"/>
          <w:color w:val="0D0D0D"/>
          <w:sz w:val="24"/>
          <w:szCs w:val="24"/>
          <w:shd w:val="clear" w:color="auto" w:fill="FFFFFF"/>
        </w:rPr>
        <w:t>corporations'</w:t>
      </w:r>
      <w:r w:rsidR="0026717D">
        <w:rPr>
          <w:rFonts w:ascii="Times New Roman" w:hAnsi="Times New Roman" w:cs="Times New Roman"/>
          <w:color w:val="0D0D0D"/>
          <w:sz w:val="24"/>
          <w:szCs w:val="24"/>
          <w:shd w:val="clear" w:color="auto" w:fill="FFFFFF"/>
        </w:rPr>
        <w:t xml:space="preserve"> (MNCs) strategies for stakeholder engagement within the framework of global trade agreements is underpinned by the need to address the substantial gaps and challenges identified in the </w:t>
      </w:r>
      <w:r w:rsidRPr="002C448C">
        <w:rPr>
          <w:rFonts w:ascii="Times New Roman" w:hAnsi="Times New Roman" w:cs="Times New Roman"/>
          <w:color w:val="0D0D0D"/>
          <w:sz w:val="24"/>
          <w:szCs w:val="24"/>
          <w:shd w:val="clear" w:color="auto" w:fill="FFFFFF"/>
        </w:rPr>
        <w:t xml:space="preserve">existing literature. This investigation </w:t>
      </w:r>
      <w:r w:rsidR="008134BB">
        <w:rPr>
          <w:rFonts w:ascii="Times New Roman" w:hAnsi="Times New Roman" w:cs="Times New Roman"/>
          <w:color w:val="0D0D0D"/>
          <w:sz w:val="24"/>
          <w:szCs w:val="24"/>
          <w:shd w:val="clear" w:color="auto" w:fill="FFFFFF"/>
        </w:rPr>
        <w:t xml:space="preserve">aims to enhance academic understanding by </w:t>
      </w:r>
      <w:r w:rsidR="001322AB">
        <w:rPr>
          <w:rFonts w:ascii="Times New Roman" w:hAnsi="Times New Roman" w:cs="Times New Roman"/>
          <w:color w:val="0D0D0D"/>
          <w:sz w:val="24"/>
          <w:szCs w:val="24"/>
          <w:shd w:val="clear" w:color="auto" w:fill="FFFFFF"/>
        </w:rPr>
        <w:t>comprehensively analysing</w:t>
      </w:r>
      <w:r w:rsidR="008134BB">
        <w:rPr>
          <w:rFonts w:ascii="Times New Roman" w:hAnsi="Times New Roman" w:cs="Times New Roman"/>
          <w:color w:val="0D0D0D"/>
          <w:sz w:val="24"/>
          <w:szCs w:val="24"/>
          <w:shd w:val="clear" w:color="auto" w:fill="FFFFFF"/>
        </w:rPr>
        <w:t xml:space="preserve"> </w:t>
      </w:r>
      <w:r w:rsidR="00243E13">
        <w:rPr>
          <w:rFonts w:ascii="Times New Roman" w:hAnsi="Times New Roman" w:cs="Times New Roman"/>
          <w:color w:val="0D0D0D"/>
          <w:sz w:val="24"/>
          <w:szCs w:val="24"/>
          <w:shd w:val="clear" w:color="auto" w:fill="FFFFFF"/>
        </w:rPr>
        <w:t>these engagement practices' effectiveness, challenges, and impact</w:t>
      </w:r>
      <w:r w:rsidR="00306533">
        <w:rPr>
          <w:rFonts w:ascii="Times New Roman" w:hAnsi="Times New Roman" w:cs="Times New Roman"/>
          <w:color w:val="0D0D0D"/>
          <w:sz w:val="24"/>
          <w:szCs w:val="24"/>
          <w:shd w:val="clear" w:color="auto" w:fill="FFFFFF"/>
        </w:rPr>
        <w:t>. It seeks</w:t>
      </w:r>
      <w:r w:rsidRPr="002C448C">
        <w:rPr>
          <w:rFonts w:ascii="Times New Roman" w:hAnsi="Times New Roman" w:cs="Times New Roman"/>
          <w:color w:val="0D0D0D"/>
          <w:sz w:val="24"/>
          <w:szCs w:val="24"/>
          <w:shd w:val="clear" w:color="auto" w:fill="FFFFFF"/>
        </w:rPr>
        <w:t xml:space="preserve"> to deliver actionable insights for a diverse range of stakeholders. </w:t>
      </w:r>
      <w:r w:rsidR="005E2765" w:rsidRPr="005E2765">
        <w:rPr>
          <w:rFonts w:ascii="Times New Roman" w:hAnsi="Times New Roman" w:cs="Times New Roman"/>
          <w:sz w:val="24"/>
          <w:szCs w:val="24"/>
        </w:rPr>
        <w:t xml:space="preserve">This research </w:t>
      </w:r>
      <w:r w:rsidR="005E2765">
        <w:rPr>
          <w:rFonts w:ascii="Times New Roman" w:hAnsi="Times New Roman" w:cs="Times New Roman"/>
          <w:sz w:val="24"/>
          <w:szCs w:val="24"/>
        </w:rPr>
        <w:t>endeavours</w:t>
      </w:r>
      <w:r w:rsidR="005E2765" w:rsidRPr="005E2765">
        <w:rPr>
          <w:rFonts w:ascii="Times New Roman" w:hAnsi="Times New Roman" w:cs="Times New Roman"/>
          <w:sz w:val="24"/>
          <w:szCs w:val="24"/>
        </w:rPr>
        <w:t xml:space="preserve"> to advance sustainable development and advocate for responsible business practices by highlighting </w:t>
      </w:r>
      <w:r w:rsidR="005E2765">
        <w:rPr>
          <w:rFonts w:ascii="Times New Roman" w:hAnsi="Times New Roman" w:cs="Times New Roman"/>
          <w:sz w:val="24"/>
          <w:szCs w:val="24"/>
        </w:rPr>
        <w:t xml:space="preserve">the </w:t>
      </w:r>
      <w:r w:rsidR="005E2765" w:rsidRPr="005E2765">
        <w:rPr>
          <w:rFonts w:ascii="Times New Roman" w:hAnsi="Times New Roman" w:cs="Times New Roman"/>
          <w:sz w:val="24"/>
          <w:szCs w:val="24"/>
        </w:rPr>
        <w:t>best approaches to stakeholder engagement. Ultimately, by dissecting the complexities of MNCs' interactions with various stakeholders, the study offers a valuable roadmap for navigating the intricate regulatory landscapes of international trade, serving both scholarly and practical purposes in the global business environment.</w:t>
      </w:r>
      <w:r w:rsidR="00676647" w:rsidRPr="005E2765">
        <w:rPr>
          <w:rFonts w:ascii="Times New Roman" w:hAnsi="Times New Roman" w:cs="Times New Roman"/>
          <w:sz w:val="24"/>
          <w:szCs w:val="24"/>
        </w:rPr>
        <w:br w:type="page"/>
      </w:r>
    </w:p>
    <w:p w14:paraId="4344FC9E" w14:textId="2EDD8432" w:rsidR="009B20BA" w:rsidRDefault="006A39DF" w:rsidP="006A39DF">
      <w:pPr>
        <w:pStyle w:val="Heading1"/>
        <w:rPr>
          <w:color w:val="0070C0"/>
        </w:rPr>
      </w:pPr>
      <w:bookmarkStart w:id="10" w:name="_Toc163889313"/>
      <w:r w:rsidRPr="006A39DF">
        <w:rPr>
          <w:color w:val="0070C0"/>
        </w:rPr>
        <w:lastRenderedPageBreak/>
        <w:t xml:space="preserve">3.0 </w:t>
      </w:r>
      <w:r w:rsidR="007F7EB2" w:rsidRPr="006A39DF">
        <w:rPr>
          <w:color w:val="0070C0"/>
        </w:rPr>
        <w:t>Literature Review</w:t>
      </w:r>
      <w:bookmarkEnd w:id="10"/>
    </w:p>
    <w:p w14:paraId="4B1D5CC2" w14:textId="33B067BF" w:rsidR="009E67E7" w:rsidRDefault="00D44FC7" w:rsidP="00090D9A">
      <w:pPr>
        <w:spacing w:line="480" w:lineRule="auto"/>
        <w:jc w:val="both"/>
        <w:rPr>
          <w:rFonts w:ascii="Times New Roman" w:hAnsi="Times New Roman" w:cs="Times New Roman"/>
          <w:sz w:val="24"/>
          <w:szCs w:val="24"/>
        </w:rPr>
      </w:pPr>
      <w:r w:rsidRPr="004A1722">
        <w:rPr>
          <w:rFonts w:ascii="Times New Roman" w:hAnsi="Times New Roman" w:cs="Times New Roman"/>
          <w:sz w:val="24"/>
          <w:szCs w:val="24"/>
        </w:rPr>
        <w:t>Today's global economy is highly interconnected, and trade agreements significantly impact business operations and strategies</w:t>
      </w:r>
      <w:r w:rsidR="00B528C1" w:rsidRPr="004A1722">
        <w:rPr>
          <w:rFonts w:ascii="Times New Roman" w:hAnsi="Times New Roman" w:cs="Times New Roman"/>
          <w:sz w:val="24"/>
          <w:szCs w:val="24"/>
        </w:rPr>
        <w:t>. According to</w:t>
      </w:r>
      <w:r w:rsidR="003F392A" w:rsidRPr="004A1722">
        <w:rPr>
          <w:rFonts w:ascii="Times New Roman" w:hAnsi="Times New Roman" w:cs="Times New Roman"/>
          <w:sz w:val="24"/>
          <w:szCs w:val="24"/>
        </w:rPr>
        <w:t xml:space="preserve"> </w:t>
      </w:r>
      <w:r w:rsidR="003F392A" w:rsidRPr="004A1722">
        <w:rPr>
          <w:rFonts w:ascii="Times New Roman" w:hAnsi="Times New Roman" w:cs="Times New Roman"/>
          <w:sz w:val="24"/>
          <w:szCs w:val="24"/>
          <w:highlight w:val="yellow"/>
        </w:rPr>
        <w:t xml:space="preserve">Bhagwati et al. </w:t>
      </w:r>
      <w:r w:rsidR="00B528C1" w:rsidRPr="004A1722">
        <w:rPr>
          <w:rFonts w:ascii="Times New Roman" w:hAnsi="Times New Roman" w:cs="Times New Roman"/>
          <w:sz w:val="24"/>
          <w:szCs w:val="24"/>
          <w:highlight w:val="yellow"/>
        </w:rPr>
        <w:t>(</w:t>
      </w:r>
      <w:r w:rsidR="003F392A" w:rsidRPr="004A1722">
        <w:rPr>
          <w:rFonts w:ascii="Times New Roman" w:hAnsi="Times New Roman" w:cs="Times New Roman"/>
          <w:sz w:val="24"/>
          <w:szCs w:val="24"/>
          <w:highlight w:val="yellow"/>
        </w:rPr>
        <w:t>2017)</w:t>
      </w:r>
      <w:r w:rsidR="00165E5B">
        <w:rPr>
          <w:rFonts w:ascii="Times New Roman" w:hAnsi="Times New Roman" w:cs="Times New Roman"/>
          <w:sz w:val="24"/>
          <w:szCs w:val="24"/>
        </w:rPr>
        <w:t>,</w:t>
      </w:r>
      <w:r w:rsidRPr="004A1722">
        <w:rPr>
          <w:rFonts w:ascii="Times New Roman" w:hAnsi="Times New Roman" w:cs="Times New Roman"/>
          <w:sz w:val="24"/>
          <w:szCs w:val="24"/>
        </w:rPr>
        <w:t xml:space="preserve"> </w:t>
      </w:r>
      <w:r w:rsidR="00CA523B" w:rsidRPr="004A1722">
        <w:rPr>
          <w:rFonts w:ascii="Times New Roman" w:hAnsi="Times New Roman" w:cs="Times New Roman"/>
          <w:color w:val="1C1C1C"/>
          <w:sz w:val="24"/>
          <w:szCs w:val="24"/>
          <w:shd w:val="clear" w:color="auto" w:fill="FFFFFF"/>
        </w:rPr>
        <w:t xml:space="preserve">These agreements establish the terms and conditions for trade between countries, which can </w:t>
      </w:r>
      <w:r w:rsidR="00B46B3A">
        <w:rPr>
          <w:rFonts w:ascii="Times New Roman" w:hAnsi="Times New Roman" w:cs="Times New Roman"/>
          <w:color w:val="1C1C1C"/>
          <w:sz w:val="24"/>
          <w:szCs w:val="24"/>
          <w:shd w:val="clear" w:color="auto" w:fill="FFFFFF"/>
        </w:rPr>
        <w:t>directly affect</w:t>
      </w:r>
      <w:r w:rsidR="00CA523B" w:rsidRPr="004A1722">
        <w:rPr>
          <w:rFonts w:ascii="Times New Roman" w:hAnsi="Times New Roman" w:cs="Times New Roman"/>
          <w:color w:val="1C1C1C"/>
          <w:sz w:val="24"/>
          <w:szCs w:val="24"/>
          <w:shd w:val="clear" w:color="auto" w:fill="FFFFFF"/>
        </w:rPr>
        <w:t xml:space="preserve"> the cost, availability, and quality of goods and services.</w:t>
      </w:r>
      <w:r w:rsidR="00B12D5F" w:rsidRPr="004A1722">
        <w:rPr>
          <w:rFonts w:ascii="Times New Roman" w:hAnsi="Times New Roman" w:cs="Times New Roman"/>
          <w:sz w:val="24"/>
          <w:szCs w:val="24"/>
        </w:rPr>
        <w:t xml:space="preserve"> </w:t>
      </w:r>
      <w:r w:rsidR="002D7A1A" w:rsidRPr="004A1722">
        <w:rPr>
          <w:rFonts w:ascii="Times New Roman" w:hAnsi="Times New Roman" w:cs="Times New Roman"/>
          <w:sz w:val="24"/>
          <w:szCs w:val="24"/>
        </w:rPr>
        <w:t xml:space="preserve">However, </w:t>
      </w:r>
      <w:r w:rsidR="002D7A1A" w:rsidRPr="004A1722">
        <w:rPr>
          <w:rFonts w:ascii="Times New Roman" w:hAnsi="Times New Roman" w:cs="Times New Roman"/>
          <w:sz w:val="24"/>
          <w:szCs w:val="24"/>
          <w:highlight w:val="yellow"/>
        </w:rPr>
        <w:t>Kirton (2009)</w:t>
      </w:r>
      <w:r w:rsidR="002D7A1A" w:rsidRPr="004A1722">
        <w:rPr>
          <w:rFonts w:ascii="Times New Roman" w:hAnsi="Times New Roman" w:cs="Times New Roman"/>
          <w:sz w:val="24"/>
          <w:szCs w:val="24"/>
        </w:rPr>
        <w:t xml:space="preserve"> challenges this assertion </w:t>
      </w:r>
      <w:r w:rsidR="00DB7A3B" w:rsidRPr="004A1722">
        <w:rPr>
          <w:rFonts w:ascii="Times New Roman" w:hAnsi="Times New Roman" w:cs="Times New Roman"/>
          <w:sz w:val="24"/>
          <w:szCs w:val="24"/>
        </w:rPr>
        <w:t>and argues that the global economic system</w:t>
      </w:r>
      <w:r w:rsidR="00CF1319" w:rsidRPr="004A1722">
        <w:rPr>
          <w:rFonts w:ascii="Times New Roman" w:hAnsi="Times New Roman" w:cs="Times New Roman"/>
          <w:sz w:val="24"/>
          <w:szCs w:val="24"/>
        </w:rPr>
        <w:t xml:space="preserve"> is shaped by a complex network of political, </w:t>
      </w:r>
      <w:r w:rsidR="00513972">
        <w:rPr>
          <w:rFonts w:ascii="Times New Roman" w:hAnsi="Times New Roman" w:cs="Times New Roman"/>
          <w:sz w:val="24"/>
          <w:szCs w:val="24"/>
        </w:rPr>
        <w:t>financial</w:t>
      </w:r>
      <w:r w:rsidR="00C336CA" w:rsidRPr="004A1722">
        <w:rPr>
          <w:rFonts w:ascii="Times New Roman" w:hAnsi="Times New Roman" w:cs="Times New Roman"/>
          <w:sz w:val="24"/>
          <w:szCs w:val="24"/>
        </w:rPr>
        <w:t>,</w:t>
      </w:r>
      <w:r w:rsidR="00CF1319" w:rsidRPr="004A1722">
        <w:rPr>
          <w:rFonts w:ascii="Times New Roman" w:hAnsi="Times New Roman" w:cs="Times New Roman"/>
          <w:sz w:val="24"/>
          <w:szCs w:val="24"/>
        </w:rPr>
        <w:t xml:space="preserve"> </w:t>
      </w:r>
      <w:r w:rsidR="004A1722" w:rsidRPr="004A1722">
        <w:rPr>
          <w:rFonts w:ascii="Times New Roman" w:hAnsi="Times New Roman" w:cs="Times New Roman"/>
          <w:sz w:val="24"/>
          <w:szCs w:val="24"/>
        </w:rPr>
        <w:t>and social factors and that international trade agreements are only one aspect of the system.</w:t>
      </w:r>
      <w:r w:rsidR="00C336CA">
        <w:rPr>
          <w:rFonts w:ascii="Times New Roman" w:hAnsi="Times New Roman" w:cs="Times New Roman"/>
          <w:sz w:val="24"/>
          <w:szCs w:val="24"/>
        </w:rPr>
        <w:t xml:space="preserve"> </w:t>
      </w:r>
    </w:p>
    <w:p w14:paraId="48ED3E6A" w14:textId="0D304D5A" w:rsidR="005B0AE6" w:rsidRDefault="009E67E7" w:rsidP="00090D9A">
      <w:pPr>
        <w:spacing w:line="480" w:lineRule="auto"/>
        <w:jc w:val="both"/>
        <w:rPr>
          <w:rFonts w:ascii="Times New Roman" w:hAnsi="Times New Roman" w:cs="Times New Roman"/>
          <w:sz w:val="24"/>
          <w:szCs w:val="24"/>
        </w:rPr>
      </w:pPr>
      <w:r w:rsidRPr="001B716C">
        <w:rPr>
          <w:rFonts w:ascii="Times New Roman" w:hAnsi="Times New Roman" w:cs="Times New Roman"/>
          <w:sz w:val="24"/>
          <w:szCs w:val="24"/>
        </w:rPr>
        <w:t xml:space="preserve"> </w:t>
      </w:r>
      <w:r w:rsidR="00E523B8" w:rsidRPr="00E523B8">
        <w:rPr>
          <w:rFonts w:ascii="Times New Roman" w:hAnsi="Times New Roman" w:cs="Times New Roman"/>
          <w:sz w:val="24"/>
          <w:szCs w:val="24"/>
        </w:rPr>
        <w:t xml:space="preserve">Organisations that aim to navigate the complexities of international trade must </w:t>
      </w:r>
      <w:r w:rsidR="00CD1884">
        <w:rPr>
          <w:rFonts w:ascii="Times New Roman" w:hAnsi="Times New Roman" w:cs="Times New Roman"/>
          <w:sz w:val="24"/>
          <w:szCs w:val="24"/>
        </w:rPr>
        <w:t>prioritise</w:t>
      </w:r>
      <w:r w:rsidR="00E523B8" w:rsidRPr="00E523B8">
        <w:rPr>
          <w:rFonts w:ascii="Times New Roman" w:hAnsi="Times New Roman" w:cs="Times New Roman"/>
          <w:sz w:val="24"/>
          <w:szCs w:val="24"/>
        </w:rPr>
        <w:t xml:space="preserve"> stakeholder engagement. Effective stakeholder engagement strategies are essential to ensure that the interests of various stakeholders, including governments, businesses, non-governmental organisations (NGOs), and communities, are addressed and aligned within the framework of trade agreements. </w:t>
      </w:r>
      <w:r w:rsidR="00DA3D82" w:rsidRPr="003000D7">
        <w:rPr>
          <w:rFonts w:ascii="Times New Roman" w:hAnsi="Times New Roman" w:cs="Times New Roman"/>
          <w:sz w:val="24"/>
          <w:szCs w:val="24"/>
          <w:highlight w:val="yellow"/>
        </w:rPr>
        <w:t xml:space="preserve">Coe </w:t>
      </w:r>
      <w:r w:rsidR="00876C61">
        <w:rPr>
          <w:rFonts w:ascii="Times New Roman" w:hAnsi="Times New Roman" w:cs="Times New Roman"/>
          <w:sz w:val="24"/>
          <w:szCs w:val="24"/>
          <w:highlight w:val="yellow"/>
        </w:rPr>
        <w:t>&amp;</w:t>
      </w:r>
      <w:r w:rsidR="00DA3D82" w:rsidRPr="003000D7">
        <w:rPr>
          <w:rFonts w:ascii="Times New Roman" w:hAnsi="Times New Roman" w:cs="Times New Roman"/>
          <w:sz w:val="24"/>
          <w:szCs w:val="24"/>
          <w:highlight w:val="yellow"/>
        </w:rPr>
        <w:t xml:space="preserve"> Yeung (2015)</w:t>
      </w:r>
      <w:r w:rsidR="00DA3D82">
        <w:rPr>
          <w:rFonts w:ascii="Times New Roman" w:hAnsi="Times New Roman" w:cs="Times New Roman"/>
          <w:sz w:val="24"/>
          <w:szCs w:val="24"/>
        </w:rPr>
        <w:t xml:space="preserve"> purported that </w:t>
      </w:r>
      <w:r w:rsidR="00E523B8" w:rsidRPr="00E523B8">
        <w:rPr>
          <w:rFonts w:ascii="Times New Roman" w:hAnsi="Times New Roman" w:cs="Times New Roman"/>
          <w:sz w:val="24"/>
          <w:szCs w:val="24"/>
        </w:rPr>
        <w:t xml:space="preserve">stakeholder engagement </w:t>
      </w:r>
      <w:r w:rsidR="00B46B3A">
        <w:rPr>
          <w:rFonts w:ascii="Times New Roman" w:hAnsi="Times New Roman" w:cs="Times New Roman"/>
          <w:sz w:val="24"/>
          <w:szCs w:val="24"/>
        </w:rPr>
        <w:t>is pivotal</w:t>
      </w:r>
      <w:r w:rsidR="00E523B8" w:rsidRPr="00E523B8">
        <w:rPr>
          <w:rFonts w:ascii="Times New Roman" w:hAnsi="Times New Roman" w:cs="Times New Roman"/>
          <w:sz w:val="24"/>
          <w:szCs w:val="24"/>
        </w:rPr>
        <w:t>.</w:t>
      </w:r>
      <w:r w:rsidR="007F2FD1" w:rsidRPr="001B716C">
        <w:rPr>
          <w:rFonts w:ascii="Times New Roman" w:hAnsi="Times New Roman" w:cs="Times New Roman"/>
          <w:sz w:val="24"/>
          <w:szCs w:val="24"/>
        </w:rPr>
        <w:t xml:space="preserve"> However, the impact of global trade agreements on these strategies is complex and ever-changing, requiring further exploration. </w:t>
      </w:r>
      <w:r w:rsidR="001A0952" w:rsidRPr="001B716C">
        <w:rPr>
          <w:rFonts w:ascii="Times New Roman" w:hAnsi="Times New Roman" w:cs="Times New Roman"/>
          <w:sz w:val="24"/>
          <w:szCs w:val="24"/>
        </w:rPr>
        <w:t xml:space="preserve">This review will synthesise existing research to highlight </w:t>
      </w:r>
      <w:r w:rsidR="00C251F1" w:rsidRPr="001B716C">
        <w:rPr>
          <w:rFonts w:ascii="Times New Roman" w:hAnsi="Times New Roman" w:cs="Times New Roman"/>
          <w:sz w:val="24"/>
          <w:szCs w:val="24"/>
        </w:rPr>
        <w:t>essential</w:t>
      </w:r>
      <w:r w:rsidR="001A0952" w:rsidRPr="001B716C">
        <w:rPr>
          <w:rFonts w:ascii="Times New Roman" w:hAnsi="Times New Roman" w:cs="Times New Roman"/>
          <w:sz w:val="24"/>
          <w:szCs w:val="24"/>
        </w:rPr>
        <w:t xml:space="preserve"> drivers, challenges, and implications of stakeholder engagement in global trade agreement</w:t>
      </w:r>
      <w:r w:rsidR="004C5695" w:rsidRPr="001B716C">
        <w:rPr>
          <w:rFonts w:ascii="Times New Roman" w:hAnsi="Times New Roman" w:cs="Times New Roman"/>
          <w:sz w:val="24"/>
          <w:szCs w:val="24"/>
        </w:rPr>
        <w:t xml:space="preserve">s as outlined by </w:t>
      </w:r>
      <w:r w:rsidR="005B0AE6" w:rsidRPr="001B716C">
        <w:rPr>
          <w:rFonts w:ascii="Times New Roman" w:hAnsi="Times New Roman" w:cs="Times New Roman"/>
          <w:sz w:val="24"/>
          <w:szCs w:val="24"/>
          <w:highlight w:val="yellow"/>
        </w:rPr>
        <w:t>(Ruggie, 2011)</w:t>
      </w:r>
      <w:r w:rsidR="005B0AE6" w:rsidRPr="001B716C">
        <w:rPr>
          <w:rFonts w:ascii="Times New Roman" w:hAnsi="Times New Roman" w:cs="Times New Roman"/>
          <w:sz w:val="24"/>
          <w:szCs w:val="24"/>
        </w:rPr>
        <w:t>.</w:t>
      </w:r>
    </w:p>
    <w:p w14:paraId="27B081A0" w14:textId="77777777" w:rsidR="00065150" w:rsidRPr="00304325" w:rsidRDefault="00065150" w:rsidP="00304325">
      <w:pPr>
        <w:pStyle w:val="Heading2"/>
        <w:rPr>
          <w:color w:val="0070C0"/>
        </w:rPr>
      </w:pPr>
      <w:bookmarkStart w:id="11" w:name="_Toc163889314"/>
      <w:r w:rsidRPr="00304325">
        <w:rPr>
          <w:color w:val="0070C0"/>
        </w:rPr>
        <w:t>3.1 Inclusivity in Trade Negotiations</w:t>
      </w:r>
      <w:bookmarkEnd w:id="11"/>
    </w:p>
    <w:p w14:paraId="12749D74" w14:textId="24AE5DCF" w:rsidR="00C144AD" w:rsidRPr="00C144AD" w:rsidRDefault="00DF1C8D" w:rsidP="00090D9A">
      <w:pPr>
        <w:spacing w:line="480" w:lineRule="auto"/>
        <w:jc w:val="both"/>
        <w:rPr>
          <w:rFonts w:ascii="Times New Roman" w:hAnsi="Times New Roman" w:cs="Times New Roman"/>
          <w:sz w:val="24"/>
          <w:szCs w:val="24"/>
        </w:rPr>
      </w:pPr>
      <w:r w:rsidRPr="001B716C">
        <w:rPr>
          <w:rFonts w:ascii="Times New Roman" w:hAnsi="Times New Roman" w:cs="Times New Roman"/>
          <w:sz w:val="24"/>
          <w:szCs w:val="24"/>
        </w:rPr>
        <w:t xml:space="preserve">Stakeholders play a crucial role in shaping trade agreements. They represent diverse interests and can </w:t>
      </w:r>
      <w:r w:rsidR="00B52D17" w:rsidRPr="001B716C">
        <w:rPr>
          <w:rFonts w:ascii="Times New Roman" w:hAnsi="Times New Roman" w:cs="Times New Roman"/>
          <w:sz w:val="24"/>
          <w:szCs w:val="24"/>
        </w:rPr>
        <w:t>significantly impact</w:t>
      </w:r>
      <w:r w:rsidRPr="001B716C">
        <w:rPr>
          <w:rFonts w:ascii="Times New Roman" w:hAnsi="Times New Roman" w:cs="Times New Roman"/>
          <w:sz w:val="24"/>
          <w:szCs w:val="24"/>
        </w:rPr>
        <w:t xml:space="preserve"> the outcome of negotiations. However, the level of their involvement and influence often varies. Traditionally, trade negotiations are dominated by governments and large corporations, with little input from civil society, labour unions, and environmental groups. These groups are often excluded from the decision-making process, which can lead to trade agreements that do not represent the interests of all stakeholders</w:t>
      </w:r>
      <w:r w:rsidR="00DA3D82">
        <w:rPr>
          <w:rFonts w:ascii="Times New Roman" w:hAnsi="Times New Roman" w:cs="Times New Roman"/>
          <w:sz w:val="24"/>
          <w:szCs w:val="24"/>
        </w:rPr>
        <w:t xml:space="preserve"> and can result in a lack of </w:t>
      </w:r>
      <w:r w:rsidR="00F8079A">
        <w:rPr>
          <w:rFonts w:ascii="Times New Roman" w:hAnsi="Times New Roman" w:cs="Times New Roman"/>
          <w:sz w:val="24"/>
          <w:szCs w:val="24"/>
        </w:rPr>
        <w:t>transparency</w:t>
      </w:r>
      <w:r w:rsidR="00F8079A" w:rsidRPr="007B6D66">
        <w:rPr>
          <w:rFonts w:ascii="Times New Roman" w:hAnsi="Times New Roman" w:cs="Times New Roman"/>
          <w:sz w:val="24"/>
          <w:szCs w:val="24"/>
          <w:highlight w:val="yellow"/>
        </w:rPr>
        <w:t xml:space="preserve"> (</w:t>
      </w:r>
      <w:r w:rsidR="007B6D66" w:rsidRPr="007B6D66">
        <w:rPr>
          <w:rFonts w:ascii="Times New Roman" w:hAnsi="Times New Roman" w:cs="Times New Roman"/>
          <w:sz w:val="24"/>
          <w:szCs w:val="24"/>
          <w:highlight w:val="yellow"/>
        </w:rPr>
        <w:t>Riezman, 2013)</w:t>
      </w:r>
      <w:r w:rsidR="00365A3D">
        <w:rPr>
          <w:rFonts w:ascii="Times New Roman" w:hAnsi="Times New Roman" w:cs="Times New Roman"/>
          <w:sz w:val="24"/>
          <w:szCs w:val="24"/>
        </w:rPr>
        <w:t>.</w:t>
      </w:r>
      <w:r w:rsidR="00F8079A">
        <w:rPr>
          <w:rFonts w:ascii="Times New Roman" w:hAnsi="Times New Roman" w:cs="Times New Roman"/>
          <w:sz w:val="24"/>
          <w:szCs w:val="24"/>
        </w:rPr>
        <w:t xml:space="preserve"> </w:t>
      </w:r>
      <w:r w:rsidR="00032AE2">
        <w:rPr>
          <w:rFonts w:ascii="Times New Roman" w:hAnsi="Times New Roman" w:cs="Times New Roman"/>
          <w:sz w:val="24"/>
          <w:szCs w:val="24"/>
        </w:rPr>
        <w:t xml:space="preserve">It is argued by </w:t>
      </w:r>
      <w:r w:rsidR="00032AE2" w:rsidRPr="00032AE2">
        <w:rPr>
          <w:rFonts w:ascii="Times New Roman" w:hAnsi="Times New Roman" w:cs="Times New Roman"/>
          <w:sz w:val="24"/>
          <w:szCs w:val="24"/>
          <w:highlight w:val="yellow"/>
        </w:rPr>
        <w:t>Keohane (2002)</w:t>
      </w:r>
      <w:r w:rsidR="00C144AD" w:rsidRPr="00C144AD">
        <w:rPr>
          <w:rFonts w:ascii="Times New Roman" w:hAnsi="Times New Roman" w:cs="Times New Roman"/>
          <w:color w:val="1C1C1C"/>
          <w:sz w:val="24"/>
          <w:szCs w:val="24"/>
          <w:shd w:val="clear" w:color="auto" w:fill="FFFFFF"/>
        </w:rPr>
        <w:t xml:space="preserve"> that the </w:t>
      </w:r>
      <w:r w:rsidR="00C144AD" w:rsidRPr="00C144AD">
        <w:rPr>
          <w:rFonts w:ascii="Times New Roman" w:hAnsi="Times New Roman" w:cs="Times New Roman"/>
          <w:color w:val="1C1C1C"/>
          <w:sz w:val="24"/>
          <w:szCs w:val="24"/>
          <w:shd w:val="clear" w:color="auto" w:fill="FFFFFF"/>
        </w:rPr>
        <w:lastRenderedPageBreak/>
        <w:t xml:space="preserve">traditional state-centric approach to trade negotiations has limited the involvement of non-state actors, such as civil society groups, in the process. </w:t>
      </w:r>
      <w:r w:rsidR="001C170C">
        <w:rPr>
          <w:rFonts w:ascii="Times New Roman" w:hAnsi="Times New Roman" w:cs="Times New Roman"/>
          <w:color w:val="1C1C1C"/>
          <w:sz w:val="24"/>
          <w:szCs w:val="24"/>
          <w:shd w:val="clear" w:color="auto" w:fill="FFFFFF"/>
        </w:rPr>
        <w:t xml:space="preserve">This approach </w:t>
      </w:r>
      <w:r w:rsidR="000A3A23">
        <w:rPr>
          <w:rFonts w:ascii="Times New Roman" w:hAnsi="Times New Roman" w:cs="Times New Roman"/>
          <w:color w:val="1C1C1C"/>
          <w:sz w:val="24"/>
          <w:szCs w:val="24"/>
          <w:shd w:val="clear" w:color="auto" w:fill="FFFFFF"/>
        </w:rPr>
        <w:t xml:space="preserve">can </w:t>
      </w:r>
      <w:r w:rsidR="005559EB">
        <w:rPr>
          <w:rFonts w:ascii="Times New Roman" w:hAnsi="Times New Roman" w:cs="Times New Roman"/>
          <w:color w:val="1C1C1C"/>
          <w:sz w:val="24"/>
          <w:szCs w:val="24"/>
          <w:shd w:val="clear" w:color="auto" w:fill="FFFFFF"/>
        </w:rPr>
        <w:t xml:space="preserve">significantly impact </w:t>
      </w:r>
      <w:r w:rsidR="00CA2A7A">
        <w:rPr>
          <w:rFonts w:ascii="Times New Roman" w:hAnsi="Times New Roman" w:cs="Times New Roman"/>
          <w:color w:val="1C1C1C"/>
          <w:sz w:val="24"/>
          <w:szCs w:val="24"/>
          <w:shd w:val="clear" w:color="auto" w:fill="FFFFFF"/>
        </w:rPr>
        <w:t>talks</w:t>
      </w:r>
      <w:r w:rsidR="005559EB">
        <w:rPr>
          <w:rFonts w:ascii="Times New Roman" w:hAnsi="Times New Roman" w:cs="Times New Roman"/>
          <w:color w:val="1C1C1C"/>
          <w:sz w:val="24"/>
          <w:szCs w:val="24"/>
          <w:shd w:val="clear" w:color="auto" w:fill="FFFFFF"/>
        </w:rPr>
        <w:t>,</w:t>
      </w:r>
      <w:r w:rsidR="00A606F7">
        <w:rPr>
          <w:rFonts w:ascii="Times New Roman" w:hAnsi="Times New Roman" w:cs="Times New Roman"/>
          <w:color w:val="1C1C1C"/>
          <w:sz w:val="24"/>
          <w:szCs w:val="24"/>
          <w:shd w:val="clear" w:color="auto" w:fill="FFFFFF"/>
        </w:rPr>
        <w:t xml:space="preserve"> resulting in a </w:t>
      </w:r>
      <w:r w:rsidR="001322AB">
        <w:rPr>
          <w:rFonts w:ascii="Times New Roman" w:hAnsi="Times New Roman" w:cs="Times New Roman"/>
          <w:color w:val="1C1C1C"/>
          <w:sz w:val="24"/>
          <w:szCs w:val="24"/>
          <w:shd w:val="clear" w:color="auto" w:fill="FFFFFF"/>
        </w:rPr>
        <w:t>need for more</w:t>
      </w:r>
      <w:r w:rsidR="00A606F7">
        <w:rPr>
          <w:rFonts w:ascii="Times New Roman" w:hAnsi="Times New Roman" w:cs="Times New Roman"/>
          <w:color w:val="1C1C1C"/>
          <w:sz w:val="24"/>
          <w:szCs w:val="24"/>
          <w:shd w:val="clear" w:color="auto" w:fill="FFFFFF"/>
        </w:rPr>
        <w:t xml:space="preserve"> transparency and accountability. </w:t>
      </w:r>
    </w:p>
    <w:p w14:paraId="3BE30DA3" w14:textId="526A9CDF" w:rsidR="005B0AE6" w:rsidRPr="001B716C" w:rsidRDefault="00DF1C8D" w:rsidP="00090D9A">
      <w:pPr>
        <w:spacing w:line="480" w:lineRule="auto"/>
        <w:jc w:val="both"/>
        <w:rPr>
          <w:rFonts w:ascii="Times New Roman" w:hAnsi="Times New Roman" w:cs="Times New Roman"/>
          <w:sz w:val="24"/>
          <w:szCs w:val="24"/>
        </w:rPr>
      </w:pPr>
      <w:r w:rsidRPr="001B716C">
        <w:rPr>
          <w:rFonts w:ascii="Times New Roman" w:hAnsi="Times New Roman" w:cs="Times New Roman"/>
          <w:sz w:val="24"/>
          <w:szCs w:val="24"/>
        </w:rPr>
        <w:t>In recent years, there has been growing pressure for more inclusive processes that consider the perspectives of all stakeholders. The goal is to create trade agreements that are fair</w:t>
      </w:r>
      <w:r w:rsidR="00B52D17" w:rsidRPr="001B716C">
        <w:rPr>
          <w:rFonts w:ascii="Times New Roman" w:hAnsi="Times New Roman" w:cs="Times New Roman"/>
          <w:sz w:val="24"/>
          <w:szCs w:val="24"/>
        </w:rPr>
        <w:t xml:space="preserve"> and equitable</w:t>
      </w:r>
      <w:r w:rsidRPr="001B716C">
        <w:rPr>
          <w:rFonts w:ascii="Times New Roman" w:hAnsi="Times New Roman" w:cs="Times New Roman"/>
          <w:sz w:val="24"/>
          <w:szCs w:val="24"/>
        </w:rPr>
        <w:t xml:space="preserve"> and promote sustainable development</w:t>
      </w:r>
      <w:r w:rsidR="00321C92">
        <w:rPr>
          <w:rFonts w:ascii="Times New Roman" w:hAnsi="Times New Roman" w:cs="Times New Roman"/>
          <w:sz w:val="24"/>
          <w:szCs w:val="24"/>
        </w:rPr>
        <w:t xml:space="preserve"> </w:t>
      </w:r>
      <w:r w:rsidR="00321C92" w:rsidRPr="00321C92">
        <w:rPr>
          <w:rFonts w:ascii="Times New Roman" w:hAnsi="Times New Roman" w:cs="Times New Roman"/>
          <w:sz w:val="24"/>
          <w:szCs w:val="24"/>
          <w:highlight w:val="yellow"/>
        </w:rPr>
        <w:t>(Chang, 2013)</w:t>
      </w:r>
      <w:r w:rsidRPr="00321C92">
        <w:rPr>
          <w:rFonts w:ascii="Times New Roman" w:hAnsi="Times New Roman" w:cs="Times New Roman"/>
          <w:sz w:val="24"/>
          <w:szCs w:val="24"/>
          <w:highlight w:val="yellow"/>
        </w:rPr>
        <w:t>.</w:t>
      </w:r>
      <w:r w:rsidRPr="001B716C">
        <w:rPr>
          <w:rFonts w:ascii="Times New Roman" w:hAnsi="Times New Roman" w:cs="Times New Roman"/>
          <w:sz w:val="24"/>
          <w:szCs w:val="24"/>
        </w:rPr>
        <w:t xml:space="preserve"> This is particularly important given the significant impact that trade agreements can have on the environment, human rights, and social justice.</w:t>
      </w:r>
      <w:r w:rsidR="005B0AE6" w:rsidRPr="001B716C">
        <w:rPr>
          <w:rFonts w:ascii="Times New Roman" w:hAnsi="Times New Roman" w:cs="Times New Roman"/>
          <w:sz w:val="24"/>
          <w:szCs w:val="24"/>
        </w:rPr>
        <w:t xml:space="preserve"> Research shows that power imbalances are still prevalent, making it challenging for smaller stakeholders and marginalised groups to participate effectively in negotiations</w:t>
      </w:r>
      <w:r w:rsidR="00AD0D70">
        <w:rPr>
          <w:rFonts w:ascii="Times New Roman" w:hAnsi="Times New Roman" w:cs="Times New Roman"/>
          <w:sz w:val="24"/>
          <w:szCs w:val="24"/>
        </w:rPr>
        <w:t xml:space="preserve"> </w:t>
      </w:r>
      <w:r w:rsidR="00AD0D70" w:rsidRPr="00AD0D70">
        <w:rPr>
          <w:rFonts w:ascii="Times New Roman" w:hAnsi="Times New Roman" w:cs="Times New Roman"/>
          <w:sz w:val="24"/>
          <w:szCs w:val="24"/>
          <w:highlight w:val="yellow"/>
        </w:rPr>
        <w:t>(Frankel &amp; Lewis, 2014).</w:t>
      </w:r>
      <w:r w:rsidR="005B0AE6" w:rsidRPr="001B716C">
        <w:rPr>
          <w:rFonts w:ascii="Times New Roman" w:hAnsi="Times New Roman" w:cs="Times New Roman"/>
          <w:sz w:val="24"/>
          <w:szCs w:val="24"/>
        </w:rPr>
        <w:t xml:space="preserve"> These groups often </w:t>
      </w:r>
      <w:r w:rsidR="001322AB">
        <w:rPr>
          <w:rFonts w:ascii="Times New Roman" w:hAnsi="Times New Roman" w:cs="Times New Roman"/>
          <w:sz w:val="24"/>
          <w:szCs w:val="24"/>
        </w:rPr>
        <w:t>need more</w:t>
      </w:r>
      <w:r w:rsidR="005B0AE6" w:rsidRPr="001B716C">
        <w:rPr>
          <w:rFonts w:ascii="Times New Roman" w:hAnsi="Times New Roman" w:cs="Times New Roman"/>
          <w:sz w:val="24"/>
          <w:szCs w:val="24"/>
        </w:rPr>
        <w:t xml:space="preserve"> resources and expertise to engage meaningfully. As a result, their voices </w:t>
      </w:r>
      <w:r w:rsidR="00D300AB">
        <w:rPr>
          <w:rFonts w:ascii="Times New Roman" w:hAnsi="Times New Roman" w:cs="Times New Roman"/>
          <w:sz w:val="24"/>
          <w:szCs w:val="24"/>
        </w:rPr>
        <w:t>should be addressed</w:t>
      </w:r>
      <w:r w:rsidR="005B0AE6" w:rsidRPr="001B716C">
        <w:rPr>
          <w:rFonts w:ascii="Times New Roman" w:hAnsi="Times New Roman" w:cs="Times New Roman"/>
          <w:sz w:val="24"/>
          <w:szCs w:val="24"/>
        </w:rPr>
        <w:t xml:space="preserve">, and their interests </w:t>
      </w:r>
      <w:r w:rsidR="00D300AB">
        <w:rPr>
          <w:rFonts w:ascii="Times New Roman" w:hAnsi="Times New Roman" w:cs="Times New Roman"/>
          <w:sz w:val="24"/>
          <w:szCs w:val="24"/>
        </w:rPr>
        <w:t>must</w:t>
      </w:r>
      <w:r w:rsidR="001322AB">
        <w:rPr>
          <w:rFonts w:ascii="Times New Roman" w:hAnsi="Times New Roman" w:cs="Times New Roman"/>
          <w:sz w:val="24"/>
          <w:szCs w:val="24"/>
        </w:rPr>
        <w:t xml:space="preserve"> be</w:t>
      </w:r>
      <w:r w:rsidR="005B0AE6" w:rsidRPr="001B716C">
        <w:rPr>
          <w:rFonts w:ascii="Times New Roman" w:hAnsi="Times New Roman" w:cs="Times New Roman"/>
          <w:sz w:val="24"/>
          <w:szCs w:val="24"/>
        </w:rPr>
        <w:t xml:space="preserve"> adequately represented in the final agreement</w:t>
      </w:r>
      <w:r w:rsidR="00301D26">
        <w:rPr>
          <w:rFonts w:ascii="Times New Roman" w:hAnsi="Times New Roman" w:cs="Times New Roman"/>
          <w:sz w:val="24"/>
          <w:szCs w:val="24"/>
        </w:rPr>
        <w:t xml:space="preserve"> </w:t>
      </w:r>
      <w:r w:rsidR="00301D26" w:rsidRPr="00301D26">
        <w:rPr>
          <w:rFonts w:ascii="Times New Roman" w:hAnsi="Times New Roman" w:cs="Times New Roman"/>
          <w:sz w:val="24"/>
          <w:szCs w:val="24"/>
          <w:highlight w:val="yellow"/>
        </w:rPr>
        <w:t>(Stohl, 1996).</w:t>
      </w:r>
      <w:r w:rsidR="00D13237">
        <w:rPr>
          <w:rFonts w:ascii="Times New Roman" w:hAnsi="Times New Roman" w:cs="Times New Roman"/>
          <w:sz w:val="24"/>
          <w:szCs w:val="24"/>
        </w:rPr>
        <w:t xml:space="preserve"> </w:t>
      </w:r>
    </w:p>
    <w:p w14:paraId="08FAB933" w14:textId="77777777" w:rsidR="00FB0D9D" w:rsidRPr="00C408D4" w:rsidRDefault="00B160FF" w:rsidP="00C21C14">
      <w:pPr>
        <w:spacing w:line="480" w:lineRule="auto"/>
        <w:jc w:val="both"/>
        <w:rPr>
          <w:rFonts w:ascii="Times New Roman" w:hAnsi="Times New Roman" w:cs="Times New Roman"/>
          <w:sz w:val="24"/>
          <w:szCs w:val="24"/>
        </w:rPr>
      </w:pPr>
      <w:r w:rsidRPr="00C408D4">
        <w:rPr>
          <w:rFonts w:ascii="Times New Roman" w:hAnsi="Times New Roman" w:cs="Times New Roman"/>
          <w:sz w:val="24"/>
          <w:szCs w:val="24"/>
        </w:rPr>
        <w:t xml:space="preserve">The current state of trade negotiations is plagued by several challenges that require urgent attention. The lack of transparency, accountability, and participation </w:t>
      </w:r>
      <w:r w:rsidR="00150C9C" w:rsidRPr="00C408D4">
        <w:rPr>
          <w:rFonts w:ascii="Times New Roman" w:hAnsi="Times New Roman" w:cs="Times New Roman"/>
          <w:sz w:val="24"/>
          <w:szCs w:val="24"/>
        </w:rPr>
        <w:t>has</w:t>
      </w:r>
      <w:r w:rsidRPr="00C408D4">
        <w:rPr>
          <w:rFonts w:ascii="Times New Roman" w:hAnsi="Times New Roman" w:cs="Times New Roman"/>
          <w:sz w:val="24"/>
          <w:szCs w:val="24"/>
        </w:rPr>
        <w:t xml:space="preserve"> led to a process </w:t>
      </w:r>
      <w:r w:rsidR="00032B9C" w:rsidRPr="00C408D4">
        <w:rPr>
          <w:rFonts w:ascii="Times New Roman" w:hAnsi="Times New Roman" w:cs="Times New Roman"/>
          <w:sz w:val="24"/>
          <w:szCs w:val="24"/>
        </w:rPr>
        <w:t xml:space="preserve">heavily skewed towards a select </w:t>
      </w:r>
      <w:r w:rsidR="006C1EF9" w:rsidRPr="00C408D4">
        <w:rPr>
          <w:rFonts w:ascii="Times New Roman" w:hAnsi="Times New Roman" w:cs="Times New Roman"/>
          <w:sz w:val="24"/>
          <w:szCs w:val="24"/>
        </w:rPr>
        <w:t>few</w:t>
      </w:r>
      <w:r w:rsidR="00756719" w:rsidRPr="00C408D4">
        <w:rPr>
          <w:rFonts w:ascii="Times New Roman" w:hAnsi="Times New Roman" w:cs="Times New Roman"/>
          <w:sz w:val="24"/>
          <w:szCs w:val="24"/>
        </w:rPr>
        <w:t xml:space="preserve"> </w:t>
      </w:r>
      <w:r w:rsidR="00756719" w:rsidRPr="00C408D4">
        <w:rPr>
          <w:rFonts w:ascii="Times New Roman" w:hAnsi="Times New Roman" w:cs="Times New Roman"/>
          <w:sz w:val="24"/>
          <w:szCs w:val="24"/>
          <w:highlight w:val="yellow"/>
        </w:rPr>
        <w:t>(Becker &amp; Blaas, 2022).</w:t>
      </w:r>
      <w:r w:rsidR="00FB0D9D">
        <w:rPr>
          <w:rFonts w:ascii="Times New Roman" w:hAnsi="Times New Roman" w:cs="Times New Roman"/>
          <w:sz w:val="24"/>
          <w:szCs w:val="24"/>
        </w:rPr>
        <w:t xml:space="preserve"> </w:t>
      </w:r>
      <w:r w:rsidR="00FB0D9D" w:rsidRPr="00C408D4">
        <w:rPr>
          <w:rFonts w:ascii="Times New Roman" w:hAnsi="Times New Roman" w:cs="Times New Roman"/>
          <w:sz w:val="24"/>
          <w:szCs w:val="24"/>
        </w:rPr>
        <w:t xml:space="preserve">Closed-door negotiations have further exacerbated this issue, leading to a process that is neither inclusive nor democratic. To address this, a significant shift is required towards a more open and participatory process where the voices of all stakeholders are heard and valued equally </w:t>
      </w:r>
      <w:r w:rsidR="00FB0D9D" w:rsidRPr="00C408D4">
        <w:rPr>
          <w:rFonts w:ascii="Times New Roman" w:hAnsi="Times New Roman" w:cs="Times New Roman"/>
          <w:sz w:val="24"/>
          <w:szCs w:val="24"/>
          <w:highlight w:val="yellow"/>
        </w:rPr>
        <w:t>(Manning, 2020).</w:t>
      </w:r>
    </w:p>
    <w:p w14:paraId="73D540B4" w14:textId="60179024" w:rsidR="000D6CF6" w:rsidRPr="00B80336" w:rsidRDefault="00AF7F22" w:rsidP="00B80336">
      <w:pPr>
        <w:pStyle w:val="Heading2"/>
        <w:rPr>
          <w:color w:val="0070C0"/>
        </w:rPr>
      </w:pPr>
      <w:bookmarkStart w:id="12" w:name="_Toc163889315"/>
      <w:r w:rsidRPr="00B80336">
        <w:rPr>
          <w:color w:val="0070C0"/>
        </w:rPr>
        <w:t>3.2 Corporate Social Responsibility (CSR) Alignment</w:t>
      </w:r>
      <w:bookmarkEnd w:id="12"/>
      <w:r w:rsidRPr="00B80336">
        <w:rPr>
          <w:color w:val="0070C0"/>
        </w:rPr>
        <w:t xml:space="preserve"> </w:t>
      </w:r>
    </w:p>
    <w:p w14:paraId="26053231" w14:textId="029F4EA4" w:rsidR="004501BF" w:rsidRPr="004501BF" w:rsidRDefault="004501BF" w:rsidP="004501BF">
      <w:pPr>
        <w:spacing w:line="480" w:lineRule="auto"/>
        <w:jc w:val="both"/>
        <w:rPr>
          <w:rFonts w:ascii="Times New Roman" w:hAnsi="Times New Roman" w:cs="Times New Roman"/>
          <w:sz w:val="24"/>
          <w:szCs w:val="24"/>
          <w:shd w:val="clear" w:color="auto" w:fill="FFFFFF"/>
        </w:rPr>
      </w:pPr>
      <w:r w:rsidRPr="004501BF">
        <w:rPr>
          <w:rFonts w:ascii="Times New Roman" w:hAnsi="Times New Roman" w:cs="Times New Roman"/>
          <w:sz w:val="24"/>
          <w:szCs w:val="24"/>
          <w:shd w:val="clear" w:color="auto" w:fill="FFFFFF"/>
        </w:rPr>
        <w:t xml:space="preserve">Corporate Social Responsibility (CSR) has emerged as a fundamental aspect of numerous businesses' strategies, shaping their methods of engaging stakeholders within global trade agreements </w:t>
      </w:r>
      <w:r w:rsidRPr="004501BF">
        <w:rPr>
          <w:rFonts w:ascii="Times New Roman" w:hAnsi="Times New Roman" w:cs="Times New Roman"/>
          <w:sz w:val="24"/>
          <w:szCs w:val="24"/>
          <w:highlight w:val="yellow"/>
          <w:shd w:val="clear" w:color="auto" w:fill="FFFFFF"/>
        </w:rPr>
        <w:t>(Crane &amp; Matten, 2017)</w:t>
      </w:r>
      <w:r w:rsidRPr="004501BF">
        <w:rPr>
          <w:rFonts w:ascii="Times New Roman" w:hAnsi="Times New Roman" w:cs="Times New Roman"/>
          <w:sz w:val="24"/>
          <w:szCs w:val="24"/>
          <w:shd w:val="clear" w:color="auto" w:fill="FFFFFF"/>
        </w:rPr>
        <w:t xml:space="preserve">. These companies are expected to adhere to ethical standards, uphold human rights, and address environmental concerns across their supply chains. Nonetheless, </w:t>
      </w:r>
      <w:r w:rsidR="00570BAC">
        <w:rPr>
          <w:rFonts w:ascii="Times New Roman" w:hAnsi="Times New Roman" w:cs="Times New Roman"/>
          <w:sz w:val="24"/>
          <w:szCs w:val="24"/>
          <w:shd w:val="clear" w:color="auto" w:fill="FFFFFF"/>
        </w:rPr>
        <w:t>harmonising</w:t>
      </w:r>
      <w:r w:rsidRPr="004501BF">
        <w:rPr>
          <w:rFonts w:ascii="Times New Roman" w:hAnsi="Times New Roman" w:cs="Times New Roman"/>
          <w:sz w:val="24"/>
          <w:szCs w:val="24"/>
          <w:shd w:val="clear" w:color="auto" w:fill="FFFFFF"/>
        </w:rPr>
        <w:t xml:space="preserve"> CSR </w:t>
      </w:r>
      <w:r>
        <w:rPr>
          <w:rFonts w:ascii="Times New Roman" w:hAnsi="Times New Roman" w:cs="Times New Roman"/>
          <w:sz w:val="24"/>
          <w:szCs w:val="24"/>
          <w:shd w:val="clear" w:color="auto" w:fill="FFFFFF"/>
        </w:rPr>
        <w:t>endeavours</w:t>
      </w:r>
      <w:r w:rsidRPr="004501BF">
        <w:rPr>
          <w:rFonts w:ascii="Times New Roman" w:hAnsi="Times New Roman" w:cs="Times New Roman"/>
          <w:sz w:val="24"/>
          <w:szCs w:val="24"/>
          <w:shd w:val="clear" w:color="auto" w:fill="FFFFFF"/>
        </w:rPr>
        <w:t xml:space="preserve"> with trade agreements presents intricate </w:t>
      </w:r>
      <w:r w:rsidRPr="004501BF">
        <w:rPr>
          <w:rFonts w:ascii="Times New Roman" w:hAnsi="Times New Roman" w:cs="Times New Roman"/>
          <w:sz w:val="24"/>
          <w:szCs w:val="24"/>
          <w:shd w:val="clear" w:color="auto" w:fill="FFFFFF"/>
        </w:rPr>
        <w:lastRenderedPageBreak/>
        <w:t xml:space="preserve">challenges, often reflecting conflicts between profit-driven goals and socially responsible actions </w:t>
      </w:r>
      <w:r w:rsidRPr="004501BF">
        <w:rPr>
          <w:rFonts w:ascii="Times New Roman" w:hAnsi="Times New Roman" w:cs="Times New Roman"/>
          <w:sz w:val="24"/>
          <w:szCs w:val="24"/>
          <w:highlight w:val="yellow"/>
          <w:shd w:val="clear" w:color="auto" w:fill="FFFFFF"/>
        </w:rPr>
        <w:t>(Baumann-Pauly &amp; Nolan, 2016).</w:t>
      </w:r>
    </w:p>
    <w:p w14:paraId="5443F5A3" w14:textId="66109A88" w:rsidR="00B46B3A" w:rsidRPr="00415B2F" w:rsidRDefault="00B46B3A" w:rsidP="00415B2F">
      <w:pPr>
        <w:pStyle w:val="Heading2"/>
        <w:rPr>
          <w:color w:val="0070C0"/>
        </w:rPr>
      </w:pPr>
      <w:bookmarkStart w:id="13" w:name="_Toc163889316"/>
      <w:r w:rsidRPr="00415B2F">
        <w:rPr>
          <w:color w:val="0070C0"/>
        </w:rPr>
        <w:t>3.3 Regulatory Harmonisation Challenges</w:t>
      </w:r>
      <w:bookmarkEnd w:id="13"/>
    </w:p>
    <w:p w14:paraId="4E334B80" w14:textId="14EAE76B" w:rsidR="00B46B3A" w:rsidRPr="00D1541B" w:rsidRDefault="00B46B3A" w:rsidP="004501BF">
      <w:pPr>
        <w:spacing w:line="480" w:lineRule="auto"/>
        <w:jc w:val="both"/>
        <w:rPr>
          <w:rFonts w:ascii="Times New Roman" w:hAnsi="Times New Roman" w:cs="Times New Roman"/>
          <w:sz w:val="24"/>
          <w:szCs w:val="24"/>
        </w:rPr>
      </w:pPr>
      <w:r w:rsidRPr="008E33F1">
        <w:rPr>
          <w:rFonts w:ascii="Times New Roman" w:hAnsi="Times New Roman" w:cs="Times New Roman"/>
          <w:sz w:val="24"/>
          <w:szCs w:val="24"/>
        </w:rPr>
        <w:t xml:space="preserve">In today's globalised world, international trade has become an integral part of the economy. However, the complex regulatory landscape of different countries and regions can pose significant challenges for businesses, particularly multinational corporations (MNCs). Global trade agreements have proposed regulatory harmonisation and standardisation to address this issue. The primary objective of this approach is to simplify the international trade landscape by establishing common rules and standards across borders </w:t>
      </w:r>
      <w:r w:rsidR="00D1541B" w:rsidRPr="00D1541B">
        <w:rPr>
          <w:rFonts w:ascii="Times New Roman" w:hAnsi="Times New Roman" w:cs="Times New Roman"/>
          <w:sz w:val="24"/>
          <w:szCs w:val="24"/>
          <w:highlight w:val="yellow"/>
        </w:rPr>
        <w:t>(OECD, 2013)</w:t>
      </w:r>
      <w:r w:rsidR="00D1541B">
        <w:rPr>
          <w:rFonts w:ascii="Times New Roman" w:hAnsi="Times New Roman" w:cs="Times New Roman"/>
          <w:sz w:val="24"/>
          <w:szCs w:val="24"/>
        </w:rPr>
        <w:t>.</w:t>
      </w:r>
    </w:p>
    <w:p w14:paraId="3446C3AF" w14:textId="189B0600" w:rsidR="00036F96" w:rsidRDefault="00D00D18" w:rsidP="00C21C14">
      <w:pPr>
        <w:spacing w:line="480" w:lineRule="auto"/>
        <w:jc w:val="both"/>
        <w:rPr>
          <w:rFonts w:ascii="Times New Roman" w:hAnsi="Times New Roman" w:cs="Times New Roman"/>
          <w:sz w:val="24"/>
          <w:szCs w:val="24"/>
        </w:rPr>
      </w:pPr>
      <w:r w:rsidRPr="00897B8B">
        <w:rPr>
          <w:rFonts w:ascii="Times New Roman" w:hAnsi="Times New Roman" w:cs="Times New Roman"/>
          <w:sz w:val="24"/>
          <w:szCs w:val="24"/>
        </w:rPr>
        <w:t xml:space="preserve">This approach provides numerous advantages. For example, it </w:t>
      </w:r>
      <w:r w:rsidR="007527ED" w:rsidRPr="00897B8B">
        <w:rPr>
          <w:rFonts w:ascii="Times New Roman" w:hAnsi="Times New Roman" w:cs="Times New Roman"/>
          <w:sz w:val="24"/>
          <w:szCs w:val="24"/>
        </w:rPr>
        <w:t>minimises</w:t>
      </w:r>
      <w:r w:rsidRPr="00897B8B">
        <w:rPr>
          <w:rFonts w:ascii="Times New Roman" w:hAnsi="Times New Roman" w:cs="Times New Roman"/>
          <w:sz w:val="24"/>
          <w:szCs w:val="24"/>
        </w:rPr>
        <w:t xml:space="preserve"> the challenge of navigating various regulatory systems, decreases </w:t>
      </w:r>
      <w:r w:rsidR="007527ED" w:rsidRPr="00897B8B">
        <w:rPr>
          <w:rFonts w:ascii="Times New Roman" w:hAnsi="Times New Roman" w:cs="Times New Roman"/>
          <w:sz w:val="24"/>
          <w:szCs w:val="24"/>
        </w:rPr>
        <w:t>compliance costs</w:t>
      </w:r>
      <w:r w:rsidRPr="00897B8B">
        <w:rPr>
          <w:rFonts w:ascii="Times New Roman" w:hAnsi="Times New Roman" w:cs="Times New Roman"/>
          <w:sz w:val="24"/>
          <w:szCs w:val="24"/>
        </w:rPr>
        <w:t xml:space="preserve">, and enhances accessibility to new markets. This is particularly significant for multinational corporations </w:t>
      </w:r>
      <w:r w:rsidR="007527ED" w:rsidRPr="00897B8B">
        <w:rPr>
          <w:rFonts w:ascii="Times New Roman" w:hAnsi="Times New Roman" w:cs="Times New Roman"/>
          <w:sz w:val="24"/>
          <w:szCs w:val="24"/>
        </w:rPr>
        <w:t xml:space="preserve">with a presence in multiple countries and regions, as it provides them </w:t>
      </w:r>
      <w:r w:rsidR="002D0ED6">
        <w:rPr>
          <w:rFonts w:ascii="Times New Roman" w:hAnsi="Times New Roman" w:cs="Times New Roman"/>
          <w:sz w:val="24"/>
          <w:szCs w:val="24"/>
        </w:rPr>
        <w:t xml:space="preserve">with </w:t>
      </w:r>
      <w:r w:rsidRPr="00897B8B">
        <w:rPr>
          <w:rFonts w:ascii="Times New Roman" w:hAnsi="Times New Roman" w:cs="Times New Roman"/>
          <w:sz w:val="24"/>
          <w:szCs w:val="24"/>
        </w:rPr>
        <w:t>an equal opportunity to compete</w:t>
      </w:r>
      <w:r w:rsidR="00B27C80" w:rsidRPr="00897B8B">
        <w:rPr>
          <w:rFonts w:ascii="Times New Roman" w:hAnsi="Times New Roman" w:cs="Times New Roman"/>
          <w:sz w:val="24"/>
          <w:szCs w:val="24"/>
        </w:rPr>
        <w:t xml:space="preserve"> </w:t>
      </w:r>
      <w:r w:rsidR="00B27C80" w:rsidRPr="00897B8B">
        <w:rPr>
          <w:rFonts w:ascii="Times New Roman" w:hAnsi="Times New Roman" w:cs="Times New Roman"/>
          <w:sz w:val="24"/>
          <w:szCs w:val="24"/>
          <w:highlight w:val="yellow"/>
        </w:rPr>
        <w:t>(Braithwaite &amp; Drahos, 20</w:t>
      </w:r>
      <w:r w:rsidR="00AE3D76">
        <w:rPr>
          <w:rFonts w:ascii="Times New Roman" w:hAnsi="Times New Roman" w:cs="Times New Roman"/>
          <w:sz w:val="24"/>
          <w:szCs w:val="24"/>
          <w:highlight w:val="yellow"/>
        </w:rPr>
        <w:t>18</w:t>
      </w:r>
      <w:r w:rsidR="00B27C80" w:rsidRPr="00897B8B">
        <w:rPr>
          <w:rFonts w:ascii="Times New Roman" w:hAnsi="Times New Roman" w:cs="Times New Roman"/>
          <w:sz w:val="24"/>
          <w:szCs w:val="24"/>
          <w:highlight w:val="yellow"/>
        </w:rPr>
        <w:t>)</w:t>
      </w:r>
      <w:r w:rsidR="00B27C80" w:rsidRPr="00897B8B">
        <w:rPr>
          <w:rFonts w:ascii="Times New Roman" w:hAnsi="Times New Roman" w:cs="Times New Roman"/>
          <w:sz w:val="24"/>
          <w:szCs w:val="24"/>
        </w:rPr>
        <w:t>.</w:t>
      </w:r>
      <w:r w:rsidR="00897B8B" w:rsidRPr="00897B8B">
        <w:rPr>
          <w:rFonts w:ascii="Times New Roman" w:hAnsi="Times New Roman" w:cs="Times New Roman"/>
          <w:sz w:val="24"/>
          <w:szCs w:val="24"/>
        </w:rPr>
        <w:t xml:space="preserve"> However, the influence of these measures on stakeholder interaction is intricate and diverse. On the one hand, it offers multinational corporations opportunities to connect with stakeholders more consistently and transparently. </w:t>
      </w:r>
      <w:r w:rsidR="00E77E3B" w:rsidRPr="00E77E3B">
        <w:rPr>
          <w:rFonts w:ascii="Times New Roman" w:hAnsi="Times New Roman" w:cs="Times New Roman"/>
          <w:sz w:val="24"/>
          <w:szCs w:val="24"/>
        </w:rPr>
        <w:t xml:space="preserve">However, it is </w:t>
      </w:r>
      <w:r w:rsidR="00D300AB">
        <w:rPr>
          <w:rFonts w:ascii="Times New Roman" w:hAnsi="Times New Roman" w:cs="Times New Roman"/>
          <w:sz w:val="24"/>
          <w:szCs w:val="24"/>
        </w:rPr>
        <w:t>essential</w:t>
      </w:r>
      <w:r w:rsidR="00E77E3B" w:rsidRPr="00E77E3B">
        <w:rPr>
          <w:rFonts w:ascii="Times New Roman" w:hAnsi="Times New Roman" w:cs="Times New Roman"/>
          <w:sz w:val="24"/>
          <w:szCs w:val="24"/>
        </w:rPr>
        <w:t xml:space="preserve"> to note that </w:t>
      </w:r>
      <w:r w:rsidR="007B7D10">
        <w:rPr>
          <w:rFonts w:ascii="Times New Roman" w:hAnsi="Times New Roman" w:cs="Times New Roman"/>
          <w:sz w:val="24"/>
          <w:szCs w:val="24"/>
        </w:rPr>
        <w:t xml:space="preserve">the </w:t>
      </w:r>
      <w:r w:rsidR="00E77E3B" w:rsidRPr="00E77E3B">
        <w:rPr>
          <w:rFonts w:ascii="Times New Roman" w:hAnsi="Times New Roman" w:cs="Times New Roman"/>
          <w:sz w:val="24"/>
          <w:szCs w:val="24"/>
        </w:rPr>
        <w:t xml:space="preserve">standardisation of regulatory standards may </w:t>
      </w:r>
      <w:r w:rsidR="001322AB">
        <w:rPr>
          <w:rFonts w:ascii="Times New Roman" w:hAnsi="Times New Roman" w:cs="Times New Roman"/>
          <w:sz w:val="24"/>
          <w:szCs w:val="24"/>
        </w:rPr>
        <w:t>only be suitable for some</w:t>
      </w:r>
      <w:r w:rsidR="00E77E3B" w:rsidRPr="00E77E3B">
        <w:rPr>
          <w:rFonts w:ascii="Times New Roman" w:hAnsi="Times New Roman" w:cs="Times New Roman"/>
          <w:sz w:val="24"/>
          <w:szCs w:val="24"/>
        </w:rPr>
        <w:t xml:space="preserve"> markets and stakeholders </w:t>
      </w:r>
      <w:r w:rsidR="00E77E3B" w:rsidRPr="00B24B1E">
        <w:rPr>
          <w:rFonts w:ascii="Times New Roman" w:hAnsi="Times New Roman" w:cs="Times New Roman"/>
          <w:sz w:val="24"/>
          <w:szCs w:val="24"/>
          <w:highlight w:val="yellow"/>
        </w:rPr>
        <w:t>(Freeman, 2018).</w:t>
      </w:r>
      <w:r w:rsidR="00B24B1E">
        <w:rPr>
          <w:rFonts w:ascii="Times New Roman" w:hAnsi="Times New Roman" w:cs="Times New Roman"/>
          <w:sz w:val="24"/>
          <w:szCs w:val="24"/>
          <w:highlight w:val="yellow"/>
        </w:rPr>
        <w:t xml:space="preserve"> </w:t>
      </w:r>
      <w:r w:rsidR="00897B8B" w:rsidRPr="00897B8B">
        <w:rPr>
          <w:rFonts w:ascii="Times New Roman" w:hAnsi="Times New Roman" w:cs="Times New Roman"/>
          <w:sz w:val="24"/>
          <w:szCs w:val="24"/>
        </w:rPr>
        <w:t xml:space="preserve">This can lead to unintended effects, such as decreased consumer protection or environmental degradation. Therefore, while </w:t>
      </w:r>
      <w:r w:rsidR="00DB3352">
        <w:rPr>
          <w:rFonts w:ascii="Times New Roman" w:hAnsi="Times New Roman" w:cs="Times New Roman"/>
          <w:sz w:val="24"/>
          <w:szCs w:val="24"/>
        </w:rPr>
        <w:t>regulatory harmonisation</w:t>
      </w:r>
      <w:r w:rsidR="00897B8B" w:rsidRPr="00897B8B">
        <w:rPr>
          <w:rFonts w:ascii="Times New Roman" w:hAnsi="Times New Roman" w:cs="Times New Roman"/>
          <w:sz w:val="24"/>
          <w:szCs w:val="24"/>
        </w:rPr>
        <w:t xml:space="preserve"> and standardisation may benefit businesses, the impact on all stakeholders must be considered</w:t>
      </w:r>
      <w:r w:rsidR="00EA3DCE">
        <w:rPr>
          <w:rFonts w:ascii="Times New Roman" w:hAnsi="Times New Roman" w:cs="Times New Roman"/>
          <w:sz w:val="24"/>
          <w:szCs w:val="24"/>
        </w:rPr>
        <w:t xml:space="preserve"> </w:t>
      </w:r>
      <w:r w:rsidR="00DB3352" w:rsidRPr="00DB3352">
        <w:rPr>
          <w:rFonts w:ascii="Times New Roman" w:hAnsi="Times New Roman" w:cs="Times New Roman"/>
          <w:sz w:val="24"/>
          <w:szCs w:val="24"/>
          <w:highlight w:val="yellow"/>
        </w:rPr>
        <w:t>(Baugh, 2015).</w:t>
      </w:r>
      <w:r w:rsidR="00897B8B" w:rsidRPr="00897B8B">
        <w:rPr>
          <w:rFonts w:ascii="Times New Roman" w:hAnsi="Times New Roman" w:cs="Times New Roman"/>
          <w:sz w:val="24"/>
          <w:szCs w:val="24"/>
        </w:rPr>
        <w:t xml:space="preserve"> This requires </w:t>
      </w:r>
      <w:r w:rsidR="00232517">
        <w:rPr>
          <w:rFonts w:ascii="Times New Roman" w:hAnsi="Times New Roman" w:cs="Times New Roman"/>
          <w:sz w:val="24"/>
          <w:szCs w:val="24"/>
        </w:rPr>
        <w:t>carefully balancing</w:t>
      </w:r>
      <w:r w:rsidR="00897B8B" w:rsidRPr="00897B8B">
        <w:rPr>
          <w:rFonts w:ascii="Times New Roman" w:hAnsi="Times New Roman" w:cs="Times New Roman"/>
          <w:sz w:val="24"/>
          <w:szCs w:val="24"/>
        </w:rPr>
        <w:t xml:space="preserve"> competing interests and a commitment to transparency and inclusivity in </w:t>
      </w:r>
      <w:r w:rsidR="00936E43">
        <w:rPr>
          <w:rFonts w:ascii="Times New Roman" w:hAnsi="Times New Roman" w:cs="Times New Roman"/>
          <w:sz w:val="24"/>
          <w:szCs w:val="24"/>
        </w:rPr>
        <w:t xml:space="preserve">policymaking </w:t>
      </w:r>
      <w:r w:rsidR="006D5960" w:rsidRPr="006D5960">
        <w:rPr>
          <w:rFonts w:ascii="Times New Roman" w:hAnsi="Times New Roman" w:cs="Times New Roman"/>
          <w:sz w:val="24"/>
          <w:szCs w:val="24"/>
          <w:highlight w:val="yellow"/>
        </w:rPr>
        <w:t>(Vogel, 2009).</w:t>
      </w:r>
      <w:r w:rsidR="0075779B">
        <w:rPr>
          <w:rFonts w:ascii="Times New Roman" w:hAnsi="Times New Roman" w:cs="Times New Roman"/>
          <w:sz w:val="24"/>
          <w:szCs w:val="24"/>
        </w:rPr>
        <w:t xml:space="preserve"> </w:t>
      </w:r>
      <w:r w:rsidR="00053E5D" w:rsidRPr="00053E5D">
        <w:rPr>
          <w:rFonts w:ascii="Times New Roman" w:hAnsi="Times New Roman" w:cs="Times New Roman"/>
          <w:sz w:val="24"/>
          <w:szCs w:val="24"/>
        </w:rPr>
        <w:t xml:space="preserve">According to Vogel (2009), the </w:t>
      </w:r>
      <w:r w:rsidR="0021680A">
        <w:rPr>
          <w:rFonts w:ascii="Times New Roman" w:hAnsi="Times New Roman" w:cs="Times New Roman"/>
          <w:sz w:val="24"/>
          <w:szCs w:val="24"/>
        </w:rPr>
        <w:t>regulatory harmonisation process</w:t>
      </w:r>
      <w:r w:rsidR="00053E5D" w:rsidRPr="00053E5D">
        <w:rPr>
          <w:rFonts w:ascii="Times New Roman" w:hAnsi="Times New Roman" w:cs="Times New Roman"/>
          <w:sz w:val="24"/>
          <w:szCs w:val="24"/>
        </w:rPr>
        <w:t xml:space="preserve"> may lead to </w:t>
      </w:r>
      <w:r w:rsidR="0068631B">
        <w:rPr>
          <w:rFonts w:ascii="Times New Roman" w:hAnsi="Times New Roman" w:cs="Times New Roman"/>
          <w:sz w:val="24"/>
          <w:szCs w:val="24"/>
        </w:rPr>
        <w:t xml:space="preserve">countries' reluctance </w:t>
      </w:r>
      <w:r w:rsidR="00053E5D" w:rsidRPr="00053E5D">
        <w:rPr>
          <w:rFonts w:ascii="Times New Roman" w:hAnsi="Times New Roman" w:cs="Times New Roman"/>
          <w:sz w:val="24"/>
          <w:szCs w:val="24"/>
        </w:rPr>
        <w:t>to enact new regulations for fear of not being aligned with global norms, resulting in a 'regulatory chill'.</w:t>
      </w:r>
    </w:p>
    <w:p w14:paraId="03E096B6" w14:textId="2F6E4481" w:rsidR="005B523A" w:rsidRPr="0058565C" w:rsidRDefault="005B523A" w:rsidP="00927A6B">
      <w:pPr>
        <w:pStyle w:val="Heading2"/>
        <w:rPr>
          <w:color w:val="0070C0"/>
          <w:sz w:val="28"/>
          <w:szCs w:val="28"/>
        </w:rPr>
      </w:pPr>
      <w:bookmarkStart w:id="14" w:name="_Toc163889317"/>
      <w:r w:rsidRPr="0058565C">
        <w:rPr>
          <w:color w:val="0070C0"/>
          <w:sz w:val="28"/>
          <w:szCs w:val="28"/>
        </w:rPr>
        <w:lastRenderedPageBreak/>
        <w:t xml:space="preserve">3.3.1 </w:t>
      </w:r>
      <w:r w:rsidRPr="0058565C">
        <w:rPr>
          <w:rStyle w:val="Strong"/>
          <w:b w:val="0"/>
          <w:bCs w:val="0"/>
          <w:color w:val="0070C0"/>
          <w:sz w:val="28"/>
          <w:szCs w:val="28"/>
        </w:rPr>
        <w:t>Labour Rights</w:t>
      </w:r>
      <w:bookmarkEnd w:id="14"/>
    </w:p>
    <w:p w14:paraId="5A0267DB" w14:textId="0D4A4A1E" w:rsidR="005B523A" w:rsidRPr="00A564DB" w:rsidRDefault="005B523A" w:rsidP="0058565C">
      <w:pPr>
        <w:spacing w:line="480" w:lineRule="auto"/>
        <w:jc w:val="both"/>
        <w:rPr>
          <w:rFonts w:ascii="Times New Roman" w:hAnsi="Times New Roman" w:cs="Times New Roman"/>
          <w:sz w:val="24"/>
          <w:szCs w:val="24"/>
        </w:rPr>
      </w:pPr>
      <w:r w:rsidRPr="005B523A">
        <w:rPr>
          <w:rFonts w:ascii="Times New Roman" w:hAnsi="Times New Roman" w:cs="Times New Roman"/>
          <w:sz w:val="24"/>
          <w:szCs w:val="24"/>
        </w:rPr>
        <w:t xml:space="preserve">The </w:t>
      </w:r>
      <w:r w:rsidR="004A5E60">
        <w:rPr>
          <w:rFonts w:ascii="Times New Roman" w:hAnsi="Times New Roman" w:cs="Times New Roman"/>
          <w:sz w:val="24"/>
          <w:szCs w:val="24"/>
        </w:rPr>
        <w:t>harmonisation</w:t>
      </w:r>
      <w:r w:rsidRPr="005B523A">
        <w:rPr>
          <w:rFonts w:ascii="Times New Roman" w:hAnsi="Times New Roman" w:cs="Times New Roman"/>
          <w:sz w:val="24"/>
          <w:szCs w:val="24"/>
        </w:rPr>
        <w:t xml:space="preserve"> of </w:t>
      </w:r>
      <w:r w:rsidR="004A5E60">
        <w:rPr>
          <w:rFonts w:ascii="Times New Roman" w:hAnsi="Times New Roman" w:cs="Times New Roman"/>
          <w:sz w:val="24"/>
          <w:szCs w:val="24"/>
        </w:rPr>
        <w:t>labour</w:t>
      </w:r>
      <w:r w:rsidRPr="005B523A">
        <w:rPr>
          <w:rFonts w:ascii="Times New Roman" w:hAnsi="Times New Roman" w:cs="Times New Roman"/>
          <w:sz w:val="24"/>
          <w:szCs w:val="24"/>
        </w:rPr>
        <w:t xml:space="preserve"> standards is a contentious issue. </w:t>
      </w:r>
      <w:r w:rsidR="00A50A64">
        <w:rPr>
          <w:rFonts w:ascii="Times New Roman" w:hAnsi="Times New Roman" w:cs="Times New Roman"/>
          <w:sz w:val="24"/>
          <w:szCs w:val="24"/>
        </w:rPr>
        <w:t xml:space="preserve">On the one hand, it </w:t>
      </w:r>
      <w:r w:rsidR="00C336CA">
        <w:rPr>
          <w:rFonts w:ascii="Times New Roman" w:hAnsi="Times New Roman" w:cs="Times New Roman"/>
          <w:sz w:val="24"/>
          <w:szCs w:val="24"/>
        </w:rPr>
        <w:t xml:space="preserve">can </w:t>
      </w:r>
      <w:r w:rsidR="0021680A">
        <w:rPr>
          <w:rFonts w:ascii="Times New Roman" w:hAnsi="Times New Roman" w:cs="Times New Roman"/>
          <w:sz w:val="24"/>
          <w:szCs w:val="24"/>
        </w:rPr>
        <w:t xml:space="preserve">raise labour standards in countries with weaker labour laws, promoting better working conditions and worker protections </w:t>
      </w:r>
      <w:r w:rsidR="0021680A" w:rsidRPr="0021680A">
        <w:rPr>
          <w:rFonts w:ascii="Times New Roman" w:hAnsi="Times New Roman" w:cs="Times New Roman"/>
          <w:sz w:val="24"/>
          <w:szCs w:val="24"/>
          <w:highlight w:val="yellow"/>
        </w:rPr>
        <w:t>(Shbikat, 2021)</w:t>
      </w:r>
      <w:r w:rsidR="0021680A">
        <w:rPr>
          <w:rFonts w:ascii="Times New Roman" w:hAnsi="Times New Roman" w:cs="Times New Roman"/>
          <w:sz w:val="24"/>
          <w:szCs w:val="24"/>
          <w:highlight w:val="yellow"/>
        </w:rPr>
        <w:t>.</w:t>
      </w:r>
      <w:r w:rsidRPr="005B523A">
        <w:rPr>
          <w:rFonts w:ascii="Times New Roman" w:hAnsi="Times New Roman" w:cs="Times New Roman"/>
          <w:sz w:val="24"/>
          <w:szCs w:val="24"/>
        </w:rPr>
        <w:t xml:space="preserve"> However, the drive for regulatory </w:t>
      </w:r>
      <w:r w:rsidR="004A5E60">
        <w:rPr>
          <w:rFonts w:ascii="Times New Roman" w:hAnsi="Times New Roman" w:cs="Times New Roman"/>
          <w:sz w:val="24"/>
          <w:szCs w:val="24"/>
        </w:rPr>
        <w:t>harmonisation</w:t>
      </w:r>
      <w:r w:rsidRPr="005B523A">
        <w:rPr>
          <w:rFonts w:ascii="Times New Roman" w:hAnsi="Times New Roman" w:cs="Times New Roman"/>
          <w:sz w:val="24"/>
          <w:szCs w:val="24"/>
        </w:rPr>
        <w:t xml:space="preserve"> can also lead to a "race to the bottom," where countries might lower their </w:t>
      </w:r>
      <w:r w:rsidR="004A5E60">
        <w:rPr>
          <w:rFonts w:ascii="Times New Roman" w:hAnsi="Times New Roman" w:cs="Times New Roman"/>
          <w:sz w:val="24"/>
          <w:szCs w:val="24"/>
        </w:rPr>
        <w:t>labour</w:t>
      </w:r>
      <w:r w:rsidRPr="005B523A">
        <w:rPr>
          <w:rFonts w:ascii="Times New Roman" w:hAnsi="Times New Roman" w:cs="Times New Roman"/>
          <w:sz w:val="24"/>
          <w:szCs w:val="24"/>
        </w:rPr>
        <w:t xml:space="preserve"> standards to attract foreign investment. This can undermine efforts to improve </w:t>
      </w:r>
      <w:r w:rsidR="004A5E60">
        <w:rPr>
          <w:rFonts w:ascii="Times New Roman" w:hAnsi="Times New Roman" w:cs="Times New Roman"/>
          <w:sz w:val="24"/>
          <w:szCs w:val="24"/>
        </w:rPr>
        <w:t>labour</w:t>
      </w:r>
      <w:r w:rsidRPr="005B523A">
        <w:rPr>
          <w:rFonts w:ascii="Times New Roman" w:hAnsi="Times New Roman" w:cs="Times New Roman"/>
          <w:sz w:val="24"/>
          <w:szCs w:val="24"/>
        </w:rPr>
        <w:t xml:space="preserve"> rights globally and poses a challenge for engaging with stakeholders focused on worker rights and protections</w:t>
      </w:r>
      <w:r w:rsidR="00D13839">
        <w:rPr>
          <w:rFonts w:ascii="Times New Roman" w:hAnsi="Times New Roman" w:cs="Times New Roman"/>
          <w:sz w:val="24"/>
          <w:szCs w:val="24"/>
        </w:rPr>
        <w:t xml:space="preserve"> </w:t>
      </w:r>
      <w:r w:rsidR="00A564DB" w:rsidRPr="00A564DB">
        <w:rPr>
          <w:rFonts w:ascii="Times New Roman" w:hAnsi="Times New Roman" w:cs="Times New Roman"/>
          <w:sz w:val="24"/>
          <w:szCs w:val="24"/>
          <w:highlight w:val="yellow"/>
        </w:rPr>
        <w:t>(Andenaes &amp; Andersen, 2011)</w:t>
      </w:r>
      <w:r w:rsidR="00713DD3">
        <w:rPr>
          <w:rFonts w:ascii="Times New Roman" w:hAnsi="Times New Roman" w:cs="Times New Roman"/>
          <w:sz w:val="24"/>
          <w:szCs w:val="24"/>
        </w:rPr>
        <w:t>.</w:t>
      </w:r>
    </w:p>
    <w:p w14:paraId="29572F0D" w14:textId="5C948A4B" w:rsidR="005B523A" w:rsidRPr="0058565C" w:rsidRDefault="004A5E60" w:rsidP="009321BE">
      <w:pPr>
        <w:pStyle w:val="Heading2"/>
        <w:rPr>
          <w:color w:val="0070C0"/>
          <w:sz w:val="28"/>
          <w:szCs w:val="28"/>
        </w:rPr>
      </w:pPr>
      <w:bookmarkStart w:id="15" w:name="_Toc163889318"/>
      <w:r w:rsidRPr="0058565C">
        <w:rPr>
          <w:color w:val="0070C0"/>
          <w:sz w:val="28"/>
          <w:szCs w:val="28"/>
        </w:rPr>
        <w:t>3.1.2</w:t>
      </w:r>
      <w:r w:rsidR="005B523A" w:rsidRPr="0058565C">
        <w:rPr>
          <w:color w:val="0070C0"/>
          <w:sz w:val="28"/>
          <w:szCs w:val="28"/>
        </w:rPr>
        <w:t xml:space="preserve"> </w:t>
      </w:r>
      <w:r w:rsidR="005B523A" w:rsidRPr="0058565C">
        <w:rPr>
          <w:rStyle w:val="Strong"/>
          <w:b w:val="0"/>
          <w:bCs w:val="0"/>
          <w:color w:val="0070C0"/>
          <w:sz w:val="28"/>
          <w:szCs w:val="28"/>
        </w:rPr>
        <w:t>Consumer Safety</w:t>
      </w:r>
      <w:bookmarkEnd w:id="15"/>
    </w:p>
    <w:p w14:paraId="10B4CE2E" w14:textId="063135E2" w:rsidR="005B523A" w:rsidRPr="00303F43" w:rsidRDefault="005B523A" w:rsidP="00C21C14">
      <w:pPr>
        <w:spacing w:line="480" w:lineRule="auto"/>
        <w:jc w:val="both"/>
        <w:rPr>
          <w:rFonts w:ascii="Times New Roman" w:hAnsi="Times New Roman" w:cs="Times New Roman"/>
          <w:sz w:val="24"/>
          <w:szCs w:val="24"/>
        </w:rPr>
      </w:pPr>
      <w:r w:rsidRPr="005B523A">
        <w:rPr>
          <w:rFonts w:ascii="Times New Roman" w:hAnsi="Times New Roman" w:cs="Times New Roman"/>
          <w:sz w:val="24"/>
          <w:szCs w:val="24"/>
        </w:rPr>
        <w:t xml:space="preserve">Global trade agreements that </w:t>
      </w:r>
      <w:r w:rsidR="00A50A64">
        <w:rPr>
          <w:rFonts w:ascii="Times New Roman" w:hAnsi="Times New Roman" w:cs="Times New Roman"/>
          <w:sz w:val="24"/>
          <w:szCs w:val="24"/>
        </w:rPr>
        <w:t>standardise</w:t>
      </w:r>
      <w:r w:rsidRPr="005B523A">
        <w:rPr>
          <w:rFonts w:ascii="Times New Roman" w:hAnsi="Times New Roman" w:cs="Times New Roman"/>
          <w:sz w:val="24"/>
          <w:szCs w:val="24"/>
        </w:rPr>
        <w:t xml:space="preserve"> </w:t>
      </w:r>
      <w:r w:rsidR="00A50A64">
        <w:rPr>
          <w:rFonts w:ascii="Times New Roman" w:hAnsi="Times New Roman" w:cs="Times New Roman"/>
          <w:sz w:val="24"/>
          <w:szCs w:val="24"/>
        </w:rPr>
        <w:t xml:space="preserve">product safety and consumer protection regulations </w:t>
      </w:r>
      <w:r w:rsidRPr="005B523A">
        <w:rPr>
          <w:rFonts w:ascii="Times New Roman" w:hAnsi="Times New Roman" w:cs="Times New Roman"/>
          <w:sz w:val="24"/>
          <w:szCs w:val="24"/>
        </w:rPr>
        <w:t xml:space="preserve">can lead to higher standards and safer products. However, there is also a risk that </w:t>
      </w:r>
      <w:r w:rsidR="00A50A64">
        <w:rPr>
          <w:rFonts w:ascii="Times New Roman" w:hAnsi="Times New Roman" w:cs="Times New Roman"/>
          <w:sz w:val="24"/>
          <w:szCs w:val="24"/>
        </w:rPr>
        <w:t>harmonisation</w:t>
      </w:r>
      <w:r w:rsidRPr="005B523A">
        <w:rPr>
          <w:rFonts w:ascii="Times New Roman" w:hAnsi="Times New Roman" w:cs="Times New Roman"/>
          <w:sz w:val="24"/>
          <w:szCs w:val="24"/>
        </w:rPr>
        <w:t xml:space="preserve"> might result in </w:t>
      </w:r>
      <w:r w:rsidR="00A50A64">
        <w:rPr>
          <w:rFonts w:ascii="Times New Roman" w:hAnsi="Times New Roman" w:cs="Times New Roman"/>
          <w:sz w:val="24"/>
          <w:szCs w:val="24"/>
        </w:rPr>
        <w:t>adopting</w:t>
      </w:r>
      <w:r w:rsidRPr="005B523A">
        <w:rPr>
          <w:rFonts w:ascii="Times New Roman" w:hAnsi="Times New Roman" w:cs="Times New Roman"/>
          <w:sz w:val="24"/>
          <w:szCs w:val="24"/>
        </w:rPr>
        <w:t xml:space="preserve"> the lowest common denominator, potentially compromising consumer safety</w:t>
      </w:r>
      <w:r w:rsidR="000E5F01">
        <w:rPr>
          <w:rFonts w:ascii="Times New Roman" w:hAnsi="Times New Roman" w:cs="Times New Roman"/>
          <w:sz w:val="24"/>
          <w:szCs w:val="24"/>
        </w:rPr>
        <w:t xml:space="preserve"> </w:t>
      </w:r>
      <w:r w:rsidR="000E5F01" w:rsidRPr="000E5F01">
        <w:rPr>
          <w:rFonts w:ascii="Times New Roman" w:hAnsi="Times New Roman" w:cs="Times New Roman"/>
          <w:sz w:val="24"/>
          <w:szCs w:val="24"/>
          <w:highlight w:val="yellow"/>
        </w:rPr>
        <w:t>(Coglianese et al., 2011)</w:t>
      </w:r>
      <w:r w:rsidR="000E5F01">
        <w:rPr>
          <w:rFonts w:ascii="Times New Roman" w:hAnsi="Times New Roman" w:cs="Times New Roman"/>
          <w:sz w:val="24"/>
          <w:szCs w:val="24"/>
        </w:rPr>
        <w:t>.</w:t>
      </w:r>
      <w:r w:rsidRPr="005B523A">
        <w:rPr>
          <w:rFonts w:ascii="Times New Roman" w:hAnsi="Times New Roman" w:cs="Times New Roman"/>
          <w:sz w:val="24"/>
          <w:szCs w:val="24"/>
        </w:rPr>
        <w:t xml:space="preserve"> Stakeholders, including consumer advocacy groups, </w:t>
      </w:r>
      <w:r w:rsidR="00A50A64">
        <w:rPr>
          <w:rFonts w:ascii="Times New Roman" w:hAnsi="Times New Roman" w:cs="Times New Roman"/>
          <w:sz w:val="24"/>
          <w:szCs w:val="24"/>
        </w:rPr>
        <w:t>are crucial</w:t>
      </w:r>
      <w:r w:rsidRPr="005B523A">
        <w:rPr>
          <w:rFonts w:ascii="Times New Roman" w:hAnsi="Times New Roman" w:cs="Times New Roman"/>
          <w:sz w:val="24"/>
          <w:szCs w:val="24"/>
        </w:rPr>
        <w:t xml:space="preserve"> in ensuring that trade agreements do not dilute consumer protections</w:t>
      </w:r>
      <w:r w:rsidR="00303F43">
        <w:rPr>
          <w:rFonts w:ascii="Times New Roman" w:hAnsi="Times New Roman" w:cs="Times New Roman"/>
          <w:sz w:val="24"/>
          <w:szCs w:val="24"/>
        </w:rPr>
        <w:t>.</w:t>
      </w:r>
      <w:r w:rsidRPr="005B523A">
        <w:rPr>
          <w:rFonts w:ascii="Times New Roman" w:hAnsi="Times New Roman" w:cs="Times New Roman"/>
          <w:sz w:val="24"/>
          <w:szCs w:val="24"/>
        </w:rPr>
        <w:t xml:space="preserve"> Engaging with these stakeholders effectively requires transparent negotiation processes and the incorporation of robust safety standards that safeguard consumer interests</w:t>
      </w:r>
      <w:r w:rsidR="00303F43">
        <w:rPr>
          <w:rFonts w:ascii="Times New Roman" w:hAnsi="Times New Roman" w:cs="Times New Roman"/>
          <w:sz w:val="24"/>
          <w:szCs w:val="24"/>
        </w:rPr>
        <w:t xml:space="preserve"> </w:t>
      </w:r>
      <w:r w:rsidR="00303F43" w:rsidRPr="00303F43">
        <w:rPr>
          <w:rFonts w:ascii="Times New Roman" w:hAnsi="Times New Roman" w:cs="Times New Roman"/>
          <w:sz w:val="24"/>
          <w:szCs w:val="24"/>
          <w:highlight w:val="yellow"/>
        </w:rPr>
        <w:t>(Trebilcock &amp; Trachtman, 2020)</w:t>
      </w:r>
      <w:r w:rsidR="00303F43">
        <w:rPr>
          <w:rFonts w:ascii="Times New Roman" w:hAnsi="Times New Roman" w:cs="Times New Roman"/>
          <w:sz w:val="24"/>
          <w:szCs w:val="24"/>
        </w:rPr>
        <w:t>.</w:t>
      </w:r>
    </w:p>
    <w:p w14:paraId="46CC329A" w14:textId="77B8C8BA" w:rsidR="00277352" w:rsidRPr="007B0160" w:rsidRDefault="00277352" w:rsidP="007B0160">
      <w:pPr>
        <w:pStyle w:val="Heading2"/>
        <w:rPr>
          <w:color w:val="0070C0"/>
        </w:rPr>
      </w:pPr>
      <w:bookmarkStart w:id="16" w:name="_Toc163889319"/>
      <w:r w:rsidRPr="007B0160">
        <w:rPr>
          <w:color w:val="0070C0"/>
        </w:rPr>
        <w:t>3.4 Conclusion</w:t>
      </w:r>
      <w:bookmarkEnd w:id="16"/>
    </w:p>
    <w:p w14:paraId="00B723A7" w14:textId="5F99DF11" w:rsidR="00E91106" w:rsidRPr="00B97E61" w:rsidRDefault="00C8030C" w:rsidP="000A6519">
      <w:pPr>
        <w:spacing w:line="480" w:lineRule="auto"/>
        <w:jc w:val="both"/>
        <w:rPr>
          <w:rFonts w:ascii="Times New Roman" w:hAnsi="Times New Roman" w:cs="Times New Roman"/>
          <w:sz w:val="24"/>
          <w:szCs w:val="24"/>
        </w:rPr>
      </w:pPr>
      <w:r w:rsidRPr="00B97E61">
        <w:rPr>
          <w:rFonts w:ascii="Times New Roman" w:hAnsi="Times New Roman" w:cs="Times New Roman"/>
          <w:sz w:val="24"/>
          <w:szCs w:val="24"/>
        </w:rPr>
        <w:t xml:space="preserve">The global economy operates within a complex network of interconnectedness, where trade agreements significantly shape business strategies and operations. While these agreements dictate trade terms and conditions, </w:t>
      </w:r>
      <w:r w:rsidR="00570BAC">
        <w:rPr>
          <w:rFonts w:ascii="Times New Roman" w:hAnsi="Times New Roman" w:cs="Times New Roman"/>
          <w:sz w:val="24"/>
          <w:szCs w:val="24"/>
        </w:rPr>
        <w:t>political, financial, and social dynamics beyond their scope influence the broader economic system</w:t>
      </w:r>
      <w:r w:rsidRPr="00B97E61">
        <w:rPr>
          <w:rFonts w:ascii="Times New Roman" w:hAnsi="Times New Roman" w:cs="Times New Roman"/>
          <w:sz w:val="24"/>
          <w:szCs w:val="24"/>
        </w:rPr>
        <w:t>.</w:t>
      </w:r>
      <w:r w:rsidR="00E91106">
        <w:rPr>
          <w:rFonts w:ascii="Times New Roman" w:hAnsi="Times New Roman" w:cs="Times New Roman"/>
          <w:sz w:val="24"/>
          <w:szCs w:val="24"/>
        </w:rPr>
        <w:t xml:space="preserve"> </w:t>
      </w:r>
      <w:r w:rsidR="00E91106" w:rsidRPr="00B97E61">
        <w:rPr>
          <w:rFonts w:ascii="Times New Roman" w:hAnsi="Times New Roman" w:cs="Times New Roman"/>
          <w:sz w:val="24"/>
          <w:szCs w:val="24"/>
        </w:rPr>
        <w:t xml:space="preserve">Effective stakeholder engagement is crucial in navigating the intricacies of international trade, ensuring </w:t>
      </w:r>
      <w:r w:rsidR="00E91106">
        <w:rPr>
          <w:rFonts w:ascii="Times New Roman" w:hAnsi="Times New Roman" w:cs="Times New Roman"/>
          <w:sz w:val="24"/>
          <w:szCs w:val="24"/>
        </w:rPr>
        <w:t xml:space="preserve">the </w:t>
      </w:r>
      <w:r w:rsidR="00E91106" w:rsidRPr="00B97E61">
        <w:rPr>
          <w:rFonts w:ascii="Times New Roman" w:hAnsi="Times New Roman" w:cs="Times New Roman"/>
          <w:sz w:val="24"/>
          <w:szCs w:val="24"/>
        </w:rPr>
        <w:t xml:space="preserve">alignment of diverse interests within trade frameworks. However, disparities in involvement persist, with traditional negotiations often </w:t>
      </w:r>
      <w:r w:rsidR="00E91106">
        <w:rPr>
          <w:rFonts w:ascii="Times New Roman" w:hAnsi="Times New Roman" w:cs="Times New Roman"/>
          <w:sz w:val="24"/>
          <w:szCs w:val="24"/>
        </w:rPr>
        <w:t>favouring</w:t>
      </w:r>
      <w:r w:rsidR="00E91106" w:rsidRPr="00B97E61">
        <w:rPr>
          <w:rFonts w:ascii="Times New Roman" w:hAnsi="Times New Roman" w:cs="Times New Roman"/>
          <w:sz w:val="24"/>
          <w:szCs w:val="24"/>
        </w:rPr>
        <w:t xml:space="preserve"> governments and large corporations over civil society and other stakeholders.</w:t>
      </w:r>
    </w:p>
    <w:p w14:paraId="399BD4CF" w14:textId="6E761D9B" w:rsidR="00E91106" w:rsidRPr="00B97E61" w:rsidRDefault="00E91106" w:rsidP="000A6519">
      <w:pPr>
        <w:spacing w:line="480" w:lineRule="auto"/>
        <w:jc w:val="both"/>
        <w:rPr>
          <w:rFonts w:ascii="Times New Roman" w:hAnsi="Times New Roman" w:cs="Times New Roman"/>
          <w:sz w:val="24"/>
          <w:szCs w:val="24"/>
        </w:rPr>
      </w:pPr>
      <w:r w:rsidRPr="00B97E61">
        <w:rPr>
          <w:rFonts w:ascii="Times New Roman" w:hAnsi="Times New Roman" w:cs="Times New Roman"/>
          <w:sz w:val="24"/>
          <w:szCs w:val="24"/>
        </w:rPr>
        <w:lastRenderedPageBreak/>
        <w:t xml:space="preserve">Addressing the challenges of trade negotiations necessitates </w:t>
      </w:r>
      <w:r w:rsidR="00570BAC">
        <w:rPr>
          <w:rFonts w:ascii="Times New Roman" w:hAnsi="Times New Roman" w:cs="Times New Roman"/>
          <w:sz w:val="24"/>
          <w:szCs w:val="24"/>
        </w:rPr>
        <w:t>revaluing</w:t>
      </w:r>
      <w:r w:rsidRPr="00B97E61">
        <w:rPr>
          <w:rFonts w:ascii="Times New Roman" w:hAnsi="Times New Roman" w:cs="Times New Roman"/>
          <w:sz w:val="24"/>
          <w:szCs w:val="24"/>
        </w:rPr>
        <w:t xml:space="preserve"> current practices towards greater inclusivity and transparency. Corporate Social Responsibility (CSR) adds complexity to the trade landscape as businesses seek to balance profit-driven objectives with socially responsible actions.</w:t>
      </w:r>
      <w:r>
        <w:rPr>
          <w:rFonts w:ascii="Times New Roman" w:hAnsi="Times New Roman" w:cs="Times New Roman"/>
          <w:sz w:val="24"/>
          <w:szCs w:val="24"/>
        </w:rPr>
        <w:t xml:space="preserve"> </w:t>
      </w:r>
      <w:r w:rsidRPr="00B97E61">
        <w:rPr>
          <w:rFonts w:ascii="Times New Roman" w:hAnsi="Times New Roman" w:cs="Times New Roman"/>
          <w:sz w:val="24"/>
          <w:szCs w:val="24"/>
        </w:rPr>
        <w:t xml:space="preserve">Regulatory </w:t>
      </w:r>
      <w:r w:rsidR="00570BAC">
        <w:rPr>
          <w:rFonts w:ascii="Times New Roman" w:hAnsi="Times New Roman" w:cs="Times New Roman"/>
          <w:sz w:val="24"/>
          <w:szCs w:val="24"/>
        </w:rPr>
        <w:t>harmonisation</w:t>
      </w:r>
      <w:r w:rsidRPr="00B97E61">
        <w:rPr>
          <w:rFonts w:ascii="Times New Roman" w:hAnsi="Times New Roman" w:cs="Times New Roman"/>
          <w:sz w:val="24"/>
          <w:szCs w:val="24"/>
        </w:rPr>
        <w:t xml:space="preserve"> offers benefits in simplifying international trade but requires careful consideration to avoid unintended consequences. </w:t>
      </w:r>
      <w:r>
        <w:rPr>
          <w:rFonts w:ascii="Times New Roman" w:hAnsi="Times New Roman" w:cs="Times New Roman"/>
          <w:sz w:val="24"/>
          <w:szCs w:val="24"/>
        </w:rPr>
        <w:t>Labour</w:t>
      </w:r>
      <w:r w:rsidRPr="00B97E61">
        <w:rPr>
          <w:rFonts w:ascii="Times New Roman" w:hAnsi="Times New Roman" w:cs="Times New Roman"/>
          <w:sz w:val="24"/>
          <w:szCs w:val="24"/>
        </w:rPr>
        <w:t xml:space="preserve"> rights and consumer safety are focal points in this discussion, highlighting the need for balanced approaches that elevate standards without compromising essential protections.</w:t>
      </w:r>
    </w:p>
    <w:p w14:paraId="2A3FD986" w14:textId="6659695F" w:rsidR="00E91106" w:rsidRPr="00B97E61" w:rsidRDefault="00E91106" w:rsidP="000A6519">
      <w:pPr>
        <w:spacing w:line="480" w:lineRule="auto"/>
        <w:jc w:val="both"/>
        <w:rPr>
          <w:rFonts w:ascii="Times New Roman" w:hAnsi="Times New Roman" w:cs="Times New Roman"/>
          <w:sz w:val="24"/>
          <w:szCs w:val="24"/>
        </w:rPr>
      </w:pPr>
      <w:r w:rsidRPr="00B97E61">
        <w:rPr>
          <w:rFonts w:ascii="Times New Roman" w:hAnsi="Times New Roman" w:cs="Times New Roman"/>
          <w:sz w:val="24"/>
          <w:szCs w:val="24"/>
        </w:rPr>
        <w:t xml:space="preserve">In conclusion, navigating global trade agreements requires a holistic approach </w:t>
      </w:r>
      <w:r w:rsidR="00570BAC">
        <w:rPr>
          <w:rFonts w:ascii="Times New Roman" w:hAnsi="Times New Roman" w:cs="Times New Roman"/>
          <w:sz w:val="24"/>
          <w:szCs w:val="24"/>
        </w:rPr>
        <w:t>prioritising</w:t>
      </w:r>
      <w:r w:rsidRPr="00B97E61">
        <w:rPr>
          <w:rFonts w:ascii="Times New Roman" w:hAnsi="Times New Roman" w:cs="Times New Roman"/>
          <w:sz w:val="24"/>
          <w:szCs w:val="24"/>
        </w:rPr>
        <w:t xml:space="preserve"> stakeholder engagement, transparency, and inclusivity. By balancing the interests of all stakeholders, trade agreements can promote sustainable development and equitable outcomes on a global scale, contributing to a more resilient and inclusive global economy.</w:t>
      </w:r>
    </w:p>
    <w:p w14:paraId="0A399CE9" w14:textId="77777777" w:rsidR="006330F7" w:rsidRDefault="006330F7">
      <w:pPr>
        <w:autoSpaceDE/>
        <w:autoSpaceDN/>
        <w:adjustRightInd/>
        <w:spacing w:after="160" w:line="259" w:lineRule="auto"/>
        <w:rPr>
          <w:rFonts w:asciiTheme="majorHAnsi" w:eastAsiaTheme="majorEastAsia" w:hAnsiTheme="majorHAnsi" w:cstheme="majorBidi"/>
          <w:color w:val="0070C0"/>
          <w:sz w:val="32"/>
          <w:szCs w:val="32"/>
        </w:rPr>
      </w:pPr>
      <w:r>
        <w:rPr>
          <w:color w:val="0070C0"/>
        </w:rPr>
        <w:br w:type="page"/>
      </w:r>
    </w:p>
    <w:p w14:paraId="0A588276" w14:textId="27C34BA4" w:rsidR="00D60CEB" w:rsidRDefault="00D60CEB" w:rsidP="000A6519">
      <w:pPr>
        <w:pStyle w:val="Heading1"/>
        <w:rPr>
          <w:color w:val="0070C0"/>
        </w:rPr>
      </w:pPr>
      <w:bookmarkStart w:id="17" w:name="_Toc163889320"/>
      <w:r>
        <w:rPr>
          <w:color w:val="0070C0"/>
        </w:rPr>
        <w:lastRenderedPageBreak/>
        <w:t>4.0 Methodology</w:t>
      </w:r>
      <w:bookmarkEnd w:id="17"/>
    </w:p>
    <w:p w14:paraId="67982A7A" w14:textId="3E42BF45" w:rsidR="00A45ED2" w:rsidRDefault="00464C09" w:rsidP="00464C09">
      <w:pPr>
        <w:pStyle w:val="Heading2"/>
        <w:rPr>
          <w:color w:val="0070C0"/>
        </w:rPr>
      </w:pPr>
      <w:bookmarkStart w:id="18" w:name="_Toc163889321"/>
      <w:r w:rsidRPr="00464C09">
        <w:rPr>
          <w:color w:val="0070C0"/>
        </w:rPr>
        <w:t>4.1 Introduction</w:t>
      </w:r>
      <w:bookmarkEnd w:id="18"/>
    </w:p>
    <w:p w14:paraId="11F2D541" w14:textId="1F4FB5E0" w:rsidR="007751F2" w:rsidRDefault="000E15A9" w:rsidP="00593D11">
      <w:pPr>
        <w:spacing w:line="480" w:lineRule="auto"/>
        <w:jc w:val="both"/>
        <w:rPr>
          <w:rFonts w:ascii="Times New Roman" w:eastAsia="Times New Roman" w:hAnsi="Times New Roman" w:cs="Times New Roman"/>
          <w:sz w:val="24"/>
          <w:szCs w:val="24"/>
          <w:lang w:eastAsia="en-GB"/>
        </w:rPr>
      </w:pPr>
      <w:r w:rsidRPr="000E15A9">
        <w:rPr>
          <w:rFonts w:ascii="Times New Roman" w:eastAsia="Times New Roman" w:hAnsi="Times New Roman" w:cs="Times New Roman"/>
          <w:sz w:val="24"/>
          <w:szCs w:val="24"/>
          <w:lang w:eastAsia="en-GB"/>
        </w:rPr>
        <w:t xml:space="preserve">This chapter outlines the methodology used to examine the influence of global trade agreements on stakeholder engagement, particularly on multinational corporations (MNCs). These agreements can </w:t>
      </w:r>
      <w:r w:rsidR="00A40FDA">
        <w:rPr>
          <w:rFonts w:ascii="Times New Roman" w:eastAsia="Times New Roman" w:hAnsi="Times New Roman" w:cs="Times New Roman"/>
          <w:sz w:val="24"/>
          <w:szCs w:val="24"/>
          <w:lang w:eastAsia="en-GB"/>
        </w:rPr>
        <w:t xml:space="preserve">significantly impact a corporation's economic outcomes and </w:t>
      </w:r>
      <w:r w:rsidRPr="000E15A9">
        <w:rPr>
          <w:rFonts w:ascii="Times New Roman" w:eastAsia="Times New Roman" w:hAnsi="Times New Roman" w:cs="Times New Roman"/>
          <w:sz w:val="24"/>
          <w:szCs w:val="24"/>
          <w:lang w:eastAsia="en-GB"/>
        </w:rPr>
        <w:t xml:space="preserve">relationships with various stakeholders, including governments, civil society, and local communities. </w:t>
      </w:r>
      <w:r w:rsidR="007751F2" w:rsidRPr="007751F2">
        <w:rPr>
          <w:rFonts w:ascii="Times New Roman" w:eastAsia="Times New Roman" w:hAnsi="Times New Roman" w:cs="Times New Roman"/>
          <w:sz w:val="24"/>
          <w:szCs w:val="24"/>
          <w:lang w:eastAsia="en-GB"/>
        </w:rPr>
        <w:t xml:space="preserve">According to </w:t>
      </w:r>
      <w:r w:rsidR="007751F2" w:rsidRPr="007751F2">
        <w:rPr>
          <w:rFonts w:ascii="Times New Roman" w:eastAsia="Times New Roman" w:hAnsi="Times New Roman" w:cs="Times New Roman"/>
          <w:sz w:val="24"/>
          <w:szCs w:val="24"/>
          <w:highlight w:val="yellow"/>
          <w:lang w:eastAsia="en-GB"/>
        </w:rPr>
        <w:t>Newell (2008),</w:t>
      </w:r>
      <w:r w:rsidR="007751F2" w:rsidRPr="007751F2">
        <w:rPr>
          <w:rFonts w:ascii="Times New Roman" w:eastAsia="Times New Roman" w:hAnsi="Times New Roman" w:cs="Times New Roman"/>
          <w:sz w:val="24"/>
          <w:szCs w:val="24"/>
          <w:lang w:eastAsia="en-GB"/>
        </w:rPr>
        <w:t xml:space="preserve"> multinational corporations (MNCs) </w:t>
      </w:r>
      <w:r w:rsidR="00482A8F">
        <w:rPr>
          <w:rFonts w:ascii="Times New Roman" w:eastAsia="Times New Roman" w:hAnsi="Times New Roman" w:cs="Times New Roman"/>
          <w:sz w:val="24"/>
          <w:szCs w:val="24"/>
          <w:lang w:eastAsia="en-GB"/>
        </w:rPr>
        <w:t>are critical</w:t>
      </w:r>
      <w:r w:rsidR="007751F2" w:rsidRPr="007751F2">
        <w:rPr>
          <w:rFonts w:ascii="Times New Roman" w:eastAsia="Times New Roman" w:hAnsi="Times New Roman" w:cs="Times New Roman"/>
          <w:sz w:val="24"/>
          <w:szCs w:val="24"/>
          <w:lang w:eastAsia="en-GB"/>
        </w:rPr>
        <w:t xml:space="preserve"> in shaping global governance and promoting sustainable development. </w:t>
      </w:r>
      <w:r w:rsidR="007751F2" w:rsidRPr="00CA1402">
        <w:rPr>
          <w:rFonts w:ascii="Times New Roman" w:eastAsia="Times New Roman" w:hAnsi="Times New Roman" w:cs="Times New Roman"/>
          <w:sz w:val="24"/>
          <w:szCs w:val="24"/>
          <w:lang w:eastAsia="en-GB"/>
        </w:rPr>
        <w:t>Newell (2008) further</w:t>
      </w:r>
      <w:r w:rsidR="007751F2" w:rsidRPr="007751F2">
        <w:rPr>
          <w:rFonts w:ascii="Times New Roman" w:eastAsia="Times New Roman" w:hAnsi="Times New Roman" w:cs="Times New Roman"/>
          <w:sz w:val="24"/>
          <w:szCs w:val="24"/>
          <w:lang w:eastAsia="en-GB"/>
        </w:rPr>
        <w:t xml:space="preserve"> suggests </w:t>
      </w:r>
      <w:r w:rsidR="00D300AB">
        <w:rPr>
          <w:rFonts w:ascii="Times New Roman" w:eastAsia="Times New Roman" w:hAnsi="Times New Roman" w:cs="Times New Roman"/>
          <w:sz w:val="24"/>
          <w:szCs w:val="24"/>
          <w:lang w:eastAsia="en-GB"/>
        </w:rPr>
        <w:t xml:space="preserve">that </w:t>
      </w:r>
      <w:r w:rsidR="007751F2" w:rsidRPr="007751F2">
        <w:rPr>
          <w:rFonts w:ascii="Times New Roman" w:eastAsia="Times New Roman" w:hAnsi="Times New Roman" w:cs="Times New Roman"/>
          <w:sz w:val="24"/>
          <w:szCs w:val="24"/>
          <w:lang w:eastAsia="en-GB"/>
        </w:rPr>
        <w:t>MNCs must engage with stakeholders and participate in policy-making processes to ensure equitable outcomes.</w:t>
      </w:r>
    </w:p>
    <w:p w14:paraId="539B0C59" w14:textId="5A5E977B" w:rsidR="00570981" w:rsidRPr="00570981" w:rsidRDefault="00570981" w:rsidP="00570981">
      <w:pPr>
        <w:spacing w:line="480" w:lineRule="auto"/>
        <w:jc w:val="both"/>
        <w:rPr>
          <w:rFonts w:ascii="Times New Roman" w:hAnsi="Times New Roman" w:cs="Times New Roman"/>
          <w:sz w:val="24"/>
          <w:szCs w:val="24"/>
        </w:rPr>
      </w:pPr>
      <w:r w:rsidRPr="00570981">
        <w:rPr>
          <w:rFonts w:ascii="Times New Roman" w:hAnsi="Times New Roman" w:cs="Times New Roman"/>
          <w:sz w:val="24"/>
          <w:szCs w:val="24"/>
        </w:rPr>
        <w:t>In addition to the points outlined above, further literature and evidence can be incorporated to bolster the support for the methodology proposed in examining the influence of global trade agreements on stakeholder engagement, particularly concerning multinational corporations (MNCs</w:t>
      </w:r>
      <w:r w:rsidR="00480C98">
        <w:rPr>
          <w:rFonts w:ascii="Times New Roman" w:hAnsi="Times New Roman" w:cs="Times New Roman"/>
          <w:sz w:val="24"/>
          <w:szCs w:val="24"/>
        </w:rPr>
        <w:t>).</w:t>
      </w:r>
    </w:p>
    <w:p w14:paraId="7E35826D" w14:textId="4ACF5F08" w:rsidR="00570981" w:rsidRPr="00570981" w:rsidRDefault="00570981" w:rsidP="00570981">
      <w:pPr>
        <w:spacing w:line="480" w:lineRule="auto"/>
        <w:jc w:val="both"/>
        <w:rPr>
          <w:rFonts w:ascii="Times New Roman" w:hAnsi="Times New Roman" w:cs="Times New Roman"/>
          <w:sz w:val="24"/>
          <w:szCs w:val="24"/>
        </w:rPr>
      </w:pPr>
      <w:r w:rsidRPr="00570981">
        <w:rPr>
          <w:rFonts w:ascii="Times New Roman" w:hAnsi="Times New Roman" w:cs="Times New Roman"/>
          <w:sz w:val="24"/>
          <w:szCs w:val="24"/>
        </w:rPr>
        <w:t xml:space="preserve">Numerous empirical studies have highlighted the positive correlation between stakeholder engagement and corporate performance within global trade agreements. For instance, research by </w:t>
      </w:r>
      <w:r w:rsidR="00B204DD" w:rsidRPr="003F76C4">
        <w:rPr>
          <w:rFonts w:ascii="Times New Roman" w:hAnsi="Times New Roman" w:cs="Times New Roman"/>
          <w:sz w:val="24"/>
          <w:szCs w:val="24"/>
          <w:highlight w:val="yellow"/>
        </w:rPr>
        <w:t>Clark &amp; Dawson</w:t>
      </w:r>
      <w:r w:rsidR="00570BAC">
        <w:rPr>
          <w:rFonts w:ascii="Times New Roman" w:hAnsi="Times New Roman" w:cs="Times New Roman"/>
          <w:sz w:val="24"/>
          <w:szCs w:val="24"/>
          <w:highlight w:val="yellow"/>
        </w:rPr>
        <w:t xml:space="preserve"> (2012)</w:t>
      </w:r>
      <w:r w:rsidRPr="00570981">
        <w:rPr>
          <w:rFonts w:ascii="Times New Roman" w:hAnsi="Times New Roman" w:cs="Times New Roman"/>
          <w:sz w:val="24"/>
          <w:szCs w:val="24"/>
        </w:rPr>
        <w:t xml:space="preserve"> found that companies with robust stakeholder engagement practices experience better financial performance and enhanced reputation, </w:t>
      </w:r>
      <w:r w:rsidR="00570BAC">
        <w:rPr>
          <w:rFonts w:ascii="Times New Roman" w:hAnsi="Times New Roman" w:cs="Times New Roman"/>
          <w:sz w:val="24"/>
          <w:szCs w:val="24"/>
        </w:rPr>
        <w:t>emphasising</w:t>
      </w:r>
      <w:r w:rsidRPr="00570981">
        <w:rPr>
          <w:rFonts w:ascii="Times New Roman" w:hAnsi="Times New Roman" w:cs="Times New Roman"/>
          <w:sz w:val="24"/>
          <w:szCs w:val="24"/>
        </w:rPr>
        <w:t xml:space="preserve"> the strategic importance of stakeholder relations in navigating the complexities of international trade.</w:t>
      </w:r>
    </w:p>
    <w:p w14:paraId="65D99677" w14:textId="151751D6" w:rsidR="00570981" w:rsidRPr="00570981" w:rsidRDefault="00570BAC" w:rsidP="00570981">
      <w:pPr>
        <w:spacing w:line="480" w:lineRule="auto"/>
        <w:jc w:val="both"/>
        <w:rPr>
          <w:rFonts w:ascii="Times New Roman" w:hAnsi="Times New Roman" w:cs="Times New Roman"/>
          <w:sz w:val="24"/>
          <w:szCs w:val="24"/>
        </w:rPr>
      </w:pPr>
      <w:r>
        <w:rPr>
          <w:rFonts w:ascii="Times New Roman" w:hAnsi="Times New Roman" w:cs="Times New Roman"/>
          <w:sz w:val="24"/>
          <w:szCs w:val="24"/>
        </w:rPr>
        <w:t>Applying</w:t>
      </w:r>
      <w:r w:rsidR="00570981" w:rsidRPr="00570981">
        <w:rPr>
          <w:rFonts w:ascii="Times New Roman" w:hAnsi="Times New Roman" w:cs="Times New Roman"/>
          <w:sz w:val="24"/>
          <w:szCs w:val="24"/>
        </w:rPr>
        <w:t xml:space="preserve"> theoretical frameworks such as stakeholder </w:t>
      </w:r>
      <w:r w:rsidR="00E064B3">
        <w:rPr>
          <w:rFonts w:ascii="Times New Roman" w:hAnsi="Times New Roman" w:cs="Times New Roman"/>
          <w:sz w:val="24"/>
          <w:szCs w:val="24"/>
        </w:rPr>
        <w:t>and institutional theories</w:t>
      </w:r>
      <w:r w:rsidR="00570981" w:rsidRPr="00570981">
        <w:rPr>
          <w:rFonts w:ascii="Times New Roman" w:hAnsi="Times New Roman" w:cs="Times New Roman"/>
          <w:sz w:val="24"/>
          <w:szCs w:val="24"/>
        </w:rPr>
        <w:t xml:space="preserve"> further substantiates the rationale for </w:t>
      </w:r>
      <w:r>
        <w:rPr>
          <w:rFonts w:ascii="Times New Roman" w:hAnsi="Times New Roman" w:cs="Times New Roman"/>
          <w:sz w:val="24"/>
          <w:szCs w:val="24"/>
        </w:rPr>
        <w:t>prioritising</w:t>
      </w:r>
      <w:r w:rsidR="00570981" w:rsidRPr="00570981">
        <w:rPr>
          <w:rFonts w:ascii="Times New Roman" w:hAnsi="Times New Roman" w:cs="Times New Roman"/>
          <w:sz w:val="24"/>
          <w:szCs w:val="24"/>
        </w:rPr>
        <w:t xml:space="preserve"> stakeholder engagement in MNCs' strategies. Stakeholder theory posits that </w:t>
      </w:r>
      <w:r>
        <w:rPr>
          <w:rFonts w:ascii="Times New Roman" w:hAnsi="Times New Roman" w:cs="Times New Roman"/>
          <w:sz w:val="24"/>
          <w:szCs w:val="24"/>
        </w:rPr>
        <w:t>organisations</w:t>
      </w:r>
      <w:r w:rsidR="00570981" w:rsidRPr="00570981">
        <w:rPr>
          <w:rFonts w:ascii="Times New Roman" w:hAnsi="Times New Roman" w:cs="Times New Roman"/>
          <w:sz w:val="24"/>
          <w:szCs w:val="24"/>
        </w:rPr>
        <w:t xml:space="preserve"> thrive when they actively consider and address the interests of all stakeholders</w:t>
      </w:r>
      <w:r>
        <w:rPr>
          <w:rFonts w:ascii="Times New Roman" w:hAnsi="Times New Roman" w:cs="Times New Roman"/>
          <w:sz w:val="24"/>
          <w:szCs w:val="24"/>
        </w:rPr>
        <w:t>. In contrast,</w:t>
      </w:r>
      <w:r w:rsidR="00570981" w:rsidRPr="00570981">
        <w:rPr>
          <w:rFonts w:ascii="Times New Roman" w:hAnsi="Times New Roman" w:cs="Times New Roman"/>
          <w:sz w:val="24"/>
          <w:szCs w:val="24"/>
        </w:rPr>
        <w:t xml:space="preserve"> institutional theory underscores the importance of </w:t>
      </w:r>
      <w:r>
        <w:rPr>
          <w:rFonts w:ascii="Times New Roman" w:hAnsi="Times New Roman" w:cs="Times New Roman"/>
          <w:sz w:val="24"/>
          <w:szCs w:val="24"/>
        </w:rPr>
        <w:t>organisational</w:t>
      </w:r>
      <w:r w:rsidR="00570981" w:rsidRPr="00570981">
        <w:rPr>
          <w:rFonts w:ascii="Times New Roman" w:hAnsi="Times New Roman" w:cs="Times New Roman"/>
          <w:sz w:val="24"/>
          <w:szCs w:val="24"/>
        </w:rPr>
        <w:t xml:space="preserve"> adaptation to external institutional pressures, including those arising from global trade agreements </w:t>
      </w:r>
      <w:r w:rsidR="00480C98" w:rsidRPr="00B06EBD">
        <w:rPr>
          <w:rFonts w:ascii="Times New Roman" w:hAnsi="Times New Roman" w:cs="Times New Roman"/>
          <w:sz w:val="24"/>
          <w:szCs w:val="24"/>
          <w:highlight w:val="yellow"/>
        </w:rPr>
        <w:t>(Hannan, 2016)</w:t>
      </w:r>
      <w:r w:rsidR="00B06EBD" w:rsidRPr="00B06EBD">
        <w:rPr>
          <w:rFonts w:ascii="Times New Roman" w:hAnsi="Times New Roman" w:cs="Times New Roman"/>
          <w:sz w:val="24"/>
          <w:szCs w:val="24"/>
          <w:highlight w:val="yellow"/>
        </w:rPr>
        <w:t>.</w:t>
      </w:r>
    </w:p>
    <w:p w14:paraId="0E3E9E1A" w14:textId="6B01D462" w:rsidR="00570981" w:rsidRDefault="00570981" w:rsidP="00324958">
      <w:pPr>
        <w:spacing w:line="480" w:lineRule="auto"/>
        <w:jc w:val="both"/>
        <w:rPr>
          <w:rFonts w:ascii="Times New Roman" w:hAnsi="Times New Roman" w:cs="Times New Roman"/>
          <w:sz w:val="24"/>
          <w:szCs w:val="24"/>
        </w:rPr>
      </w:pPr>
      <w:r w:rsidRPr="00570981">
        <w:rPr>
          <w:rFonts w:ascii="Times New Roman" w:hAnsi="Times New Roman" w:cs="Times New Roman"/>
          <w:sz w:val="24"/>
          <w:szCs w:val="24"/>
        </w:rPr>
        <w:lastRenderedPageBreak/>
        <w:t xml:space="preserve">Case studies offer concrete examples of how MNCs have successfully integrated stakeholder engagement into their business strategies to navigate the challenges posed by global trade agreements. For instance, the case of Unilever demonstrates how the company's stakeholder engagement initiatives have enabled it to address environmental and social concerns while remaining competitive in the global marketplace </w:t>
      </w:r>
      <w:r w:rsidR="00324958" w:rsidRPr="00D42841">
        <w:rPr>
          <w:rFonts w:ascii="Times New Roman" w:hAnsi="Times New Roman" w:cs="Times New Roman"/>
          <w:sz w:val="24"/>
          <w:szCs w:val="24"/>
          <w:highlight w:val="yellow"/>
        </w:rPr>
        <w:t>(Heetkamp &amp; Tusveld, 2011)</w:t>
      </w:r>
      <w:r w:rsidR="00D42841" w:rsidRPr="00D42841">
        <w:rPr>
          <w:rFonts w:ascii="Times New Roman" w:hAnsi="Times New Roman" w:cs="Times New Roman"/>
          <w:sz w:val="24"/>
          <w:szCs w:val="24"/>
          <w:highlight w:val="yellow"/>
        </w:rPr>
        <w:t>.</w:t>
      </w:r>
      <w:r w:rsidR="00D42841">
        <w:t xml:space="preserve"> </w:t>
      </w:r>
      <w:r w:rsidRPr="00570981">
        <w:rPr>
          <w:rFonts w:ascii="Times New Roman" w:hAnsi="Times New Roman" w:cs="Times New Roman"/>
          <w:sz w:val="24"/>
          <w:szCs w:val="24"/>
        </w:rPr>
        <w:t xml:space="preserve">Insights from experts in the field reaffirm the strategic imperative of stakeholder engagement for MNCs operating in a </w:t>
      </w:r>
      <w:r w:rsidR="00570BAC">
        <w:rPr>
          <w:rFonts w:ascii="Times New Roman" w:hAnsi="Times New Roman" w:cs="Times New Roman"/>
          <w:sz w:val="24"/>
          <w:szCs w:val="24"/>
        </w:rPr>
        <w:t>globalised</w:t>
      </w:r>
      <w:r w:rsidRPr="00570981">
        <w:rPr>
          <w:rFonts w:ascii="Times New Roman" w:hAnsi="Times New Roman" w:cs="Times New Roman"/>
          <w:sz w:val="24"/>
          <w:szCs w:val="24"/>
        </w:rPr>
        <w:t xml:space="preserve"> economy. Scholars such as </w:t>
      </w:r>
      <w:r w:rsidR="00DE3660" w:rsidRPr="00DE3660">
        <w:rPr>
          <w:rFonts w:ascii="Times New Roman" w:hAnsi="Times New Roman" w:cs="Times New Roman"/>
          <w:sz w:val="24"/>
          <w:szCs w:val="24"/>
          <w:highlight w:val="yellow"/>
        </w:rPr>
        <w:t>Bilal (2016)</w:t>
      </w:r>
      <w:r w:rsidRPr="00570981">
        <w:rPr>
          <w:rFonts w:ascii="Times New Roman" w:hAnsi="Times New Roman" w:cs="Times New Roman"/>
          <w:sz w:val="24"/>
          <w:szCs w:val="24"/>
        </w:rPr>
        <w:t xml:space="preserve"> argue that stakeholder engagement is </w:t>
      </w:r>
      <w:r w:rsidR="00E064B3">
        <w:rPr>
          <w:rFonts w:ascii="Times New Roman" w:hAnsi="Times New Roman" w:cs="Times New Roman"/>
          <w:sz w:val="24"/>
          <w:szCs w:val="24"/>
        </w:rPr>
        <w:t>a moral imperative and</w:t>
      </w:r>
      <w:r w:rsidRPr="00570981">
        <w:rPr>
          <w:rFonts w:ascii="Times New Roman" w:hAnsi="Times New Roman" w:cs="Times New Roman"/>
          <w:sz w:val="24"/>
          <w:szCs w:val="24"/>
        </w:rPr>
        <w:t xml:space="preserve"> a strategic necessity for businesses seeking long-term sustainability and resilience in an increasingly interconnected world.</w:t>
      </w:r>
    </w:p>
    <w:p w14:paraId="4C98A619" w14:textId="77777777" w:rsidR="000E1121" w:rsidRPr="0058565C" w:rsidRDefault="000E1121" w:rsidP="000E1121">
      <w:pPr>
        <w:pStyle w:val="Heading2"/>
        <w:spacing w:line="480" w:lineRule="auto"/>
        <w:jc w:val="both"/>
        <w:rPr>
          <w:color w:val="0070C0"/>
          <w:sz w:val="28"/>
          <w:szCs w:val="28"/>
        </w:rPr>
      </w:pPr>
      <w:bookmarkStart w:id="19" w:name="_Toc163889322"/>
      <w:r w:rsidRPr="0058565C">
        <w:rPr>
          <w:color w:val="0070C0"/>
          <w:sz w:val="28"/>
          <w:szCs w:val="28"/>
        </w:rPr>
        <w:t>4.2 Research Philosophy</w:t>
      </w:r>
      <w:bookmarkEnd w:id="19"/>
    </w:p>
    <w:p w14:paraId="1728D9E3" w14:textId="77777777" w:rsidR="000E1121" w:rsidRPr="00462587" w:rsidRDefault="000E1121" w:rsidP="000E1121">
      <w:pPr>
        <w:spacing w:line="480" w:lineRule="auto"/>
        <w:jc w:val="both"/>
        <w:rPr>
          <w:rFonts w:ascii="Times New Roman" w:hAnsi="Times New Roman" w:cs="Times New Roman"/>
          <w:sz w:val="24"/>
          <w:szCs w:val="24"/>
        </w:rPr>
      </w:pPr>
      <w:r w:rsidRPr="00A1229A">
        <w:rPr>
          <w:rFonts w:ascii="Times New Roman" w:hAnsi="Times New Roman" w:cs="Times New Roman"/>
          <w:sz w:val="24"/>
          <w:szCs w:val="24"/>
        </w:rPr>
        <w:t>The research methodology for examining how global trade agreements affect stakeholder engagement strategies will use a deductive reasoning approach supported by axiological and epistemological considerations. This approach aims to identify the challenges and opportunities that multinational corporations (MNCs) face while adapting their stakeholder engagement strategies in the constantly changing global trade landscape</w:t>
      </w:r>
      <w:r>
        <w:rPr>
          <w:rFonts w:ascii="Times New Roman" w:hAnsi="Times New Roman" w:cs="Times New Roman"/>
          <w:sz w:val="24"/>
          <w:szCs w:val="24"/>
        </w:rPr>
        <w:t xml:space="preserve"> </w:t>
      </w:r>
      <w:r w:rsidRPr="00462587">
        <w:rPr>
          <w:rFonts w:ascii="Times New Roman" w:hAnsi="Times New Roman" w:cs="Times New Roman"/>
          <w:sz w:val="24"/>
          <w:szCs w:val="24"/>
          <w:highlight w:val="yellow"/>
        </w:rPr>
        <w:t>(Brinkmann, 2018).</w:t>
      </w:r>
    </w:p>
    <w:p w14:paraId="7551578D" w14:textId="153B93E9" w:rsidR="000E1121" w:rsidRPr="00570981" w:rsidRDefault="000E1121" w:rsidP="000E1121">
      <w:pPr>
        <w:spacing w:line="480" w:lineRule="auto"/>
        <w:jc w:val="both"/>
        <w:rPr>
          <w:rFonts w:ascii="Times New Roman" w:hAnsi="Times New Roman" w:cs="Times New Roman"/>
          <w:sz w:val="24"/>
          <w:szCs w:val="24"/>
        </w:rPr>
      </w:pPr>
      <w:r w:rsidRPr="00F435C6">
        <w:rPr>
          <w:rFonts w:ascii="Times New Roman" w:hAnsi="Times New Roman" w:cs="Times New Roman"/>
          <w:sz w:val="24"/>
          <w:szCs w:val="24"/>
        </w:rPr>
        <w:t xml:space="preserve">The study highlights the importance of using factual evidence to understand the impact of stakeholder engagement strategies on business performance and sustainability outcomes. The research </w:t>
      </w:r>
      <w:r>
        <w:rPr>
          <w:rFonts w:ascii="Times New Roman" w:hAnsi="Times New Roman" w:cs="Times New Roman"/>
          <w:sz w:val="24"/>
          <w:szCs w:val="24"/>
        </w:rPr>
        <w:t>utilises</w:t>
      </w:r>
      <w:r w:rsidRPr="00F435C6">
        <w:rPr>
          <w:rFonts w:ascii="Times New Roman" w:hAnsi="Times New Roman" w:cs="Times New Roman"/>
          <w:sz w:val="24"/>
          <w:szCs w:val="24"/>
        </w:rPr>
        <w:t xml:space="preserve"> established theories such as stakeholder theory, resource-based view, and institutional theory to provide a clear framework for analysing the relationship between</w:t>
      </w:r>
    </w:p>
    <w:p w14:paraId="35D90FE7" w14:textId="77777777" w:rsidR="00570981" w:rsidRDefault="00570981" w:rsidP="00F93436">
      <w:pPr>
        <w:pStyle w:val="z-TopofForm"/>
        <w:jc w:val="left"/>
      </w:pPr>
      <w:r>
        <w:t>Top of Form</w:t>
      </w:r>
    </w:p>
    <w:p w14:paraId="0A4E0D5E" w14:textId="77777777" w:rsidR="005261C8" w:rsidRDefault="005261C8" w:rsidP="00593D11">
      <w:pPr>
        <w:spacing w:line="480" w:lineRule="auto"/>
        <w:jc w:val="both"/>
        <w:rPr>
          <w:rFonts w:ascii="Times New Roman" w:eastAsia="Times New Roman" w:hAnsi="Times New Roman" w:cs="Times New Roman"/>
          <w:sz w:val="24"/>
          <w:szCs w:val="24"/>
          <w:lang w:eastAsia="en-GB"/>
        </w:rPr>
      </w:pPr>
    </w:p>
    <w:p w14:paraId="6C56DDBA" w14:textId="52205332" w:rsidR="001A4401" w:rsidRDefault="00E064B3" w:rsidP="00593D11">
      <w:pPr>
        <w:spacing w:line="480" w:lineRule="auto"/>
        <w:jc w:val="both"/>
        <w:rPr>
          <w:rFonts w:ascii="Times New Roman" w:hAnsi="Times New Roman" w:cs="Times New Roman"/>
          <w:sz w:val="24"/>
          <w:szCs w:val="24"/>
        </w:rPr>
      </w:pPr>
      <w:r>
        <w:rPr>
          <w:rFonts w:ascii="Times New Roman" w:hAnsi="Times New Roman" w:cs="Times New Roman"/>
          <w:sz w:val="24"/>
          <w:szCs w:val="24"/>
        </w:rPr>
        <w:t>Stakeholder</w:t>
      </w:r>
      <w:r w:rsidR="00F435C6" w:rsidRPr="00F435C6">
        <w:rPr>
          <w:rFonts w:ascii="Times New Roman" w:hAnsi="Times New Roman" w:cs="Times New Roman"/>
          <w:sz w:val="24"/>
          <w:szCs w:val="24"/>
        </w:rPr>
        <w:t xml:space="preserve"> engagement strategies and business results</w:t>
      </w:r>
      <w:r w:rsidR="0008269D">
        <w:rPr>
          <w:rFonts w:ascii="Times New Roman" w:hAnsi="Times New Roman" w:cs="Times New Roman"/>
          <w:sz w:val="24"/>
          <w:szCs w:val="24"/>
        </w:rPr>
        <w:t xml:space="preserve"> </w:t>
      </w:r>
      <w:r w:rsidR="0008269D" w:rsidRPr="0008269D">
        <w:rPr>
          <w:rFonts w:ascii="Times New Roman" w:hAnsi="Times New Roman" w:cs="Times New Roman"/>
          <w:sz w:val="24"/>
          <w:szCs w:val="24"/>
          <w:highlight w:val="yellow"/>
        </w:rPr>
        <w:t>(Riad et al., 2019</w:t>
      </w:r>
      <w:r w:rsidR="0008269D">
        <w:t>)</w:t>
      </w:r>
      <w:r w:rsidR="00F435C6" w:rsidRPr="00F435C6">
        <w:rPr>
          <w:rFonts w:ascii="Times New Roman" w:hAnsi="Times New Roman" w:cs="Times New Roman"/>
          <w:sz w:val="24"/>
          <w:szCs w:val="24"/>
        </w:rPr>
        <w:t xml:space="preserve">. Ethically, the research acknowledges </w:t>
      </w:r>
      <w:r w:rsidR="009D7C94">
        <w:rPr>
          <w:rFonts w:ascii="Times New Roman" w:hAnsi="Times New Roman" w:cs="Times New Roman"/>
          <w:sz w:val="24"/>
          <w:szCs w:val="24"/>
        </w:rPr>
        <w:t>the moral dimensions inherent in stakeholder engagement practices and seeks</w:t>
      </w:r>
      <w:r w:rsidR="00F435C6" w:rsidRPr="00F435C6">
        <w:rPr>
          <w:rFonts w:ascii="Times New Roman" w:hAnsi="Times New Roman" w:cs="Times New Roman"/>
          <w:sz w:val="24"/>
          <w:szCs w:val="24"/>
        </w:rPr>
        <w:t xml:space="preserve"> to address these concerns throughout the study</w:t>
      </w:r>
      <w:r w:rsidR="00B31434">
        <w:rPr>
          <w:rFonts w:ascii="Times New Roman" w:hAnsi="Times New Roman" w:cs="Times New Roman"/>
          <w:sz w:val="24"/>
          <w:szCs w:val="24"/>
        </w:rPr>
        <w:t xml:space="preserve"> </w:t>
      </w:r>
      <w:r w:rsidR="00B31434" w:rsidRPr="00B31434">
        <w:rPr>
          <w:rFonts w:ascii="Times New Roman" w:hAnsi="Times New Roman" w:cs="Times New Roman"/>
          <w:sz w:val="24"/>
          <w:szCs w:val="24"/>
          <w:highlight w:val="yellow"/>
        </w:rPr>
        <w:t>(Friedman, 2007).</w:t>
      </w:r>
      <w:r w:rsidR="00BC45AE">
        <w:rPr>
          <w:rFonts w:ascii="Times New Roman" w:hAnsi="Times New Roman" w:cs="Times New Roman"/>
          <w:sz w:val="24"/>
          <w:szCs w:val="24"/>
        </w:rPr>
        <w:t xml:space="preserve"> </w:t>
      </w:r>
    </w:p>
    <w:p w14:paraId="7E3FB2F8" w14:textId="77777777" w:rsidR="00F93436" w:rsidRPr="004569D1" w:rsidRDefault="00F93436" w:rsidP="00F93436">
      <w:pPr>
        <w:spacing w:line="480" w:lineRule="auto"/>
        <w:jc w:val="both"/>
        <w:rPr>
          <w:rFonts w:ascii="Times New Roman" w:hAnsi="Times New Roman" w:cs="Times New Roman"/>
          <w:sz w:val="24"/>
          <w:szCs w:val="24"/>
        </w:rPr>
      </w:pPr>
      <w:r w:rsidRPr="001D48DF">
        <w:rPr>
          <w:rFonts w:ascii="Times New Roman" w:eastAsia="Times New Roman" w:hAnsi="Times New Roman" w:cs="Times New Roman"/>
          <w:sz w:val="24"/>
          <w:szCs w:val="24"/>
          <w:lang w:eastAsia="en-GB"/>
        </w:rPr>
        <w:lastRenderedPageBreak/>
        <w:t xml:space="preserve">To comprehensively address these questions, this research adopts a methodology that provides a framework for collecting and </w:t>
      </w:r>
      <w:r>
        <w:rPr>
          <w:rFonts w:ascii="Times New Roman" w:eastAsia="Times New Roman" w:hAnsi="Times New Roman" w:cs="Times New Roman"/>
          <w:sz w:val="24"/>
          <w:szCs w:val="24"/>
          <w:lang w:eastAsia="en-GB"/>
        </w:rPr>
        <w:t>analysing</w:t>
      </w:r>
      <w:r w:rsidRPr="001D48DF">
        <w:rPr>
          <w:rFonts w:ascii="Times New Roman" w:eastAsia="Times New Roman" w:hAnsi="Times New Roman" w:cs="Times New Roman"/>
          <w:sz w:val="24"/>
          <w:szCs w:val="24"/>
          <w:lang w:eastAsia="en-GB"/>
        </w:rPr>
        <w:t xml:space="preserve"> data on MNCs' stakeholder engagement practices within the context of global trade agreements. This approach employs qualitative and quantitative methods to capture </w:t>
      </w:r>
      <w:r>
        <w:rPr>
          <w:rFonts w:ascii="Times New Roman" w:eastAsia="Times New Roman" w:hAnsi="Times New Roman" w:cs="Times New Roman"/>
          <w:sz w:val="24"/>
          <w:szCs w:val="24"/>
          <w:lang w:eastAsia="en-GB"/>
        </w:rPr>
        <w:t>how</w:t>
      </w:r>
      <w:r w:rsidRPr="001D48DF">
        <w:rPr>
          <w:rFonts w:ascii="Times New Roman" w:eastAsia="Times New Roman" w:hAnsi="Times New Roman" w:cs="Times New Roman"/>
          <w:sz w:val="24"/>
          <w:szCs w:val="24"/>
          <w:lang w:eastAsia="en-GB"/>
        </w:rPr>
        <w:t xml:space="preserve"> trade agreements influence stakeholder engagement strategies. The selection of this methodology is crucial for uncovering the mechanisms that MNCs can use to adapt their practices to meet the challenges posed by these agreements</w:t>
      </w:r>
      <w:r>
        <w:rPr>
          <w:rFonts w:ascii="Times New Roman" w:eastAsia="Times New Roman" w:hAnsi="Times New Roman" w:cs="Times New Roman"/>
          <w:sz w:val="24"/>
          <w:szCs w:val="24"/>
          <w:lang w:eastAsia="en-GB"/>
        </w:rPr>
        <w:t xml:space="preserve"> </w:t>
      </w:r>
      <w:r w:rsidRPr="00D15F9C">
        <w:rPr>
          <w:rFonts w:ascii="Times New Roman" w:eastAsia="Times New Roman" w:hAnsi="Times New Roman" w:cs="Times New Roman"/>
          <w:sz w:val="24"/>
          <w:szCs w:val="24"/>
          <w:highlight w:val="yellow"/>
          <w:lang w:eastAsia="en-GB"/>
        </w:rPr>
        <w:t>(Poth, 2018).</w:t>
      </w:r>
      <w:r>
        <w:rPr>
          <w:rFonts w:ascii="Times New Roman" w:eastAsia="Times New Roman" w:hAnsi="Times New Roman" w:cs="Times New Roman"/>
          <w:sz w:val="24"/>
          <w:szCs w:val="24"/>
          <w:lang w:eastAsia="en-GB"/>
        </w:rPr>
        <w:t xml:space="preserve"> </w:t>
      </w:r>
      <w:r w:rsidRPr="001D48DF">
        <w:rPr>
          <w:rFonts w:ascii="Times New Roman" w:eastAsia="Times New Roman" w:hAnsi="Times New Roman" w:cs="Times New Roman"/>
          <w:sz w:val="24"/>
          <w:szCs w:val="24"/>
          <w:lang w:eastAsia="en-GB"/>
        </w:rPr>
        <w:t xml:space="preserve">The following sections will outline the research design, data collection methods, and analysis plan, </w:t>
      </w:r>
      <w:r>
        <w:rPr>
          <w:rFonts w:ascii="Times New Roman" w:eastAsia="Times New Roman" w:hAnsi="Times New Roman" w:cs="Times New Roman"/>
          <w:sz w:val="24"/>
          <w:szCs w:val="24"/>
          <w:lang w:eastAsia="en-GB"/>
        </w:rPr>
        <w:t>setting</w:t>
      </w:r>
      <w:r w:rsidRPr="001D48DF">
        <w:rPr>
          <w:rFonts w:ascii="Times New Roman" w:eastAsia="Times New Roman" w:hAnsi="Times New Roman" w:cs="Times New Roman"/>
          <w:sz w:val="24"/>
          <w:szCs w:val="24"/>
          <w:lang w:eastAsia="en-GB"/>
        </w:rPr>
        <w:t xml:space="preserve"> the stage for a thorough investigation into this complex and multifaceted issue. The methodology employed in this research will provide insights into how MNCs can effectively navigate the challenges presented by global trade agreements while maintaining positive relationships with stakeholder</w:t>
      </w:r>
      <w:r>
        <w:rPr>
          <w:rFonts w:ascii="Times New Roman" w:eastAsia="Times New Roman" w:hAnsi="Times New Roman" w:cs="Times New Roman"/>
          <w:sz w:val="24"/>
          <w:szCs w:val="24"/>
          <w:lang w:eastAsia="en-GB"/>
        </w:rPr>
        <w:t xml:space="preserve">s </w:t>
      </w:r>
      <w:r w:rsidRPr="004569D1">
        <w:rPr>
          <w:rFonts w:ascii="Times New Roman" w:hAnsi="Times New Roman" w:cs="Times New Roman"/>
          <w:sz w:val="24"/>
          <w:szCs w:val="24"/>
          <w:highlight w:val="yellow"/>
        </w:rPr>
        <w:t>(Silverman, 2011)</w:t>
      </w:r>
      <w:r>
        <w:rPr>
          <w:rFonts w:ascii="Times New Roman" w:hAnsi="Times New Roman" w:cs="Times New Roman"/>
          <w:sz w:val="24"/>
          <w:szCs w:val="24"/>
        </w:rPr>
        <w:t>.</w:t>
      </w:r>
    </w:p>
    <w:p w14:paraId="2B0697A0" w14:textId="21337491" w:rsidR="004A623A" w:rsidRDefault="00F435C6" w:rsidP="00593D11">
      <w:pPr>
        <w:spacing w:line="480" w:lineRule="auto"/>
        <w:jc w:val="both"/>
        <w:rPr>
          <w:rFonts w:ascii="Times New Roman" w:hAnsi="Times New Roman" w:cs="Times New Roman"/>
          <w:sz w:val="24"/>
          <w:szCs w:val="24"/>
        </w:rPr>
      </w:pPr>
      <w:r w:rsidRPr="00F435C6">
        <w:rPr>
          <w:rFonts w:ascii="Times New Roman" w:hAnsi="Times New Roman" w:cs="Times New Roman"/>
          <w:sz w:val="24"/>
          <w:szCs w:val="24"/>
        </w:rPr>
        <w:t xml:space="preserve">This involves a commitment to transparency, accountability, and ethical </w:t>
      </w:r>
      <w:r w:rsidR="005E696F">
        <w:rPr>
          <w:rFonts w:ascii="Times New Roman" w:hAnsi="Times New Roman" w:cs="Times New Roman"/>
          <w:sz w:val="24"/>
          <w:szCs w:val="24"/>
        </w:rPr>
        <w:t>behaviour</w:t>
      </w:r>
      <w:r w:rsidRPr="00F435C6">
        <w:rPr>
          <w:rFonts w:ascii="Times New Roman" w:hAnsi="Times New Roman" w:cs="Times New Roman"/>
          <w:sz w:val="24"/>
          <w:szCs w:val="24"/>
        </w:rPr>
        <w:t xml:space="preserve"> in all </w:t>
      </w:r>
      <w:r w:rsidR="00190F9E">
        <w:rPr>
          <w:rFonts w:ascii="Times New Roman" w:hAnsi="Times New Roman" w:cs="Times New Roman"/>
          <w:sz w:val="24"/>
          <w:szCs w:val="24"/>
        </w:rPr>
        <w:t>data collection, analysis, and reporting aspects</w:t>
      </w:r>
      <w:r w:rsidRPr="00F435C6">
        <w:rPr>
          <w:rFonts w:ascii="Times New Roman" w:hAnsi="Times New Roman" w:cs="Times New Roman"/>
          <w:sz w:val="24"/>
          <w:szCs w:val="24"/>
        </w:rPr>
        <w:t xml:space="preserve">. </w:t>
      </w:r>
      <w:r w:rsidR="00BD7920" w:rsidRPr="00BD7920">
        <w:rPr>
          <w:rFonts w:ascii="Times New Roman" w:hAnsi="Times New Roman" w:cs="Times New Roman"/>
          <w:sz w:val="24"/>
          <w:szCs w:val="24"/>
        </w:rPr>
        <w:t>The research methodology</w:t>
      </w:r>
      <w:r w:rsidR="00DC4FF2">
        <w:rPr>
          <w:rFonts w:ascii="Times New Roman" w:hAnsi="Times New Roman" w:cs="Times New Roman"/>
          <w:sz w:val="24"/>
          <w:szCs w:val="24"/>
        </w:rPr>
        <w:t xml:space="preserve"> will</w:t>
      </w:r>
      <w:r w:rsidR="00BD7920" w:rsidRPr="00BD7920">
        <w:rPr>
          <w:rFonts w:ascii="Times New Roman" w:hAnsi="Times New Roman" w:cs="Times New Roman"/>
          <w:sz w:val="24"/>
          <w:szCs w:val="24"/>
        </w:rPr>
        <w:t xml:space="preserve"> </w:t>
      </w:r>
      <w:r w:rsidR="00DC4FF2">
        <w:rPr>
          <w:rFonts w:ascii="Times New Roman" w:hAnsi="Times New Roman" w:cs="Times New Roman"/>
          <w:sz w:val="24"/>
          <w:szCs w:val="24"/>
        </w:rPr>
        <w:t>collect</w:t>
      </w:r>
      <w:r w:rsidR="00BD7920" w:rsidRPr="00BD7920">
        <w:rPr>
          <w:rFonts w:ascii="Times New Roman" w:hAnsi="Times New Roman" w:cs="Times New Roman"/>
          <w:sz w:val="24"/>
          <w:szCs w:val="24"/>
        </w:rPr>
        <w:t xml:space="preserve"> data through </w:t>
      </w:r>
      <w:r w:rsidR="00DC4FF2">
        <w:rPr>
          <w:rFonts w:ascii="Times New Roman" w:hAnsi="Times New Roman" w:cs="Times New Roman"/>
          <w:sz w:val="24"/>
          <w:szCs w:val="24"/>
        </w:rPr>
        <w:t xml:space="preserve">various sources such as </w:t>
      </w:r>
      <w:r w:rsidR="00BD7920" w:rsidRPr="00BD7920">
        <w:rPr>
          <w:rFonts w:ascii="Times New Roman" w:hAnsi="Times New Roman" w:cs="Times New Roman"/>
          <w:sz w:val="24"/>
          <w:szCs w:val="24"/>
        </w:rPr>
        <w:t>questionnaires, forum meetings, and one-on-one interviews. With a target of 200 participants, the study aims to gather diverse perspectives from stakeholders</w:t>
      </w:r>
      <w:r w:rsidR="00BD7920">
        <w:rPr>
          <w:rFonts w:ascii="Times New Roman" w:hAnsi="Times New Roman" w:cs="Times New Roman"/>
          <w:sz w:val="24"/>
          <w:szCs w:val="24"/>
        </w:rPr>
        <w:t>,</w:t>
      </w:r>
      <w:r w:rsidR="00BD7920" w:rsidRPr="00BD7920">
        <w:rPr>
          <w:rFonts w:ascii="Times New Roman" w:hAnsi="Times New Roman" w:cs="Times New Roman"/>
          <w:sz w:val="24"/>
          <w:szCs w:val="24"/>
        </w:rPr>
        <w:t xml:space="preserve"> including MNCs, policymakers, industry associations, and other relevant stakeholders. </w:t>
      </w:r>
      <w:r w:rsidR="00DF0170">
        <w:rPr>
          <w:rFonts w:ascii="Times New Roman" w:hAnsi="Times New Roman" w:cs="Times New Roman"/>
          <w:sz w:val="24"/>
          <w:szCs w:val="24"/>
        </w:rPr>
        <w:t>Once the data has been collected from all participants</w:t>
      </w:r>
      <w:r w:rsidR="008C4906">
        <w:rPr>
          <w:rFonts w:ascii="Times New Roman" w:hAnsi="Times New Roman" w:cs="Times New Roman"/>
          <w:sz w:val="24"/>
          <w:szCs w:val="24"/>
        </w:rPr>
        <w:t>, it</w:t>
      </w:r>
      <w:r w:rsidR="00BD7920" w:rsidRPr="00BD7920">
        <w:rPr>
          <w:rFonts w:ascii="Times New Roman" w:hAnsi="Times New Roman" w:cs="Times New Roman"/>
          <w:sz w:val="24"/>
          <w:szCs w:val="24"/>
        </w:rPr>
        <w:t xml:space="preserve"> will be </w:t>
      </w:r>
      <w:r w:rsidR="00407D41">
        <w:rPr>
          <w:rFonts w:ascii="Times New Roman" w:hAnsi="Times New Roman" w:cs="Times New Roman"/>
          <w:sz w:val="24"/>
          <w:szCs w:val="24"/>
        </w:rPr>
        <w:t>ana</w:t>
      </w:r>
      <w:r w:rsidR="00E12F9A">
        <w:rPr>
          <w:rFonts w:ascii="Times New Roman" w:hAnsi="Times New Roman" w:cs="Times New Roman"/>
          <w:sz w:val="24"/>
          <w:szCs w:val="24"/>
        </w:rPr>
        <w:t>lysed</w:t>
      </w:r>
      <w:r w:rsidR="00BD7920" w:rsidRPr="00BD7920">
        <w:rPr>
          <w:rFonts w:ascii="Times New Roman" w:hAnsi="Times New Roman" w:cs="Times New Roman"/>
          <w:sz w:val="24"/>
          <w:szCs w:val="24"/>
        </w:rPr>
        <w:t xml:space="preserve"> </w:t>
      </w:r>
      <w:r w:rsidR="006A4C0B" w:rsidRPr="00BD7920">
        <w:rPr>
          <w:rFonts w:ascii="Times New Roman" w:hAnsi="Times New Roman" w:cs="Times New Roman"/>
          <w:sz w:val="24"/>
          <w:szCs w:val="24"/>
        </w:rPr>
        <w:t xml:space="preserve">using </w:t>
      </w:r>
      <w:r w:rsidR="00D305ED">
        <w:rPr>
          <w:rFonts w:ascii="Times New Roman" w:hAnsi="Times New Roman" w:cs="Times New Roman"/>
          <w:sz w:val="24"/>
          <w:szCs w:val="24"/>
        </w:rPr>
        <w:t>the Statistical Package for the Social Sciences (Statistical Package for the Social Sciences) or SPSS to help manage, conduct,</w:t>
      </w:r>
      <w:r w:rsidR="006A4C0B">
        <w:rPr>
          <w:rFonts w:ascii="Times New Roman" w:hAnsi="Times New Roman" w:cs="Times New Roman"/>
          <w:sz w:val="24"/>
          <w:szCs w:val="24"/>
        </w:rPr>
        <w:t xml:space="preserve"> and interpret the </w:t>
      </w:r>
      <w:r w:rsidR="00D305ED">
        <w:rPr>
          <w:rFonts w:ascii="Times New Roman" w:hAnsi="Times New Roman" w:cs="Times New Roman"/>
          <w:sz w:val="24"/>
          <w:szCs w:val="24"/>
        </w:rPr>
        <w:t>research findings</w:t>
      </w:r>
      <w:r w:rsidR="00C2417D">
        <w:rPr>
          <w:rFonts w:ascii="Times New Roman" w:hAnsi="Times New Roman" w:cs="Times New Roman"/>
          <w:sz w:val="24"/>
          <w:szCs w:val="24"/>
        </w:rPr>
        <w:t xml:space="preserve"> </w:t>
      </w:r>
      <w:r w:rsidR="00C2417D" w:rsidRPr="00C2417D">
        <w:rPr>
          <w:rFonts w:ascii="Times New Roman" w:hAnsi="Times New Roman" w:cs="Times New Roman"/>
          <w:sz w:val="24"/>
          <w:szCs w:val="24"/>
          <w:highlight w:val="yellow"/>
        </w:rPr>
        <w:t>(Cronk, 2024).</w:t>
      </w:r>
    </w:p>
    <w:p w14:paraId="609C3379" w14:textId="061655D6" w:rsidR="00B439FB" w:rsidRPr="00684D32" w:rsidRDefault="0004653D" w:rsidP="00593D11">
      <w:pPr>
        <w:spacing w:line="480" w:lineRule="auto"/>
        <w:jc w:val="both"/>
        <w:rPr>
          <w:rFonts w:ascii="Times New Roman" w:hAnsi="Times New Roman" w:cs="Times New Roman"/>
          <w:color w:val="1C1C1C"/>
          <w:sz w:val="24"/>
          <w:szCs w:val="24"/>
          <w:shd w:val="clear" w:color="auto" w:fill="FFFFFF"/>
        </w:rPr>
      </w:pPr>
      <w:r w:rsidRPr="00B439FB">
        <w:rPr>
          <w:rFonts w:ascii="Times New Roman" w:hAnsi="Times New Roman" w:cs="Times New Roman"/>
          <w:color w:val="1C1C1C"/>
          <w:sz w:val="24"/>
          <w:szCs w:val="24"/>
          <w:highlight w:val="yellow"/>
          <w:shd w:val="clear" w:color="auto" w:fill="FFFFFF"/>
        </w:rPr>
        <w:t>Rawls (2007)</w:t>
      </w:r>
      <w:r w:rsidRPr="0004653D">
        <w:rPr>
          <w:rFonts w:ascii="Times New Roman" w:hAnsi="Times New Roman" w:cs="Times New Roman"/>
          <w:color w:val="1C1C1C"/>
          <w:sz w:val="24"/>
          <w:szCs w:val="24"/>
          <w:shd w:val="clear" w:color="auto" w:fill="FFFFFF"/>
        </w:rPr>
        <w:t xml:space="preserve"> </w:t>
      </w:r>
      <w:r w:rsidR="0039753D">
        <w:rPr>
          <w:rFonts w:ascii="Times New Roman" w:hAnsi="Times New Roman" w:cs="Times New Roman"/>
          <w:color w:val="1C1C1C"/>
          <w:sz w:val="24"/>
          <w:szCs w:val="24"/>
          <w:shd w:val="clear" w:color="auto" w:fill="FFFFFF"/>
        </w:rPr>
        <w:t>emphasises</w:t>
      </w:r>
      <w:r w:rsidRPr="0004653D">
        <w:rPr>
          <w:rFonts w:ascii="Times New Roman" w:hAnsi="Times New Roman" w:cs="Times New Roman"/>
          <w:color w:val="1C1C1C"/>
          <w:sz w:val="24"/>
          <w:szCs w:val="24"/>
          <w:shd w:val="clear" w:color="auto" w:fill="FFFFFF"/>
        </w:rPr>
        <w:t xml:space="preserve"> the significance of transparency, ethics, and accountability in collecting and </w:t>
      </w:r>
      <w:r w:rsidR="00B439FB" w:rsidRPr="0004653D">
        <w:rPr>
          <w:rFonts w:ascii="Times New Roman" w:hAnsi="Times New Roman" w:cs="Times New Roman"/>
          <w:color w:val="1C1C1C"/>
          <w:sz w:val="24"/>
          <w:szCs w:val="24"/>
          <w:shd w:val="clear" w:color="auto" w:fill="FFFFFF"/>
        </w:rPr>
        <w:t>analysing</w:t>
      </w:r>
      <w:r w:rsidRPr="0004653D">
        <w:rPr>
          <w:rFonts w:ascii="Times New Roman" w:hAnsi="Times New Roman" w:cs="Times New Roman"/>
          <w:color w:val="1C1C1C"/>
          <w:sz w:val="24"/>
          <w:szCs w:val="24"/>
          <w:shd w:val="clear" w:color="auto" w:fill="FFFFFF"/>
        </w:rPr>
        <w:t xml:space="preserve"> data. According to </w:t>
      </w:r>
      <w:r w:rsidRPr="0095351A">
        <w:rPr>
          <w:rFonts w:ascii="Times New Roman" w:hAnsi="Times New Roman" w:cs="Times New Roman"/>
          <w:color w:val="1C1C1C"/>
          <w:sz w:val="24"/>
          <w:szCs w:val="24"/>
          <w:shd w:val="clear" w:color="auto" w:fill="FFFFFF"/>
        </w:rPr>
        <w:t>Rawls (2007),</w:t>
      </w:r>
      <w:r w:rsidRPr="0004653D">
        <w:rPr>
          <w:rFonts w:ascii="Times New Roman" w:hAnsi="Times New Roman" w:cs="Times New Roman"/>
          <w:color w:val="1C1C1C"/>
          <w:sz w:val="24"/>
          <w:szCs w:val="24"/>
          <w:shd w:val="clear" w:color="auto" w:fill="FFFFFF"/>
        </w:rPr>
        <w:t xml:space="preserve"> transparency is crucial to ensure </w:t>
      </w:r>
      <w:r w:rsidR="00D300AB">
        <w:rPr>
          <w:rFonts w:ascii="Times New Roman" w:hAnsi="Times New Roman" w:cs="Times New Roman"/>
          <w:color w:val="1C1C1C"/>
          <w:sz w:val="24"/>
          <w:szCs w:val="24"/>
          <w:shd w:val="clear" w:color="auto" w:fill="FFFFFF"/>
        </w:rPr>
        <w:t xml:space="preserve">that </w:t>
      </w:r>
      <w:r w:rsidR="0039753D">
        <w:rPr>
          <w:rFonts w:ascii="Times New Roman" w:hAnsi="Times New Roman" w:cs="Times New Roman"/>
          <w:color w:val="1C1C1C"/>
          <w:sz w:val="24"/>
          <w:szCs w:val="24"/>
          <w:shd w:val="clear" w:color="auto" w:fill="FFFFFF"/>
        </w:rPr>
        <w:t>the data collected is accurate and unbiased</w:t>
      </w:r>
      <w:r w:rsidRPr="0004653D">
        <w:rPr>
          <w:rFonts w:ascii="Times New Roman" w:hAnsi="Times New Roman" w:cs="Times New Roman"/>
          <w:color w:val="1C1C1C"/>
          <w:sz w:val="24"/>
          <w:szCs w:val="24"/>
          <w:shd w:val="clear" w:color="auto" w:fill="FFFFFF"/>
        </w:rPr>
        <w:t>. Ethical considerations are also critical in data collection and analysis</w:t>
      </w:r>
      <w:r w:rsidR="0039753D">
        <w:rPr>
          <w:rFonts w:ascii="Times New Roman" w:hAnsi="Times New Roman" w:cs="Times New Roman"/>
          <w:color w:val="1C1C1C"/>
          <w:sz w:val="24"/>
          <w:szCs w:val="24"/>
          <w:shd w:val="clear" w:color="auto" w:fill="FFFFFF"/>
        </w:rPr>
        <w:t>,</w:t>
      </w:r>
      <w:r w:rsidRPr="0004653D">
        <w:rPr>
          <w:rFonts w:ascii="Times New Roman" w:hAnsi="Times New Roman" w:cs="Times New Roman"/>
          <w:color w:val="1C1C1C"/>
          <w:sz w:val="24"/>
          <w:szCs w:val="24"/>
          <w:shd w:val="clear" w:color="auto" w:fill="FFFFFF"/>
        </w:rPr>
        <w:t xml:space="preserve"> as researchers must </w:t>
      </w:r>
      <w:r w:rsidR="003C02F9">
        <w:rPr>
          <w:rFonts w:ascii="Times New Roman" w:hAnsi="Times New Roman" w:cs="Times New Roman"/>
          <w:color w:val="1C1C1C"/>
          <w:sz w:val="24"/>
          <w:szCs w:val="24"/>
          <w:shd w:val="clear" w:color="auto" w:fill="FFFFFF"/>
        </w:rPr>
        <w:t>protect study participants' privacy and confidentiality</w:t>
      </w:r>
      <w:r w:rsidRPr="0004653D">
        <w:rPr>
          <w:rFonts w:ascii="Times New Roman" w:hAnsi="Times New Roman" w:cs="Times New Roman"/>
          <w:color w:val="1C1C1C"/>
          <w:sz w:val="24"/>
          <w:szCs w:val="24"/>
          <w:shd w:val="clear" w:color="auto" w:fill="FFFFFF"/>
        </w:rPr>
        <w:t xml:space="preserve">. Finally, accountability is essential to ensure that researchers are held </w:t>
      </w:r>
      <w:r w:rsidRPr="0004653D">
        <w:rPr>
          <w:rFonts w:ascii="Times New Roman" w:hAnsi="Times New Roman" w:cs="Times New Roman"/>
          <w:color w:val="1C1C1C"/>
          <w:sz w:val="24"/>
          <w:szCs w:val="24"/>
          <w:shd w:val="clear" w:color="auto" w:fill="FFFFFF"/>
        </w:rPr>
        <w:lastRenderedPageBreak/>
        <w:t xml:space="preserve">responsible for their actions and that the data collected is used </w:t>
      </w:r>
      <w:r w:rsidR="0039753D">
        <w:rPr>
          <w:rFonts w:ascii="Times New Roman" w:hAnsi="Times New Roman" w:cs="Times New Roman"/>
          <w:color w:val="1C1C1C"/>
          <w:sz w:val="24"/>
          <w:szCs w:val="24"/>
          <w:shd w:val="clear" w:color="auto" w:fill="FFFFFF"/>
        </w:rPr>
        <w:t>ethically and responsibly</w:t>
      </w:r>
      <w:r w:rsidR="00684D32">
        <w:rPr>
          <w:rFonts w:ascii="Times New Roman" w:hAnsi="Times New Roman" w:cs="Times New Roman"/>
          <w:color w:val="1C1C1C"/>
          <w:sz w:val="24"/>
          <w:szCs w:val="24"/>
          <w:shd w:val="clear" w:color="auto" w:fill="FFFFFF"/>
        </w:rPr>
        <w:t xml:space="preserve"> </w:t>
      </w:r>
      <w:r w:rsidR="00684D32" w:rsidRPr="00684D32">
        <w:rPr>
          <w:rFonts w:ascii="Times New Roman" w:hAnsi="Times New Roman" w:cs="Times New Roman"/>
          <w:sz w:val="24"/>
          <w:szCs w:val="24"/>
          <w:highlight w:val="yellow"/>
        </w:rPr>
        <w:t>(Pernecky, 2016)</w:t>
      </w:r>
      <w:r w:rsidR="00684D32">
        <w:rPr>
          <w:rFonts w:ascii="Times New Roman" w:hAnsi="Times New Roman" w:cs="Times New Roman"/>
          <w:sz w:val="24"/>
          <w:szCs w:val="24"/>
        </w:rPr>
        <w:t>.</w:t>
      </w:r>
    </w:p>
    <w:p w14:paraId="03BC615B" w14:textId="3D24915C" w:rsidR="003F1C9D" w:rsidRPr="003F1C9D" w:rsidRDefault="00BD7920" w:rsidP="003F1C9D">
      <w:pPr>
        <w:spacing w:line="480" w:lineRule="auto"/>
        <w:jc w:val="both"/>
        <w:rPr>
          <w:rFonts w:ascii="Times New Roman" w:hAnsi="Times New Roman" w:cs="Times New Roman"/>
          <w:sz w:val="24"/>
          <w:szCs w:val="24"/>
        </w:rPr>
      </w:pPr>
      <w:r>
        <w:rPr>
          <w:rFonts w:ascii="Times New Roman" w:hAnsi="Times New Roman" w:cs="Times New Roman"/>
          <w:sz w:val="24"/>
          <w:szCs w:val="24"/>
        </w:rPr>
        <w:t>This research aims</w:t>
      </w:r>
      <w:r w:rsidRPr="00BD7920">
        <w:rPr>
          <w:rFonts w:ascii="Times New Roman" w:hAnsi="Times New Roman" w:cs="Times New Roman"/>
          <w:sz w:val="24"/>
          <w:szCs w:val="24"/>
        </w:rPr>
        <w:t xml:space="preserve"> to develop evidence-based recommendations and best practices to enhance stakeholder engagement strategies amidst evolving global trade agreements and regulatory environments. By addressing the identified research aims, this study aims to contribute theoretical understanding and practical insights for MNCs, policymakers, and other stakeholders navigating the complexities of global trade dynamics</w:t>
      </w:r>
      <w:r w:rsidR="008A4EAB">
        <w:rPr>
          <w:rFonts w:ascii="Times New Roman" w:hAnsi="Times New Roman" w:cs="Times New Roman"/>
          <w:sz w:val="24"/>
          <w:szCs w:val="24"/>
        </w:rPr>
        <w:t xml:space="preserve"> </w:t>
      </w:r>
      <w:bookmarkStart w:id="20" w:name="_Toc163889323"/>
      <w:r w:rsidR="003F1C9D" w:rsidRPr="003F1C9D">
        <w:rPr>
          <w:rFonts w:ascii="Times New Roman" w:hAnsi="Times New Roman" w:cs="Times New Roman"/>
          <w:sz w:val="24"/>
          <w:szCs w:val="24"/>
          <w:highlight w:val="yellow"/>
        </w:rPr>
        <w:t>(Crump &amp; Maswood, 2011).</w:t>
      </w:r>
    </w:p>
    <w:p w14:paraId="1F389DA1" w14:textId="3E2DF27C" w:rsidR="00257911" w:rsidRPr="00521713" w:rsidRDefault="00CC68E7" w:rsidP="003F1C9D">
      <w:pPr>
        <w:spacing w:line="480" w:lineRule="auto"/>
        <w:jc w:val="both"/>
        <w:rPr>
          <w:color w:val="0070C0"/>
          <w:sz w:val="28"/>
          <w:szCs w:val="28"/>
        </w:rPr>
      </w:pPr>
      <w:r w:rsidRPr="00521713">
        <w:rPr>
          <w:color w:val="0070C0"/>
          <w:sz w:val="28"/>
          <w:szCs w:val="28"/>
        </w:rPr>
        <w:t>4.3</w:t>
      </w:r>
      <w:r w:rsidR="00D33D8B" w:rsidRPr="00521713">
        <w:rPr>
          <w:color w:val="0070C0"/>
          <w:sz w:val="28"/>
          <w:szCs w:val="28"/>
        </w:rPr>
        <w:t xml:space="preserve"> The Research Onion</w:t>
      </w:r>
      <w:bookmarkEnd w:id="20"/>
    </w:p>
    <w:p w14:paraId="124DE7AA" w14:textId="5BDF8F92" w:rsidR="005D64CC" w:rsidRPr="00C832B1" w:rsidRDefault="008676B7" w:rsidP="00593D11">
      <w:pPr>
        <w:spacing w:line="480" w:lineRule="auto"/>
        <w:jc w:val="both"/>
        <w:rPr>
          <w:rFonts w:ascii="Times New Roman" w:hAnsi="Times New Roman" w:cs="Times New Roman"/>
          <w:sz w:val="24"/>
          <w:szCs w:val="24"/>
          <w:lang w:eastAsia="en-GB"/>
        </w:rPr>
      </w:pPr>
      <w:r w:rsidRPr="008676B7">
        <w:rPr>
          <w:rFonts w:ascii="Times New Roman" w:hAnsi="Times New Roman" w:cs="Times New Roman"/>
          <w:sz w:val="24"/>
          <w:szCs w:val="24"/>
          <w:lang w:eastAsia="en-GB"/>
        </w:rPr>
        <w:t>The Research Onion</w:t>
      </w:r>
      <w:r w:rsidR="0019217C">
        <w:rPr>
          <w:rFonts w:ascii="Times New Roman" w:hAnsi="Times New Roman" w:cs="Times New Roman"/>
          <w:sz w:val="24"/>
          <w:szCs w:val="24"/>
          <w:lang w:eastAsia="en-GB"/>
        </w:rPr>
        <w:t xml:space="preserve"> Framework</w:t>
      </w:r>
      <w:r w:rsidRPr="008676B7">
        <w:rPr>
          <w:rFonts w:ascii="Times New Roman" w:hAnsi="Times New Roman" w:cs="Times New Roman"/>
          <w:sz w:val="24"/>
          <w:szCs w:val="24"/>
          <w:lang w:eastAsia="en-GB"/>
        </w:rPr>
        <w:t xml:space="preserve">, </w:t>
      </w:r>
      <w:r w:rsidR="0019217C">
        <w:rPr>
          <w:rFonts w:ascii="Times New Roman" w:hAnsi="Times New Roman" w:cs="Times New Roman"/>
          <w:sz w:val="24"/>
          <w:szCs w:val="24"/>
          <w:lang w:eastAsia="en-GB"/>
        </w:rPr>
        <w:t>developed</w:t>
      </w:r>
      <w:r w:rsidRPr="008676B7">
        <w:rPr>
          <w:rFonts w:ascii="Times New Roman" w:hAnsi="Times New Roman" w:cs="Times New Roman"/>
          <w:sz w:val="24"/>
          <w:szCs w:val="24"/>
          <w:lang w:eastAsia="en-GB"/>
        </w:rPr>
        <w:t xml:space="preserve"> by </w:t>
      </w:r>
      <w:r w:rsidRPr="00C0599A">
        <w:rPr>
          <w:rFonts w:ascii="Times New Roman" w:hAnsi="Times New Roman" w:cs="Times New Roman"/>
          <w:sz w:val="24"/>
          <w:szCs w:val="24"/>
          <w:highlight w:val="yellow"/>
          <w:lang w:eastAsia="en-GB"/>
        </w:rPr>
        <w:t>Saunders</w:t>
      </w:r>
      <w:r w:rsidR="00C0599A" w:rsidRPr="00C0599A">
        <w:rPr>
          <w:rFonts w:ascii="Times New Roman" w:hAnsi="Times New Roman" w:cs="Times New Roman"/>
          <w:sz w:val="24"/>
          <w:szCs w:val="24"/>
          <w:highlight w:val="yellow"/>
          <w:lang w:eastAsia="en-GB"/>
        </w:rPr>
        <w:t xml:space="preserve"> </w:t>
      </w:r>
      <w:r w:rsidR="00482A8F">
        <w:rPr>
          <w:rFonts w:ascii="Times New Roman" w:hAnsi="Times New Roman" w:cs="Times New Roman"/>
          <w:sz w:val="24"/>
          <w:szCs w:val="24"/>
          <w:highlight w:val="yellow"/>
          <w:lang w:eastAsia="en-GB"/>
        </w:rPr>
        <w:t>et al.</w:t>
      </w:r>
      <w:r w:rsidR="00C0599A" w:rsidRPr="00C0599A">
        <w:rPr>
          <w:rFonts w:ascii="Times New Roman" w:hAnsi="Times New Roman" w:cs="Times New Roman"/>
          <w:sz w:val="24"/>
          <w:szCs w:val="24"/>
          <w:highlight w:val="yellow"/>
          <w:lang w:eastAsia="en-GB"/>
        </w:rPr>
        <w:t xml:space="preserve"> (2012)</w:t>
      </w:r>
      <w:r w:rsidRPr="008676B7">
        <w:rPr>
          <w:rFonts w:ascii="Times New Roman" w:hAnsi="Times New Roman" w:cs="Times New Roman"/>
          <w:sz w:val="24"/>
          <w:szCs w:val="24"/>
          <w:lang w:eastAsia="en-GB"/>
        </w:rPr>
        <w:t>, presents an intricate, layered methodology for systematically designing research projects. It commences with broad, philosophical considerations</w:t>
      </w:r>
      <w:r w:rsidR="00713DD3">
        <w:rPr>
          <w:rFonts w:ascii="Times New Roman" w:hAnsi="Times New Roman" w:cs="Times New Roman"/>
          <w:sz w:val="24"/>
          <w:szCs w:val="24"/>
          <w:lang w:eastAsia="en-GB"/>
        </w:rPr>
        <w:t xml:space="preserve"> </w:t>
      </w:r>
      <w:r w:rsidRPr="008676B7">
        <w:rPr>
          <w:rFonts w:ascii="Times New Roman" w:hAnsi="Times New Roman" w:cs="Times New Roman"/>
          <w:sz w:val="24"/>
          <w:szCs w:val="24"/>
          <w:lang w:eastAsia="en-GB"/>
        </w:rPr>
        <w:t>encapsulating research paradigms</w:t>
      </w:r>
      <w:r w:rsidR="00482A8F">
        <w:rPr>
          <w:rFonts w:ascii="Times New Roman" w:hAnsi="Times New Roman" w:cs="Times New Roman"/>
          <w:sz w:val="24"/>
          <w:szCs w:val="24"/>
          <w:lang w:eastAsia="en-GB"/>
        </w:rPr>
        <w:t>.</w:t>
      </w:r>
      <w:r w:rsidRPr="008676B7">
        <w:rPr>
          <w:rFonts w:ascii="Times New Roman" w:hAnsi="Times New Roman" w:cs="Times New Roman"/>
          <w:sz w:val="24"/>
          <w:szCs w:val="24"/>
          <w:lang w:eastAsia="en-GB"/>
        </w:rPr>
        <w:t xml:space="preserve"> </w:t>
      </w:r>
      <w:r w:rsidR="00A37276" w:rsidRPr="00A37276">
        <w:rPr>
          <w:rFonts w:ascii="Times New Roman" w:hAnsi="Times New Roman" w:cs="Times New Roman"/>
          <w:sz w:val="24"/>
          <w:szCs w:val="24"/>
          <w:lang w:eastAsia="en-GB"/>
        </w:rPr>
        <w:t xml:space="preserve">The development of </w:t>
      </w:r>
      <w:r w:rsidR="00A37276">
        <w:rPr>
          <w:rFonts w:ascii="Times New Roman" w:hAnsi="Times New Roman" w:cs="Times New Roman"/>
          <w:sz w:val="24"/>
          <w:szCs w:val="24"/>
          <w:lang w:eastAsia="en-GB"/>
        </w:rPr>
        <w:t xml:space="preserve">the </w:t>
      </w:r>
      <w:r w:rsidR="00A37276" w:rsidRPr="00A37276">
        <w:rPr>
          <w:rFonts w:ascii="Times New Roman" w:hAnsi="Times New Roman" w:cs="Times New Roman"/>
          <w:sz w:val="24"/>
          <w:szCs w:val="24"/>
          <w:lang w:eastAsia="en-GB"/>
        </w:rPr>
        <w:t>research study can be a multifaceted process that involves a range of decisions. These can include selecting the research approach, such as positivism or constructivism, and deciding on the methodology, such as deductive or inductive reasoning</w:t>
      </w:r>
      <w:r w:rsidR="00C832B1">
        <w:rPr>
          <w:rFonts w:ascii="Times New Roman" w:hAnsi="Times New Roman" w:cs="Times New Roman"/>
          <w:sz w:val="24"/>
          <w:szCs w:val="24"/>
          <w:lang w:eastAsia="en-GB"/>
        </w:rPr>
        <w:t xml:space="preserve"> </w:t>
      </w:r>
      <w:r w:rsidR="00C832B1" w:rsidRPr="00C832B1">
        <w:rPr>
          <w:rFonts w:ascii="Times New Roman" w:hAnsi="Times New Roman" w:cs="Times New Roman"/>
          <w:sz w:val="24"/>
          <w:szCs w:val="24"/>
          <w:highlight w:val="yellow"/>
        </w:rPr>
        <w:t>(Bell &amp; Willmott, 2015)</w:t>
      </w:r>
    </w:p>
    <w:p w14:paraId="24080B2E" w14:textId="058E5A30" w:rsidR="00C07E57" w:rsidRDefault="00A37276" w:rsidP="00593D11">
      <w:pPr>
        <w:spacing w:line="480" w:lineRule="auto"/>
        <w:jc w:val="both"/>
        <w:rPr>
          <w:rFonts w:ascii="Times New Roman" w:hAnsi="Times New Roman" w:cs="Times New Roman"/>
          <w:sz w:val="24"/>
          <w:szCs w:val="24"/>
        </w:rPr>
      </w:pPr>
      <w:r w:rsidRPr="00A37276">
        <w:rPr>
          <w:rFonts w:ascii="Times New Roman" w:hAnsi="Times New Roman" w:cs="Times New Roman"/>
          <w:sz w:val="24"/>
          <w:szCs w:val="24"/>
          <w:lang w:eastAsia="en-GB"/>
        </w:rPr>
        <w:t>The Research Onion framework can be a valuable tool in this process. It provides a structured approach to selecting strategies, timeframes, and data collection and analysis techniques</w:t>
      </w:r>
      <w:r>
        <w:rPr>
          <w:rFonts w:ascii="Times New Roman" w:hAnsi="Times New Roman" w:cs="Times New Roman"/>
          <w:sz w:val="24"/>
          <w:szCs w:val="24"/>
          <w:lang w:eastAsia="en-GB"/>
        </w:rPr>
        <w:t>.</w:t>
      </w:r>
      <w:r w:rsidRPr="00A37276">
        <w:rPr>
          <w:rFonts w:ascii="Times New Roman" w:hAnsi="Times New Roman" w:cs="Times New Roman"/>
          <w:sz w:val="24"/>
          <w:szCs w:val="24"/>
          <w:lang w:eastAsia="en-GB"/>
        </w:rPr>
        <w:t xml:space="preserve"> This framework can help </w:t>
      </w:r>
      <w:r w:rsidR="00482A8F">
        <w:rPr>
          <w:rFonts w:ascii="Times New Roman" w:hAnsi="Times New Roman" w:cs="Times New Roman"/>
          <w:sz w:val="24"/>
          <w:szCs w:val="24"/>
          <w:lang w:eastAsia="en-GB"/>
        </w:rPr>
        <w:t xml:space="preserve">ensure </w:t>
      </w:r>
      <w:r w:rsidR="00D300AB">
        <w:rPr>
          <w:rFonts w:ascii="Times New Roman" w:hAnsi="Times New Roman" w:cs="Times New Roman"/>
          <w:sz w:val="24"/>
          <w:szCs w:val="24"/>
          <w:lang w:eastAsia="en-GB"/>
        </w:rPr>
        <w:t xml:space="preserve">that </w:t>
      </w:r>
      <w:r w:rsidR="00482A8F">
        <w:rPr>
          <w:rFonts w:ascii="Times New Roman" w:hAnsi="Times New Roman" w:cs="Times New Roman"/>
          <w:sz w:val="24"/>
          <w:szCs w:val="24"/>
          <w:lang w:eastAsia="en-GB"/>
        </w:rPr>
        <w:t xml:space="preserve">the research design is coherent and </w:t>
      </w:r>
      <w:r w:rsidRPr="00A37276">
        <w:rPr>
          <w:rFonts w:ascii="Times New Roman" w:hAnsi="Times New Roman" w:cs="Times New Roman"/>
          <w:sz w:val="24"/>
          <w:szCs w:val="24"/>
          <w:lang w:eastAsia="en-GB"/>
        </w:rPr>
        <w:t xml:space="preserve">aligns effectively with the </w:t>
      </w:r>
      <w:r w:rsidR="00D300AB">
        <w:rPr>
          <w:rFonts w:ascii="Times New Roman" w:hAnsi="Times New Roman" w:cs="Times New Roman"/>
          <w:sz w:val="24"/>
          <w:szCs w:val="24"/>
          <w:lang w:eastAsia="en-GB"/>
        </w:rPr>
        <w:t>Overarching</w:t>
      </w:r>
      <w:r w:rsidRPr="00A37276">
        <w:rPr>
          <w:rFonts w:ascii="Times New Roman" w:hAnsi="Times New Roman" w:cs="Times New Roman"/>
          <w:sz w:val="24"/>
          <w:szCs w:val="24"/>
          <w:lang w:eastAsia="en-GB"/>
        </w:rPr>
        <w:t xml:space="preserve"> research questions and aims</w:t>
      </w:r>
      <w:r w:rsidR="005E5A94">
        <w:rPr>
          <w:rFonts w:ascii="Times New Roman" w:hAnsi="Times New Roman" w:cs="Times New Roman"/>
          <w:sz w:val="24"/>
          <w:szCs w:val="24"/>
          <w:lang w:eastAsia="en-GB"/>
        </w:rPr>
        <w:t xml:space="preserve"> </w:t>
      </w:r>
      <w:r w:rsidR="005E5A94" w:rsidRPr="005E5A94">
        <w:rPr>
          <w:rFonts w:ascii="Times New Roman" w:hAnsi="Times New Roman" w:cs="Times New Roman"/>
          <w:sz w:val="24"/>
          <w:szCs w:val="24"/>
          <w:highlight w:val="yellow"/>
        </w:rPr>
        <w:t>(Clarke &amp; Dawson, 2012)</w:t>
      </w:r>
      <w:r w:rsidRPr="005E5A94">
        <w:rPr>
          <w:rFonts w:ascii="Times New Roman" w:hAnsi="Times New Roman" w:cs="Times New Roman"/>
          <w:sz w:val="24"/>
          <w:szCs w:val="24"/>
          <w:highlight w:val="yellow"/>
          <w:lang w:eastAsia="en-GB"/>
        </w:rPr>
        <w:t>.</w:t>
      </w:r>
      <w:r w:rsidR="00271319">
        <w:rPr>
          <w:rFonts w:ascii="Times New Roman" w:hAnsi="Times New Roman" w:cs="Times New Roman"/>
          <w:sz w:val="24"/>
          <w:szCs w:val="24"/>
          <w:lang w:eastAsia="en-GB"/>
        </w:rPr>
        <w:t xml:space="preserve"> </w:t>
      </w:r>
      <w:r w:rsidR="00C07E57">
        <w:rPr>
          <w:rFonts w:ascii="Times New Roman" w:hAnsi="Times New Roman" w:cs="Times New Roman"/>
          <w:sz w:val="24"/>
          <w:szCs w:val="24"/>
          <w:lang w:eastAsia="en-GB"/>
        </w:rPr>
        <w:t>Applying this framework in the research of case studies and surveys will help the researcher analyse stakeholder strategies within the context of global trade agreements and</w:t>
      </w:r>
      <w:r w:rsidR="008A4BC4">
        <w:rPr>
          <w:rFonts w:ascii="Times New Roman" w:hAnsi="Times New Roman" w:cs="Times New Roman"/>
          <w:sz w:val="24"/>
          <w:szCs w:val="24"/>
          <w:lang w:eastAsia="en-GB"/>
        </w:rPr>
        <w:t xml:space="preserve"> ensure methodological consistency </w:t>
      </w:r>
      <w:r w:rsidR="00C07E57">
        <w:rPr>
          <w:rFonts w:ascii="Times New Roman" w:hAnsi="Times New Roman" w:cs="Times New Roman"/>
          <w:sz w:val="24"/>
          <w:szCs w:val="24"/>
          <w:lang w:eastAsia="en-GB"/>
        </w:rPr>
        <w:t>and reliability in the study’s design and execution</w:t>
      </w:r>
      <w:r w:rsidR="00364988">
        <w:rPr>
          <w:rFonts w:ascii="Times New Roman" w:hAnsi="Times New Roman" w:cs="Times New Roman"/>
          <w:sz w:val="24"/>
          <w:szCs w:val="24"/>
          <w:lang w:eastAsia="en-GB"/>
        </w:rPr>
        <w:t>. T</w:t>
      </w:r>
      <w:r w:rsidR="00C07E57" w:rsidRPr="00FD5BC2">
        <w:rPr>
          <w:rFonts w:ascii="Times New Roman" w:hAnsi="Times New Roman" w:cs="Times New Roman"/>
          <w:sz w:val="24"/>
          <w:szCs w:val="24"/>
          <w:lang w:eastAsia="en-GB"/>
        </w:rPr>
        <w:t>he Research Onion model provides a structured approach to research design, enabling the researcher to justify each methodological decision and</w:t>
      </w:r>
      <w:r w:rsidR="00C07E57">
        <w:rPr>
          <w:rFonts w:ascii="Times New Roman" w:hAnsi="Times New Roman" w:cs="Times New Roman"/>
          <w:sz w:val="24"/>
          <w:szCs w:val="24"/>
          <w:lang w:eastAsia="en-GB"/>
        </w:rPr>
        <w:t>, thus, increase the rigour</w:t>
      </w:r>
      <w:r w:rsidR="00C07E57" w:rsidRPr="00FD5BC2">
        <w:rPr>
          <w:rFonts w:ascii="Times New Roman" w:hAnsi="Times New Roman" w:cs="Times New Roman"/>
          <w:sz w:val="24"/>
          <w:szCs w:val="24"/>
          <w:lang w:eastAsia="en-GB"/>
        </w:rPr>
        <w:t xml:space="preserve"> and credibility of the </w:t>
      </w:r>
      <w:r w:rsidR="00C07E57" w:rsidRPr="00D04AA5">
        <w:rPr>
          <w:rFonts w:ascii="Times New Roman" w:hAnsi="Times New Roman" w:cs="Times New Roman"/>
          <w:sz w:val="24"/>
          <w:szCs w:val="24"/>
          <w:lang w:eastAsia="en-GB"/>
        </w:rPr>
        <w:t>study</w:t>
      </w:r>
      <w:r w:rsidR="00F20DC7" w:rsidRPr="00D04AA5">
        <w:rPr>
          <w:rFonts w:ascii="Times New Roman" w:hAnsi="Times New Roman" w:cs="Times New Roman"/>
          <w:sz w:val="24"/>
          <w:szCs w:val="24"/>
          <w:lang w:eastAsia="en-GB"/>
        </w:rPr>
        <w:t xml:space="preserve"> </w:t>
      </w:r>
      <w:r w:rsidR="00D04AA5" w:rsidRPr="00D04AA5">
        <w:rPr>
          <w:rFonts w:ascii="Times New Roman" w:hAnsi="Times New Roman" w:cs="Times New Roman"/>
          <w:sz w:val="24"/>
          <w:szCs w:val="24"/>
          <w:highlight w:val="yellow"/>
        </w:rPr>
        <w:t>(Simon, 2017).</w:t>
      </w:r>
      <w:r w:rsidR="00C07E57">
        <w:rPr>
          <w:rFonts w:ascii="Times New Roman" w:hAnsi="Times New Roman" w:cs="Times New Roman"/>
          <w:sz w:val="24"/>
          <w:szCs w:val="24"/>
          <w:lang w:eastAsia="en-GB"/>
        </w:rPr>
        <w:t xml:space="preserve"> </w:t>
      </w:r>
      <w:r w:rsidR="00C07E57" w:rsidRPr="003D54A2">
        <w:rPr>
          <w:rFonts w:ascii="Times New Roman" w:hAnsi="Times New Roman" w:cs="Times New Roman"/>
          <w:sz w:val="24"/>
          <w:szCs w:val="24"/>
          <w:lang w:eastAsia="en-GB"/>
        </w:rPr>
        <w:t xml:space="preserve">The </w:t>
      </w:r>
      <w:r w:rsidR="00C07E57">
        <w:rPr>
          <w:rFonts w:ascii="Times New Roman" w:hAnsi="Times New Roman" w:cs="Times New Roman"/>
          <w:sz w:val="24"/>
          <w:szCs w:val="24"/>
          <w:lang w:eastAsia="en-GB"/>
        </w:rPr>
        <w:t>research</w:t>
      </w:r>
      <w:r w:rsidR="00C07E57" w:rsidRPr="003D54A2">
        <w:rPr>
          <w:rFonts w:ascii="Times New Roman" w:hAnsi="Times New Roman" w:cs="Times New Roman"/>
          <w:sz w:val="24"/>
          <w:szCs w:val="24"/>
          <w:lang w:eastAsia="en-GB"/>
        </w:rPr>
        <w:t xml:space="preserve"> will use a mixed-method approach to investigate the effects of stakeholder engagement </w:t>
      </w:r>
      <w:r w:rsidR="00C07E57" w:rsidRPr="003D54A2">
        <w:rPr>
          <w:rFonts w:ascii="Times New Roman" w:hAnsi="Times New Roman" w:cs="Times New Roman"/>
          <w:sz w:val="24"/>
          <w:szCs w:val="24"/>
          <w:lang w:eastAsia="en-GB"/>
        </w:rPr>
        <w:lastRenderedPageBreak/>
        <w:t xml:space="preserve">strategies on global trade agreements. This approach combines the statistical </w:t>
      </w:r>
      <w:r w:rsidR="00C07E57">
        <w:rPr>
          <w:rFonts w:ascii="Times New Roman" w:hAnsi="Times New Roman" w:cs="Times New Roman"/>
          <w:sz w:val="24"/>
          <w:szCs w:val="24"/>
          <w:lang w:eastAsia="en-GB"/>
        </w:rPr>
        <w:t>rigour</w:t>
      </w:r>
      <w:r w:rsidR="00C07E57" w:rsidRPr="003D54A2">
        <w:rPr>
          <w:rFonts w:ascii="Times New Roman" w:hAnsi="Times New Roman" w:cs="Times New Roman"/>
          <w:sz w:val="24"/>
          <w:szCs w:val="24"/>
          <w:lang w:eastAsia="en-GB"/>
        </w:rPr>
        <w:t xml:space="preserve"> of quantitative analysis with the richness of qualitative research. By capturing both macroscopic and microscopic stakeholder-specific dynamics, this methodology can offer valuable insights into the strategic interplay between multinational corporations (MNCs) and global trade frameworks</w:t>
      </w:r>
      <w:r w:rsidR="00C07E57">
        <w:rPr>
          <w:rFonts w:ascii="Times New Roman" w:hAnsi="Times New Roman" w:cs="Times New Roman"/>
          <w:sz w:val="24"/>
          <w:szCs w:val="24"/>
          <w:lang w:eastAsia="en-GB"/>
        </w:rPr>
        <w:t xml:space="preserve"> </w:t>
      </w:r>
      <w:r w:rsidR="00C07E57" w:rsidRPr="003D54A2">
        <w:rPr>
          <w:rFonts w:ascii="Times New Roman" w:hAnsi="Times New Roman" w:cs="Times New Roman"/>
          <w:sz w:val="24"/>
          <w:szCs w:val="24"/>
          <w:highlight w:val="yellow"/>
        </w:rPr>
        <w:t>(Crespo &amp; Simões, 2021)</w:t>
      </w:r>
      <w:r w:rsidR="00C07E57">
        <w:rPr>
          <w:rFonts w:ascii="Times New Roman" w:hAnsi="Times New Roman" w:cs="Times New Roman"/>
          <w:sz w:val="24"/>
          <w:szCs w:val="24"/>
        </w:rPr>
        <w:t xml:space="preserve">. </w:t>
      </w:r>
    </w:p>
    <w:p w14:paraId="6FDA1C53" w14:textId="63A1B994" w:rsidR="00271319" w:rsidRDefault="00271319" w:rsidP="00A37276">
      <w:pPr>
        <w:spacing w:line="360" w:lineRule="auto"/>
        <w:jc w:val="both"/>
        <w:rPr>
          <w:rFonts w:ascii="Times New Roman" w:hAnsi="Times New Roman" w:cs="Times New Roman"/>
          <w:sz w:val="24"/>
          <w:szCs w:val="24"/>
          <w:lang w:eastAsia="en-GB"/>
        </w:rPr>
      </w:pPr>
    </w:p>
    <w:p w14:paraId="684A5DCA" w14:textId="0FD25CF0" w:rsidR="00482A8F" w:rsidRDefault="00482A8F" w:rsidP="00A3727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441F48" wp14:editId="0187B09D">
            <wp:extent cx="5731510" cy="3951605"/>
            <wp:effectExtent l="0" t="0" r="2540" b="0"/>
            <wp:docPr id="166219187" name="Picture 1" descr="A diagram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9187" name="Picture 1" descr="A diagram of a metho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951605"/>
                    </a:xfrm>
                    <a:prstGeom prst="rect">
                      <a:avLst/>
                    </a:prstGeom>
                  </pic:spPr>
                </pic:pic>
              </a:graphicData>
            </a:graphic>
          </wp:inline>
        </w:drawing>
      </w:r>
    </w:p>
    <w:p w14:paraId="08D1B018" w14:textId="38A0BDF9" w:rsidR="00482A8F" w:rsidRPr="00482A8F" w:rsidRDefault="00482A8F" w:rsidP="00A37276">
      <w:pPr>
        <w:spacing w:line="360" w:lineRule="auto"/>
        <w:jc w:val="both"/>
        <w:rPr>
          <w:rFonts w:ascii="Times New Roman" w:hAnsi="Times New Roman" w:cs="Times New Roman"/>
          <w:b/>
          <w:bCs/>
          <w:sz w:val="24"/>
          <w:szCs w:val="24"/>
        </w:rPr>
      </w:pPr>
      <w:r w:rsidRPr="00482A8F">
        <w:rPr>
          <w:rFonts w:ascii="Times New Roman" w:hAnsi="Times New Roman" w:cs="Times New Roman"/>
          <w:b/>
          <w:bCs/>
          <w:sz w:val="24"/>
          <w:szCs w:val="24"/>
        </w:rPr>
        <w:t>Figure 1. The Research Onion Framework</w:t>
      </w:r>
      <w:r>
        <w:rPr>
          <w:rFonts w:ascii="Times New Roman" w:hAnsi="Times New Roman" w:cs="Times New Roman"/>
          <w:b/>
          <w:bCs/>
          <w:sz w:val="24"/>
          <w:szCs w:val="24"/>
        </w:rPr>
        <w:t xml:space="preserve"> </w:t>
      </w:r>
      <w:r w:rsidR="005D64CC">
        <w:rPr>
          <w:rFonts w:ascii="Times New Roman" w:hAnsi="Times New Roman" w:cs="Times New Roman"/>
          <w:b/>
          <w:bCs/>
          <w:sz w:val="24"/>
          <w:szCs w:val="24"/>
        </w:rPr>
        <w:t xml:space="preserve">was </w:t>
      </w:r>
      <w:r>
        <w:rPr>
          <w:rFonts w:ascii="Times New Roman" w:hAnsi="Times New Roman" w:cs="Times New Roman"/>
          <w:b/>
          <w:bCs/>
          <w:sz w:val="24"/>
          <w:szCs w:val="24"/>
        </w:rPr>
        <w:t xml:space="preserve">developed by </w:t>
      </w:r>
      <w:r w:rsidRPr="003415A3">
        <w:rPr>
          <w:rFonts w:ascii="Times New Roman" w:hAnsi="Times New Roman" w:cs="Times New Roman"/>
          <w:b/>
          <w:bCs/>
          <w:sz w:val="24"/>
          <w:szCs w:val="24"/>
          <w:highlight w:val="yellow"/>
        </w:rPr>
        <w:t>(Saunders et al. 2012).</w:t>
      </w:r>
    </w:p>
    <w:p w14:paraId="54EFD67E" w14:textId="21D7F9C1" w:rsidR="00D37C25" w:rsidRPr="0058565C" w:rsidRDefault="00D37C25" w:rsidP="00D37C25">
      <w:pPr>
        <w:pStyle w:val="Heading3"/>
        <w:rPr>
          <w:color w:val="0070C0"/>
          <w:sz w:val="28"/>
          <w:szCs w:val="28"/>
        </w:rPr>
      </w:pPr>
      <w:bookmarkStart w:id="21" w:name="_Toc163889324"/>
      <w:r w:rsidRPr="0058565C">
        <w:rPr>
          <w:color w:val="0070C0"/>
          <w:sz w:val="28"/>
          <w:szCs w:val="28"/>
        </w:rPr>
        <w:t>4.</w:t>
      </w:r>
      <w:r w:rsidR="00CC68E7" w:rsidRPr="0058565C">
        <w:rPr>
          <w:color w:val="0070C0"/>
          <w:sz w:val="28"/>
          <w:szCs w:val="28"/>
        </w:rPr>
        <w:t>3.1</w:t>
      </w:r>
      <w:r w:rsidRPr="0058565C">
        <w:rPr>
          <w:color w:val="0070C0"/>
          <w:sz w:val="28"/>
          <w:szCs w:val="28"/>
        </w:rPr>
        <w:t xml:space="preserve"> </w:t>
      </w:r>
      <w:r w:rsidR="00BD7920" w:rsidRPr="0058565C">
        <w:rPr>
          <w:color w:val="0070C0"/>
          <w:sz w:val="28"/>
          <w:szCs w:val="28"/>
        </w:rPr>
        <w:t>Research</w:t>
      </w:r>
      <w:r w:rsidRPr="0058565C">
        <w:rPr>
          <w:color w:val="0070C0"/>
          <w:sz w:val="28"/>
          <w:szCs w:val="28"/>
        </w:rPr>
        <w:t xml:space="preserve"> Justification</w:t>
      </w:r>
      <w:bookmarkEnd w:id="21"/>
    </w:p>
    <w:p w14:paraId="10048754" w14:textId="3CDDBA1A" w:rsidR="00D37C25" w:rsidRPr="00BB6285" w:rsidRDefault="00D37C25" w:rsidP="003C2C49">
      <w:pPr>
        <w:spacing w:line="480" w:lineRule="auto"/>
        <w:jc w:val="both"/>
        <w:rPr>
          <w:rFonts w:ascii="Times New Roman" w:hAnsi="Times New Roman" w:cs="Times New Roman"/>
          <w:sz w:val="24"/>
          <w:szCs w:val="24"/>
        </w:rPr>
      </w:pPr>
      <w:r w:rsidRPr="00482A8F">
        <w:rPr>
          <w:rFonts w:ascii="Times New Roman" w:hAnsi="Times New Roman" w:cs="Times New Roman"/>
          <w:sz w:val="24"/>
          <w:szCs w:val="24"/>
        </w:rPr>
        <w:t xml:space="preserve">While </w:t>
      </w:r>
      <w:r w:rsidR="00482A8F">
        <w:rPr>
          <w:rFonts w:ascii="Times New Roman" w:hAnsi="Times New Roman" w:cs="Times New Roman"/>
          <w:sz w:val="24"/>
          <w:szCs w:val="24"/>
        </w:rPr>
        <w:t xml:space="preserve">quantitative and qualitative research methods have </w:t>
      </w:r>
      <w:r w:rsidRPr="00482A8F">
        <w:rPr>
          <w:rFonts w:ascii="Times New Roman" w:hAnsi="Times New Roman" w:cs="Times New Roman"/>
          <w:sz w:val="24"/>
          <w:szCs w:val="24"/>
        </w:rPr>
        <w:t xml:space="preserve">benefits in answering research questions, a mixed-method approach can effectively address the complex nature of analysing stakeholder engagement strategies in the context of global trade agreements. This choice is based on </w:t>
      </w:r>
      <w:r w:rsidR="00482A8F">
        <w:rPr>
          <w:rFonts w:ascii="Times New Roman" w:hAnsi="Times New Roman" w:cs="Times New Roman"/>
          <w:sz w:val="24"/>
          <w:szCs w:val="24"/>
        </w:rPr>
        <w:t>solid</w:t>
      </w:r>
      <w:r w:rsidR="00372AB3" w:rsidRPr="00482A8F">
        <w:rPr>
          <w:rFonts w:ascii="Times New Roman" w:hAnsi="Times New Roman" w:cs="Times New Roman"/>
          <w:sz w:val="24"/>
          <w:szCs w:val="24"/>
        </w:rPr>
        <w:t xml:space="preserve"> justification</w:t>
      </w:r>
      <w:r w:rsidR="005B0EA9">
        <w:rPr>
          <w:rFonts w:ascii="Times New Roman" w:hAnsi="Times New Roman" w:cs="Times New Roman"/>
          <w:sz w:val="24"/>
          <w:szCs w:val="24"/>
        </w:rPr>
        <w:t xml:space="preserve"> </w:t>
      </w:r>
      <w:r w:rsidR="005B0EA9" w:rsidRPr="005B0EA9">
        <w:rPr>
          <w:rFonts w:ascii="Times New Roman" w:hAnsi="Times New Roman" w:cs="Times New Roman"/>
          <w:sz w:val="24"/>
          <w:szCs w:val="24"/>
          <w:highlight w:val="yellow"/>
        </w:rPr>
        <w:t>(Creamer, 2018)</w:t>
      </w:r>
      <w:r w:rsidR="005B0EA9">
        <w:rPr>
          <w:rFonts w:ascii="Times New Roman" w:hAnsi="Times New Roman" w:cs="Times New Roman"/>
          <w:sz w:val="24"/>
          <w:szCs w:val="24"/>
        </w:rPr>
        <w:t>.</w:t>
      </w:r>
      <w:r w:rsidR="00B16D8D">
        <w:rPr>
          <w:rFonts w:ascii="Times New Roman" w:hAnsi="Times New Roman" w:cs="Times New Roman"/>
          <w:sz w:val="24"/>
          <w:szCs w:val="24"/>
        </w:rPr>
        <w:t xml:space="preserve"> </w:t>
      </w:r>
      <w:r w:rsidR="00E064B3">
        <w:rPr>
          <w:rFonts w:ascii="Times New Roman" w:hAnsi="Times New Roman" w:cs="Times New Roman"/>
          <w:sz w:val="24"/>
          <w:szCs w:val="24"/>
        </w:rPr>
        <w:t xml:space="preserve">While </w:t>
      </w:r>
      <w:r w:rsidR="00BB6285">
        <w:rPr>
          <w:rFonts w:ascii="Times New Roman" w:hAnsi="Times New Roman" w:cs="Times New Roman"/>
          <w:sz w:val="24"/>
          <w:szCs w:val="24"/>
        </w:rPr>
        <w:t>using</w:t>
      </w:r>
      <w:r w:rsidR="00E064B3">
        <w:rPr>
          <w:rFonts w:ascii="Times New Roman" w:hAnsi="Times New Roman" w:cs="Times New Roman"/>
          <w:sz w:val="24"/>
          <w:szCs w:val="24"/>
        </w:rPr>
        <w:t xml:space="preserve"> a mixed-method approach in research is common, it</w:t>
      </w:r>
      <w:r w:rsidR="00B16D8D" w:rsidRPr="00B16D8D">
        <w:rPr>
          <w:rFonts w:ascii="Times New Roman" w:hAnsi="Times New Roman" w:cs="Times New Roman"/>
          <w:sz w:val="24"/>
          <w:szCs w:val="24"/>
        </w:rPr>
        <w:t xml:space="preserve"> carries certain drawbacks that warrant critical examination. This methodology, </w:t>
      </w:r>
      <w:r w:rsidR="00B16D8D" w:rsidRPr="00B16D8D">
        <w:rPr>
          <w:rFonts w:ascii="Times New Roman" w:hAnsi="Times New Roman" w:cs="Times New Roman"/>
          <w:sz w:val="24"/>
          <w:szCs w:val="24"/>
        </w:rPr>
        <w:lastRenderedPageBreak/>
        <w:t>which combines qualitative and quantitative techniques, may introduce complexities and challenges that compromise the reliability and validity of findings</w:t>
      </w:r>
      <w:r w:rsidR="00BB6285" w:rsidRPr="00BB6285">
        <w:t xml:space="preserve"> </w:t>
      </w:r>
      <w:r w:rsidR="00BB6285" w:rsidRPr="00BB6285">
        <w:rPr>
          <w:rFonts w:ascii="Times New Roman" w:hAnsi="Times New Roman" w:cs="Times New Roman"/>
          <w:sz w:val="24"/>
          <w:szCs w:val="24"/>
          <w:highlight w:val="yellow"/>
        </w:rPr>
        <w:t>(Edson et al., 2018)</w:t>
      </w:r>
      <w:r w:rsidR="00BB6285">
        <w:rPr>
          <w:rFonts w:ascii="Times New Roman" w:hAnsi="Times New Roman" w:cs="Times New Roman"/>
          <w:sz w:val="24"/>
          <w:szCs w:val="24"/>
        </w:rPr>
        <w:t>.</w:t>
      </w:r>
    </w:p>
    <w:p w14:paraId="5899A422" w14:textId="4CE094DF" w:rsidR="00D37C25" w:rsidRPr="0058565C" w:rsidRDefault="00D37C25" w:rsidP="000150C2">
      <w:pPr>
        <w:pStyle w:val="Heading2"/>
        <w:rPr>
          <w:color w:val="0070C0"/>
          <w:sz w:val="28"/>
          <w:szCs w:val="28"/>
        </w:rPr>
      </w:pPr>
      <w:bookmarkStart w:id="22" w:name="_Toc163889325"/>
      <w:r w:rsidRPr="0058565C">
        <w:rPr>
          <w:color w:val="0070C0"/>
          <w:sz w:val="28"/>
          <w:szCs w:val="28"/>
        </w:rPr>
        <w:t>4.</w:t>
      </w:r>
      <w:r w:rsidR="00CC68E7" w:rsidRPr="0058565C">
        <w:rPr>
          <w:color w:val="0070C0"/>
          <w:sz w:val="28"/>
          <w:szCs w:val="28"/>
        </w:rPr>
        <w:t>3.2</w:t>
      </w:r>
      <w:r w:rsidRPr="0058565C">
        <w:rPr>
          <w:color w:val="0070C0"/>
          <w:sz w:val="28"/>
          <w:szCs w:val="28"/>
        </w:rPr>
        <w:t xml:space="preserve"> Broader perspective</w:t>
      </w:r>
      <w:bookmarkEnd w:id="22"/>
    </w:p>
    <w:p w14:paraId="3AABA0B4" w14:textId="46EAF9F1" w:rsidR="00E9222F" w:rsidRDefault="00A56DE9" w:rsidP="003C2C49">
      <w:pPr>
        <w:spacing w:line="480" w:lineRule="auto"/>
        <w:jc w:val="both"/>
        <w:rPr>
          <w:rFonts w:ascii="Times New Roman" w:hAnsi="Times New Roman" w:cs="Times New Roman"/>
          <w:sz w:val="24"/>
          <w:szCs w:val="24"/>
        </w:rPr>
      </w:pPr>
      <w:r w:rsidRPr="00970448">
        <w:rPr>
          <w:rFonts w:ascii="Times New Roman" w:hAnsi="Times New Roman" w:cs="Times New Roman"/>
          <w:sz w:val="24"/>
          <w:szCs w:val="24"/>
        </w:rPr>
        <w:t>Integrating</w:t>
      </w:r>
      <w:r w:rsidR="0017315B" w:rsidRPr="00970448">
        <w:rPr>
          <w:rFonts w:ascii="Times New Roman" w:hAnsi="Times New Roman" w:cs="Times New Roman"/>
          <w:sz w:val="24"/>
          <w:szCs w:val="24"/>
        </w:rPr>
        <w:t xml:space="preserve"> empirical robustness and in-depth context-sensitive analysis in business research is </w:t>
      </w:r>
      <w:r w:rsidRPr="00970448">
        <w:rPr>
          <w:rFonts w:ascii="Times New Roman" w:hAnsi="Times New Roman" w:cs="Times New Roman"/>
          <w:sz w:val="24"/>
          <w:szCs w:val="24"/>
        </w:rPr>
        <w:t xml:space="preserve">critical </w:t>
      </w:r>
      <w:r w:rsidR="0017315B" w:rsidRPr="00970448">
        <w:rPr>
          <w:rFonts w:ascii="Times New Roman" w:hAnsi="Times New Roman" w:cs="Times New Roman"/>
          <w:sz w:val="24"/>
          <w:szCs w:val="24"/>
        </w:rPr>
        <w:t xml:space="preserve">in expanding its appeal to a </w:t>
      </w:r>
      <w:r w:rsidRPr="00970448">
        <w:rPr>
          <w:rFonts w:ascii="Times New Roman" w:hAnsi="Times New Roman" w:cs="Times New Roman"/>
          <w:sz w:val="24"/>
          <w:szCs w:val="24"/>
        </w:rPr>
        <w:t>broader</w:t>
      </w:r>
      <w:r w:rsidR="0017315B" w:rsidRPr="00970448">
        <w:rPr>
          <w:rFonts w:ascii="Times New Roman" w:hAnsi="Times New Roman" w:cs="Times New Roman"/>
          <w:sz w:val="24"/>
          <w:szCs w:val="24"/>
        </w:rPr>
        <w:t xml:space="preserve"> audience. This approach allows for a comprehensive study of the theoretical and practical aspects of the research</w:t>
      </w:r>
      <w:r w:rsidR="00E9222F" w:rsidRPr="00970448">
        <w:rPr>
          <w:rFonts w:ascii="Times New Roman" w:hAnsi="Times New Roman" w:cs="Times New Roman"/>
          <w:sz w:val="24"/>
          <w:szCs w:val="24"/>
        </w:rPr>
        <w:t xml:space="preserve"> but </w:t>
      </w:r>
      <w:r w:rsidR="0017315B" w:rsidRPr="00970448">
        <w:rPr>
          <w:rFonts w:ascii="Times New Roman" w:hAnsi="Times New Roman" w:cs="Times New Roman"/>
          <w:sz w:val="24"/>
          <w:szCs w:val="24"/>
        </w:rPr>
        <w:t xml:space="preserve">also promotes </w:t>
      </w:r>
      <w:r w:rsidR="00FD40E1">
        <w:rPr>
          <w:rFonts w:ascii="Times New Roman" w:hAnsi="Times New Roman" w:cs="Times New Roman"/>
          <w:sz w:val="24"/>
          <w:szCs w:val="24"/>
        </w:rPr>
        <w:t>Its</w:t>
      </w:r>
      <w:r w:rsidR="0017315B" w:rsidRPr="00970448">
        <w:rPr>
          <w:rFonts w:ascii="Times New Roman" w:hAnsi="Times New Roman" w:cs="Times New Roman"/>
          <w:sz w:val="24"/>
          <w:szCs w:val="24"/>
        </w:rPr>
        <w:t xml:space="preserve"> applicability in real-world contexts</w:t>
      </w:r>
      <w:r w:rsidR="00BE4F36">
        <w:rPr>
          <w:rFonts w:ascii="Times New Roman" w:hAnsi="Times New Roman" w:cs="Times New Roman"/>
          <w:sz w:val="24"/>
          <w:szCs w:val="24"/>
        </w:rPr>
        <w:t xml:space="preserve"> </w:t>
      </w:r>
      <w:r w:rsidR="00BE4F36" w:rsidRPr="00BE4F36">
        <w:rPr>
          <w:rFonts w:ascii="Times New Roman" w:hAnsi="Times New Roman" w:cs="Times New Roman"/>
          <w:sz w:val="24"/>
          <w:szCs w:val="24"/>
          <w:highlight w:val="yellow"/>
        </w:rPr>
        <w:t>(Meyer &amp; Schneider, 2021)</w:t>
      </w:r>
      <w:r w:rsidR="0016444F">
        <w:rPr>
          <w:rFonts w:ascii="Times New Roman" w:hAnsi="Times New Roman" w:cs="Times New Roman"/>
          <w:sz w:val="24"/>
          <w:szCs w:val="24"/>
          <w:highlight w:val="yellow"/>
        </w:rPr>
        <w:t>.</w:t>
      </w:r>
      <w:r w:rsidR="0017315B" w:rsidRPr="00970448">
        <w:rPr>
          <w:rFonts w:ascii="Times New Roman" w:hAnsi="Times New Roman" w:cs="Times New Roman"/>
          <w:sz w:val="24"/>
          <w:szCs w:val="24"/>
        </w:rPr>
        <w:t xml:space="preserve"> </w:t>
      </w:r>
      <w:r w:rsidR="00D61417" w:rsidRPr="00970448">
        <w:rPr>
          <w:rFonts w:ascii="Times New Roman" w:hAnsi="Times New Roman" w:cs="Times New Roman"/>
          <w:sz w:val="24"/>
          <w:szCs w:val="24"/>
        </w:rPr>
        <w:t>This method ensures that the research outcomes are valuable and practical by facilitating the generation of statistically significant insights</w:t>
      </w:r>
      <w:r w:rsidR="0017315B" w:rsidRPr="00970448">
        <w:rPr>
          <w:rFonts w:ascii="Times New Roman" w:hAnsi="Times New Roman" w:cs="Times New Roman"/>
          <w:sz w:val="24"/>
          <w:szCs w:val="24"/>
        </w:rPr>
        <w:t xml:space="preserve">. </w:t>
      </w:r>
      <w:r w:rsidRPr="00970448">
        <w:rPr>
          <w:rFonts w:ascii="Times New Roman" w:hAnsi="Times New Roman" w:cs="Times New Roman"/>
          <w:sz w:val="24"/>
          <w:szCs w:val="24"/>
        </w:rPr>
        <w:t>Incorporating this approach helps</w:t>
      </w:r>
      <w:r w:rsidR="0017315B" w:rsidRPr="00970448">
        <w:rPr>
          <w:rFonts w:ascii="Times New Roman" w:hAnsi="Times New Roman" w:cs="Times New Roman"/>
          <w:sz w:val="24"/>
          <w:szCs w:val="24"/>
        </w:rPr>
        <w:t xml:space="preserve"> bridge the gap between academia and business, creating a harmonious relationship. As such, the research is transformed into a </w:t>
      </w:r>
      <w:r w:rsidRPr="00970448">
        <w:rPr>
          <w:rFonts w:ascii="Times New Roman" w:hAnsi="Times New Roman" w:cs="Times New Roman"/>
          <w:sz w:val="24"/>
          <w:szCs w:val="24"/>
        </w:rPr>
        <w:t>valuable</w:t>
      </w:r>
      <w:r w:rsidR="0017315B" w:rsidRPr="00970448">
        <w:rPr>
          <w:rFonts w:ascii="Times New Roman" w:hAnsi="Times New Roman" w:cs="Times New Roman"/>
          <w:sz w:val="24"/>
          <w:szCs w:val="24"/>
        </w:rPr>
        <w:t xml:space="preserve"> tool for businesses, allowing them to make informed decisions grounded in empirical evidence</w:t>
      </w:r>
      <w:r w:rsidR="002D0ED6">
        <w:rPr>
          <w:rFonts w:ascii="Times New Roman" w:hAnsi="Times New Roman" w:cs="Times New Roman"/>
          <w:sz w:val="24"/>
          <w:szCs w:val="24"/>
        </w:rPr>
        <w:t xml:space="preserve"> </w:t>
      </w:r>
      <w:r w:rsidR="002D0ED6" w:rsidRPr="002D0ED6">
        <w:rPr>
          <w:rFonts w:ascii="Times New Roman" w:hAnsi="Times New Roman" w:cs="Times New Roman"/>
          <w:sz w:val="24"/>
          <w:szCs w:val="24"/>
          <w:highlight w:val="yellow"/>
        </w:rPr>
        <w:t>(Whetton, 1989).</w:t>
      </w:r>
    </w:p>
    <w:p w14:paraId="7803B766" w14:textId="43F5EB2C" w:rsidR="00D37C25" w:rsidRPr="00465467" w:rsidRDefault="00D37C25" w:rsidP="003C2C49">
      <w:pPr>
        <w:pStyle w:val="Heading3"/>
        <w:spacing w:line="480" w:lineRule="auto"/>
        <w:jc w:val="both"/>
        <w:rPr>
          <w:color w:val="0070C0"/>
          <w:sz w:val="28"/>
          <w:szCs w:val="28"/>
        </w:rPr>
      </w:pPr>
      <w:bookmarkStart w:id="23" w:name="_Toc163889326"/>
      <w:r w:rsidRPr="00465467">
        <w:rPr>
          <w:color w:val="0070C0"/>
          <w:sz w:val="28"/>
          <w:szCs w:val="28"/>
        </w:rPr>
        <w:t>4.</w:t>
      </w:r>
      <w:r w:rsidR="00CC68E7" w:rsidRPr="00465467">
        <w:rPr>
          <w:color w:val="0070C0"/>
          <w:sz w:val="28"/>
          <w:szCs w:val="28"/>
        </w:rPr>
        <w:t>3.3.</w:t>
      </w:r>
      <w:r w:rsidRPr="00465467">
        <w:rPr>
          <w:color w:val="0070C0"/>
          <w:sz w:val="28"/>
          <w:szCs w:val="28"/>
        </w:rPr>
        <w:t xml:space="preserve"> Validation and Corroboration</w:t>
      </w:r>
      <w:bookmarkEnd w:id="23"/>
    </w:p>
    <w:p w14:paraId="4B1B23DC" w14:textId="0AC782EC" w:rsidR="00FA063A" w:rsidRPr="00607BAE" w:rsidRDefault="00FA063A" w:rsidP="00FA063A">
      <w:pPr>
        <w:spacing w:line="480" w:lineRule="auto"/>
        <w:jc w:val="both"/>
        <w:rPr>
          <w:rFonts w:ascii="Times New Roman" w:hAnsi="Times New Roman" w:cs="Times New Roman"/>
          <w:sz w:val="24"/>
          <w:szCs w:val="24"/>
        </w:rPr>
      </w:pPr>
      <w:r w:rsidRPr="00607BAE">
        <w:rPr>
          <w:rFonts w:ascii="Times New Roman" w:hAnsi="Times New Roman" w:cs="Times New Roman"/>
          <w:sz w:val="24"/>
          <w:szCs w:val="24"/>
        </w:rPr>
        <w:t xml:space="preserve">Quantitative and qualitative data serve as complementary tools in research, contributing to the validation and reliability of findings through triangulation. This methodological approach enhances the study's credibility by corroborating insights </w:t>
      </w:r>
      <w:r w:rsidR="00E064B3">
        <w:rPr>
          <w:rFonts w:ascii="Times New Roman" w:hAnsi="Times New Roman" w:cs="Times New Roman"/>
          <w:sz w:val="24"/>
          <w:szCs w:val="24"/>
        </w:rPr>
        <w:t xml:space="preserve">from one method with those </w:t>
      </w:r>
      <w:r w:rsidRPr="00607BAE">
        <w:rPr>
          <w:rFonts w:ascii="Times New Roman" w:hAnsi="Times New Roman" w:cs="Times New Roman"/>
          <w:sz w:val="24"/>
          <w:szCs w:val="24"/>
        </w:rPr>
        <w:t xml:space="preserve">from another, thereby increasing confidence in the conclusions drawn. Triangulation, a cornerstone of research methodology, aims to strengthen the validity and reliability of findings by leveraging multiple sources, methods, or data sets to corroborate results </w:t>
      </w:r>
      <w:r w:rsidRPr="00607BAE">
        <w:rPr>
          <w:rFonts w:ascii="Times New Roman" w:hAnsi="Times New Roman" w:cs="Times New Roman"/>
          <w:sz w:val="24"/>
          <w:szCs w:val="24"/>
          <w:highlight w:val="yellow"/>
        </w:rPr>
        <w:t>(Flick, 2018).</w:t>
      </w:r>
    </w:p>
    <w:p w14:paraId="6B3B7C19" w14:textId="747EA0A3" w:rsidR="00FA063A" w:rsidRPr="00FA063A" w:rsidRDefault="00FA063A" w:rsidP="00FA063A">
      <w:pPr>
        <w:spacing w:line="480" w:lineRule="auto"/>
        <w:jc w:val="both"/>
        <w:rPr>
          <w:rFonts w:ascii="Times New Roman" w:hAnsi="Times New Roman" w:cs="Times New Roman"/>
        </w:rPr>
      </w:pPr>
      <w:r w:rsidRPr="00FA063A">
        <w:rPr>
          <w:rFonts w:ascii="Times New Roman" w:hAnsi="Times New Roman" w:cs="Times New Roman"/>
        </w:rPr>
        <w:t xml:space="preserve">However, while triangulation offers potential benefits in bolstering the robustness of research findings, its application </w:t>
      </w:r>
      <w:r w:rsidR="00E064B3">
        <w:rPr>
          <w:rFonts w:ascii="Times New Roman" w:hAnsi="Times New Roman" w:cs="Times New Roman"/>
        </w:rPr>
        <w:t>has</w:t>
      </w:r>
      <w:r w:rsidRPr="00FA063A">
        <w:rPr>
          <w:rFonts w:ascii="Times New Roman" w:hAnsi="Times New Roman" w:cs="Times New Roman"/>
        </w:rPr>
        <w:t xml:space="preserve"> challenges and limitations. One such challenge lies in integrating disparate data sources or methodologies. Researchers may </w:t>
      </w:r>
      <w:r w:rsidR="00E064B3">
        <w:rPr>
          <w:rFonts w:ascii="Times New Roman" w:hAnsi="Times New Roman" w:cs="Times New Roman"/>
        </w:rPr>
        <w:t>need help</w:t>
      </w:r>
      <w:r w:rsidRPr="00FA063A">
        <w:rPr>
          <w:rFonts w:ascii="Times New Roman" w:hAnsi="Times New Roman" w:cs="Times New Roman"/>
        </w:rPr>
        <w:t xml:space="preserve"> reconciling divergent findings or interpreting conflicting insights, potentially compromising the coherence and reliability of the study's conclusions </w:t>
      </w:r>
      <w:r w:rsidRPr="00FA063A">
        <w:rPr>
          <w:rFonts w:ascii="Times New Roman" w:hAnsi="Times New Roman" w:cs="Times New Roman"/>
          <w:highlight w:val="yellow"/>
        </w:rPr>
        <w:t>(Creswell &amp; Creswell, 2017).</w:t>
      </w:r>
    </w:p>
    <w:p w14:paraId="6414A85E" w14:textId="57FC4460" w:rsidR="00FA063A" w:rsidRPr="00443E5E" w:rsidRDefault="00FA063A" w:rsidP="00FA063A">
      <w:pPr>
        <w:spacing w:line="480" w:lineRule="auto"/>
        <w:jc w:val="both"/>
        <w:rPr>
          <w:rFonts w:ascii="Times New Roman" w:hAnsi="Times New Roman" w:cs="Times New Roman"/>
          <w:sz w:val="24"/>
          <w:szCs w:val="24"/>
        </w:rPr>
      </w:pPr>
      <w:r w:rsidRPr="00443E5E">
        <w:rPr>
          <w:rFonts w:ascii="Times New Roman" w:hAnsi="Times New Roman" w:cs="Times New Roman"/>
          <w:sz w:val="24"/>
          <w:szCs w:val="24"/>
        </w:rPr>
        <w:lastRenderedPageBreak/>
        <w:t xml:space="preserve">Moreover, the success of triangulation hinges on the quality and </w:t>
      </w:r>
      <w:r w:rsidR="00F316D2">
        <w:rPr>
          <w:rFonts w:ascii="Times New Roman" w:hAnsi="Times New Roman" w:cs="Times New Roman"/>
          <w:sz w:val="24"/>
          <w:szCs w:val="24"/>
        </w:rPr>
        <w:t>rigour</w:t>
      </w:r>
      <w:r w:rsidRPr="00443E5E">
        <w:rPr>
          <w:rFonts w:ascii="Times New Roman" w:hAnsi="Times New Roman" w:cs="Times New Roman"/>
          <w:sz w:val="24"/>
          <w:szCs w:val="24"/>
        </w:rPr>
        <w:t xml:space="preserve"> of each data collection method employed. Variations in data collection techniques, sample sizes, or measurement instruments can introduce biases or inconsistencies, undermining the integrity of triangulated findings </w:t>
      </w:r>
      <w:r w:rsidR="000D5D1E" w:rsidRPr="000D5D1E">
        <w:rPr>
          <w:rFonts w:ascii="Times New Roman" w:hAnsi="Times New Roman" w:cs="Times New Roman"/>
          <w:sz w:val="24"/>
          <w:szCs w:val="24"/>
          <w:highlight w:val="yellow"/>
        </w:rPr>
        <w:t>(Hannah et al., 2016)</w:t>
      </w:r>
      <w:r w:rsidRPr="000D5D1E">
        <w:rPr>
          <w:rFonts w:ascii="Times New Roman" w:hAnsi="Times New Roman" w:cs="Times New Roman"/>
          <w:sz w:val="24"/>
          <w:szCs w:val="24"/>
          <w:highlight w:val="yellow"/>
        </w:rPr>
        <w:t>).</w:t>
      </w:r>
      <w:r w:rsidRPr="00443E5E">
        <w:rPr>
          <w:rFonts w:ascii="Times New Roman" w:hAnsi="Times New Roman" w:cs="Times New Roman"/>
          <w:sz w:val="24"/>
          <w:szCs w:val="24"/>
        </w:rPr>
        <w:t xml:space="preserve"> Additionally, researchers must navigate methodological pluralism </w:t>
      </w:r>
      <w:r w:rsidR="00E064B3">
        <w:rPr>
          <w:rFonts w:ascii="Times New Roman" w:hAnsi="Times New Roman" w:cs="Times New Roman"/>
          <w:sz w:val="24"/>
          <w:szCs w:val="24"/>
        </w:rPr>
        <w:t>cautiously</w:t>
      </w:r>
      <w:r w:rsidRPr="00443E5E">
        <w:rPr>
          <w:rFonts w:ascii="Times New Roman" w:hAnsi="Times New Roman" w:cs="Times New Roman"/>
          <w:sz w:val="24"/>
          <w:szCs w:val="24"/>
        </w:rPr>
        <w:t xml:space="preserve">, ensuring that </w:t>
      </w:r>
      <w:r w:rsidR="00596E34">
        <w:rPr>
          <w:rFonts w:ascii="Times New Roman" w:hAnsi="Times New Roman" w:cs="Times New Roman"/>
          <w:sz w:val="24"/>
          <w:szCs w:val="24"/>
        </w:rPr>
        <w:t>quantitative and qualitative approaches are integrated</w:t>
      </w:r>
      <w:r w:rsidRPr="00443E5E">
        <w:rPr>
          <w:rFonts w:ascii="Times New Roman" w:hAnsi="Times New Roman" w:cs="Times New Roman"/>
          <w:sz w:val="24"/>
          <w:szCs w:val="24"/>
        </w:rPr>
        <w:t xml:space="preserve"> judiciously to avoid diluting the depth or specificity of insights derived from each method </w:t>
      </w:r>
      <w:r w:rsidRPr="00443E5E">
        <w:rPr>
          <w:rFonts w:ascii="Times New Roman" w:hAnsi="Times New Roman" w:cs="Times New Roman"/>
          <w:sz w:val="24"/>
          <w:szCs w:val="24"/>
          <w:highlight w:val="yellow"/>
        </w:rPr>
        <w:t>(</w:t>
      </w:r>
      <w:r w:rsidR="00707B24">
        <w:rPr>
          <w:rFonts w:ascii="Times New Roman" w:hAnsi="Times New Roman" w:cs="Times New Roman"/>
          <w:sz w:val="24"/>
          <w:szCs w:val="24"/>
          <w:highlight w:val="yellow"/>
        </w:rPr>
        <w:t>Blanchard</w:t>
      </w:r>
      <w:r w:rsidRPr="00443E5E">
        <w:rPr>
          <w:rFonts w:ascii="Times New Roman" w:hAnsi="Times New Roman" w:cs="Times New Roman"/>
          <w:sz w:val="24"/>
          <w:szCs w:val="24"/>
          <w:highlight w:val="yellow"/>
        </w:rPr>
        <w:t xml:space="preserve"> et al., 20</w:t>
      </w:r>
      <w:r w:rsidR="00707B24">
        <w:rPr>
          <w:rFonts w:ascii="Times New Roman" w:hAnsi="Times New Roman" w:cs="Times New Roman"/>
          <w:sz w:val="24"/>
          <w:szCs w:val="24"/>
          <w:highlight w:val="yellow"/>
        </w:rPr>
        <w:t>17</w:t>
      </w:r>
      <w:r w:rsidRPr="00443E5E">
        <w:rPr>
          <w:rFonts w:ascii="Times New Roman" w:hAnsi="Times New Roman" w:cs="Times New Roman"/>
          <w:sz w:val="24"/>
          <w:szCs w:val="24"/>
          <w:highlight w:val="yellow"/>
        </w:rPr>
        <w:t>).</w:t>
      </w:r>
    </w:p>
    <w:p w14:paraId="078BFD89" w14:textId="43219D00" w:rsidR="00FA063A" w:rsidRPr="00443E5E" w:rsidRDefault="00FA063A" w:rsidP="00FA063A">
      <w:pPr>
        <w:spacing w:line="480" w:lineRule="auto"/>
        <w:jc w:val="both"/>
        <w:rPr>
          <w:rFonts w:ascii="Times New Roman" w:hAnsi="Times New Roman" w:cs="Times New Roman"/>
          <w:sz w:val="24"/>
          <w:szCs w:val="24"/>
        </w:rPr>
      </w:pPr>
      <w:r w:rsidRPr="00443E5E">
        <w:rPr>
          <w:rFonts w:ascii="Times New Roman" w:hAnsi="Times New Roman" w:cs="Times New Roman"/>
          <w:sz w:val="24"/>
          <w:szCs w:val="24"/>
        </w:rPr>
        <w:t xml:space="preserve">Furthermore, triangulation does not guarantee unequivocal validation of research findings. While </w:t>
      </w:r>
      <w:r w:rsidR="00F316D2">
        <w:rPr>
          <w:rFonts w:ascii="Times New Roman" w:hAnsi="Times New Roman" w:cs="Times New Roman"/>
          <w:sz w:val="24"/>
          <w:szCs w:val="24"/>
        </w:rPr>
        <w:t xml:space="preserve">the </w:t>
      </w:r>
      <w:r w:rsidRPr="00443E5E">
        <w:rPr>
          <w:rFonts w:ascii="Times New Roman" w:hAnsi="Times New Roman" w:cs="Times New Roman"/>
          <w:sz w:val="24"/>
          <w:szCs w:val="24"/>
        </w:rPr>
        <w:t xml:space="preserve">convergence of evidence across multiple methods may </w:t>
      </w:r>
      <w:r w:rsidR="00596E34">
        <w:rPr>
          <w:rFonts w:ascii="Times New Roman" w:hAnsi="Times New Roman" w:cs="Times New Roman"/>
          <w:sz w:val="24"/>
          <w:szCs w:val="24"/>
        </w:rPr>
        <w:t>support</w:t>
      </w:r>
      <w:r w:rsidRPr="00443E5E">
        <w:rPr>
          <w:rFonts w:ascii="Times New Roman" w:hAnsi="Times New Roman" w:cs="Times New Roman"/>
          <w:sz w:val="24"/>
          <w:szCs w:val="24"/>
        </w:rPr>
        <w:t xml:space="preserve"> conclusions, discrepancies or incongruities may persist, challenging the interpretation or generalizability of results </w:t>
      </w:r>
      <w:r w:rsidR="007D5516" w:rsidRPr="00A13B8A">
        <w:rPr>
          <w:rFonts w:ascii="Times New Roman" w:hAnsi="Times New Roman" w:cs="Times New Roman"/>
          <w:sz w:val="24"/>
          <w:szCs w:val="24"/>
          <w:highlight w:val="yellow"/>
        </w:rPr>
        <w:t>(Wu, 2019)</w:t>
      </w:r>
      <w:r w:rsidRPr="00A13B8A">
        <w:rPr>
          <w:rFonts w:ascii="Times New Roman" w:hAnsi="Times New Roman" w:cs="Times New Roman"/>
          <w:sz w:val="24"/>
          <w:szCs w:val="24"/>
          <w:highlight w:val="yellow"/>
        </w:rPr>
        <w:t>.</w:t>
      </w:r>
      <w:r w:rsidRPr="00443E5E">
        <w:rPr>
          <w:rFonts w:ascii="Times New Roman" w:hAnsi="Times New Roman" w:cs="Times New Roman"/>
          <w:sz w:val="24"/>
          <w:szCs w:val="24"/>
        </w:rPr>
        <w:t xml:space="preserve"> Thus, researchers must exercise vigilance in interpreting triangulated findings, acknowledging the potential for limitations or ambiguities in the validation process.</w:t>
      </w:r>
    </w:p>
    <w:p w14:paraId="208A2D04" w14:textId="77777777" w:rsidR="00FA063A" w:rsidRPr="00443E5E" w:rsidRDefault="00FA063A" w:rsidP="00FA063A">
      <w:pPr>
        <w:spacing w:line="480" w:lineRule="auto"/>
        <w:jc w:val="both"/>
        <w:rPr>
          <w:rFonts w:ascii="Times New Roman" w:hAnsi="Times New Roman" w:cs="Times New Roman"/>
          <w:sz w:val="24"/>
          <w:szCs w:val="24"/>
        </w:rPr>
      </w:pPr>
      <w:r w:rsidRPr="00443E5E">
        <w:rPr>
          <w:rFonts w:ascii="Times New Roman" w:hAnsi="Times New Roman" w:cs="Times New Roman"/>
          <w:sz w:val="24"/>
          <w:szCs w:val="24"/>
        </w:rPr>
        <w:t>In conclusion, while triangulation offers a valuable means of enhancing the reliability and validity of research findings, its implementation requires careful consideration of methodological complexities and potential limitations. By judiciously leveraging quantitative and qualitative data in tandem, researchers can strengthen the credibility of their conclusions, ultimately advancing knowledge and understanding within their respective fields.</w:t>
      </w:r>
    </w:p>
    <w:p w14:paraId="2578D4EC" w14:textId="7484475D" w:rsidR="00D37C25" w:rsidRPr="00443E5E" w:rsidRDefault="00D37C25" w:rsidP="003C2C49">
      <w:pPr>
        <w:pStyle w:val="Heading3"/>
        <w:spacing w:line="480" w:lineRule="auto"/>
        <w:jc w:val="both"/>
        <w:rPr>
          <w:color w:val="0070C0"/>
          <w:sz w:val="28"/>
          <w:szCs w:val="28"/>
        </w:rPr>
      </w:pPr>
      <w:bookmarkStart w:id="24" w:name="_Toc163889327"/>
      <w:r w:rsidRPr="00443E5E">
        <w:rPr>
          <w:color w:val="0070C0"/>
          <w:sz w:val="28"/>
          <w:szCs w:val="28"/>
        </w:rPr>
        <w:t>4</w:t>
      </w:r>
      <w:r w:rsidR="00CC68E7" w:rsidRPr="00443E5E">
        <w:rPr>
          <w:color w:val="0070C0"/>
          <w:sz w:val="28"/>
          <w:szCs w:val="28"/>
        </w:rPr>
        <w:t>.3.4</w:t>
      </w:r>
      <w:r w:rsidRPr="00443E5E">
        <w:rPr>
          <w:color w:val="0070C0"/>
          <w:sz w:val="28"/>
          <w:szCs w:val="28"/>
        </w:rPr>
        <w:t xml:space="preserve"> Richer data for complex phenomena</w:t>
      </w:r>
      <w:bookmarkEnd w:id="24"/>
    </w:p>
    <w:p w14:paraId="7DCB6A53" w14:textId="1FA3BCD3" w:rsidR="00B27C16" w:rsidRPr="00B27C16" w:rsidRDefault="00B27C16" w:rsidP="00B27C16">
      <w:pPr>
        <w:spacing w:line="480" w:lineRule="auto"/>
        <w:jc w:val="both"/>
        <w:rPr>
          <w:rFonts w:ascii="Times New Roman" w:hAnsi="Times New Roman" w:cs="Times New Roman"/>
          <w:sz w:val="24"/>
          <w:szCs w:val="24"/>
        </w:rPr>
      </w:pPr>
      <w:r w:rsidRPr="00B27C16">
        <w:rPr>
          <w:rFonts w:ascii="Times New Roman" w:hAnsi="Times New Roman" w:cs="Times New Roman"/>
          <w:sz w:val="24"/>
          <w:szCs w:val="24"/>
        </w:rPr>
        <w:t xml:space="preserve">Assessing the effectiveness of strategies in international trade agreements involves </w:t>
      </w:r>
      <w:r w:rsidR="00596E34">
        <w:rPr>
          <w:rFonts w:ascii="Times New Roman" w:hAnsi="Times New Roman" w:cs="Times New Roman"/>
          <w:sz w:val="24"/>
          <w:szCs w:val="24"/>
        </w:rPr>
        <w:t>many</w:t>
      </w:r>
      <w:r w:rsidRPr="00B27C16">
        <w:rPr>
          <w:rFonts w:ascii="Times New Roman" w:hAnsi="Times New Roman" w:cs="Times New Roman"/>
          <w:sz w:val="24"/>
          <w:szCs w:val="24"/>
        </w:rPr>
        <w:t xml:space="preserve"> stakeholders and demands thorough analysis. A mixed-method approach presents a promising avenue for </w:t>
      </w:r>
      <w:r w:rsidR="00596E34">
        <w:rPr>
          <w:rFonts w:ascii="Times New Roman" w:hAnsi="Times New Roman" w:cs="Times New Roman"/>
          <w:sz w:val="24"/>
          <w:szCs w:val="24"/>
        </w:rPr>
        <w:t>scrutinising</w:t>
      </w:r>
      <w:r w:rsidRPr="00B27C16">
        <w:rPr>
          <w:rFonts w:ascii="Times New Roman" w:hAnsi="Times New Roman" w:cs="Times New Roman"/>
          <w:sz w:val="24"/>
          <w:szCs w:val="24"/>
        </w:rPr>
        <w:t xml:space="preserve"> these strategies and understanding the contextual nuances influencing their implementation (</w:t>
      </w:r>
      <w:r w:rsidRPr="00B27C16">
        <w:rPr>
          <w:rFonts w:ascii="Times New Roman" w:hAnsi="Times New Roman" w:cs="Times New Roman"/>
          <w:sz w:val="24"/>
          <w:szCs w:val="24"/>
          <w:highlight w:val="yellow"/>
        </w:rPr>
        <w:t>Bergman, 2010).</w:t>
      </w:r>
      <w:r w:rsidRPr="00B27C16">
        <w:rPr>
          <w:rFonts w:ascii="Times New Roman" w:hAnsi="Times New Roman" w:cs="Times New Roman"/>
          <w:sz w:val="24"/>
          <w:szCs w:val="24"/>
        </w:rPr>
        <w:t xml:space="preserve"> However, while this methodology offers potential benefits, its application warrants critical consideration.</w:t>
      </w:r>
    </w:p>
    <w:p w14:paraId="7FBAF01A" w14:textId="0F6E0051" w:rsidR="00B27C16" w:rsidRPr="00B27C16" w:rsidRDefault="00E064B3" w:rsidP="00B27C16">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 mixed-method approach may encounter data integration and interpretation challenges despite its suitability for capturing multifaceted phenomena</w:t>
      </w:r>
      <w:r w:rsidR="00B27C16" w:rsidRPr="00B27C16">
        <w:rPr>
          <w:rFonts w:ascii="Times New Roman" w:hAnsi="Times New Roman" w:cs="Times New Roman"/>
          <w:sz w:val="24"/>
          <w:szCs w:val="24"/>
        </w:rPr>
        <w:t xml:space="preserve">. Research indicates that discrepancies between qualitative and quantitative findings can arise, posing challenges to the synthesis of results and potentially diluting the validity of conclusions </w:t>
      </w:r>
      <w:r w:rsidR="00277432">
        <w:t>(</w:t>
      </w:r>
      <w:r w:rsidR="00277432" w:rsidRPr="00277432">
        <w:rPr>
          <w:rFonts w:ascii="Times New Roman" w:hAnsi="Times New Roman" w:cs="Times New Roman"/>
          <w:sz w:val="24"/>
          <w:szCs w:val="24"/>
          <w:highlight w:val="yellow"/>
        </w:rPr>
        <w:t>Corbin &amp; Strauss</w:t>
      </w:r>
      <w:r w:rsidR="00277432">
        <w:rPr>
          <w:rFonts w:ascii="Times New Roman" w:hAnsi="Times New Roman" w:cs="Times New Roman"/>
          <w:sz w:val="24"/>
          <w:szCs w:val="24"/>
          <w:highlight w:val="yellow"/>
        </w:rPr>
        <w:t>)</w:t>
      </w:r>
      <w:r w:rsidR="00277432" w:rsidRPr="00277432">
        <w:rPr>
          <w:rFonts w:ascii="Times New Roman" w:hAnsi="Times New Roman" w:cs="Times New Roman"/>
          <w:sz w:val="24"/>
          <w:szCs w:val="24"/>
          <w:highlight w:val="yellow"/>
        </w:rPr>
        <w:t>, 2014</w:t>
      </w:r>
      <w:r w:rsidR="00277432">
        <w:t>)</w:t>
      </w:r>
      <w:r w:rsidR="00B27C16" w:rsidRPr="00CC2613">
        <w:rPr>
          <w:rFonts w:ascii="Times New Roman" w:hAnsi="Times New Roman" w:cs="Times New Roman"/>
          <w:sz w:val="24"/>
          <w:szCs w:val="24"/>
          <w:highlight w:val="yellow"/>
        </w:rPr>
        <w:t>.</w:t>
      </w:r>
      <w:r w:rsidR="00B27C16" w:rsidRPr="00B27C16">
        <w:rPr>
          <w:rFonts w:ascii="Times New Roman" w:hAnsi="Times New Roman" w:cs="Times New Roman"/>
          <w:sz w:val="24"/>
          <w:szCs w:val="24"/>
        </w:rPr>
        <w:t xml:space="preserve"> Additionally, the complexity of integrating diverse data sources requires significant time and resources, raising concerns about the feasibility and efficiency of this approach</w:t>
      </w:r>
      <w:r w:rsidR="00596E34">
        <w:rPr>
          <w:rFonts w:ascii="Times New Roman" w:hAnsi="Times New Roman" w:cs="Times New Roman"/>
          <w:sz w:val="24"/>
          <w:szCs w:val="24"/>
        </w:rPr>
        <w:t>.</w:t>
      </w:r>
    </w:p>
    <w:p w14:paraId="1FB30F79" w14:textId="30C01E80" w:rsidR="0040535C" w:rsidRPr="0040535C" w:rsidRDefault="0040535C" w:rsidP="0040535C">
      <w:pPr>
        <w:spacing w:line="480" w:lineRule="auto"/>
        <w:jc w:val="both"/>
        <w:rPr>
          <w:rFonts w:ascii="Times New Roman" w:hAnsi="Times New Roman" w:cs="Times New Roman"/>
          <w:sz w:val="24"/>
          <w:szCs w:val="24"/>
          <w:shd w:val="clear" w:color="auto" w:fill="FFFFFF"/>
        </w:rPr>
      </w:pPr>
      <w:r w:rsidRPr="0040535C">
        <w:rPr>
          <w:rFonts w:ascii="Times New Roman" w:hAnsi="Times New Roman" w:cs="Times New Roman"/>
          <w:sz w:val="24"/>
          <w:szCs w:val="24"/>
          <w:shd w:val="clear" w:color="auto" w:fill="FFFFFF"/>
        </w:rPr>
        <w:t xml:space="preserve">Additionally, the effectiveness of mixed methods in analysing the influence of trade agreements on strategies may depend on researchers' mastery of qualitative and quantitative methodologies. Research indicates that lacking proficiency in either area can undermine the thoroughness and integrity of the investigation, thereby restricting the depth of insights derived from the study </w:t>
      </w:r>
      <w:r w:rsidRPr="0040535C">
        <w:rPr>
          <w:rFonts w:ascii="Times New Roman" w:hAnsi="Times New Roman" w:cs="Times New Roman"/>
          <w:sz w:val="24"/>
          <w:szCs w:val="24"/>
          <w:highlight w:val="yellow"/>
          <w:shd w:val="clear" w:color="auto" w:fill="FFFFFF"/>
        </w:rPr>
        <w:t>(Palinkas et al., 2011).</w:t>
      </w:r>
    </w:p>
    <w:p w14:paraId="4B44806E" w14:textId="6EB7E402" w:rsidR="003E63F1" w:rsidRPr="00346D67" w:rsidRDefault="00390D04" w:rsidP="003C2C49">
      <w:pPr>
        <w:pStyle w:val="Heading2"/>
        <w:spacing w:line="480" w:lineRule="auto"/>
        <w:jc w:val="both"/>
        <w:rPr>
          <w:color w:val="0070C0"/>
        </w:rPr>
      </w:pPr>
      <w:bookmarkStart w:id="25" w:name="_Toc163889328"/>
      <w:r w:rsidRPr="00346D67">
        <w:rPr>
          <w:color w:val="0070C0"/>
        </w:rPr>
        <w:t xml:space="preserve">4.4 </w:t>
      </w:r>
      <w:r w:rsidR="003E63F1" w:rsidRPr="00346D67">
        <w:rPr>
          <w:color w:val="0070C0"/>
        </w:rPr>
        <w:t>Conclusion</w:t>
      </w:r>
      <w:bookmarkEnd w:id="25"/>
    </w:p>
    <w:p w14:paraId="146581DA" w14:textId="79A38CEC" w:rsidR="00970448" w:rsidRPr="009469E6" w:rsidRDefault="00E867D6" w:rsidP="003C2C49">
      <w:pPr>
        <w:spacing w:line="480" w:lineRule="auto"/>
        <w:jc w:val="both"/>
        <w:rPr>
          <w:rFonts w:ascii="Times New Roman" w:hAnsi="Times New Roman" w:cs="Times New Roman"/>
          <w:color w:val="0070C0"/>
          <w:sz w:val="24"/>
          <w:szCs w:val="24"/>
        </w:rPr>
      </w:pPr>
      <w:r w:rsidRPr="009469E6">
        <w:rPr>
          <w:rFonts w:ascii="Times New Roman" w:hAnsi="Times New Roman" w:cs="Times New Roman"/>
          <w:sz w:val="24"/>
          <w:szCs w:val="24"/>
          <w:shd w:val="clear" w:color="auto" w:fill="FFFFFF"/>
        </w:rPr>
        <w:t xml:space="preserve">This research methodology carefully explores the complex landscape of stakeholder engagement strategies within global trade agreements. It is based on established theories and philosophical considerations, highlighting the importance of factual evidence, transparency, and ethical behaviour in data collection and analysis. </w:t>
      </w:r>
      <w:r w:rsidR="009952A6" w:rsidRPr="009469E6">
        <w:rPr>
          <w:rFonts w:ascii="Times New Roman" w:hAnsi="Times New Roman" w:cs="Times New Roman"/>
          <w:sz w:val="24"/>
          <w:szCs w:val="24"/>
          <w:shd w:val="clear" w:color="auto" w:fill="FFFFFF"/>
        </w:rPr>
        <w:t>Using</w:t>
      </w:r>
      <w:r w:rsidRPr="009469E6">
        <w:rPr>
          <w:rFonts w:ascii="Times New Roman" w:hAnsi="Times New Roman" w:cs="Times New Roman"/>
          <w:sz w:val="24"/>
          <w:szCs w:val="24"/>
          <w:shd w:val="clear" w:color="auto" w:fill="FFFFFF"/>
        </w:rPr>
        <w:t xml:space="preserve"> a mixed-method approach, this study aims to gather diverse perspectives and provide a comprehensive understanding of the relationship between multinational corporations (MNCs) and global trade frameworks. </w:t>
      </w:r>
    </w:p>
    <w:p w14:paraId="43E1D401" w14:textId="27918344" w:rsidR="009B2028" w:rsidRPr="00BB1865" w:rsidRDefault="00D60CEB" w:rsidP="00BB1865">
      <w:pPr>
        <w:pStyle w:val="Heading1"/>
        <w:rPr>
          <w:color w:val="0070C0"/>
        </w:rPr>
      </w:pPr>
      <w:bookmarkStart w:id="26" w:name="_Toc163889329"/>
      <w:r w:rsidRPr="00BB1865">
        <w:rPr>
          <w:color w:val="0070C0"/>
        </w:rPr>
        <w:t>6.0 Resource Planning</w:t>
      </w:r>
      <w:bookmarkEnd w:id="26"/>
    </w:p>
    <w:p w14:paraId="053AAE16" w14:textId="41B4BCD6" w:rsidR="00995EB9" w:rsidRPr="00995EB9" w:rsidRDefault="00995EB9" w:rsidP="00995EB9">
      <w:pPr>
        <w:pStyle w:val="Heading2"/>
        <w:rPr>
          <w:color w:val="0070C0"/>
          <w:lang w:eastAsia="en-GB"/>
        </w:rPr>
      </w:pPr>
      <w:bookmarkStart w:id="27" w:name="_Toc163889330"/>
      <w:r w:rsidRPr="00995EB9">
        <w:rPr>
          <w:color w:val="0070C0"/>
          <w:lang w:eastAsia="en-GB"/>
        </w:rPr>
        <w:t xml:space="preserve">6.1 </w:t>
      </w:r>
      <w:r w:rsidR="001F615A" w:rsidRPr="00995EB9">
        <w:rPr>
          <w:color w:val="0070C0"/>
          <w:lang w:eastAsia="en-GB"/>
        </w:rPr>
        <w:t>Personnel</w:t>
      </w:r>
      <w:bookmarkEnd w:id="27"/>
      <w:r w:rsidR="001F615A" w:rsidRPr="00995EB9">
        <w:rPr>
          <w:color w:val="0070C0"/>
          <w:lang w:eastAsia="en-GB"/>
        </w:rPr>
        <w:t xml:space="preserve"> </w:t>
      </w:r>
    </w:p>
    <w:p w14:paraId="3510B605" w14:textId="6CB43BB3" w:rsidR="001F615A" w:rsidRPr="001F615A" w:rsidRDefault="001F615A" w:rsidP="001F615A">
      <w:pPr>
        <w:rPr>
          <w:sz w:val="24"/>
          <w:szCs w:val="24"/>
          <w:lang w:eastAsia="en-GB"/>
        </w:rPr>
      </w:pPr>
      <w:r w:rsidRPr="001F615A">
        <w:rPr>
          <w:sz w:val="24"/>
          <w:szCs w:val="24"/>
          <w:lang w:eastAsia="en-GB"/>
        </w:rPr>
        <w:t xml:space="preserve">The research team consists of a single principal researcher </w:t>
      </w:r>
      <w:r w:rsidR="00D300AB">
        <w:rPr>
          <w:sz w:val="24"/>
          <w:szCs w:val="24"/>
          <w:lang w:eastAsia="en-GB"/>
        </w:rPr>
        <w:t xml:space="preserve">responsible for designing the research, collecting, </w:t>
      </w:r>
      <w:r w:rsidR="00EC329A">
        <w:rPr>
          <w:sz w:val="24"/>
          <w:szCs w:val="24"/>
          <w:lang w:eastAsia="en-GB"/>
        </w:rPr>
        <w:t>analysing data, and interpreting the results</w:t>
      </w:r>
      <w:r w:rsidRPr="001F615A">
        <w:rPr>
          <w:sz w:val="24"/>
          <w:szCs w:val="24"/>
          <w:lang w:eastAsia="en-GB"/>
        </w:rPr>
        <w:t>.</w:t>
      </w:r>
    </w:p>
    <w:p w14:paraId="05129EDD" w14:textId="268B7505" w:rsidR="00CC50DB" w:rsidRPr="00EC329A" w:rsidRDefault="00CC50DB" w:rsidP="00EC329A">
      <w:pPr>
        <w:pStyle w:val="Heading2"/>
        <w:rPr>
          <w:color w:val="0070C0"/>
        </w:rPr>
      </w:pPr>
      <w:bookmarkStart w:id="28" w:name="_Toc163889331"/>
      <w:r w:rsidRPr="00EC329A">
        <w:rPr>
          <w:color w:val="0070C0"/>
        </w:rPr>
        <w:t>6.</w:t>
      </w:r>
      <w:r w:rsidR="002D3445">
        <w:rPr>
          <w:color w:val="0070C0"/>
        </w:rPr>
        <w:t>2</w:t>
      </w:r>
      <w:r w:rsidRPr="00EC329A">
        <w:rPr>
          <w:color w:val="0070C0"/>
        </w:rPr>
        <w:t xml:space="preserve"> </w:t>
      </w:r>
      <w:r w:rsidR="001F615A" w:rsidRPr="00EC329A">
        <w:rPr>
          <w:color w:val="0070C0"/>
        </w:rPr>
        <w:t>Timeline</w:t>
      </w:r>
      <w:bookmarkEnd w:id="28"/>
    </w:p>
    <w:tbl>
      <w:tblPr>
        <w:tblW w:w="9915" w:type="dxa"/>
        <w:tblCellSpacing w:w="15" w:type="dxa"/>
        <w:tblInd w:w="-460"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343"/>
        <w:gridCol w:w="7572"/>
      </w:tblGrid>
      <w:tr w:rsidR="00EC329A" w:rsidRPr="00EC329A" w14:paraId="40023E51" w14:textId="77777777" w:rsidTr="00EC329A">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10098625" w14:textId="77777777" w:rsidR="00EC329A" w:rsidRPr="00EC329A" w:rsidRDefault="00EC329A" w:rsidP="00EC329A">
            <w:pPr>
              <w:autoSpaceDE/>
              <w:autoSpaceDN/>
              <w:adjustRightInd/>
              <w:spacing w:after="0" w:line="240" w:lineRule="auto"/>
              <w:jc w:val="center"/>
              <w:rPr>
                <w:rFonts w:ascii="Segoe UI" w:eastAsia="Times New Roman" w:hAnsi="Segoe UI" w:cs="Segoe UI"/>
                <w:b/>
                <w:bCs/>
                <w:color w:val="0D0D0D"/>
                <w:sz w:val="21"/>
                <w:szCs w:val="21"/>
                <w:lang w:eastAsia="en-GB"/>
              </w:rPr>
            </w:pPr>
            <w:r w:rsidRPr="00EC329A">
              <w:rPr>
                <w:rFonts w:ascii="Segoe UI" w:eastAsia="Times New Roman" w:hAnsi="Segoe UI" w:cs="Segoe UI"/>
                <w:b/>
                <w:bCs/>
                <w:color w:val="0D0D0D"/>
                <w:sz w:val="21"/>
                <w:szCs w:val="21"/>
                <w:lang w:eastAsia="en-GB"/>
              </w:rPr>
              <w:t>Month</w:t>
            </w:r>
          </w:p>
        </w:tc>
        <w:tc>
          <w:tcPr>
            <w:tcW w:w="7527"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86BF0D0" w14:textId="77777777" w:rsidR="00EC329A" w:rsidRPr="00EC329A" w:rsidRDefault="00EC329A" w:rsidP="00EC329A">
            <w:pPr>
              <w:autoSpaceDE/>
              <w:autoSpaceDN/>
              <w:adjustRightInd/>
              <w:spacing w:after="0" w:line="240" w:lineRule="auto"/>
              <w:jc w:val="center"/>
              <w:rPr>
                <w:rFonts w:ascii="Segoe UI" w:eastAsia="Times New Roman" w:hAnsi="Segoe UI" w:cs="Segoe UI"/>
                <w:b/>
                <w:bCs/>
                <w:color w:val="0D0D0D"/>
                <w:sz w:val="21"/>
                <w:szCs w:val="21"/>
                <w:lang w:eastAsia="en-GB"/>
              </w:rPr>
            </w:pPr>
            <w:r w:rsidRPr="00EC329A">
              <w:rPr>
                <w:rFonts w:ascii="Segoe UI" w:eastAsia="Times New Roman" w:hAnsi="Segoe UI" w:cs="Segoe UI"/>
                <w:b/>
                <w:bCs/>
                <w:color w:val="0D0D0D"/>
                <w:sz w:val="21"/>
                <w:szCs w:val="21"/>
                <w:lang w:eastAsia="en-GB"/>
              </w:rPr>
              <w:t>Activities</w:t>
            </w:r>
          </w:p>
        </w:tc>
      </w:tr>
      <w:tr w:rsidR="00EC329A" w:rsidRPr="00EC329A" w14:paraId="304F06BE"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11D92B4" w14:textId="77777777" w:rsidR="00EC329A" w:rsidRPr="00BC43B9"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April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691BEBC" w14:textId="13BF74F3" w:rsidR="00EC329A" w:rsidRPr="00BC43B9"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Obtain necessary approvals and finalise research design.</w:t>
            </w:r>
          </w:p>
        </w:tc>
      </w:tr>
      <w:tr w:rsidR="00EC329A" w:rsidRPr="00EC329A" w14:paraId="409641AF"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2C275B2" w14:textId="77777777" w:rsidR="00EC329A" w:rsidRPr="00BC43B9"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May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92A233A" w14:textId="461AA691" w:rsidR="00EC329A" w:rsidRPr="00BC43B9"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Recruit participants and commence data collection.</w:t>
            </w:r>
          </w:p>
        </w:tc>
      </w:tr>
      <w:tr w:rsidR="00EC329A" w:rsidRPr="00EC329A" w14:paraId="31C09C8B"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F62B9B4" w14:textId="77777777" w:rsidR="00EC329A" w:rsidRPr="00BC43B9"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lastRenderedPageBreak/>
              <w:t>June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97B1424" w14:textId="74D795DE" w:rsidR="00EC329A" w:rsidRPr="00BC43B9"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Conduct stakeholder interviews and analyse collected data.</w:t>
            </w:r>
          </w:p>
        </w:tc>
      </w:tr>
      <w:tr w:rsidR="00EC329A" w:rsidRPr="00EC329A" w14:paraId="08DB878A"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54256D0" w14:textId="77777777" w:rsidR="00EC329A" w:rsidRPr="00BC43B9"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July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D094CFF" w14:textId="77777777" w:rsidR="00EC329A" w:rsidRPr="00BC43B9"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Draft research findings and prepare for dissemination</w:t>
            </w:r>
          </w:p>
        </w:tc>
      </w:tr>
      <w:tr w:rsidR="00EC329A" w:rsidRPr="00EC329A" w14:paraId="27CE7605"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8EB75BF" w14:textId="77777777" w:rsidR="00EC329A" w:rsidRPr="00BC43B9"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August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C111E91" w14:textId="45BAB37E" w:rsidR="00EC329A" w:rsidRPr="00BC43B9"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Review and finalise the research report.</w:t>
            </w:r>
          </w:p>
        </w:tc>
      </w:tr>
      <w:tr w:rsidR="00EC329A" w:rsidRPr="00EC329A" w14:paraId="51D5F403"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6927363" w14:textId="77777777" w:rsidR="00EC329A" w:rsidRPr="00BC43B9"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September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B616114" w14:textId="32F6487F" w:rsidR="00EC329A" w:rsidRPr="00BC43B9"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BC43B9">
              <w:rPr>
                <w:rFonts w:ascii="Times New Roman" w:eastAsia="Times New Roman" w:hAnsi="Times New Roman" w:cs="Times New Roman"/>
                <w:color w:val="0D0D0D"/>
                <w:sz w:val="24"/>
                <w:szCs w:val="24"/>
                <w:lang w:eastAsia="en-GB"/>
              </w:rPr>
              <w:t>Present findings and submit the final report.</w:t>
            </w:r>
          </w:p>
        </w:tc>
      </w:tr>
    </w:tbl>
    <w:p w14:paraId="34069EB9" w14:textId="77777777" w:rsidR="00EC329A" w:rsidRDefault="00EC329A" w:rsidP="00CC50DB">
      <w:pPr>
        <w:pStyle w:val="Heading2"/>
        <w:rPr>
          <w:color w:val="0070C0"/>
        </w:rPr>
      </w:pPr>
    </w:p>
    <w:p w14:paraId="630E6632" w14:textId="76E8F97F" w:rsidR="00CC50DB" w:rsidRPr="00CC50DB" w:rsidRDefault="00CC50DB" w:rsidP="00CC50DB">
      <w:pPr>
        <w:pStyle w:val="Heading2"/>
        <w:rPr>
          <w:color w:val="0070C0"/>
        </w:rPr>
      </w:pPr>
      <w:bookmarkStart w:id="29" w:name="_Toc163889332"/>
      <w:r w:rsidRPr="00CC50DB">
        <w:rPr>
          <w:color w:val="0070C0"/>
        </w:rPr>
        <w:t>6.</w:t>
      </w:r>
      <w:r w:rsidR="002D3445">
        <w:rPr>
          <w:color w:val="0070C0"/>
        </w:rPr>
        <w:t>3</w:t>
      </w:r>
      <w:r w:rsidRPr="00CC50DB">
        <w:rPr>
          <w:color w:val="0070C0"/>
        </w:rPr>
        <w:t xml:space="preserve"> </w:t>
      </w:r>
      <w:r w:rsidR="001F615A" w:rsidRPr="00CC50DB">
        <w:rPr>
          <w:color w:val="0070C0"/>
        </w:rPr>
        <w:t>Equipment and Facilities</w:t>
      </w:r>
      <w:bookmarkEnd w:id="29"/>
    </w:p>
    <w:p w14:paraId="139D041C" w14:textId="532239C0" w:rsidR="001F615A" w:rsidRPr="008E641A" w:rsidRDefault="001F615A" w:rsidP="008E641A">
      <w:pPr>
        <w:spacing w:line="480" w:lineRule="auto"/>
        <w:jc w:val="both"/>
        <w:rPr>
          <w:rFonts w:ascii="Times New Roman" w:hAnsi="Times New Roman" w:cs="Times New Roman"/>
          <w:sz w:val="24"/>
          <w:szCs w:val="24"/>
          <w:lang w:eastAsia="en-GB"/>
        </w:rPr>
      </w:pPr>
      <w:r w:rsidRPr="008E641A">
        <w:rPr>
          <w:rFonts w:ascii="Times New Roman" w:hAnsi="Times New Roman" w:cs="Times New Roman"/>
          <w:sz w:val="24"/>
          <w:szCs w:val="24"/>
          <w:lang w:eastAsia="en-GB"/>
        </w:rPr>
        <w:t>The principal researcher will have access to requisite office space, computers, and data analysis software. Stationery and materials for data collection will be readily available.</w:t>
      </w:r>
    </w:p>
    <w:p w14:paraId="02A62F7C" w14:textId="61A97406" w:rsidR="00CC50DB" w:rsidRPr="00CC50DB" w:rsidRDefault="00CC50DB" w:rsidP="00CC50DB">
      <w:pPr>
        <w:pStyle w:val="Heading2"/>
        <w:rPr>
          <w:color w:val="0070C0"/>
          <w:lang w:eastAsia="en-GB"/>
        </w:rPr>
      </w:pPr>
      <w:bookmarkStart w:id="30" w:name="_Toc163889333"/>
      <w:r w:rsidRPr="00CC50DB">
        <w:rPr>
          <w:color w:val="0070C0"/>
          <w:lang w:eastAsia="en-GB"/>
        </w:rPr>
        <w:t>6.</w:t>
      </w:r>
      <w:r w:rsidR="002D3445">
        <w:rPr>
          <w:color w:val="0070C0"/>
          <w:lang w:eastAsia="en-GB"/>
        </w:rPr>
        <w:t>4</w:t>
      </w:r>
      <w:r w:rsidRPr="00CC50DB">
        <w:rPr>
          <w:color w:val="0070C0"/>
          <w:lang w:eastAsia="en-GB"/>
        </w:rPr>
        <w:t xml:space="preserve"> </w:t>
      </w:r>
      <w:r w:rsidR="001F615A" w:rsidRPr="00CC50DB">
        <w:rPr>
          <w:color w:val="0070C0"/>
          <w:lang w:eastAsia="en-GB"/>
        </w:rPr>
        <w:t>Contingency Plan</w:t>
      </w:r>
      <w:bookmarkEnd w:id="30"/>
    </w:p>
    <w:p w14:paraId="43F29F67" w14:textId="39120067" w:rsidR="001F615A" w:rsidRPr="008E641A" w:rsidRDefault="001F615A" w:rsidP="008E641A">
      <w:pPr>
        <w:spacing w:line="480" w:lineRule="auto"/>
        <w:rPr>
          <w:rFonts w:ascii="Times New Roman" w:hAnsi="Times New Roman" w:cs="Times New Roman"/>
          <w:sz w:val="24"/>
          <w:szCs w:val="24"/>
          <w:lang w:eastAsia="en-GB"/>
        </w:rPr>
      </w:pPr>
      <w:r w:rsidRPr="008E641A">
        <w:rPr>
          <w:rFonts w:ascii="Times New Roman" w:hAnsi="Times New Roman" w:cs="Times New Roman"/>
          <w:sz w:val="24"/>
          <w:szCs w:val="24"/>
          <w:lang w:eastAsia="en-GB"/>
        </w:rPr>
        <w:t>A proactive contingency plan will be enacted to address any potential delays arising from slow respondent replies. Strategies include follow-up reminders and extending the data collection period as needed.</w:t>
      </w:r>
    </w:p>
    <w:p w14:paraId="4DDA10C1" w14:textId="617C7B4B" w:rsidR="001F615A" w:rsidRPr="008E641A" w:rsidRDefault="001F615A" w:rsidP="008E641A">
      <w:pPr>
        <w:spacing w:line="480" w:lineRule="auto"/>
        <w:rPr>
          <w:rFonts w:ascii="Times New Roman" w:hAnsi="Times New Roman" w:cs="Times New Roman"/>
          <w:sz w:val="24"/>
          <w:szCs w:val="24"/>
          <w:lang w:eastAsia="en-GB"/>
        </w:rPr>
      </w:pPr>
      <w:r w:rsidRPr="008E641A">
        <w:rPr>
          <w:rFonts w:ascii="Times New Roman" w:hAnsi="Times New Roman" w:cs="Times New Roman"/>
          <w:sz w:val="24"/>
          <w:szCs w:val="24"/>
          <w:lang w:eastAsia="en-GB"/>
        </w:rPr>
        <w:t xml:space="preserve">The research will strictly adhere to ethical guidelines, ensuring participant confidentiality, informed consent, and the right to withdraw from the study at any point. </w:t>
      </w:r>
      <w:r w:rsidR="00CC50DB" w:rsidRPr="008E641A">
        <w:rPr>
          <w:rFonts w:ascii="Times New Roman" w:hAnsi="Times New Roman" w:cs="Times New Roman"/>
          <w:sz w:val="24"/>
          <w:szCs w:val="24"/>
          <w:lang w:eastAsia="en-GB"/>
        </w:rPr>
        <w:t>All participants will be approved before data collection begins, and stringent</w:t>
      </w:r>
      <w:r w:rsidRPr="008E641A">
        <w:rPr>
          <w:rFonts w:ascii="Times New Roman" w:hAnsi="Times New Roman" w:cs="Times New Roman"/>
          <w:sz w:val="24"/>
          <w:szCs w:val="24"/>
          <w:lang w:eastAsia="en-GB"/>
        </w:rPr>
        <w:t xml:space="preserve"> measures will be implemented to safeguard participants' data integrity throughout the research process.</w:t>
      </w:r>
    </w:p>
    <w:p w14:paraId="41C189E4" w14:textId="5724990A" w:rsidR="001F615A" w:rsidRPr="002D3445" w:rsidRDefault="007F2565" w:rsidP="002D3445">
      <w:pPr>
        <w:spacing w:line="480" w:lineRule="auto"/>
        <w:rPr>
          <w:rFonts w:ascii="Times New Roman" w:hAnsi="Times New Roman" w:cs="Times New Roman"/>
          <w:sz w:val="24"/>
          <w:szCs w:val="24"/>
          <w:lang w:eastAsia="en-GB"/>
        </w:rPr>
      </w:pPr>
      <w:r w:rsidRPr="008E641A">
        <w:rPr>
          <w:rFonts w:ascii="Times New Roman" w:hAnsi="Times New Roman" w:cs="Times New Roman"/>
          <w:sz w:val="24"/>
          <w:szCs w:val="24"/>
          <w:lang w:eastAsia="en-GB"/>
        </w:rPr>
        <w:t>Ethical Considerations: The research will strictly adhere to ethical guidelines, ensuring participant confidentiality, informed consent, and the right to withdraw from the study at any point. All participants will be approved before data collection begins, and stringent measures will be implemented to safeguard participants' data integrity throughout the research process</w:t>
      </w:r>
      <w:r w:rsidR="007A5AF3">
        <w:rPr>
          <w:rFonts w:ascii="Times New Roman" w:hAnsi="Times New Roman" w:cs="Times New Roman"/>
          <w:sz w:val="24"/>
          <w:szCs w:val="24"/>
          <w:lang w:eastAsia="en-GB"/>
        </w:rPr>
        <w:t>.</w:t>
      </w:r>
      <w:r w:rsidR="001F615A" w:rsidRPr="001F615A">
        <w:rPr>
          <w:rFonts w:ascii="Arial" w:hAnsi="Arial" w:cs="Arial"/>
          <w:vanish/>
          <w:sz w:val="24"/>
          <w:szCs w:val="24"/>
          <w:lang w:eastAsia="en-GB"/>
        </w:rPr>
        <w:t>Top of Form</w:t>
      </w:r>
    </w:p>
    <w:p w14:paraId="68CEA614" w14:textId="76A5C798" w:rsidR="009B2028" w:rsidRDefault="009B2028" w:rsidP="006A39DF">
      <w:pPr>
        <w:pStyle w:val="Heading1"/>
        <w:rPr>
          <w:color w:val="0070C0"/>
        </w:rPr>
      </w:pPr>
      <w:bookmarkStart w:id="31" w:name="_Toc163889334"/>
      <w:r>
        <w:rPr>
          <w:color w:val="0070C0"/>
        </w:rPr>
        <w:t>7.0 Ethical consideration and limitations</w:t>
      </w:r>
      <w:bookmarkEnd w:id="31"/>
    </w:p>
    <w:p w14:paraId="158D76E6" w14:textId="0C5EF1BA" w:rsidR="0087106C" w:rsidRPr="00262809" w:rsidRDefault="00DF2FC3" w:rsidP="00262809">
      <w:pPr>
        <w:spacing w:line="480" w:lineRule="auto"/>
        <w:jc w:val="both"/>
        <w:rPr>
          <w:rFonts w:ascii="Times New Roman" w:hAnsi="Times New Roman" w:cs="Times New Roman"/>
          <w:sz w:val="24"/>
          <w:szCs w:val="24"/>
        </w:rPr>
      </w:pPr>
      <w:r w:rsidRPr="00262809">
        <w:rPr>
          <w:rFonts w:ascii="Times New Roman" w:hAnsi="Times New Roman" w:cs="Times New Roman"/>
          <w:color w:val="0D0D0D"/>
          <w:sz w:val="24"/>
          <w:szCs w:val="24"/>
          <w:shd w:val="clear" w:color="auto" w:fill="FFFFFF"/>
        </w:rPr>
        <w:t>Examining the influence of stakeholder engagement strategies on global trade agreements presents an affluent area of research, offering insights into how multinational corporations (MNCs) navigate complex international landscapes. This research, adopting a mixed-methods approach and employing deductive reasoning, requires careful consideration of ethical considerations, limitations, and the adjustment of stakeholder engagement strategies by MNCs</w:t>
      </w:r>
      <w:r w:rsidR="006D385C" w:rsidRPr="00262809">
        <w:rPr>
          <w:rFonts w:ascii="Times New Roman" w:hAnsi="Times New Roman" w:cs="Times New Roman"/>
          <w:color w:val="0D0D0D"/>
          <w:sz w:val="24"/>
          <w:szCs w:val="24"/>
          <w:shd w:val="clear" w:color="auto" w:fill="FFFFFF"/>
        </w:rPr>
        <w:t xml:space="preserve"> </w:t>
      </w:r>
      <w:r w:rsidR="006D385C" w:rsidRPr="00262809">
        <w:rPr>
          <w:rFonts w:ascii="Times New Roman" w:hAnsi="Times New Roman" w:cs="Times New Roman"/>
          <w:sz w:val="24"/>
          <w:szCs w:val="24"/>
          <w:highlight w:val="yellow"/>
        </w:rPr>
        <w:lastRenderedPageBreak/>
        <w:t>(Mauthner, 2002)</w:t>
      </w:r>
      <w:r w:rsidR="006D385C" w:rsidRPr="00262809">
        <w:rPr>
          <w:rFonts w:ascii="Times New Roman" w:hAnsi="Times New Roman" w:cs="Times New Roman"/>
          <w:sz w:val="24"/>
          <w:szCs w:val="24"/>
        </w:rPr>
        <w:t xml:space="preserve">. </w:t>
      </w:r>
      <w:r w:rsidRPr="00262809">
        <w:rPr>
          <w:rFonts w:ascii="Times New Roman" w:hAnsi="Times New Roman" w:cs="Times New Roman"/>
          <w:color w:val="0D0D0D"/>
          <w:sz w:val="24"/>
          <w:szCs w:val="24"/>
          <w:shd w:val="clear" w:color="auto" w:fill="FFFFFF"/>
        </w:rPr>
        <w:t>The philosophical underpinnings of this study are crucial, with an axiological approach</w:t>
      </w:r>
      <w:r w:rsidR="006D385C" w:rsidRPr="00262809">
        <w:rPr>
          <w:rFonts w:ascii="Times New Roman" w:hAnsi="Times New Roman" w:cs="Times New Roman"/>
          <w:color w:val="0D0D0D"/>
          <w:sz w:val="24"/>
          <w:szCs w:val="24"/>
          <w:shd w:val="clear" w:color="auto" w:fill="FFFFFF"/>
        </w:rPr>
        <w:t xml:space="preserve"> </w:t>
      </w:r>
      <w:r w:rsidRPr="00262809">
        <w:rPr>
          <w:rFonts w:ascii="Times New Roman" w:hAnsi="Times New Roman" w:cs="Times New Roman"/>
          <w:color w:val="0D0D0D"/>
          <w:sz w:val="24"/>
          <w:szCs w:val="24"/>
          <w:shd w:val="clear" w:color="auto" w:fill="FFFFFF"/>
        </w:rPr>
        <w:t>focusing on values and ethics</w:t>
      </w:r>
      <w:r w:rsidR="0056364E" w:rsidRPr="00262809">
        <w:rPr>
          <w:rFonts w:ascii="Times New Roman" w:hAnsi="Times New Roman" w:cs="Times New Roman"/>
          <w:color w:val="0D0D0D"/>
          <w:sz w:val="24"/>
          <w:szCs w:val="24"/>
          <w:shd w:val="clear" w:color="auto" w:fill="FFFFFF"/>
        </w:rPr>
        <w:t xml:space="preserve"> </w:t>
      </w:r>
      <w:r w:rsidRPr="00262809">
        <w:rPr>
          <w:rFonts w:ascii="Times New Roman" w:hAnsi="Times New Roman" w:cs="Times New Roman"/>
          <w:color w:val="0D0D0D"/>
          <w:sz w:val="24"/>
          <w:szCs w:val="24"/>
          <w:shd w:val="clear" w:color="auto" w:fill="FFFFFF"/>
        </w:rPr>
        <w:t xml:space="preserve">being particularly relevant given the ethical and value-laden nature of stakeholder engagement in global trade agreements </w:t>
      </w:r>
      <w:r w:rsidRPr="00262809">
        <w:rPr>
          <w:rFonts w:ascii="Times New Roman" w:hAnsi="Times New Roman" w:cs="Times New Roman"/>
          <w:sz w:val="24"/>
          <w:szCs w:val="24"/>
          <w:highlight w:val="yellow"/>
        </w:rPr>
        <w:t>(Fisher &amp; Buglear, 2010)</w:t>
      </w:r>
      <w:r w:rsidRPr="00262809">
        <w:rPr>
          <w:rFonts w:ascii="Times New Roman" w:hAnsi="Times New Roman" w:cs="Times New Roman"/>
          <w:sz w:val="24"/>
          <w:szCs w:val="24"/>
        </w:rPr>
        <w:t>.</w:t>
      </w:r>
    </w:p>
    <w:p w14:paraId="6AEB4140" w14:textId="572C298F" w:rsidR="005D5743" w:rsidRPr="00262809" w:rsidRDefault="0033496B" w:rsidP="00262809">
      <w:pPr>
        <w:spacing w:line="480" w:lineRule="auto"/>
        <w:jc w:val="both"/>
        <w:rPr>
          <w:rFonts w:ascii="Times New Roman" w:hAnsi="Times New Roman" w:cs="Times New Roman"/>
          <w:color w:val="0D0D0D"/>
          <w:sz w:val="24"/>
          <w:szCs w:val="24"/>
          <w:shd w:val="clear" w:color="auto" w:fill="FFFFFF"/>
        </w:rPr>
      </w:pPr>
      <w:r w:rsidRPr="00262809">
        <w:rPr>
          <w:rFonts w:ascii="Times New Roman" w:hAnsi="Times New Roman" w:cs="Times New Roman"/>
          <w:color w:val="0D0D0D"/>
          <w:sz w:val="24"/>
          <w:szCs w:val="24"/>
          <w:shd w:val="clear" w:color="auto" w:fill="FFFFFF"/>
        </w:rPr>
        <w:t>When conducting research, it is essential to consider the ethical implications involved. One primary concern is protecting the confidentiality and anonymity of the study's organisations and individuals</w:t>
      </w:r>
      <w:r w:rsidR="0043237F" w:rsidRPr="00262809">
        <w:rPr>
          <w:rFonts w:ascii="Times New Roman" w:hAnsi="Times New Roman" w:cs="Times New Roman"/>
          <w:color w:val="0D0D0D"/>
          <w:sz w:val="24"/>
          <w:szCs w:val="24"/>
          <w:shd w:val="clear" w:color="auto" w:fill="FFFFFF"/>
        </w:rPr>
        <w:t>. This is especially important when discussing stakeholder engagement strategies,</w:t>
      </w:r>
      <w:r w:rsidRPr="00262809">
        <w:rPr>
          <w:rFonts w:ascii="Times New Roman" w:hAnsi="Times New Roman" w:cs="Times New Roman"/>
          <w:color w:val="0D0D0D"/>
          <w:sz w:val="24"/>
          <w:szCs w:val="24"/>
          <w:shd w:val="clear" w:color="auto" w:fill="FFFFFF"/>
        </w:rPr>
        <w:t xml:space="preserve"> as it can reveal sensitive competitive information</w:t>
      </w:r>
      <w:r w:rsidR="000A1730">
        <w:rPr>
          <w:rFonts w:ascii="Times New Roman" w:hAnsi="Times New Roman" w:cs="Times New Roman"/>
          <w:color w:val="0D0D0D"/>
          <w:sz w:val="24"/>
          <w:szCs w:val="24"/>
          <w:shd w:val="clear" w:color="auto" w:fill="FFFFFF"/>
        </w:rPr>
        <w:t xml:space="preserve"> </w:t>
      </w:r>
      <w:r w:rsidR="000A1730" w:rsidRPr="00BB7159">
        <w:rPr>
          <w:rFonts w:ascii="Times New Roman" w:hAnsi="Times New Roman" w:cs="Times New Roman"/>
          <w:color w:val="0D0D0D"/>
          <w:sz w:val="24"/>
          <w:szCs w:val="24"/>
          <w:highlight w:val="yellow"/>
          <w:shd w:val="clear" w:color="auto" w:fill="FFFFFF"/>
        </w:rPr>
        <w:t xml:space="preserve">(Fox </w:t>
      </w:r>
      <w:r w:rsidR="00E064B3">
        <w:rPr>
          <w:rFonts w:ascii="Times New Roman" w:hAnsi="Times New Roman" w:cs="Times New Roman"/>
          <w:color w:val="0D0D0D"/>
          <w:sz w:val="24"/>
          <w:szCs w:val="24"/>
          <w:highlight w:val="yellow"/>
          <w:shd w:val="clear" w:color="auto" w:fill="FFFFFF"/>
        </w:rPr>
        <w:t>et al.</w:t>
      </w:r>
      <w:r w:rsidR="00BB7159" w:rsidRPr="00BB7159">
        <w:rPr>
          <w:rFonts w:ascii="Times New Roman" w:hAnsi="Times New Roman" w:cs="Times New Roman"/>
          <w:color w:val="0D0D0D"/>
          <w:sz w:val="24"/>
          <w:szCs w:val="24"/>
          <w:highlight w:val="yellow"/>
          <w:shd w:val="clear" w:color="auto" w:fill="FFFFFF"/>
        </w:rPr>
        <w:t>, 2021).</w:t>
      </w:r>
      <w:r w:rsidRPr="00262809">
        <w:rPr>
          <w:rFonts w:ascii="Times New Roman" w:hAnsi="Times New Roman" w:cs="Times New Roman"/>
          <w:color w:val="0D0D0D"/>
          <w:sz w:val="24"/>
          <w:szCs w:val="24"/>
          <w:shd w:val="clear" w:color="auto" w:fill="FFFFFF"/>
        </w:rPr>
        <w:t xml:space="preserve"> Furthermore, researchers must be mindful of potential bias when interpreting responses from different stakeholders to ensure that the findings represent diverse perspectives. Finally, transparency must be balanced when reporting research findings </w:t>
      </w:r>
      <w:r w:rsidR="00A2265A" w:rsidRPr="00262809">
        <w:rPr>
          <w:rFonts w:ascii="Times New Roman" w:hAnsi="Times New Roman" w:cs="Times New Roman"/>
          <w:color w:val="0D0D0D"/>
          <w:sz w:val="24"/>
          <w:szCs w:val="24"/>
          <w:shd w:val="clear" w:color="auto" w:fill="FFFFFF"/>
        </w:rPr>
        <w:t>while</w:t>
      </w:r>
      <w:r w:rsidRPr="00262809">
        <w:rPr>
          <w:rFonts w:ascii="Times New Roman" w:hAnsi="Times New Roman" w:cs="Times New Roman"/>
          <w:color w:val="0D0D0D"/>
          <w:sz w:val="24"/>
          <w:szCs w:val="24"/>
          <w:shd w:val="clear" w:color="auto" w:fill="FFFFFF"/>
        </w:rPr>
        <w:t xml:space="preserve"> safeguarding participant confidentiality</w:t>
      </w:r>
      <w:r w:rsidR="00EA17DC" w:rsidRPr="00262809">
        <w:rPr>
          <w:rFonts w:ascii="Times New Roman" w:hAnsi="Times New Roman" w:cs="Times New Roman"/>
          <w:color w:val="0D0D0D"/>
          <w:sz w:val="24"/>
          <w:szCs w:val="24"/>
          <w:shd w:val="clear" w:color="auto" w:fill="FFFFFF"/>
        </w:rPr>
        <w:t xml:space="preserve"> </w:t>
      </w:r>
      <w:r w:rsidR="00EA17DC" w:rsidRPr="00262809">
        <w:rPr>
          <w:rFonts w:ascii="Times New Roman" w:hAnsi="Times New Roman" w:cs="Times New Roman"/>
          <w:color w:val="0D0D0D"/>
          <w:sz w:val="24"/>
          <w:szCs w:val="24"/>
          <w:highlight w:val="yellow"/>
          <w:shd w:val="clear" w:color="auto" w:fill="FFFFFF"/>
        </w:rPr>
        <w:t>(Almei</w:t>
      </w:r>
      <w:r w:rsidR="00DC0575" w:rsidRPr="00262809">
        <w:rPr>
          <w:rFonts w:ascii="Times New Roman" w:hAnsi="Times New Roman" w:cs="Times New Roman"/>
          <w:color w:val="0D0D0D"/>
          <w:sz w:val="24"/>
          <w:szCs w:val="24"/>
          <w:highlight w:val="yellow"/>
          <w:shd w:val="clear" w:color="auto" w:fill="FFFFFF"/>
        </w:rPr>
        <w:t>da</w:t>
      </w:r>
      <w:r w:rsidR="00EA17DC" w:rsidRPr="00262809">
        <w:rPr>
          <w:rFonts w:ascii="Times New Roman" w:hAnsi="Times New Roman" w:cs="Times New Roman"/>
          <w:color w:val="0D0D0D"/>
          <w:sz w:val="24"/>
          <w:szCs w:val="24"/>
          <w:highlight w:val="yellow"/>
          <w:shd w:val="clear" w:color="auto" w:fill="FFFFFF"/>
        </w:rPr>
        <w:t xml:space="preserve"> et al., 2017).</w:t>
      </w:r>
    </w:p>
    <w:p w14:paraId="7BE90D44" w14:textId="25860035" w:rsidR="0033496B" w:rsidRPr="00262809" w:rsidRDefault="00395321" w:rsidP="00262809">
      <w:pPr>
        <w:spacing w:line="480" w:lineRule="auto"/>
        <w:jc w:val="both"/>
        <w:rPr>
          <w:rFonts w:ascii="Times New Roman" w:hAnsi="Times New Roman" w:cs="Times New Roman"/>
          <w:color w:val="0D0D0D"/>
          <w:sz w:val="24"/>
          <w:szCs w:val="24"/>
          <w:shd w:val="clear" w:color="auto" w:fill="FFFFFF"/>
        </w:rPr>
      </w:pPr>
      <w:r w:rsidRPr="00395321">
        <w:rPr>
          <w:rFonts w:ascii="Times New Roman" w:hAnsi="Times New Roman" w:cs="Times New Roman"/>
          <w:color w:val="0D0D0D"/>
          <w:sz w:val="24"/>
          <w:szCs w:val="24"/>
          <w:shd w:val="clear" w:color="auto" w:fill="FFFFFF"/>
        </w:rPr>
        <w:t xml:space="preserve">According to Hesse-Biber (2010), ethical considerations must be taken seriously to ensure that research is conducted objectively and fairly. </w:t>
      </w:r>
      <w:r w:rsidR="00E064B3">
        <w:rPr>
          <w:rFonts w:ascii="Times New Roman" w:hAnsi="Times New Roman" w:cs="Times New Roman"/>
          <w:color w:val="0D0D0D"/>
          <w:sz w:val="24"/>
          <w:szCs w:val="24"/>
          <w:shd w:val="clear" w:color="auto" w:fill="FFFFFF"/>
        </w:rPr>
        <w:t>Research findings may have limitations, particularly when generalising them</w:t>
      </w:r>
      <w:r w:rsidRPr="00395321">
        <w:rPr>
          <w:rFonts w:ascii="Times New Roman" w:hAnsi="Times New Roman" w:cs="Times New Roman"/>
          <w:color w:val="0D0D0D"/>
          <w:sz w:val="24"/>
          <w:szCs w:val="24"/>
          <w:shd w:val="clear" w:color="auto" w:fill="FFFFFF"/>
        </w:rPr>
        <w:t>.</w:t>
      </w:r>
      <w:r w:rsidR="00596E34">
        <w:rPr>
          <w:rFonts w:ascii="Times New Roman" w:hAnsi="Times New Roman" w:cs="Times New Roman"/>
          <w:color w:val="0D0D0D"/>
          <w:sz w:val="24"/>
          <w:szCs w:val="24"/>
          <w:shd w:val="clear" w:color="auto" w:fill="FFFFFF"/>
        </w:rPr>
        <w:t xml:space="preserve"> </w:t>
      </w:r>
      <w:r w:rsidR="0033496B" w:rsidRPr="00262809">
        <w:rPr>
          <w:rFonts w:ascii="Times New Roman" w:hAnsi="Times New Roman" w:cs="Times New Roman"/>
          <w:color w:val="0D0D0D"/>
          <w:sz w:val="24"/>
          <w:szCs w:val="24"/>
          <w:shd w:val="clear" w:color="auto" w:fill="FFFFFF"/>
        </w:rPr>
        <w:t xml:space="preserve">Because multinational corporations (MNCs) are diverse and global trade environments are complex, the results of a particular set of stakeholder engagement strategies may </w:t>
      </w:r>
      <w:r w:rsidR="00EC329A" w:rsidRPr="00262809">
        <w:rPr>
          <w:rFonts w:ascii="Times New Roman" w:hAnsi="Times New Roman" w:cs="Times New Roman"/>
          <w:color w:val="0D0D0D"/>
          <w:sz w:val="24"/>
          <w:szCs w:val="24"/>
          <w:shd w:val="clear" w:color="auto" w:fill="FFFFFF"/>
        </w:rPr>
        <w:t>only apply to some</w:t>
      </w:r>
      <w:r w:rsidR="0033496B" w:rsidRPr="00262809">
        <w:rPr>
          <w:rFonts w:ascii="Times New Roman" w:hAnsi="Times New Roman" w:cs="Times New Roman"/>
          <w:color w:val="0D0D0D"/>
          <w:sz w:val="24"/>
          <w:szCs w:val="24"/>
          <w:shd w:val="clear" w:color="auto" w:fill="FFFFFF"/>
        </w:rPr>
        <w:t xml:space="preserve"> situations </w:t>
      </w:r>
      <w:r w:rsidR="0033496B" w:rsidRPr="00262809">
        <w:rPr>
          <w:rFonts w:ascii="Times New Roman" w:hAnsi="Times New Roman" w:cs="Times New Roman"/>
          <w:color w:val="0D0D0D"/>
          <w:sz w:val="24"/>
          <w:szCs w:val="24"/>
          <w:highlight w:val="yellow"/>
          <w:shd w:val="clear" w:color="auto" w:fill="FFFFFF"/>
        </w:rPr>
        <w:t>(Williams, 2017).</w:t>
      </w:r>
      <w:r w:rsidR="0033496B" w:rsidRPr="00262809">
        <w:rPr>
          <w:rFonts w:ascii="Times New Roman" w:hAnsi="Times New Roman" w:cs="Times New Roman"/>
          <w:color w:val="0D0D0D"/>
          <w:sz w:val="24"/>
          <w:szCs w:val="24"/>
          <w:shd w:val="clear" w:color="auto" w:fill="FFFFFF"/>
        </w:rPr>
        <w:t xml:space="preserve"> </w:t>
      </w:r>
    </w:p>
    <w:p w14:paraId="2A9D6327" w14:textId="77777777" w:rsidR="0028227B" w:rsidRPr="00262809" w:rsidRDefault="0028227B" w:rsidP="00262809">
      <w:pPr>
        <w:autoSpaceDE/>
        <w:autoSpaceDN/>
        <w:adjustRightInd/>
        <w:spacing w:after="160" w:line="480" w:lineRule="auto"/>
        <w:rPr>
          <w:rFonts w:ascii="Times New Roman" w:eastAsiaTheme="majorEastAsia" w:hAnsi="Times New Roman" w:cs="Times New Roman"/>
          <w:color w:val="0070C0"/>
          <w:sz w:val="24"/>
          <w:szCs w:val="24"/>
        </w:rPr>
      </w:pPr>
      <w:r w:rsidRPr="00262809">
        <w:rPr>
          <w:rFonts w:ascii="Times New Roman" w:hAnsi="Times New Roman" w:cs="Times New Roman"/>
          <w:color w:val="0070C0"/>
          <w:sz w:val="24"/>
          <w:szCs w:val="24"/>
        </w:rPr>
        <w:br w:type="page"/>
      </w:r>
    </w:p>
    <w:p w14:paraId="7926AA18" w14:textId="45C17B20" w:rsidR="00613E21" w:rsidRDefault="009B2028" w:rsidP="00886656">
      <w:pPr>
        <w:pStyle w:val="Heading1"/>
      </w:pPr>
      <w:bookmarkStart w:id="32" w:name="_Toc163889335"/>
      <w:r w:rsidRPr="00886656">
        <w:rPr>
          <w:color w:val="0070C0"/>
        </w:rPr>
        <w:lastRenderedPageBreak/>
        <w:t>8.0 Reference list</w:t>
      </w:r>
      <w:bookmarkEnd w:id="32"/>
    </w:p>
    <w:p w14:paraId="14013BE6" w14:textId="6D8B0660" w:rsidR="00CD0D80" w:rsidRPr="00A368CE" w:rsidRDefault="00CD0D80" w:rsidP="00CD0D80">
      <w:pPr>
        <w:pStyle w:val="NormalWeb"/>
        <w:ind w:left="567" w:hanging="567"/>
      </w:pPr>
      <w:r w:rsidRPr="00A368CE">
        <w:t>Almei</w:t>
      </w:r>
      <w:r w:rsidR="00962878" w:rsidRPr="00A368CE">
        <w:t>da</w:t>
      </w:r>
      <w:r w:rsidRPr="00A368CE">
        <w:t xml:space="preserve">, F., </w:t>
      </w:r>
      <w:r w:rsidR="008820F9" w:rsidRPr="00A368CE">
        <w:t>et al. (2017) (PDF) Strengths</w:t>
      </w:r>
      <w:r w:rsidRPr="00A368CE">
        <w:rPr>
          <w:i/>
          <w:iCs/>
        </w:rPr>
        <w:t xml:space="preserve"> and limitations of qualitative and quantitative ...</w:t>
      </w:r>
      <w:r w:rsidRPr="00A368CE">
        <w:t xml:space="preserve"> Available at: </w:t>
      </w:r>
      <w:hyperlink r:id="rId13" w:history="1">
        <w:r w:rsidR="00FE35B1" w:rsidRPr="00A368CE">
          <w:rPr>
            <w:rStyle w:val="Hyperlink"/>
          </w:rPr>
          <w:t>https://www.researchgate.net/publication/319852576_Strengths_and_limitations_of_Qualitative_and_Quantitative_Research_Methods</w:t>
        </w:r>
      </w:hyperlink>
      <w:r w:rsidR="00F76617" w:rsidRPr="00A368CE">
        <w:t xml:space="preserve"> </w:t>
      </w:r>
      <w:r w:rsidRPr="00A368CE">
        <w:t xml:space="preserve">(Accessed: 28 February 2024). </w:t>
      </w:r>
    </w:p>
    <w:p w14:paraId="7941D6A0" w14:textId="78B00BC5" w:rsidR="001F5A75" w:rsidRPr="00A368CE" w:rsidRDefault="001F5A75" w:rsidP="001F5A75">
      <w:pPr>
        <w:pStyle w:val="NormalWeb"/>
        <w:ind w:left="567" w:hanging="567"/>
      </w:pPr>
      <w:r w:rsidRPr="00A368CE">
        <w:t xml:space="preserve">Acharya, R. (2016) </w:t>
      </w:r>
      <w:r w:rsidRPr="00A368CE">
        <w:rPr>
          <w:i/>
          <w:iCs/>
        </w:rPr>
        <w:t>Regional Trade Agreements and the Multilateral Trading System</w:t>
      </w:r>
      <w:r w:rsidRPr="00A368CE">
        <w:t xml:space="preserve">. Cambridge: Cambridge University Press. </w:t>
      </w:r>
    </w:p>
    <w:p w14:paraId="2822FA69" w14:textId="77777777" w:rsidR="00F90E44" w:rsidRPr="00A368CE" w:rsidRDefault="00F90E44" w:rsidP="00F90E44">
      <w:pPr>
        <w:pStyle w:val="NormalWeb"/>
        <w:ind w:left="567" w:hanging="567"/>
      </w:pPr>
      <w:r w:rsidRPr="00A368CE">
        <w:t xml:space="preserve">Aguilera, R.V., Marano, V. and Haxhi, I. (2019) ‘International corporate governance: A review and opportunities for future research’, </w:t>
      </w:r>
      <w:r w:rsidRPr="00A368CE">
        <w:rPr>
          <w:i/>
          <w:iCs/>
        </w:rPr>
        <w:t>SSRN Electronic Journal</w:t>
      </w:r>
      <w:r w:rsidRPr="00A368CE">
        <w:t xml:space="preserve">. </w:t>
      </w:r>
      <w:hyperlink r:id="rId14" w:history="1">
        <w:r w:rsidRPr="00A368CE">
          <w:rPr>
            <w:rStyle w:val="Hyperlink"/>
          </w:rPr>
          <w:t>doi:10.2139/ssrn.3346138</w:t>
        </w:r>
      </w:hyperlink>
    </w:p>
    <w:p w14:paraId="5DCC3CC1" w14:textId="32BBFB14" w:rsidR="001F5A75" w:rsidRPr="00A368CE" w:rsidRDefault="001F5A75" w:rsidP="001F5A75">
      <w:pPr>
        <w:pStyle w:val="NormalWeb"/>
        <w:ind w:left="567" w:hanging="567"/>
      </w:pPr>
      <w:r w:rsidRPr="00A368CE">
        <w:t xml:space="preserve">Anastasi, C. (2020) </w:t>
      </w:r>
      <w:r w:rsidRPr="00A368CE">
        <w:rPr>
          <w:i/>
          <w:iCs/>
        </w:rPr>
        <w:t>Strategic stakeholder engagement</w:t>
      </w:r>
      <w:r w:rsidRPr="00A368CE">
        <w:t>. S</w:t>
      </w:r>
      <w:r w:rsidR="00C12019" w:rsidRPr="00A368CE">
        <w:t>an Francisco</w:t>
      </w:r>
      <w:r w:rsidRPr="00A368CE">
        <w:t xml:space="preserve">: Taylor &amp; Francis. </w:t>
      </w:r>
    </w:p>
    <w:p w14:paraId="19FBCBF1" w14:textId="77777777" w:rsidR="00B50A1F" w:rsidRPr="00A368CE" w:rsidRDefault="00B50A1F" w:rsidP="00B50A1F">
      <w:pPr>
        <w:pStyle w:val="NormalWeb"/>
        <w:ind w:left="567" w:hanging="567"/>
      </w:pPr>
      <w:r w:rsidRPr="00A368CE">
        <w:t xml:space="preserve">Andenæs, M.T. and Andersen, C.B. (2011) </w:t>
      </w:r>
      <w:r w:rsidRPr="00A368CE">
        <w:rPr>
          <w:i/>
          <w:iCs/>
        </w:rPr>
        <w:t>Theory and practice of harmonisation</w:t>
      </w:r>
      <w:r w:rsidRPr="00A368CE">
        <w:t xml:space="preserve">. Cheltenham, UK: Edward Elgar. </w:t>
      </w:r>
    </w:p>
    <w:p w14:paraId="4CBE36E0" w14:textId="77777777" w:rsidR="00C739E2" w:rsidRPr="00A368CE" w:rsidRDefault="00C739E2" w:rsidP="00C739E2">
      <w:pPr>
        <w:pStyle w:val="NormalWeb"/>
        <w:ind w:left="567" w:hanging="567"/>
      </w:pPr>
      <w:r w:rsidRPr="00A368CE">
        <w:t xml:space="preserve">Baugh, A. (2015) </w:t>
      </w:r>
      <w:r w:rsidRPr="00A368CE">
        <w:rPr>
          <w:i/>
          <w:iCs/>
        </w:rPr>
        <w:t>Stakeholder engagement</w:t>
      </w:r>
      <w:r w:rsidRPr="00A368CE">
        <w:t xml:space="preserve">. CRC Press. </w:t>
      </w:r>
    </w:p>
    <w:p w14:paraId="5FEEC50D" w14:textId="77777777" w:rsidR="00352793" w:rsidRPr="00A368CE" w:rsidRDefault="00352793" w:rsidP="00352793">
      <w:pPr>
        <w:pStyle w:val="NormalWeb"/>
        <w:ind w:left="567" w:hanging="567"/>
      </w:pPr>
      <w:r w:rsidRPr="00A368CE">
        <w:t xml:space="preserve">Baumann-Pauly, D. and Nolan, J. (2016) </w:t>
      </w:r>
      <w:r w:rsidRPr="00A368CE">
        <w:rPr>
          <w:i/>
          <w:iCs/>
        </w:rPr>
        <w:t>Business and human rights: From principles to practice</w:t>
      </w:r>
      <w:r w:rsidRPr="00A368CE">
        <w:t xml:space="preserve">. Abingdon, Oxon: Routledge. </w:t>
      </w:r>
    </w:p>
    <w:p w14:paraId="006B0ACB" w14:textId="77777777" w:rsidR="00D312DC" w:rsidRPr="00A368CE" w:rsidRDefault="00D312DC" w:rsidP="00D312DC">
      <w:pPr>
        <w:pStyle w:val="NormalWeb"/>
        <w:ind w:left="567" w:hanging="567"/>
      </w:pPr>
      <w:r w:rsidRPr="00A368CE">
        <w:t xml:space="preserve">Becker, J. and Blaas, W. (2022) </w:t>
      </w:r>
      <w:r w:rsidRPr="00A368CE">
        <w:rPr>
          <w:i/>
          <w:iCs/>
        </w:rPr>
        <w:t>Strategic arena switching in international trade negotiations</w:t>
      </w:r>
      <w:r w:rsidRPr="00A368CE">
        <w:t xml:space="preserve">. London: Routledge. </w:t>
      </w:r>
    </w:p>
    <w:p w14:paraId="6532F373" w14:textId="77777777" w:rsidR="00E16649" w:rsidRPr="00A368CE" w:rsidRDefault="00E16649" w:rsidP="00E16649">
      <w:pPr>
        <w:pStyle w:val="NormalWeb"/>
        <w:ind w:left="567" w:hanging="567"/>
      </w:pPr>
      <w:r w:rsidRPr="00A368CE">
        <w:t xml:space="preserve">Bell, E. and Willmott, H. (2015) </w:t>
      </w:r>
      <w:r w:rsidRPr="00A368CE">
        <w:rPr>
          <w:i/>
          <w:iCs/>
        </w:rPr>
        <w:t>Qualitative research in business and Management</w:t>
      </w:r>
      <w:r w:rsidRPr="00A368CE">
        <w:t xml:space="preserve">. Los Angeles: SAGE reference. </w:t>
      </w:r>
    </w:p>
    <w:p w14:paraId="59243FC9" w14:textId="1E92EDF8" w:rsidR="00AC5601" w:rsidRPr="00A368CE" w:rsidRDefault="00AC5601" w:rsidP="00AC5601">
      <w:pPr>
        <w:pStyle w:val="NormalWeb"/>
        <w:ind w:left="567" w:hanging="567"/>
      </w:pPr>
      <w:r w:rsidRPr="00A368CE">
        <w:t xml:space="preserve">Bergman, M.M. (2010) </w:t>
      </w:r>
      <w:r w:rsidRPr="00A368CE">
        <w:rPr>
          <w:i/>
          <w:iCs/>
        </w:rPr>
        <w:t>Advances in mixed methods research: Theories and applications</w:t>
      </w:r>
      <w:r w:rsidRPr="00A368CE">
        <w:t>. Los Angeles, Calif</w:t>
      </w:r>
      <w:r w:rsidR="00763463" w:rsidRPr="00A368CE">
        <w:t>ornia</w:t>
      </w:r>
      <w:r w:rsidRPr="00A368CE">
        <w:t>: S</w:t>
      </w:r>
      <w:r w:rsidR="00763463" w:rsidRPr="00A368CE">
        <w:t>age</w:t>
      </w:r>
      <w:r w:rsidRPr="00A368CE">
        <w:t xml:space="preserve">. </w:t>
      </w:r>
    </w:p>
    <w:p w14:paraId="67AC3D03" w14:textId="55005B79" w:rsidR="00AA79A0" w:rsidRDefault="00AA79A0" w:rsidP="00AA79A0">
      <w:pPr>
        <w:pStyle w:val="NormalWeb"/>
        <w:ind w:left="567" w:hanging="567"/>
      </w:pPr>
      <w:r w:rsidRPr="00A368CE">
        <w:t xml:space="preserve">Bhagwati, J.N., et al. (2017) </w:t>
      </w:r>
      <w:r w:rsidRPr="00A368CE">
        <w:rPr>
          <w:i/>
          <w:iCs/>
        </w:rPr>
        <w:t xml:space="preserve">The World Trade System. </w:t>
      </w:r>
      <w:r w:rsidR="00EC329A" w:rsidRPr="00A368CE">
        <w:rPr>
          <w:i/>
          <w:iCs/>
        </w:rPr>
        <w:t>Trends</w:t>
      </w:r>
      <w:r w:rsidRPr="00A368CE">
        <w:rPr>
          <w:i/>
          <w:iCs/>
        </w:rPr>
        <w:t xml:space="preserve"> and challenges</w:t>
      </w:r>
      <w:r w:rsidRPr="00A368CE">
        <w:t xml:space="preserve">. Cambridge: MIT Press Ltd. </w:t>
      </w:r>
    </w:p>
    <w:p w14:paraId="1253D85A" w14:textId="4427FA74" w:rsidR="00D01882" w:rsidRPr="00BB6285" w:rsidRDefault="00D01882" w:rsidP="00D01882">
      <w:pPr>
        <w:pStyle w:val="NormalWeb"/>
        <w:ind w:left="567" w:hanging="567"/>
      </w:pPr>
      <w:r w:rsidRPr="00BB6285">
        <w:t xml:space="preserve">Bilal, S., et al. (2016) </w:t>
      </w:r>
      <w:r w:rsidRPr="00BB6285">
        <w:rPr>
          <w:i/>
          <w:iCs/>
        </w:rPr>
        <w:t>Asymmetric Trade Negotiations</w:t>
      </w:r>
      <w:r w:rsidRPr="00BB6285">
        <w:t xml:space="preserve">. London: Routledge. </w:t>
      </w:r>
    </w:p>
    <w:p w14:paraId="3F76D827" w14:textId="31605636" w:rsidR="005F3175" w:rsidRPr="00BB6285" w:rsidRDefault="005F3175" w:rsidP="00D01882">
      <w:pPr>
        <w:pStyle w:val="NormalWeb"/>
        <w:ind w:left="567" w:hanging="567"/>
      </w:pPr>
      <w:r w:rsidRPr="00BB6285">
        <w:rPr>
          <w:color w:val="222222"/>
          <w:shd w:val="clear" w:color="auto" w:fill="FFFFFF"/>
        </w:rPr>
        <w:t>Blanchard, E.J., et al 2017. Global value chains and trade policy. </w:t>
      </w:r>
      <w:r w:rsidRPr="00BB6285">
        <w:rPr>
          <w:i/>
          <w:iCs/>
          <w:color w:val="222222"/>
          <w:shd w:val="clear" w:color="auto" w:fill="FFFFFF"/>
        </w:rPr>
        <w:t>Dartmouth College and Peterson Institute for International Economics</w:t>
      </w:r>
      <w:r w:rsidRPr="00BB6285">
        <w:rPr>
          <w:color w:val="222222"/>
          <w:shd w:val="clear" w:color="auto" w:fill="FFFFFF"/>
        </w:rPr>
        <w:t>, </w:t>
      </w:r>
      <w:r w:rsidRPr="00BB6285">
        <w:rPr>
          <w:i/>
          <w:iCs/>
          <w:color w:val="222222"/>
          <w:shd w:val="clear" w:color="auto" w:fill="FFFFFF"/>
        </w:rPr>
        <w:t>2</w:t>
      </w:r>
      <w:r w:rsidRPr="00BB6285">
        <w:rPr>
          <w:color w:val="222222"/>
          <w:shd w:val="clear" w:color="auto" w:fill="FFFFFF"/>
        </w:rPr>
        <w:t>.</w:t>
      </w:r>
    </w:p>
    <w:p w14:paraId="1E4E00A2" w14:textId="2F453C2B" w:rsidR="007826F3" w:rsidRPr="00A368CE" w:rsidRDefault="00550668" w:rsidP="007826F3">
      <w:pPr>
        <w:pStyle w:val="NormalWeb"/>
        <w:ind w:left="567" w:hanging="567"/>
      </w:pPr>
      <w:r w:rsidRPr="00BB6285">
        <w:t xml:space="preserve">Bloomfield, S. (2013) </w:t>
      </w:r>
      <w:r w:rsidRPr="00BB6285">
        <w:rPr>
          <w:i/>
          <w:iCs/>
        </w:rPr>
        <w:t xml:space="preserve">Theory and practice of corporate governance: An </w:t>
      </w:r>
      <w:r w:rsidR="002268A3" w:rsidRPr="00BB6285">
        <w:rPr>
          <w:i/>
          <w:iCs/>
        </w:rPr>
        <w:t>Integrated</w:t>
      </w:r>
      <w:r w:rsidRPr="00BB6285">
        <w:rPr>
          <w:i/>
          <w:iCs/>
        </w:rPr>
        <w:t xml:space="preserve"> </w:t>
      </w:r>
      <w:r w:rsidR="007826F3" w:rsidRPr="00BB6285">
        <w:rPr>
          <w:i/>
          <w:iCs/>
        </w:rPr>
        <w:t>Approach</w:t>
      </w:r>
      <w:r w:rsidR="007826F3" w:rsidRPr="00BB6285">
        <w:t>. Cambridge: Cambridge University Press.</w:t>
      </w:r>
      <w:r w:rsidR="007826F3" w:rsidRPr="00A368CE">
        <w:t xml:space="preserve"> </w:t>
      </w:r>
    </w:p>
    <w:p w14:paraId="155EDCE9" w14:textId="77777777" w:rsidR="00540864" w:rsidRPr="00A368CE" w:rsidRDefault="00540864" w:rsidP="00540864">
      <w:pPr>
        <w:pStyle w:val="NormalWeb"/>
        <w:ind w:left="567" w:hanging="567"/>
      </w:pPr>
      <w:r w:rsidRPr="00A368CE">
        <w:t xml:space="preserve">Bourne, L. (2009) </w:t>
      </w:r>
      <w:r w:rsidRPr="00A368CE">
        <w:rPr>
          <w:i/>
          <w:iCs/>
        </w:rPr>
        <w:t>Stakeholder relationship management a maturity model for organisational implementation</w:t>
      </w:r>
      <w:r w:rsidRPr="00A368CE">
        <w:t xml:space="preserve">. London: Routledge. </w:t>
      </w:r>
    </w:p>
    <w:p w14:paraId="45F6BDC8" w14:textId="067274BB" w:rsidR="00B73E11" w:rsidRPr="00A368CE" w:rsidRDefault="00B73E11" w:rsidP="00B73E11">
      <w:pPr>
        <w:pStyle w:val="NormalWeb"/>
        <w:ind w:left="567" w:hanging="567"/>
      </w:pPr>
      <w:r w:rsidRPr="00A368CE">
        <w:t>Braithwaite, J. and Drahos, P. (20</w:t>
      </w:r>
      <w:r w:rsidR="00AE3D76" w:rsidRPr="00A368CE">
        <w:t>18</w:t>
      </w:r>
      <w:r w:rsidRPr="00A368CE">
        <w:t xml:space="preserve">) </w:t>
      </w:r>
      <w:r w:rsidRPr="00A368CE">
        <w:rPr>
          <w:i/>
          <w:iCs/>
        </w:rPr>
        <w:t>Global Business Regulation</w:t>
      </w:r>
      <w:r w:rsidRPr="00A368CE">
        <w:t xml:space="preserve">. Cambridge: Cambridge University Press. </w:t>
      </w:r>
    </w:p>
    <w:p w14:paraId="75E29E98" w14:textId="77777777" w:rsidR="008C3D6B" w:rsidRDefault="008C3D6B" w:rsidP="008C3D6B">
      <w:pPr>
        <w:pStyle w:val="NormalWeb"/>
        <w:ind w:left="567" w:hanging="567"/>
      </w:pPr>
      <w:r w:rsidRPr="00A368CE">
        <w:lastRenderedPageBreak/>
        <w:t xml:space="preserve">Brinkmann, S. (2018) </w:t>
      </w:r>
      <w:r w:rsidRPr="00A368CE">
        <w:rPr>
          <w:i/>
          <w:iCs/>
        </w:rPr>
        <w:t>Philosophies of Qualitative Research</w:t>
      </w:r>
      <w:r w:rsidRPr="00A368CE">
        <w:t xml:space="preserve">. New York: Oxford University Press. </w:t>
      </w:r>
    </w:p>
    <w:p w14:paraId="16C9C314" w14:textId="77777777" w:rsidR="00815B57" w:rsidRPr="00BB6285" w:rsidRDefault="00815B57" w:rsidP="00815B57">
      <w:pPr>
        <w:pStyle w:val="NormalWeb"/>
        <w:ind w:left="567" w:hanging="567"/>
      </w:pPr>
      <w:r w:rsidRPr="00BB6285">
        <w:t xml:space="preserve">Caves, R.E. (1996) </w:t>
      </w:r>
      <w:r w:rsidRPr="00BB6285">
        <w:rPr>
          <w:i/>
          <w:iCs/>
        </w:rPr>
        <w:t>Multinational Enterprise and economic analysis</w:t>
      </w:r>
      <w:r w:rsidRPr="00BB6285">
        <w:t xml:space="preserve">. Cambridge: Cambridge University Press. </w:t>
      </w:r>
    </w:p>
    <w:p w14:paraId="2E98415C" w14:textId="77777777" w:rsidR="008277B2" w:rsidRPr="00BB6285" w:rsidRDefault="008277B2" w:rsidP="008277B2">
      <w:pPr>
        <w:pStyle w:val="NormalWeb"/>
        <w:ind w:left="567" w:hanging="567"/>
      </w:pPr>
      <w:r w:rsidRPr="00BB6285">
        <w:t xml:space="preserve">Chang, H.-J. (2013) </w:t>
      </w:r>
      <w:r w:rsidRPr="00BB6285">
        <w:rPr>
          <w:i/>
          <w:iCs/>
        </w:rPr>
        <w:t>23 things they don’t tell you about capitalism</w:t>
      </w:r>
      <w:r w:rsidRPr="00BB6285">
        <w:t xml:space="preserve">. Doha: Bloomsbury Qatar Foundation. </w:t>
      </w:r>
    </w:p>
    <w:p w14:paraId="1F8301E4" w14:textId="77777777" w:rsidR="004F6EF9" w:rsidRPr="00BB6285" w:rsidRDefault="004F6EF9" w:rsidP="004F6EF9">
      <w:pPr>
        <w:pStyle w:val="NormalWeb"/>
        <w:ind w:left="567" w:hanging="567"/>
      </w:pPr>
      <w:r w:rsidRPr="00BB6285">
        <w:t xml:space="preserve">Clarke, A. and Dawson, R. (2012) </w:t>
      </w:r>
      <w:r w:rsidRPr="00BB6285">
        <w:rPr>
          <w:i/>
          <w:iCs/>
        </w:rPr>
        <w:t>Evaluation research: An introduction to principles, methods and Practice</w:t>
      </w:r>
      <w:r w:rsidRPr="00BB6285">
        <w:t xml:space="preserve">. London: Sage. </w:t>
      </w:r>
    </w:p>
    <w:p w14:paraId="4D081141" w14:textId="7AC75E3D" w:rsidR="003B7D6F" w:rsidRPr="00BB6285" w:rsidRDefault="003B7D6F" w:rsidP="003B7D6F">
      <w:pPr>
        <w:pStyle w:val="NormalWeb"/>
        <w:ind w:left="567" w:hanging="567"/>
      </w:pPr>
      <w:r w:rsidRPr="00BB6285">
        <w:t xml:space="preserve">Coe, N.M. and Yeung, H.W.-C. (2015) </w:t>
      </w:r>
      <w:r w:rsidRPr="00BB6285">
        <w:rPr>
          <w:i/>
          <w:iCs/>
        </w:rPr>
        <w:t xml:space="preserve">Global Production Networks: Theorizing Economic Development in an </w:t>
      </w:r>
      <w:r w:rsidR="005E2765" w:rsidRPr="00BB6285">
        <w:rPr>
          <w:i/>
          <w:iCs/>
        </w:rPr>
        <w:t>Interconnected World</w:t>
      </w:r>
      <w:r w:rsidRPr="00BB6285">
        <w:t xml:space="preserve">. Oxford: Oxford University Press. </w:t>
      </w:r>
    </w:p>
    <w:p w14:paraId="4B914245" w14:textId="4D7735E8" w:rsidR="00ED3AFA" w:rsidRPr="00A368CE" w:rsidRDefault="00ED3AFA" w:rsidP="00ED3AFA">
      <w:pPr>
        <w:pStyle w:val="NormalWeb"/>
        <w:ind w:left="567" w:hanging="567"/>
      </w:pPr>
      <w:r w:rsidRPr="00BB6285">
        <w:t xml:space="preserve">Coglianese, C., et al (2011) </w:t>
      </w:r>
      <w:r w:rsidRPr="00BB6285">
        <w:rPr>
          <w:i/>
          <w:iCs/>
        </w:rPr>
        <w:t>Import Safety Regulatory Governance in the global economy</w:t>
      </w:r>
      <w:r w:rsidRPr="00BB6285">
        <w:t>.</w:t>
      </w:r>
      <w:r w:rsidRPr="00A368CE">
        <w:t xml:space="preserve"> Philadelphia: </w:t>
      </w:r>
      <w:r w:rsidR="005E2765">
        <w:t xml:space="preserve">the </w:t>
      </w:r>
      <w:r w:rsidRPr="00A368CE">
        <w:t xml:space="preserve">University of Pennsylvania Press. </w:t>
      </w:r>
    </w:p>
    <w:p w14:paraId="6A003826" w14:textId="75DCD1FE" w:rsidR="007A4A7F" w:rsidRPr="00A368CE" w:rsidRDefault="007A4A7F" w:rsidP="007A4A7F">
      <w:pPr>
        <w:pStyle w:val="NormalWeb"/>
        <w:ind w:left="567" w:hanging="567"/>
      </w:pPr>
      <w:r w:rsidRPr="00A368CE">
        <w:t xml:space="preserve">Crane, A. and Matten, D. (2017) </w:t>
      </w:r>
      <w:r w:rsidRPr="00A368CE">
        <w:rPr>
          <w:i/>
          <w:iCs/>
        </w:rPr>
        <w:t xml:space="preserve">Business ethics: Managing corporate citizenship and sustainability in the age of </w:t>
      </w:r>
      <w:r w:rsidR="00EC329A" w:rsidRPr="00A368CE">
        <w:rPr>
          <w:i/>
          <w:iCs/>
        </w:rPr>
        <w:t>globalisation</w:t>
      </w:r>
      <w:r w:rsidRPr="00A368CE">
        <w:t xml:space="preserve">. Oxford: Oxford University Press. </w:t>
      </w:r>
    </w:p>
    <w:p w14:paraId="3C352057" w14:textId="31F5D213" w:rsidR="002B2240" w:rsidRPr="00A368CE" w:rsidRDefault="002B2240" w:rsidP="002B2240">
      <w:pPr>
        <w:pStyle w:val="NormalWeb"/>
        <w:ind w:left="567" w:hanging="567"/>
      </w:pPr>
      <w:r w:rsidRPr="00A368CE">
        <w:t xml:space="preserve">Creamer, </w:t>
      </w:r>
      <w:r w:rsidR="0016444F" w:rsidRPr="00A368CE">
        <w:t>E. G. (2018).</w:t>
      </w:r>
      <w:r w:rsidRPr="00A368CE">
        <w:t xml:space="preserve"> </w:t>
      </w:r>
      <w:r w:rsidRPr="00A368CE">
        <w:rPr>
          <w:i/>
          <w:iCs/>
        </w:rPr>
        <w:t>An introduction to fully integrated mixed methods research</w:t>
      </w:r>
      <w:r w:rsidRPr="00A368CE">
        <w:t xml:space="preserve">. Los Angeles, CA: SAGE Publications, Inc. </w:t>
      </w:r>
    </w:p>
    <w:p w14:paraId="54BA780B" w14:textId="0E26C0C3" w:rsidR="003D54A2" w:rsidRPr="00A368CE" w:rsidRDefault="003D54A2" w:rsidP="003D54A2">
      <w:pPr>
        <w:pStyle w:val="NormalWeb"/>
        <w:ind w:left="567" w:hanging="567"/>
      </w:pPr>
      <w:r w:rsidRPr="00A368CE">
        <w:t>Crespo, N.</w:t>
      </w:r>
      <w:r w:rsidR="00EC329A" w:rsidRPr="00A368CE">
        <w:t>, and Simões, N. (2021). Handbook of Research on the Empirical Aspects of Strategic Trade Negotiations</w:t>
      </w:r>
      <w:r w:rsidRPr="00A368CE">
        <w:rPr>
          <w:i/>
          <w:iCs/>
        </w:rPr>
        <w:t xml:space="preserve"> and Management</w:t>
      </w:r>
      <w:r w:rsidRPr="00A368CE">
        <w:t xml:space="preserve">. Hershey: IGI Global Publisher of Timely Knowledge. </w:t>
      </w:r>
    </w:p>
    <w:p w14:paraId="50AC033B" w14:textId="77777777" w:rsidR="00C2417D" w:rsidRPr="00A368CE" w:rsidRDefault="00C2417D" w:rsidP="00C2417D">
      <w:pPr>
        <w:pStyle w:val="NormalWeb"/>
        <w:ind w:left="567" w:hanging="567"/>
      </w:pPr>
      <w:r w:rsidRPr="00A368CE">
        <w:t xml:space="preserve">Cronk, B.C. (2024) </w:t>
      </w:r>
      <w:r w:rsidRPr="00A368CE">
        <w:rPr>
          <w:i/>
          <w:iCs/>
        </w:rPr>
        <w:t>How to use SPSS: A step-by-step guide to analysis and interpretation</w:t>
      </w:r>
      <w:r w:rsidRPr="00A368CE">
        <w:t xml:space="preserve">. New York ; London: Routledge. </w:t>
      </w:r>
    </w:p>
    <w:p w14:paraId="352C1E58" w14:textId="2D97EC56" w:rsidR="009C3DF1" w:rsidRDefault="009C3DF1" w:rsidP="009C3DF1">
      <w:pPr>
        <w:pStyle w:val="NormalWeb"/>
        <w:ind w:left="567" w:hanging="567"/>
      </w:pPr>
      <w:r w:rsidRPr="00A368CE">
        <w:t xml:space="preserve">Cullen, J.B. and Parboteeah, P. (2010) </w:t>
      </w:r>
      <w:r w:rsidRPr="00A368CE">
        <w:rPr>
          <w:i/>
          <w:iCs/>
        </w:rPr>
        <w:t>International Business: Strategy and the Multinational Company</w:t>
      </w:r>
      <w:r w:rsidRPr="00A368CE">
        <w:t xml:space="preserve">. New York: Routledge. </w:t>
      </w:r>
    </w:p>
    <w:p w14:paraId="48108CF5" w14:textId="77777777" w:rsidR="00BF67D4" w:rsidRDefault="00BF67D4" w:rsidP="00BF67D4">
      <w:pPr>
        <w:pStyle w:val="NormalWeb"/>
        <w:ind w:left="567" w:hanging="567"/>
      </w:pPr>
      <w:r>
        <w:t xml:space="preserve">Edson, M.C., Henning, P.B. and Sankaran, S. (2018) </w:t>
      </w:r>
      <w:r>
        <w:rPr>
          <w:i/>
          <w:iCs/>
        </w:rPr>
        <w:t>A Guide to Systems Research Philosophy, processes and Practice</w:t>
      </w:r>
      <w:r>
        <w:t xml:space="preserve">. Puchong, Selangor D.E: Springer Singapore. </w:t>
      </w:r>
    </w:p>
    <w:p w14:paraId="3E09B029" w14:textId="2A409455" w:rsidR="00386E90" w:rsidRPr="00A368CE" w:rsidRDefault="00386E90" w:rsidP="00386E90">
      <w:pPr>
        <w:pStyle w:val="NormalWeb"/>
        <w:ind w:left="567" w:hanging="567"/>
      </w:pPr>
      <w:r w:rsidRPr="00A368CE">
        <w:t xml:space="preserve">Edwards, H. (2017) </w:t>
      </w:r>
      <w:r w:rsidRPr="00A368CE">
        <w:rPr>
          <w:i/>
          <w:iCs/>
        </w:rPr>
        <w:t xml:space="preserve">What global trade deals are about (hint: </w:t>
      </w:r>
      <w:r w:rsidR="00EC329A" w:rsidRPr="00A368CE">
        <w:rPr>
          <w:i/>
          <w:iCs/>
        </w:rPr>
        <w:t>It’s not trading) | Haley Edwards | TEDx Mid-Atlantic</w:t>
      </w:r>
      <w:r w:rsidRPr="00A368CE">
        <w:t xml:space="preserve">, </w:t>
      </w:r>
      <w:r w:rsidRPr="00A368CE">
        <w:rPr>
          <w:i/>
          <w:iCs/>
        </w:rPr>
        <w:t>YouTube</w:t>
      </w:r>
      <w:r w:rsidRPr="00A368CE">
        <w:t xml:space="preserve">. Available at: </w:t>
      </w:r>
      <w:hyperlink r:id="rId15" w:history="1">
        <w:r w:rsidR="001B6512" w:rsidRPr="00A368CE">
          <w:rPr>
            <w:rStyle w:val="Hyperlink"/>
          </w:rPr>
          <w:t>https://www.youtube.com/watch?v=v3uqD1hWGE</w:t>
        </w:r>
      </w:hyperlink>
      <w:r w:rsidRPr="00A368CE">
        <w:t xml:space="preserve"> (Accessed: 10 March 2024). </w:t>
      </w:r>
    </w:p>
    <w:p w14:paraId="0D4F5A3B" w14:textId="77777777" w:rsidR="00DF2FC3" w:rsidRPr="00A368CE" w:rsidRDefault="00DF2FC3" w:rsidP="00DF2FC3">
      <w:pPr>
        <w:pStyle w:val="NormalWeb"/>
        <w:ind w:left="567" w:hanging="567"/>
      </w:pPr>
      <w:r w:rsidRPr="00A368CE">
        <w:t xml:space="preserve">Fisher, C.M. and Buglear, J. (2010) </w:t>
      </w:r>
      <w:r w:rsidRPr="00A368CE">
        <w:rPr>
          <w:i/>
          <w:iCs/>
        </w:rPr>
        <w:t>Researching and writing a dissertation: An Essential Guide for Business Students</w:t>
      </w:r>
      <w:r w:rsidRPr="00A368CE">
        <w:t xml:space="preserve">. Harlow, England: Financial Times/Prentice Hall. </w:t>
      </w:r>
    </w:p>
    <w:p w14:paraId="7200CED4" w14:textId="77777777" w:rsidR="00104E58" w:rsidRPr="00BB6285" w:rsidRDefault="00104E58" w:rsidP="00104E58">
      <w:pPr>
        <w:pStyle w:val="NormalWeb"/>
        <w:ind w:left="567" w:hanging="567"/>
      </w:pPr>
      <w:r w:rsidRPr="00BB6285">
        <w:t xml:space="preserve">Flick, U. (2018) </w:t>
      </w:r>
      <w:r w:rsidRPr="00BB6285">
        <w:rPr>
          <w:i/>
          <w:iCs/>
        </w:rPr>
        <w:t>Doing triangulation and mixed methods</w:t>
      </w:r>
      <w:r w:rsidRPr="00BB6285">
        <w:t xml:space="preserve">. Los Angeles: Sage. </w:t>
      </w:r>
    </w:p>
    <w:p w14:paraId="03A655A8" w14:textId="470D2503" w:rsidR="002B316A" w:rsidRPr="00BB6285" w:rsidRDefault="002B316A" w:rsidP="002B316A">
      <w:pPr>
        <w:pStyle w:val="NormalWeb"/>
        <w:ind w:left="567" w:hanging="567"/>
      </w:pPr>
      <w:r w:rsidRPr="00BB6285">
        <w:t xml:space="preserve">Fox, A. et al. (2021) </w:t>
      </w:r>
      <w:r w:rsidRPr="00BB6285">
        <w:rPr>
          <w:i/>
          <w:iCs/>
        </w:rPr>
        <w:t>Thinking critically and ethically about research for business: Engaging with voice and empowerment in international contexts</w:t>
      </w:r>
      <w:r w:rsidRPr="00BB6285">
        <w:t xml:space="preserve">. London: Routledge. </w:t>
      </w:r>
    </w:p>
    <w:p w14:paraId="2B00AE1F" w14:textId="77777777" w:rsidR="002E5E6F" w:rsidRPr="00BB6285" w:rsidRDefault="002E5E6F" w:rsidP="002E5E6F">
      <w:pPr>
        <w:pStyle w:val="NormalWeb"/>
        <w:ind w:left="567" w:hanging="567"/>
      </w:pPr>
      <w:r w:rsidRPr="00BB6285">
        <w:lastRenderedPageBreak/>
        <w:t xml:space="preserve">Frankel, S. and Lewis, M.K. (2014) </w:t>
      </w:r>
      <w:r w:rsidRPr="00BB6285">
        <w:rPr>
          <w:i/>
          <w:iCs/>
        </w:rPr>
        <w:t>Trade agreements at the Crossroads</w:t>
      </w:r>
      <w:r w:rsidRPr="00BB6285">
        <w:t xml:space="preserve">. Abingdon, Oxon: Routledge. </w:t>
      </w:r>
    </w:p>
    <w:p w14:paraId="397094D5" w14:textId="325942D0" w:rsidR="001A62BC" w:rsidRDefault="001A62BC" w:rsidP="001A62BC">
      <w:pPr>
        <w:pStyle w:val="NormalWeb"/>
        <w:ind w:left="567" w:hanging="567"/>
      </w:pPr>
      <w:r w:rsidRPr="00BB6285">
        <w:t xml:space="preserve">Franklin, A.L. (2021) </w:t>
      </w:r>
      <w:r w:rsidRPr="00BB6285">
        <w:rPr>
          <w:i/>
          <w:iCs/>
        </w:rPr>
        <w:t>Stakeholder engagement</w:t>
      </w:r>
      <w:r w:rsidRPr="00BB6285">
        <w:t>. New York: Springer.</w:t>
      </w:r>
      <w:r w:rsidRPr="00A368CE">
        <w:t xml:space="preserve"> </w:t>
      </w:r>
    </w:p>
    <w:p w14:paraId="03B8CEEC" w14:textId="77777777" w:rsidR="00F60E87" w:rsidRPr="00A368CE" w:rsidRDefault="00F60E87" w:rsidP="00F60E87">
      <w:pPr>
        <w:pStyle w:val="NormalWeb"/>
        <w:ind w:left="567" w:hanging="567"/>
      </w:pPr>
      <w:r w:rsidRPr="00A368CE">
        <w:t xml:space="preserve">Freeman, R.E. (2018) </w:t>
      </w:r>
      <w:r w:rsidRPr="00A368CE">
        <w:rPr>
          <w:i/>
          <w:iCs/>
        </w:rPr>
        <w:t>Strategic management: A stakeholder approach</w:t>
      </w:r>
      <w:r w:rsidRPr="00A368CE">
        <w:t xml:space="preserve">. Cambridge: Cambridge University Press. </w:t>
      </w:r>
    </w:p>
    <w:p w14:paraId="08AF4316" w14:textId="77777777" w:rsidR="00931F59" w:rsidRDefault="00931F59" w:rsidP="00931F59">
      <w:pPr>
        <w:pStyle w:val="NormalWeb"/>
        <w:ind w:left="567" w:hanging="567"/>
      </w:pPr>
      <w:r w:rsidRPr="00A368CE">
        <w:t xml:space="preserve">Friedman, M. (2007) </w:t>
      </w:r>
      <w:r w:rsidRPr="00A368CE">
        <w:rPr>
          <w:i/>
          <w:iCs/>
        </w:rPr>
        <w:t>Milton Friedman on economics</w:t>
      </w:r>
      <w:r w:rsidRPr="00A368CE">
        <w:t xml:space="preserve">. Chicago: University of Chicago Press. </w:t>
      </w:r>
    </w:p>
    <w:p w14:paraId="257D9329" w14:textId="77777777" w:rsidR="006F102C" w:rsidRPr="00BB6285" w:rsidRDefault="006F102C" w:rsidP="006F102C">
      <w:pPr>
        <w:pStyle w:val="NormalWeb"/>
        <w:ind w:left="567" w:hanging="567"/>
      </w:pPr>
      <w:r w:rsidRPr="00BB6285">
        <w:t xml:space="preserve">Hannan, S.A. (2016) </w:t>
      </w:r>
      <w:r w:rsidRPr="00BB6285">
        <w:rPr>
          <w:i/>
          <w:iCs/>
        </w:rPr>
        <w:t>The impact of trade agreements: New approach, new insights</w:t>
      </w:r>
      <w:r w:rsidRPr="00BB6285">
        <w:t xml:space="preserve">. Washington, District of Columbia: International Monetary Fund. </w:t>
      </w:r>
    </w:p>
    <w:p w14:paraId="7C13AA09" w14:textId="6FB8ABA3" w:rsidR="00D9556C" w:rsidRPr="00BB6285" w:rsidRDefault="00D9556C" w:rsidP="00D9556C">
      <w:pPr>
        <w:pStyle w:val="NormalWeb"/>
        <w:ind w:left="567" w:hanging="567"/>
      </w:pPr>
      <w:r w:rsidRPr="00BB6285">
        <w:t xml:space="preserve">Held, D. (2000) </w:t>
      </w:r>
      <w:r w:rsidRPr="00BB6285">
        <w:rPr>
          <w:i/>
          <w:iCs/>
        </w:rPr>
        <w:t xml:space="preserve">A </w:t>
      </w:r>
      <w:r w:rsidR="00E064B3" w:rsidRPr="00BB6285">
        <w:rPr>
          <w:i/>
          <w:iCs/>
        </w:rPr>
        <w:t>globalising</w:t>
      </w:r>
      <w:r w:rsidRPr="00BB6285">
        <w:rPr>
          <w:i/>
          <w:iCs/>
        </w:rPr>
        <w:t xml:space="preserve"> world?: Culture, economics, politics</w:t>
      </w:r>
      <w:r w:rsidRPr="00BB6285">
        <w:t xml:space="preserve">. London: Routledge in association with the Open University. </w:t>
      </w:r>
    </w:p>
    <w:p w14:paraId="0F8E5CA9" w14:textId="77777777" w:rsidR="00877766" w:rsidRPr="00BB6285" w:rsidRDefault="00877766" w:rsidP="00877766">
      <w:pPr>
        <w:pStyle w:val="NormalWeb"/>
        <w:ind w:left="567" w:hanging="567"/>
      </w:pPr>
      <w:r w:rsidRPr="00BB6285">
        <w:t xml:space="preserve">Heetkamp, A.V. de and Tusveld, R. (2011) </w:t>
      </w:r>
      <w:r w:rsidRPr="00BB6285">
        <w:rPr>
          <w:i/>
          <w:iCs/>
        </w:rPr>
        <w:t>Origin management rules of origin in free trade agreements</w:t>
      </w:r>
      <w:r w:rsidRPr="00BB6285">
        <w:t xml:space="preserve">. Berlin: Springer. </w:t>
      </w:r>
    </w:p>
    <w:p w14:paraId="2D224F73" w14:textId="77777777" w:rsidR="00AF5E67" w:rsidRPr="00BB6285" w:rsidRDefault="00AF5E67" w:rsidP="00AF5E67">
      <w:pPr>
        <w:pStyle w:val="NormalWeb"/>
        <w:ind w:left="567" w:hanging="567"/>
      </w:pPr>
      <w:r w:rsidRPr="00BB6285">
        <w:t xml:space="preserve">Hesse-Biber, S.N. (2010) </w:t>
      </w:r>
      <w:r w:rsidRPr="00BB6285">
        <w:rPr>
          <w:i/>
          <w:iCs/>
        </w:rPr>
        <w:t>Mixed methods research merging theory with practice</w:t>
      </w:r>
      <w:r w:rsidRPr="00BB6285">
        <w:t xml:space="preserve">. New York: Guilford Press. </w:t>
      </w:r>
    </w:p>
    <w:p w14:paraId="513CF6A7" w14:textId="720AAEE0" w:rsidR="00957A85" w:rsidRPr="00BB6285" w:rsidRDefault="00957A85" w:rsidP="00957A85">
      <w:pPr>
        <w:pStyle w:val="NormalWeb"/>
        <w:ind w:left="567" w:hanging="567"/>
      </w:pPr>
      <w:r w:rsidRPr="00BB6285">
        <w:t>Janning, F. (2021)</w:t>
      </w:r>
      <w:r w:rsidR="00EC329A" w:rsidRPr="00BB6285">
        <w:t>. The Illusion of Transparency in Corporate Governance: Does Transparency Help or hinder True Ethical Conduct</w:t>
      </w:r>
      <w:r w:rsidRPr="00BB6285">
        <w:rPr>
          <w:i/>
          <w:iCs/>
        </w:rPr>
        <w:t>?</w:t>
      </w:r>
      <w:r w:rsidRPr="00BB6285">
        <w:t xml:space="preserve"> New York: Palgrave McMillan. </w:t>
      </w:r>
    </w:p>
    <w:p w14:paraId="217FB3B7" w14:textId="0BDDBF8A" w:rsidR="004600B8" w:rsidRPr="00BB6285" w:rsidRDefault="004600B8" w:rsidP="004600B8">
      <w:pPr>
        <w:pStyle w:val="NormalWeb"/>
        <w:ind w:left="567" w:hanging="567"/>
      </w:pPr>
      <w:r w:rsidRPr="00BB6285">
        <w:t xml:space="preserve">Keohane, </w:t>
      </w:r>
      <w:r w:rsidR="00EC329A" w:rsidRPr="00BB6285">
        <w:t>R. O. (1984).</w:t>
      </w:r>
      <w:r w:rsidRPr="00BB6285">
        <w:t xml:space="preserve"> </w:t>
      </w:r>
      <w:r w:rsidRPr="00BB6285">
        <w:rPr>
          <w:i/>
          <w:iCs/>
        </w:rPr>
        <w:t>After hegemony: Cooperation and discord in the world political economy</w:t>
      </w:r>
      <w:r w:rsidRPr="00BB6285">
        <w:t xml:space="preserve">. Princeton, N.J: Princeton University Press. </w:t>
      </w:r>
    </w:p>
    <w:p w14:paraId="1989C8E9" w14:textId="77777777" w:rsidR="00003EAF" w:rsidRPr="00BB6285" w:rsidRDefault="00003EAF" w:rsidP="00003EAF">
      <w:pPr>
        <w:pStyle w:val="NormalWeb"/>
        <w:ind w:left="567" w:hanging="567"/>
      </w:pPr>
      <w:r w:rsidRPr="00BB6285">
        <w:t xml:space="preserve">Kirton, J.J. (2009) </w:t>
      </w:r>
      <w:r w:rsidRPr="00BB6285">
        <w:rPr>
          <w:i/>
          <w:iCs/>
        </w:rPr>
        <w:t>Global trade</w:t>
      </w:r>
      <w:r w:rsidRPr="00BB6285">
        <w:t xml:space="preserve">. Farnham, England: Ashgate. </w:t>
      </w:r>
    </w:p>
    <w:p w14:paraId="6914EA50" w14:textId="77777777" w:rsidR="002863E3" w:rsidRPr="00BB6285" w:rsidRDefault="002863E3" w:rsidP="002863E3">
      <w:pPr>
        <w:pStyle w:val="NormalWeb"/>
        <w:ind w:left="567" w:hanging="567"/>
      </w:pPr>
      <w:r w:rsidRPr="00BB6285">
        <w:t xml:space="preserve">Looney, R.E. (2019) </w:t>
      </w:r>
      <w:r w:rsidRPr="00BB6285">
        <w:rPr>
          <w:i/>
          <w:iCs/>
        </w:rPr>
        <w:t>Handbook of International Trade Agreements: Country, regional and global approaches</w:t>
      </w:r>
      <w:r w:rsidRPr="00BB6285">
        <w:t xml:space="preserve">. Abingdon, Oxon: Routledge. </w:t>
      </w:r>
    </w:p>
    <w:p w14:paraId="56537DBF" w14:textId="673DCED1" w:rsidR="00AB03B1" w:rsidRPr="00BB6285" w:rsidRDefault="00AB03B1" w:rsidP="002863E3">
      <w:pPr>
        <w:pStyle w:val="NormalWeb"/>
        <w:ind w:left="567" w:hanging="567"/>
        <w:rPr>
          <w:color w:val="000000"/>
          <w:shd w:val="clear" w:color="auto" w:fill="FFFFFF"/>
        </w:rPr>
      </w:pPr>
      <w:r w:rsidRPr="00BB6285">
        <w:rPr>
          <w:color w:val="000000"/>
          <w:shd w:val="clear" w:color="auto" w:fill="FFFFFF"/>
        </w:rPr>
        <w:t>M</w:t>
      </w:r>
      <w:r w:rsidR="00465D03" w:rsidRPr="00BB6285">
        <w:rPr>
          <w:color w:val="000000"/>
          <w:shd w:val="clear" w:color="auto" w:fill="FFFFFF"/>
        </w:rPr>
        <w:t>anning</w:t>
      </w:r>
      <w:r w:rsidRPr="00BB6285">
        <w:rPr>
          <w:color w:val="000000"/>
          <w:shd w:val="clear" w:color="auto" w:fill="FFFFFF"/>
        </w:rPr>
        <w:t xml:space="preserve">, R.A., </w:t>
      </w:r>
      <w:r w:rsidR="00465D03" w:rsidRPr="00BB6285">
        <w:rPr>
          <w:color w:val="000000"/>
          <w:shd w:val="clear" w:color="auto" w:fill="FFFFFF"/>
        </w:rPr>
        <w:t>(</w:t>
      </w:r>
      <w:r w:rsidRPr="00BB6285">
        <w:rPr>
          <w:color w:val="000000"/>
          <w:shd w:val="clear" w:color="auto" w:fill="FFFFFF"/>
        </w:rPr>
        <w:t>2020</w:t>
      </w:r>
      <w:r w:rsidR="00465D03" w:rsidRPr="00BB6285">
        <w:rPr>
          <w:color w:val="000000"/>
          <w:shd w:val="clear" w:color="auto" w:fill="FFFFFF"/>
        </w:rPr>
        <w:t>)</w:t>
      </w:r>
      <w:r w:rsidRPr="00BB6285">
        <w:rPr>
          <w:color w:val="000000"/>
          <w:shd w:val="clear" w:color="auto" w:fill="FFFFFF"/>
        </w:rPr>
        <w:t>. </w:t>
      </w:r>
      <w:r w:rsidRPr="00BB6285">
        <w:rPr>
          <w:i/>
          <w:iCs/>
          <w:color w:val="000000"/>
          <w:shd w:val="clear" w:color="auto" w:fill="FFFFFF"/>
        </w:rPr>
        <w:t xml:space="preserve">Trade and Financial </w:t>
      </w:r>
      <w:r w:rsidR="00465D03" w:rsidRPr="00BB6285">
        <w:rPr>
          <w:i/>
          <w:iCs/>
          <w:color w:val="000000"/>
          <w:shd w:val="clear" w:color="auto" w:fill="FFFFFF"/>
        </w:rPr>
        <w:t>Fragmentation:</w:t>
      </w:r>
      <w:r w:rsidRPr="00BB6285">
        <w:rPr>
          <w:i/>
          <w:iCs/>
          <w:color w:val="000000"/>
          <w:shd w:val="clear" w:color="auto" w:fill="FFFFFF"/>
        </w:rPr>
        <w:t xml:space="preserve"> New Challenges to Global Stability. </w:t>
      </w:r>
      <w:r w:rsidRPr="00BB6285">
        <w:rPr>
          <w:color w:val="000000"/>
          <w:shd w:val="clear" w:color="auto" w:fill="FFFFFF"/>
        </w:rPr>
        <w:t>Atlantic Council.</w:t>
      </w:r>
    </w:p>
    <w:p w14:paraId="30C8476A" w14:textId="77777777" w:rsidR="0045416C" w:rsidRPr="00BB6285" w:rsidRDefault="0045416C" w:rsidP="0045416C">
      <w:pPr>
        <w:pStyle w:val="NormalWeb"/>
        <w:ind w:left="567" w:hanging="567"/>
      </w:pPr>
      <w:r w:rsidRPr="00BB6285">
        <w:t xml:space="preserve">Mauthner, M. (2002) </w:t>
      </w:r>
      <w:r w:rsidRPr="00BB6285">
        <w:rPr>
          <w:i/>
          <w:iCs/>
        </w:rPr>
        <w:t>Ethics in qualitative research</w:t>
      </w:r>
      <w:r w:rsidRPr="00BB6285">
        <w:t xml:space="preserve">. London: Sage Publications Ltd. </w:t>
      </w:r>
    </w:p>
    <w:p w14:paraId="2C1C8CD0" w14:textId="77777777" w:rsidR="008B0DA5" w:rsidRPr="00BB6285" w:rsidRDefault="008B0DA5" w:rsidP="008B0DA5">
      <w:pPr>
        <w:pStyle w:val="NormalWeb"/>
        <w:ind w:left="567" w:hanging="567"/>
      </w:pPr>
      <w:r w:rsidRPr="00BB6285">
        <w:t xml:space="preserve">Meyer, J.P. and Schneider, B. (2021) </w:t>
      </w:r>
      <w:r w:rsidRPr="00BB6285">
        <w:rPr>
          <w:i/>
          <w:iCs/>
        </w:rPr>
        <w:t>Research agenda for employee engagement in a changing world of work</w:t>
      </w:r>
      <w:r w:rsidRPr="00BB6285">
        <w:t xml:space="preserve">. Cheltenham UK: Edward Elgar Publishing. </w:t>
      </w:r>
    </w:p>
    <w:p w14:paraId="10A8BCEF" w14:textId="77777777" w:rsidR="001314F6" w:rsidRPr="00BB6285" w:rsidRDefault="001314F6" w:rsidP="001314F6">
      <w:pPr>
        <w:pStyle w:val="NormalWeb"/>
        <w:ind w:left="567" w:hanging="567"/>
      </w:pPr>
      <w:r w:rsidRPr="00BB6285">
        <w:t xml:space="preserve">Ndlela, M.N. (2019) </w:t>
      </w:r>
      <w:r w:rsidRPr="00BB6285">
        <w:rPr>
          <w:i/>
          <w:iCs/>
        </w:rPr>
        <w:t>Crisis communication a stakeholder approach</w:t>
      </w:r>
      <w:r w:rsidRPr="00BB6285">
        <w:t xml:space="preserve">. Cham: Springer International Publishing. </w:t>
      </w:r>
    </w:p>
    <w:p w14:paraId="1DE58F53" w14:textId="238C2C5E" w:rsidR="00D33D8B" w:rsidRPr="00BB6285" w:rsidRDefault="00D33D8B" w:rsidP="001314F6">
      <w:pPr>
        <w:pStyle w:val="NormalWeb"/>
        <w:ind w:left="567" w:hanging="567"/>
      </w:pPr>
      <w:r w:rsidRPr="00BB6285">
        <w:rPr>
          <w:color w:val="222222"/>
          <w:shd w:val="clear" w:color="auto" w:fill="FFFFFF"/>
        </w:rPr>
        <w:t>Newell, P., 2008. The political economy of global environmental governance. </w:t>
      </w:r>
      <w:r w:rsidRPr="00BB6285">
        <w:rPr>
          <w:i/>
          <w:iCs/>
          <w:color w:val="222222"/>
          <w:shd w:val="clear" w:color="auto" w:fill="FFFFFF"/>
        </w:rPr>
        <w:t>Review of International Studies</w:t>
      </w:r>
      <w:r w:rsidRPr="00BB6285">
        <w:rPr>
          <w:color w:val="222222"/>
          <w:shd w:val="clear" w:color="auto" w:fill="FFFFFF"/>
        </w:rPr>
        <w:t>, </w:t>
      </w:r>
      <w:r w:rsidRPr="00BB6285">
        <w:rPr>
          <w:i/>
          <w:iCs/>
          <w:color w:val="222222"/>
          <w:shd w:val="clear" w:color="auto" w:fill="FFFFFF"/>
        </w:rPr>
        <w:t>34</w:t>
      </w:r>
      <w:r w:rsidRPr="00BB6285">
        <w:rPr>
          <w:color w:val="222222"/>
          <w:shd w:val="clear" w:color="auto" w:fill="FFFFFF"/>
        </w:rPr>
        <w:t>(3), pp.507-529.</w:t>
      </w:r>
    </w:p>
    <w:p w14:paraId="6AF600C4" w14:textId="77777777" w:rsidR="00D1541B" w:rsidRPr="00BB6285" w:rsidRDefault="00D1541B" w:rsidP="00D1541B">
      <w:pPr>
        <w:pStyle w:val="NormalWeb"/>
        <w:ind w:left="567" w:hanging="567"/>
      </w:pPr>
      <w:r w:rsidRPr="00BB6285">
        <w:t xml:space="preserve">OECD (2013) </w:t>
      </w:r>
      <w:r w:rsidRPr="00BB6285">
        <w:rPr>
          <w:i/>
          <w:iCs/>
        </w:rPr>
        <w:t>International Regulatory Co-operation addressing global challenges</w:t>
      </w:r>
      <w:r w:rsidRPr="00BB6285">
        <w:t xml:space="preserve">. Paris: OECD Publishing. </w:t>
      </w:r>
    </w:p>
    <w:p w14:paraId="326F9653" w14:textId="77777777" w:rsidR="00EF2FCF" w:rsidRPr="00BB6285" w:rsidRDefault="00EF2FCF" w:rsidP="00EF2FCF">
      <w:pPr>
        <w:pStyle w:val="NormalWeb"/>
        <w:ind w:left="567" w:hanging="567"/>
      </w:pPr>
      <w:r w:rsidRPr="00BB6285">
        <w:lastRenderedPageBreak/>
        <w:t xml:space="preserve">Pernecky, T. (2016) </w:t>
      </w:r>
      <w:r w:rsidRPr="00BB6285">
        <w:rPr>
          <w:i/>
          <w:iCs/>
        </w:rPr>
        <w:t>Epistemology and metaphysics for qualitative research</w:t>
      </w:r>
      <w:r w:rsidRPr="00BB6285">
        <w:t xml:space="preserve">. Los Angeles: Sage Publications. </w:t>
      </w:r>
    </w:p>
    <w:p w14:paraId="6B834785" w14:textId="3649DC0D" w:rsidR="001F42D3" w:rsidRPr="00BB6285" w:rsidRDefault="001F42D3" w:rsidP="001F42D3">
      <w:pPr>
        <w:pStyle w:val="NormalWeb"/>
        <w:ind w:left="567" w:hanging="567"/>
      </w:pPr>
      <w:r w:rsidRPr="00BB6285">
        <w:t xml:space="preserve">Pinkse, J. and Kolk, A. (2010) </w:t>
      </w:r>
      <w:r w:rsidRPr="00BB6285">
        <w:rPr>
          <w:i/>
          <w:iCs/>
        </w:rPr>
        <w:t>International Business and Global Climate Change</w:t>
      </w:r>
      <w:r w:rsidRPr="00BB6285">
        <w:t xml:space="preserve">. </w:t>
      </w:r>
      <w:r w:rsidR="008532D2" w:rsidRPr="00BB6285">
        <w:t>London.: Routledge</w:t>
      </w:r>
      <w:r w:rsidRPr="00BB6285">
        <w:t xml:space="preserve">. </w:t>
      </w:r>
    </w:p>
    <w:p w14:paraId="30A037DC" w14:textId="4BCAC975" w:rsidR="008F4132" w:rsidRPr="00BB6285" w:rsidRDefault="008F4132" w:rsidP="008F4132">
      <w:pPr>
        <w:pStyle w:val="NormalWeb"/>
        <w:ind w:left="567" w:hanging="567"/>
      </w:pPr>
      <w:r w:rsidRPr="00BB6285">
        <w:t xml:space="preserve">Porter, M.E. (1979) </w:t>
      </w:r>
      <w:r w:rsidRPr="00BB6285">
        <w:rPr>
          <w:i/>
          <w:iCs/>
        </w:rPr>
        <w:t>Corporate strategy</w:t>
      </w:r>
      <w:r w:rsidRPr="00BB6285">
        <w:t>. Boston: Harvard Business Review.</w:t>
      </w:r>
    </w:p>
    <w:p w14:paraId="3A5A2563" w14:textId="632CD61E" w:rsidR="00D3601D" w:rsidRPr="00BB6285" w:rsidRDefault="00D3601D" w:rsidP="00D3601D">
      <w:pPr>
        <w:pStyle w:val="NormalWeb"/>
        <w:ind w:left="567" w:hanging="567"/>
      </w:pPr>
      <w:r w:rsidRPr="00BB6285">
        <w:t xml:space="preserve">Post, J.E., Preston, L.E. and Sachs, S. (2011) </w:t>
      </w:r>
      <w:r w:rsidRPr="00BB6285">
        <w:rPr>
          <w:i/>
          <w:iCs/>
        </w:rPr>
        <w:t xml:space="preserve">Redefining the corporation: Stakeholder management and </w:t>
      </w:r>
      <w:r w:rsidR="00342E61" w:rsidRPr="00BB6285">
        <w:rPr>
          <w:i/>
          <w:iCs/>
        </w:rPr>
        <w:t>organisational</w:t>
      </w:r>
      <w:r w:rsidRPr="00BB6285">
        <w:rPr>
          <w:i/>
          <w:iCs/>
        </w:rPr>
        <w:t xml:space="preserve"> wealth</w:t>
      </w:r>
      <w:r w:rsidRPr="00BB6285">
        <w:t>. Stanford, Calif</w:t>
      </w:r>
      <w:r w:rsidR="00342E61" w:rsidRPr="00BB6285">
        <w:t>ornia</w:t>
      </w:r>
      <w:r w:rsidRPr="00BB6285">
        <w:t xml:space="preserve">: Stanford Univ. Press. </w:t>
      </w:r>
    </w:p>
    <w:p w14:paraId="24FF7C8A" w14:textId="495FD950" w:rsidR="00D15F9C" w:rsidRPr="00BB6285" w:rsidRDefault="00D15F9C" w:rsidP="00D15F9C">
      <w:pPr>
        <w:pStyle w:val="NormalWeb"/>
        <w:ind w:left="567" w:hanging="567"/>
      </w:pPr>
      <w:r w:rsidRPr="00BB6285">
        <w:t xml:space="preserve">Poth, C.N. (2018) </w:t>
      </w:r>
      <w:r w:rsidRPr="00BB6285">
        <w:rPr>
          <w:i/>
          <w:iCs/>
        </w:rPr>
        <w:t xml:space="preserve">Innovation in mixed methods research: A Practical Guide to Integrative Thinking </w:t>
      </w:r>
      <w:r w:rsidR="00A14FD0" w:rsidRPr="00BB6285">
        <w:rPr>
          <w:i/>
          <w:iCs/>
        </w:rPr>
        <w:t>with</w:t>
      </w:r>
      <w:r w:rsidRPr="00BB6285">
        <w:rPr>
          <w:i/>
          <w:iCs/>
        </w:rPr>
        <w:t xml:space="preserve"> Complexity</w:t>
      </w:r>
      <w:r w:rsidRPr="00BB6285">
        <w:t xml:space="preserve">. Los Angeles: SAGE. </w:t>
      </w:r>
    </w:p>
    <w:p w14:paraId="24A884EB" w14:textId="77777777" w:rsidR="00292B28" w:rsidRPr="00BB6285" w:rsidRDefault="00292B28" w:rsidP="00292B28">
      <w:pPr>
        <w:pStyle w:val="NormalWeb"/>
        <w:ind w:left="567" w:hanging="567"/>
      </w:pPr>
      <w:r w:rsidRPr="00BB6285">
        <w:t xml:space="preserve">Riezman, R.G. (2013) </w:t>
      </w:r>
      <w:r w:rsidRPr="00BB6285">
        <w:rPr>
          <w:i/>
          <w:iCs/>
        </w:rPr>
        <w:t>International Trade Agreements and political economy</w:t>
      </w:r>
      <w:r w:rsidRPr="00BB6285">
        <w:t xml:space="preserve">. New Jersey: World Scientific. </w:t>
      </w:r>
    </w:p>
    <w:p w14:paraId="4FDAFF51" w14:textId="77777777" w:rsidR="00BC45AE" w:rsidRPr="00BB6285" w:rsidRDefault="00BC45AE" w:rsidP="00BC45AE">
      <w:pPr>
        <w:pStyle w:val="NormalWeb"/>
        <w:ind w:left="567" w:hanging="567"/>
      </w:pPr>
      <w:r w:rsidRPr="00BB6285">
        <w:t xml:space="preserve">Rawls, J. (1999) </w:t>
      </w:r>
      <w:r w:rsidRPr="00BB6285">
        <w:rPr>
          <w:i/>
          <w:iCs/>
        </w:rPr>
        <w:t>A theory of justice</w:t>
      </w:r>
      <w:r w:rsidRPr="00BB6285">
        <w:t xml:space="preserve">. Cambridge, MA: Belknap Press of Harvard University Press. </w:t>
      </w:r>
    </w:p>
    <w:p w14:paraId="31279150" w14:textId="77777777" w:rsidR="00292B28" w:rsidRPr="00BB6285" w:rsidRDefault="00292B28" w:rsidP="00292B28">
      <w:pPr>
        <w:pStyle w:val="NormalWeb"/>
        <w:ind w:left="567" w:hanging="567"/>
      </w:pPr>
      <w:r w:rsidRPr="00BB6285">
        <w:t xml:space="preserve">Rodik, D. (2011) </w:t>
      </w:r>
      <w:r w:rsidRPr="00BB6285">
        <w:rPr>
          <w:i/>
          <w:iCs/>
        </w:rPr>
        <w:t>The globalisation paradox: Democracy and the future of the World Economy</w:t>
      </w:r>
      <w:r w:rsidRPr="00BB6285">
        <w:t xml:space="preserve">. Available at: </w:t>
      </w:r>
      <w:hyperlink r:id="rId16" w:history="1">
        <w:r w:rsidRPr="00BB6285">
          <w:rPr>
            <w:rStyle w:val="Hyperlink"/>
          </w:rPr>
          <w:t>https://drodrik.scholar.harvard.edu/publications/globalization-paradox-democracy-and-future-world-economy</w:t>
        </w:r>
      </w:hyperlink>
      <w:r w:rsidRPr="00BB6285">
        <w:t xml:space="preserve">(Accessed: 23 February 2024). </w:t>
      </w:r>
    </w:p>
    <w:p w14:paraId="6C6E9664" w14:textId="09BF5381" w:rsidR="00471E3B" w:rsidRPr="00BB6285" w:rsidRDefault="00471E3B" w:rsidP="00471E3B">
      <w:pPr>
        <w:pStyle w:val="NormalWeb"/>
        <w:ind w:left="567" w:hanging="567"/>
      </w:pPr>
      <w:r w:rsidRPr="00BB6285">
        <w:t xml:space="preserve">Ruggie, G. (2011) </w:t>
      </w:r>
      <w:r w:rsidRPr="00BB6285">
        <w:rPr>
          <w:i/>
          <w:iCs/>
        </w:rPr>
        <w:t>Guiding principles on business and human rights</w:t>
      </w:r>
      <w:r w:rsidRPr="00BB6285">
        <w:t>.</w:t>
      </w:r>
      <w:r w:rsidR="00AD028C" w:rsidRPr="00BB6285">
        <w:t xml:space="preserve"> UNHR</w:t>
      </w:r>
      <w:r w:rsidRPr="00BB6285">
        <w:t xml:space="preserve"> </w:t>
      </w:r>
      <w:hyperlink r:id="rId17" w:history="1">
        <w:r w:rsidR="00502B74" w:rsidRPr="00BB6285">
          <w:rPr>
            <w:rStyle w:val="Hyperlink"/>
          </w:rPr>
          <w:t>doi:10.18356/9ceabfd3-en.</w:t>
        </w:r>
      </w:hyperlink>
      <w:r w:rsidR="00502B74" w:rsidRPr="00BB6285">
        <w:t xml:space="preserve"> </w:t>
      </w:r>
    </w:p>
    <w:p w14:paraId="724238E5" w14:textId="3C0C362A" w:rsidR="00A55B9B" w:rsidRPr="00BB6285" w:rsidRDefault="00A55B9B" w:rsidP="00A55B9B">
      <w:pPr>
        <w:pStyle w:val="NormalWeb"/>
        <w:ind w:left="567" w:hanging="567"/>
      </w:pPr>
      <w:r w:rsidRPr="00BB6285">
        <w:t xml:space="preserve">Saunders, M., </w:t>
      </w:r>
      <w:r w:rsidR="00AB5EC5" w:rsidRPr="00BB6285">
        <w:t>et al.</w:t>
      </w:r>
      <w:r w:rsidRPr="00BB6285">
        <w:t xml:space="preserve"> (2012) </w:t>
      </w:r>
      <w:r w:rsidRPr="00BB6285">
        <w:rPr>
          <w:i/>
          <w:iCs/>
        </w:rPr>
        <w:t>Research methods for business students</w:t>
      </w:r>
      <w:r w:rsidRPr="00BB6285">
        <w:t xml:space="preserve">. Harlow: Pearson. </w:t>
      </w:r>
    </w:p>
    <w:p w14:paraId="2062A10D" w14:textId="77777777" w:rsidR="000603DA" w:rsidRPr="00BB6285" w:rsidRDefault="000603DA" w:rsidP="000603DA">
      <w:pPr>
        <w:pStyle w:val="NormalWeb"/>
        <w:ind w:left="567" w:hanging="567"/>
      </w:pPr>
      <w:r w:rsidRPr="00BB6285">
        <w:t xml:space="preserve">Schuerkens, U. (2015) </w:t>
      </w:r>
      <w:r w:rsidRPr="00BB6285">
        <w:rPr>
          <w:i/>
          <w:iCs/>
        </w:rPr>
        <w:t>Global Management, local resistances: Theoretical discussion and empirical case studies</w:t>
      </w:r>
      <w:r w:rsidRPr="00BB6285">
        <w:t xml:space="preserve">. New York, NY: Routledge, Taylor &amp; Francis Group. </w:t>
      </w:r>
    </w:p>
    <w:p w14:paraId="7CF94894" w14:textId="33A1E012" w:rsidR="00E6512D" w:rsidRPr="00BB6285" w:rsidRDefault="00E6512D" w:rsidP="00E6512D">
      <w:pPr>
        <w:pStyle w:val="NormalWeb"/>
        <w:ind w:left="567" w:hanging="567"/>
      </w:pPr>
      <w:r w:rsidRPr="00BB6285">
        <w:t xml:space="preserve">Shbikat, N. (2021) </w:t>
      </w:r>
      <w:r w:rsidRPr="00BB6285">
        <w:rPr>
          <w:i/>
          <w:iCs/>
        </w:rPr>
        <w:t>Labor rights violation in global supply chains a multi-stakeholder approach</w:t>
      </w:r>
      <w:r w:rsidRPr="00BB6285">
        <w:t xml:space="preserve">. Berlin: Rainer Hampp Verlag. </w:t>
      </w:r>
    </w:p>
    <w:p w14:paraId="0466722E" w14:textId="77777777" w:rsidR="004569D1" w:rsidRPr="00BB6285" w:rsidRDefault="004569D1" w:rsidP="004569D1">
      <w:pPr>
        <w:pStyle w:val="NormalWeb"/>
        <w:ind w:left="567" w:hanging="567"/>
      </w:pPr>
      <w:r w:rsidRPr="00BB6285">
        <w:t xml:space="preserve">Silverman, D. (2011) </w:t>
      </w:r>
      <w:r w:rsidRPr="00BB6285">
        <w:rPr>
          <w:i/>
          <w:iCs/>
        </w:rPr>
        <w:t>Doing qualitative research: A practical handbook</w:t>
      </w:r>
      <w:r w:rsidRPr="00BB6285">
        <w:t xml:space="preserve">. Los Angeles: Sage. </w:t>
      </w:r>
    </w:p>
    <w:p w14:paraId="25C1C623" w14:textId="77777777" w:rsidR="00D62E84" w:rsidRPr="00BB6285" w:rsidRDefault="00D62E84" w:rsidP="00D62E84">
      <w:pPr>
        <w:pStyle w:val="NormalWeb"/>
        <w:ind w:left="567" w:hanging="567"/>
      </w:pPr>
      <w:r w:rsidRPr="00BB6285">
        <w:t xml:space="preserve">Simon, J.L. (2017) </w:t>
      </w:r>
      <w:r w:rsidRPr="00BB6285">
        <w:rPr>
          <w:i/>
          <w:iCs/>
        </w:rPr>
        <w:t>The Art of Empirical Investigation</w:t>
      </w:r>
      <w:r w:rsidRPr="00BB6285">
        <w:t xml:space="preserve">. Abingdon, Oxon: Routledge. </w:t>
      </w:r>
    </w:p>
    <w:p w14:paraId="6113E44F" w14:textId="77777777" w:rsidR="00A074C9" w:rsidRPr="00BB6285" w:rsidRDefault="00A074C9" w:rsidP="00A074C9">
      <w:pPr>
        <w:pStyle w:val="NormalWeb"/>
        <w:ind w:left="567" w:hanging="567"/>
      </w:pPr>
      <w:r w:rsidRPr="00BB6285">
        <w:t xml:space="preserve">Steger, U. (2004) </w:t>
      </w:r>
      <w:r w:rsidRPr="00BB6285">
        <w:rPr>
          <w:i/>
          <w:iCs/>
        </w:rPr>
        <w:t>The business of sustainability: Building Industry Cases for corporate sustainability</w:t>
      </w:r>
      <w:r w:rsidRPr="00BB6285">
        <w:t xml:space="preserve">. Houndsmills, Basingstoke, Hampshire England: Palgrave Macmillan. </w:t>
      </w:r>
    </w:p>
    <w:p w14:paraId="7817957A" w14:textId="77777777" w:rsidR="00255896" w:rsidRPr="00BB6285" w:rsidRDefault="00255896" w:rsidP="00255896">
      <w:pPr>
        <w:pStyle w:val="NormalWeb"/>
        <w:ind w:left="567" w:hanging="567"/>
      </w:pPr>
      <w:r w:rsidRPr="00BB6285">
        <w:t xml:space="preserve">Stohl, C. (1996) </w:t>
      </w:r>
      <w:r w:rsidRPr="00BB6285">
        <w:rPr>
          <w:i/>
          <w:iCs/>
        </w:rPr>
        <w:t>Organizational communication: Connectedness in action</w:t>
      </w:r>
      <w:r w:rsidRPr="00BB6285">
        <w:t xml:space="preserve">. Thousand Oaks, CA: Sage. </w:t>
      </w:r>
    </w:p>
    <w:p w14:paraId="7563CDCC" w14:textId="77777777" w:rsidR="00493975" w:rsidRPr="00BB6285" w:rsidRDefault="00493975" w:rsidP="00493975">
      <w:pPr>
        <w:pStyle w:val="NormalWeb"/>
        <w:ind w:left="567" w:hanging="567"/>
      </w:pPr>
      <w:r w:rsidRPr="00BB6285">
        <w:t xml:space="preserve">Trebilcock, M.J. and Trachtman, J. (2020) </w:t>
      </w:r>
      <w:r w:rsidRPr="00BB6285">
        <w:rPr>
          <w:i/>
          <w:iCs/>
        </w:rPr>
        <w:t>Advanced introduction to international trade law</w:t>
      </w:r>
      <w:r w:rsidRPr="00BB6285">
        <w:t xml:space="preserve">. Cheltenham: Edward Elgar Publishing. </w:t>
      </w:r>
    </w:p>
    <w:p w14:paraId="42BD7059" w14:textId="17CCA171" w:rsidR="00011364" w:rsidRPr="00BB6285" w:rsidRDefault="00483449" w:rsidP="00FF6478">
      <w:pPr>
        <w:pStyle w:val="NormalWeb"/>
        <w:ind w:left="567" w:hanging="567"/>
        <w:rPr>
          <w:color w:val="222222"/>
          <w:shd w:val="clear" w:color="auto" w:fill="FFFFFF"/>
        </w:rPr>
      </w:pPr>
      <w:r w:rsidRPr="00BB6285">
        <w:rPr>
          <w:color w:val="222222"/>
          <w:shd w:val="clear" w:color="auto" w:fill="FFFFFF"/>
        </w:rPr>
        <w:t xml:space="preserve">Whetten, D.A., 1989. What constitutes a theoretical </w:t>
      </w:r>
      <w:r w:rsidR="00011364" w:rsidRPr="00BB6285">
        <w:rPr>
          <w:color w:val="222222"/>
          <w:shd w:val="clear" w:color="auto" w:fill="FFFFFF"/>
        </w:rPr>
        <w:t>contribution?</w:t>
      </w:r>
      <w:r w:rsidRPr="00BB6285">
        <w:rPr>
          <w:color w:val="222222"/>
          <w:shd w:val="clear" w:color="auto" w:fill="FFFFFF"/>
        </w:rPr>
        <w:t> </w:t>
      </w:r>
      <w:r w:rsidRPr="00BB6285">
        <w:rPr>
          <w:i/>
          <w:iCs/>
          <w:color w:val="222222"/>
          <w:shd w:val="clear" w:color="auto" w:fill="FFFFFF"/>
        </w:rPr>
        <w:t xml:space="preserve">Academy of </w:t>
      </w:r>
      <w:r w:rsidR="00011364" w:rsidRPr="00BB6285">
        <w:rPr>
          <w:i/>
          <w:iCs/>
          <w:color w:val="222222"/>
          <w:shd w:val="clear" w:color="auto" w:fill="FFFFFF"/>
        </w:rPr>
        <w:t>Management Review</w:t>
      </w:r>
      <w:r w:rsidRPr="00BB6285">
        <w:rPr>
          <w:color w:val="222222"/>
          <w:shd w:val="clear" w:color="auto" w:fill="FFFFFF"/>
        </w:rPr>
        <w:t>, </w:t>
      </w:r>
      <w:r w:rsidRPr="00BB6285">
        <w:rPr>
          <w:i/>
          <w:iCs/>
          <w:color w:val="222222"/>
          <w:shd w:val="clear" w:color="auto" w:fill="FFFFFF"/>
        </w:rPr>
        <w:t>14</w:t>
      </w:r>
      <w:r w:rsidRPr="00BB6285">
        <w:rPr>
          <w:color w:val="222222"/>
          <w:shd w:val="clear" w:color="auto" w:fill="FFFFFF"/>
        </w:rPr>
        <w:t>(4), pp.490-495.</w:t>
      </w:r>
    </w:p>
    <w:p w14:paraId="05A5C8C2" w14:textId="77777777" w:rsidR="008E1F04" w:rsidRPr="00BB6285" w:rsidRDefault="008E1F04" w:rsidP="008E1F04">
      <w:pPr>
        <w:pStyle w:val="NormalWeb"/>
        <w:ind w:left="567" w:hanging="567"/>
      </w:pPr>
      <w:r w:rsidRPr="00BB6285">
        <w:lastRenderedPageBreak/>
        <w:t xml:space="preserve">Wu, H. (2019) </w:t>
      </w:r>
      <w:r w:rsidRPr="00BB6285">
        <w:rPr>
          <w:i/>
          <w:iCs/>
        </w:rPr>
        <w:t>Trade facilitation in the multilateral trading system: Genesis, course and Accord</w:t>
      </w:r>
      <w:r w:rsidRPr="00BB6285">
        <w:t xml:space="preserve">. Abingdon, Oxon: Routledge. </w:t>
      </w:r>
    </w:p>
    <w:p w14:paraId="49F810B4" w14:textId="3713AE7F" w:rsidR="00AA0174" w:rsidRPr="00BB6285" w:rsidRDefault="00AA0174" w:rsidP="00AA0174">
      <w:pPr>
        <w:pStyle w:val="NormalWeb"/>
        <w:ind w:left="567" w:hanging="567"/>
      </w:pPr>
      <w:r w:rsidRPr="00BB6285">
        <w:t xml:space="preserve">Zhou, P. (2017) </w:t>
      </w:r>
      <w:r w:rsidRPr="00BB6285">
        <w:rPr>
          <w:i/>
          <w:iCs/>
        </w:rPr>
        <w:t>Global interdependence: The value of trade | Ping Zhou | TEDxYDL</w:t>
      </w:r>
      <w:r w:rsidRPr="00BB6285">
        <w:t xml:space="preserve">, </w:t>
      </w:r>
      <w:r w:rsidRPr="00BB6285">
        <w:rPr>
          <w:i/>
          <w:iCs/>
        </w:rPr>
        <w:t>YouTube</w:t>
      </w:r>
      <w:r w:rsidRPr="00BB6285">
        <w:t xml:space="preserve">. Available at: </w:t>
      </w:r>
      <w:hyperlink r:id="rId18" w:history="1">
        <w:r w:rsidRPr="00BB6285">
          <w:rPr>
            <w:rStyle w:val="Hyperlink"/>
          </w:rPr>
          <w:t>https://www.youtube.com/watch?v=hUv6UQciRbI</w:t>
        </w:r>
      </w:hyperlink>
      <w:r w:rsidRPr="00BB6285">
        <w:t xml:space="preserve"> (Accessed: 01 March 2024). </w:t>
      </w:r>
    </w:p>
    <w:p w14:paraId="5572A52D" w14:textId="30B59FBA" w:rsidR="00FF6478" w:rsidRDefault="00FF6478" w:rsidP="00FF6478">
      <w:pPr>
        <w:pStyle w:val="NormalWeb"/>
        <w:ind w:left="567" w:hanging="567"/>
      </w:pPr>
      <w:r w:rsidRPr="00BB6285">
        <w:t xml:space="preserve">Zinkin, J. (2019) </w:t>
      </w:r>
      <w:r w:rsidRPr="00BB6285">
        <w:rPr>
          <w:i/>
          <w:iCs/>
        </w:rPr>
        <w:t>Better governance across the board: Creating value through reputation, people, and Processes</w:t>
      </w:r>
      <w:r w:rsidRPr="00BB6285">
        <w:t>. Berlin: De Gruyter.</w:t>
      </w:r>
      <w:r>
        <w:t xml:space="preserve"> </w:t>
      </w:r>
    </w:p>
    <w:p w14:paraId="04AE3393" w14:textId="77777777" w:rsidR="00FF6478" w:rsidRDefault="00FF6478" w:rsidP="00A074C9">
      <w:pPr>
        <w:pStyle w:val="NormalWeb"/>
        <w:ind w:left="567" w:hanging="567"/>
      </w:pPr>
    </w:p>
    <w:p w14:paraId="04F7CCE7" w14:textId="77777777" w:rsidR="00A074C9" w:rsidRDefault="00A074C9" w:rsidP="001F42D3">
      <w:pPr>
        <w:pStyle w:val="NormalWeb"/>
        <w:ind w:left="567" w:hanging="567"/>
      </w:pPr>
    </w:p>
    <w:p w14:paraId="65751365" w14:textId="0F90038F" w:rsidR="00983027" w:rsidRDefault="00983027" w:rsidP="00983027"/>
    <w:p w14:paraId="37D3825E" w14:textId="4A138F5C" w:rsidR="00E3338E" w:rsidRDefault="00CA2070" w:rsidP="002844D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2C30624" w14:textId="77777777" w:rsidR="006F1314" w:rsidRDefault="006F1314">
      <w:pPr>
        <w:autoSpaceDE/>
        <w:autoSpaceDN/>
        <w:adjustRightInd/>
        <w:spacing w:after="160" w:line="259" w:lineRule="auto"/>
        <w:rPr>
          <w:rFonts w:asciiTheme="majorHAnsi" w:eastAsiaTheme="majorEastAsia" w:hAnsiTheme="majorHAnsi" w:cstheme="majorBidi"/>
          <w:sz w:val="32"/>
          <w:szCs w:val="32"/>
        </w:rPr>
      </w:pPr>
      <w:r>
        <w:br w:type="page"/>
      </w:r>
    </w:p>
    <w:sectPr w:rsidR="006F1314" w:rsidSect="00325EC3">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038B0" w14:textId="77777777" w:rsidR="00325EC3" w:rsidRDefault="00325EC3" w:rsidP="00084ECC">
      <w:pPr>
        <w:spacing w:after="0" w:line="240" w:lineRule="auto"/>
      </w:pPr>
      <w:r>
        <w:separator/>
      </w:r>
    </w:p>
  </w:endnote>
  <w:endnote w:type="continuationSeparator" w:id="0">
    <w:p w14:paraId="092DD488" w14:textId="77777777" w:rsidR="00325EC3" w:rsidRDefault="00325EC3" w:rsidP="0008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173869"/>
      <w:docPartObj>
        <w:docPartGallery w:val="Page Numbers (Bottom of Page)"/>
        <w:docPartUnique/>
      </w:docPartObj>
    </w:sdtPr>
    <w:sdtEndPr>
      <w:rPr>
        <w:noProof/>
      </w:rPr>
    </w:sdtEndPr>
    <w:sdtContent>
      <w:p w14:paraId="68199922" w14:textId="6456BA10" w:rsidR="00084ECC" w:rsidRDefault="00084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08079" w14:textId="77777777" w:rsidR="00084ECC" w:rsidRDefault="0008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C2045" w14:textId="77777777" w:rsidR="00325EC3" w:rsidRDefault="00325EC3" w:rsidP="00084ECC">
      <w:pPr>
        <w:spacing w:after="0" w:line="240" w:lineRule="auto"/>
      </w:pPr>
      <w:r>
        <w:separator/>
      </w:r>
    </w:p>
  </w:footnote>
  <w:footnote w:type="continuationSeparator" w:id="0">
    <w:p w14:paraId="6C33B4F4" w14:textId="77777777" w:rsidR="00325EC3" w:rsidRDefault="00325EC3" w:rsidP="0008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4FC0"/>
    <w:multiLevelType w:val="multilevel"/>
    <w:tmpl w:val="8A52D650"/>
    <w:lvl w:ilvl="0">
      <w:start w:val="1"/>
      <w:numFmt w:val="decimal"/>
      <w:lvlText w:val="%1."/>
      <w:lvlJc w:val="left"/>
      <w:pPr>
        <w:ind w:left="2061" w:hanging="360"/>
      </w:pPr>
      <w:rPr>
        <w:rFonts w:hint="default"/>
      </w:rPr>
    </w:lvl>
    <w:lvl w:ilvl="1">
      <w:start w:val="1"/>
      <w:numFmt w:val="decimal"/>
      <w:lvlText w:val="%1.%2."/>
      <w:lvlJc w:val="left"/>
      <w:pPr>
        <w:ind w:left="2061" w:hanging="360"/>
      </w:pPr>
      <w:rPr>
        <w:rFonts w:hint="default"/>
      </w:rPr>
    </w:lvl>
    <w:lvl w:ilvl="2">
      <w:start w:val="1"/>
      <w:numFmt w:val="decimal"/>
      <w:lvlText w:val="%1.%2.%3."/>
      <w:lvlJc w:val="left"/>
      <w:pPr>
        <w:ind w:left="2421"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2781" w:hanging="1080"/>
      </w:pPr>
      <w:rPr>
        <w:rFonts w:hint="default"/>
      </w:rPr>
    </w:lvl>
    <w:lvl w:ilvl="5">
      <w:start w:val="1"/>
      <w:numFmt w:val="decimal"/>
      <w:lvlText w:val="%1.%2.%3.%4.%5.%6."/>
      <w:lvlJc w:val="left"/>
      <w:pPr>
        <w:ind w:left="2781" w:hanging="1080"/>
      </w:pPr>
      <w:rPr>
        <w:rFonts w:hint="default"/>
      </w:rPr>
    </w:lvl>
    <w:lvl w:ilvl="6">
      <w:start w:val="1"/>
      <w:numFmt w:val="decimal"/>
      <w:lvlText w:val="%1.%2.%3.%4.%5.%6.%7."/>
      <w:lvlJc w:val="left"/>
      <w:pPr>
        <w:ind w:left="3141" w:hanging="1440"/>
      </w:pPr>
      <w:rPr>
        <w:rFonts w:hint="default"/>
      </w:rPr>
    </w:lvl>
    <w:lvl w:ilvl="7">
      <w:start w:val="1"/>
      <w:numFmt w:val="decimal"/>
      <w:lvlText w:val="%1.%2.%3.%4.%5.%6.%7.%8."/>
      <w:lvlJc w:val="left"/>
      <w:pPr>
        <w:ind w:left="3141" w:hanging="1440"/>
      </w:pPr>
      <w:rPr>
        <w:rFonts w:hint="default"/>
      </w:rPr>
    </w:lvl>
    <w:lvl w:ilvl="8">
      <w:start w:val="1"/>
      <w:numFmt w:val="decimal"/>
      <w:lvlText w:val="%1.%2.%3.%4.%5.%6.%7.%8.%9."/>
      <w:lvlJc w:val="left"/>
      <w:pPr>
        <w:ind w:left="3501" w:hanging="1800"/>
      </w:pPr>
      <w:rPr>
        <w:rFonts w:hint="default"/>
      </w:rPr>
    </w:lvl>
  </w:abstractNum>
  <w:abstractNum w:abstractNumId="1" w15:restartNumberingAfterBreak="0">
    <w:nsid w:val="08C34347"/>
    <w:multiLevelType w:val="hybridMultilevel"/>
    <w:tmpl w:val="95DE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60BE9"/>
    <w:multiLevelType w:val="hybridMultilevel"/>
    <w:tmpl w:val="2E6EC2A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0A94758"/>
    <w:multiLevelType w:val="multilevel"/>
    <w:tmpl w:val="6D06FED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1573EE"/>
    <w:multiLevelType w:val="hybridMultilevel"/>
    <w:tmpl w:val="A224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1097B"/>
    <w:multiLevelType w:val="hybridMultilevel"/>
    <w:tmpl w:val="E9A61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B47CA"/>
    <w:multiLevelType w:val="hybridMultilevel"/>
    <w:tmpl w:val="B978D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9733C"/>
    <w:multiLevelType w:val="multilevel"/>
    <w:tmpl w:val="0C5440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46B4EFD"/>
    <w:multiLevelType w:val="hybridMultilevel"/>
    <w:tmpl w:val="D1647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E7EAD"/>
    <w:multiLevelType w:val="hybridMultilevel"/>
    <w:tmpl w:val="12ACB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9B3802"/>
    <w:multiLevelType w:val="hybridMultilevel"/>
    <w:tmpl w:val="C4DE1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F14C44"/>
    <w:multiLevelType w:val="hybridMultilevel"/>
    <w:tmpl w:val="2C4A7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F50B8A"/>
    <w:multiLevelType w:val="multilevel"/>
    <w:tmpl w:val="B4189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E16168"/>
    <w:multiLevelType w:val="hybridMultilevel"/>
    <w:tmpl w:val="37A6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5B61EA"/>
    <w:multiLevelType w:val="hybridMultilevel"/>
    <w:tmpl w:val="11D4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FF4FE9"/>
    <w:multiLevelType w:val="multilevel"/>
    <w:tmpl w:val="D8908632"/>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35854E4"/>
    <w:multiLevelType w:val="multilevel"/>
    <w:tmpl w:val="F58EE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CF7941"/>
    <w:multiLevelType w:val="hybridMultilevel"/>
    <w:tmpl w:val="E592C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0C5A7A"/>
    <w:multiLevelType w:val="multilevel"/>
    <w:tmpl w:val="7144A8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D1F72DF"/>
    <w:multiLevelType w:val="multilevel"/>
    <w:tmpl w:val="5CC44B6C"/>
    <w:lvl w:ilvl="0">
      <w:start w:val="1"/>
      <w:numFmt w:val="decimal"/>
      <w:lvlText w:val="%1."/>
      <w:lvlJc w:val="left"/>
      <w:pPr>
        <w:ind w:left="480" w:hanging="480"/>
      </w:pPr>
      <w:rPr>
        <w:rFonts w:asciiTheme="majorHAnsi" w:eastAsiaTheme="majorEastAsia" w:hAnsiTheme="majorHAnsi" w:cstheme="majorBidi" w:hint="default"/>
        <w:color w:val="B3186D" w:themeColor="accent1" w:themeShade="BF"/>
        <w:sz w:val="32"/>
      </w:rPr>
    </w:lvl>
    <w:lvl w:ilvl="1">
      <w:start w:val="1"/>
      <w:numFmt w:val="decimal"/>
      <w:lvlText w:val="%1.%2."/>
      <w:lvlJc w:val="left"/>
      <w:pPr>
        <w:ind w:left="480" w:hanging="480"/>
      </w:pPr>
      <w:rPr>
        <w:rFonts w:asciiTheme="majorHAnsi" w:eastAsiaTheme="majorEastAsia" w:hAnsiTheme="majorHAnsi" w:cstheme="majorBidi" w:hint="default"/>
        <w:color w:val="B3186D"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B3186D"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B3186D"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B3186D"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B3186D"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B3186D"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B3186D"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B3186D" w:themeColor="accent1" w:themeShade="BF"/>
        <w:sz w:val="32"/>
      </w:rPr>
    </w:lvl>
  </w:abstractNum>
  <w:num w:numId="1" w16cid:durableId="1096286574">
    <w:abstractNumId w:val="13"/>
  </w:num>
  <w:num w:numId="2" w16cid:durableId="565992443">
    <w:abstractNumId w:val="8"/>
  </w:num>
  <w:num w:numId="3" w16cid:durableId="9065027">
    <w:abstractNumId w:val="14"/>
  </w:num>
  <w:num w:numId="4" w16cid:durableId="212272182">
    <w:abstractNumId w:val="9"/>
  </w:num>
  <w:num w:numId="5" w16cid:durableId="183714126">
    <w:abstractNumId w:val="4"/>
  </w:num>
  <w:num w:numId="6" w16cid:durableId="1453789696">
    <w:abstractNumId w:val="10"/>
  </w:num>
  <w:num w:numId="7" w16cid:durableId="774636934">
    <w:abstractNumId w:val="1"/>
  </w:num>
  <w:num w:numId="8" w16cid:durableId="1554656705">
    <w:abstractNumId w:val="17"/>
  </w:num>
  <w:num w:numId="9" w16cid:durableId="306862997">
    <w:abstractNumId w:val="6"/>
  </w:num>
  <w:num w:numId="10" w16cid:durableId="1402168641">
    <w:abstractNumId w:val="11"/>
  </w:num>
  <w:num w:numId="11" w16cid:durableId="266159435">
    <w:abstractNumId w:val="5"/>
  </w:num>
  <w:num w:numId="12" w16cid:durableId="1708211859">
    <w:abstractNumId w:val="18"/>
  </w:num>
  <w:num w:numId="13" w16cid:durableId="552236801">
    <w:abstractNumId w:val="0"/>
  </w:num>
  <w:num w:numId="14" w16cid:durableId="1968316391">
    <w:abstractNumId w:val="19"/>
  </w:num>
  <w:num w:numId="15" w16cid:durableId="468594290">
    <w:abstractNumId w:val="3"/>
  </w:num>
  <w:num w:numId="16" w16cid:durableId="1222330376">
    <w:abstractNumId w:val="7"/>
  </w:num>
  <w:num w:numId="17" w16cid:durableId="1206454630">
    <w:abstractNumId w:val="15"/>
  </w:num>
  <w:num w:numId="18" w16cid:durableId="273905341">
    <w:abstractNumId w:val="2"/>
  </w:num>
  <w:num w:numId="19" w16cid:durableId="48846466">
    <w:abstractNumId w:val="12"/>
  </w:num>
  <w:num w:numId="20" w16cid:durableId="12154353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MLM0MDYzN7U0NTNS0lEKTi0uzszPAykwNKoFAKi9n7otAAAA"/>
  </w:docVars>
  <w:rsids>
    <w:rsidRoot w:val="00084ECC"/>
    <w:rsid w:val="00003EAF"/>
    <w:rsid w:val="00004B53"/>
    <w:rsid w:val="0000547F"/>
    <w:rsid w:val="00006613"/>
    <w:rsid w:val="00011306"/>
    <w:rsid w:val="00011364"/>
    <w:rsid w:val="0001338F"/>
    <w:rsid w:val="0001432E"/>
    <w:rsid w:val="000150C2"/>
    <w:rsid w:val="00015167"/>
    <w:rsid w:val="000241B4"/>
    <w:rsid w:val="00024AAD"/>
    <w:rsid w:val="000251B0"/>
    <w:rsid w:val="00032AE2"/>
    <w:rsid w:val="00032B9C"/>
    <w:rsid w:val="0003450B"/>
    <w:rsid w:val="0003583B"/>
    <w:rsid w:val="00036F96"/>
    <w:rsid w:val="00044CA2"/>
    <w:rsid w:val="0004653D"/>
    <w:rsid w:val="00046B1D"/>
    <w:rsid w:val="00047AA2"/>
    <w:rsid w:val="00050415"/>
    <w:rsid w:val="00053E5D"/>
    <w:rsid w:val="00054FDB"/>
    <w:rsid w:val="000603DA"/>
    <w:rsid w:val="0006056B"/>
    <w:rsid w:val="00065150"/>
    <w:rsid w:val="00066326"/>
    <w:rsid w:val="00066762"/>
    <w:rsid w:val="00071E2D"/>
    <w:rsid w:val="0007630E"/>
    <w:rsid w:val="000819AD"/>
    <w:rsid w:val="0008269D"/>
    <w:rsid w:val="00084ECC"/>
    <w:rsid w:val="00090D9A"/>
    <w:rsid w:val="00092FB7"/>
    <w:rsid w:val="000A1730"/>
    <w:rsid w:val="000A3A0A"/>
    <w:rsid w:val="000A3A23"/>
    <w:rsid w:val="000A50F3"/>
    <w:rsid w:val="000A6519"/>
    <w:rsid w:val="000A765B"/>
    <w:rsid w:val="000B1E84"/>
    <w:rsid w:val="000B3A81"/>
    <w:rsid w:val="000B64A6"/>
    <w:rsid w:val="000C1BB3"/>
    <w:rsid w:val="000D013E"/>
    <w:rsid w:val="000D465F"/>
    <w:rsid w:val="000D5D1E"/>
    <w:rsid w:val="000D6CF6"/>
    <w:rsid w:val="000E0FF4"/>
    <w:rsid w:val="000E1121"/>
    <w:rsid w:val="000E15A9"/>
    <w:rsid w:val="000E3208"/>
    <w:rsid w:val="000E5F01"/>
    <w:rsid w:val="001007CD"/>
    <w:rsid w:val="001015E2"/>
    <w:rsid w:val="00103B3B"/>
    <w:rsid w:val="00104E58"/>
    <w:rsid w:val="00105925"/>
    <w:rsid w:val="00111C73"/>
    <w:rsid w:val="00114197"/>
    <w:rsid w:val="00117A84"/>
    <w:rsid w:val="00120964"/>
    <w:rsid w:val="00123BC9"/>
    <w:rsid w:val="00125E98"/>
    <w:rsid w:val="0013035A"/>
    <w:rsid w:val="0013073F"/>
    <w:rsid w:val="00130D13"/>
    <w:rsid w:val="001314F6"/>
    <w:rsid w:val="00131777"/>
    <w:rsid w:val="001322AB"/>
    <w:rsid w:val="00136446"/>
    <w:rsid w:val="00136C53"/>
    <w:rsid w:val="00140226"/>
    <w:rsid w:val="001408C3"/>
    <w:rsid w:val="00143ACB"/>
    <w:rsid w:val="0014478E"/>
    <w:rsid w:val="00145006"/>
    <w:rsid w:val="00145802"/>
    <w:rsid w:val="00145FE4"/>
    <w:rsid w:val="00150C9C"/>
    <w:rsid w:val="00153286"/>
    <w:rsid w:val="00153993"/>
    <w:rsid w:val="0015409A"/>
    <w:rsid w:val="001618A8"/>
    <w:rsid w:val="0016444F"/>
    <w:rsid w:val="00165E5B"/>
    <w:rsid w:val="00166170"/>
    <w:rsid w:val="001672BE"/>
    <w:rsid w:val="0017315B"/>
    <w:rsid w:val="00175A29"/>
    <w:rsid w:val="00175A3C"/>
    <w:rsid w:val="001773DA"/>
    <w:rsid w:val="00177FC1"/>
    <w:rsid w:val="00185D2A"/>
    <w:rsid w:val="00186C80"/>
    <w:rsid w:val="00190F9E"/>
    <w:rsid w:val="00191A8C"/>
    <w:rsid w:val="0019217C"/>
    <w:rsid w:val="001939EB"/>
    <w:rsid w:val="00194173"/>
    <w:rsid w:val="001A0952"/>
    <w:rsid w:val="001A4401"/>
    <w:rsid w:val="001A62BC"/>
    <w:rsid w:val="001A74F7"/>
    <w:rsid w:val="001B284D"/>
    <w:rsid w:val="001B5871"/>
    <w:rsid w:val="001B6512"/>
    <w:rsid w:val="001B6C63"/>
    <w:rsid w:val="001B716C"/>
    <w:rsid w:val="001B7F3A"/>
    <w:rsid w:val="001C0EBC"/>
    <w:rsid w:val="001C170C"/>
    <w:rsid w:val="001C17B6"/>
    <w:rsid w:val="001C2B17"/>
    <w:rsid w:val="001C3B94"/>
    <w:rsid w:val="001D3483"/>
    <w:rsid w:val="001D48DF"/>
    <w:rsid w:val="001D5506"/>
    <w:rsid w:val="001E0E16"/>
    <w:rsid w:val="001E22EB"/>
    <w:rsid w:val="001E2949"/>
    <w:rsid w:val="001E3E8A"/>
    <w:rsid w:val="001F0751"/>
    <w:rsid w:val="001F42D3"/>
    <w:rsid w:val="001F463D"/>
    <w:rsid w:val="001F54EE"/>
    <w:rsid w:val="001F5A75"/>
    <w:rsid w:val="001F615A"/>
    <w:rsid w:val="001F6E68"/>
    <w:rsid w:val="002053E4"/>
    <w:rsid w:val="002054F1"/>
    <w:rsid w:val="00210792"/>
    <w:rsid w:val="00214766"/>
    <w:rsid w:val="0021487B"/>
    <w:rsid w:val="00215384"/>
    <w:rsid w:val="00215551"/>
    <w:rsid w:val="00215E6F"/>
    <w:rsid w:val="00216360"/>
    <w:rsid w:val="00216788"/>
    <w:rsid w:val="0021680A"/>
    <w:rsid w:val="00217092"/>
    <w:rsid w:val="0022291A"/>
    <w:rsid w:val="002242DF"/>
    <w:rsid w:val="00225E7C"/>
    <w:rsid w:val="002268A3"/>
    <w:rsid w:val="0022749E"/>
    <w:rsid w:val="00231211"/>
    <w:rsid w:val="00232517"/>
    <w:rsid w:val="002353E2"/>
    <w:rsid w:val="00235539"/>
    <w:rsid w:val="00236F93"/>
    <w:rsid w:val="00237DA6"/>
    <w:rsid w:val="002436EB"/>
    <w:rsid w:val="00243E13"/>
    <w:rsid w:val="0024420E"/>
    <w:rsid w:val="00244C9E"/>
    <w:rsid w:val="00245454"/>
    <w:rsid w:val="0025187B"/>
    <w:rsid w:val="00255896"/>
    <w:rsid w:val="00255AB0"/>
    <w:rsid w:val="00256384"/>
    <w:rsid w:val="00257911"/>
    <w:rsid w:val="00261A4F"/>
    <w:rsid w:val="00262809"/>
    <w:rsid w:val="0026717D"/>
    <w:rsid w:val="00267EFF"/>
    <w:rsid w:val="00271319"/>
    <w:rsid w:val="00277352"/>
    <w:rsid w:val="00277432"/>
    <w:rsid w:val="0028227B"/>
    <w:rsid w:val="00282E61"/>
    <w:rsid w:val="002844D4"/>
    <w:rsid w:val="002863DB"/>
    <w:rsid w:val="002863E3"/>
    <w:rsid w:val="002869C6"/>
    <w:rsid w:val="0029293E"/>
    <w:rsid w:val="00292B28"/>
    <w:rsid w:val="00293928"/>
    <w:rsid w:val="00295396"/>
    <w:rsid w:val="002969B0"/>
    <w:rsid w:val="002976E7"/>
    <w:rsid w:val="002A1951"/>
    <w:rsid w:val="002A603F"/>
    <w:rsid w:val="002A6A5A"/>
    <w:rsid w:val="002A750F"/>
    <w:rsid w:val="002B05E8"/>
    <w:rsid w:val="002B2240"/>
    <w:rsid w:val="002B316A"/>
    <w:rsid w:val="002B60E6"/>
    <w:rsid w:val="002C40E9"/>
    <w:rsid w:val="002C448C"/>
    <w:rsid w:val="002C4B41"/>
    <w:rsid w:val="002C6EC2"/>
    <w:rsid w:val="002D0ED6"/>
    <w:rsid w:val="002D3445"/>
    <w:rsid w:val="002D637E"/>
    <w:rsid w:val="002D7534"/>
    <w:rsid w:val="002D7A1A"/>
    <w:rsid w:val="002E06CB"/>
    <w:rsid w:val="002E5E6F"/>
    <w:rsid w:val="002E7A33"/>
    <w:rsid w:val="002F0520"/>
    <w:rsid w:val="002F5577"/>
    <w:rsid w:val="002F5F34"/>
    <w:rsid w:val="003000D7"/>
    <w:rsid w:val="003013BC"/>
    <w:rsid w:val="00301D26"/>
    <w:rsid w:val="00303F43"/>
    <w:rsid w:val="00304325"/>
    <w:rsid w:val="00305D23"/>
    <w:rsid w:val="00306533"/>
    <w:rsid w:val="00311FE7"/>
    <w:rsid w:val="00316EFA"/>
    <w:rsid w:val="003213B4"/>
    <w:rsid w:val="00321C92"/>
    <w:rsid w:val="00324958"/>
    <w:rsid w:val="00325EC3"/>
    <w:rsid w:val="003313A3"/>
    <w:rsid w:val="003347BC"/>
    <w:rsid w:val="0033496B"/>
    <w:rsid w:val="0034073C"/>
    <w:rsid w:val="003415A3"/>
    <w:rsid w:val="00342E61"/>
    <w:rsid w:val="00343A12"/>
    <w:rsid w:val="00346D67"/>
    <w:rsid w:val="003507E9"/>
    <w:rsid w:val="00352793"/>
    <w:rsid w:val="00364988"/>
    <w:rsid w:val="00364D43"/>
    <w:rsid w:val="00365A3D"/>
    <w:rsid w:val="0037244D"/>
    <w:rsid w:val="00372AB3"/>
    <w:rsid w:val="003737D1"/>
    <w:rsid w:val="00373DBF"/>
    <w:rsid w:val="00374574"/>
    <w:rsid w:val="003760B1"/>
    <w:rsid w:val="0037637A"/>
    <w:rsid w:val="0038293A"/>
    <w:rsid w:val="00383A35"/>
    <w:rsid w:val="00386E90"/>
    <w:rsid w:val="00390D04"/>
    <w:rsid w:val="00391229"/>
    <w:rsid w:val="00392953"/>
    <w:rsid w:val="00395321"/>
    <w:rsid w:val="00396C33"/>
    <w:rsid w:val="0039753D"/>
    <w:rsid w:val="003A4854"/>
    <w:rsid w:val="003A5526"/>
    <w:rsid w:val="003A5879"/>
    <w:rsid w:val="003A680A"/>
    <w:rsid w:val="003A69FD"/>
    <w:rsid w:val="003B5E33"/>
    <w:rsid w:val="003B7D6F"/>
    <w:rsid w:val="003C02F9"/>
    <w:rsid w:val="003C0385"/>
    <w:rsid w:val="003C04E4"/>
    <w:rsid w:val="003C1F9B"/>
    <w:rsid w:val="003C24A4"/>
    <w:rsid w:val="003C2C49"/>
    <w:rsid w:val="003C2FFB"/>
    <w:rsid w:val="003C5748"/>
    <w:rsid w:val="003C7348"/>
    <w:rsid w:val="003C75D6"/>
    <w:rsid w:val="003D54A2"/>
    <w:rsid w:val="003D5F93"/>
    <w:rsid w:val="003E0B79"/>
    <w:rsid w:val="003E2FE3"/>
    <w:rsid w:val="003E4D47"/>
    <w:rsid w:val="003E542E"/>
    <w:rsid w:val="003E63F1"/>
    <w:rsid w:val="003F1C9D"/>
    <w:rsid w:val="003F2A2F"/>
    <w:rsid w:val="003F392A"/>
    <w:rsid w:val="003F44C0"/>
    <w:rsid w:val="003F76C4"/>
    <w:rsid w:val="00401B11"/>
    <w:rsid w:val="0040535C"/>
    <w:rsid w:val="00407D41"/>
    <w:rsid w:val="004108FE"/>
    <w:rsid w:val="00411716"/>
    <w:rsid w:val="00415B2F"/>
    <w:rsid w:val="00423086"/>
    <w:rsid w:val="0043237F"/>
    <w:rsid w:val="00434D34"/>
    <w:rsid w:val="00436C83"/>
    <w:rsid w:val="004413C5"/>
    <w:rsid w:val="004416A2"/>
    <w:rsid w:val="00441AA9"/>
    <w:rsid w:val="00441AD7"/>
    <w:rsid w:val="004435EB"/>
    <w:rsid w:val="00443E5E"/>
    <w:rsid w:val="00445A9C"/>
    <w:rsid w:val="00445ED1"/>
    <w:rsid w:val="00446E31"/>
    <w:rsid w:val="004501BF"/>
    <w:rsid w:val="0045416C"/>
    <w:rsid w:val="004569D1"/>
    <w:rsid w:val="004600B8"/>
    <w:rsid w:val="0046163F"/>
    <w:rsid w:val="00462587"/>
    <w:rsid w:val="00463674"/>
    <w:rsid w:val="00464C09"/>
    <w:rsid w:val="00465467"/>
    <w:rsid w:val="00465D03"/>
    <w:rsid w:val="004664C4"/>
    <w:rsid w:val="0047001F"/>
    <w:rsid w:val="00470EF6"/>
    <w:rsid w:val="004714FF"/>
    <w:rsid w:val="00471E3B"/>
    <w:rsid w:val="0047509D"/>
    <w:rsid w:val="00475E02"/>
    <w:rsid w:val="00476210"/>
    <w:rsid w:val="00480C98"/>
    <w:rsid w:val="0048281A"/>
    <w:rsid w:val="00482A8F"/>
    <w:rsid w:val="00482F36"/>
    <w:rsid w:val="00483449"/>
    <w:rsid w:val="00485D5A"/>
    <w:rsid w:val="00486AEC"/>
    <w:rsid w:val="004924EC"/>
    <w:rsid w:val="004927F1"/>
    <w:rsid w:val="00493975"/>
    <w:rsid w:val="0049577D"/>
    <w:rsid w:val="004962AC"/>
    <w:rsid w:val="004A100A"/>
    <w:rsid w:val="004A1722"/>
    <w:rsid w:val="004A5E60"/>
    <w:rsid w:val="004A623A"/>
    <w:rsid w:val="004A6316"/>
    <w:rsid w:val="004B099B"/>
    <w:rsid w:val="004B2894"/>
    <w:rsid w:val="004B6D4B"/>
    <w:rsid w:val="004B7E1A"/>
    <w:rsid w:val="004C0E26"/>
    <w:rsid w:val="004C2E2C"/>
    <w:rsid w:val="004C5695"/>
    <w:rsid w:val="004C58AD"/>
    <w:rsid w:val="004C75AD"/>
    <w:rsid w:val="004C760F"/>
    <w:rsid w:val="004D32F5"/>
    <w:rsid w:val="004D555E"/>
    <w:rsid w:val="004D564E"/>
    <w:rsid w:val="004E237D"/>
    <w:rsid w:val="004E2713"/>
    <w:rsid w:val="004E58B8"/>
    <w:rsid w:val="004E615C"/>
    <w:rsid w:val="004F62A5"/>
    <w:rsid w:val="004F6EF9"/>
    <w:rsid w:val="00501C0E"/>
    <w:rsid w:val="00502299"/>
    <w:rsid w:val="00502B74"/>
    <w:rsid w:val="00503F31"/>
    <w:rsid w:val="005102A4"/>
    <w:rsid w:val="00510C28"/>
    <w:rsid w:val="00511A5A"/>
    <w:rsid w:val="00511B8E"/>
    <w:rsid w:val="00512D70"/>
    <w:rsid w:val="00513972"/>
    <w:rsid w:val="00521713"/>
    <w:rsid w:val="0052466E"/>
    <w:rsid w:val="00524B6C"/>
    <w:rsid w:val="005261C8"/>
    <w:rsid w:val="00526DCC"/>
    <w:rsid w:val="00526E07"/>
    <w:rsid w:val="0052723F"/>
    <w:rsid w:val="005301B6"/>
    <w:rsid w:val="00537709"/>
    <w:rsid w:val="00537DE3"/>
    <w:rsid w:val="00540864"/>
    <w:rsid w:val="0054166F"/>
    <w:rsid w:val="0054203F"/>
    <w:rsid w:val="00543216"/>
    <w:rsid w:val="005441A9"/>
    <w:rsid w:val="005471B9"/>
    <w:rsid w:val="00547E71"/>
    <w:rsid w:val="00550668"/>
    <w:rsid w:val="005514C8"/>
    <w:rsid w:val="005559EB"/>
    <w:rsid w:val="0055705D"/>
    <w:rsid w:val="00562253"/>
    <w:rsid w:val="0056364E"/>
    <w:rsid w:val="0056577E"/>
    <w:rsid w:val="00570981"/>
    <w:rsid w:val="00570BAC"/>
    <w:rsid w:val="00571015"/>
    <w:rsid w:val="0057325C"/>
    <w:rsid w:val="00574D2D"/>
    <w:rsid w:val="00575462"/>
    <w:rsid w:val="005762A4"/>
    <w:rsid w:val="00580C8F"/>
    <w:rsid w:val="00582EE2"/>
    <w:rsid w:val="0058565C"/>
    <w:rsid w:val="00585963"/>
    <w:rsid w:val="00585B3E"/>
    <w:rsid w:val="00587FCD"/>
    <w:rsid w:val="00591B0E"/>
    <w:rsid w:val="0059233B"/>
    <w:rsid w:val="00593D11"/>
    <w:rsid w:val="00596E34"/>
    <w:rsid w:val="005B0AE6"/>
    <w:rsid w:val="005B0C2A"/>
    <w:rsid w:val="005B0EA9"/>
    <w:rsid w:val="005B523A"/>
    <w:rsid w:val="005B6E1E"/>
    <w:rsid w:val="005C493C"/>
    <w:rsid w:val="005C5676"/>
    <w:rsid w:val="005C7654"/>
    <w:rsid w:val="005D10DE"/>
    <w:rsid w:val="005D2815"/>
    <w:rsid w:val="005D4EF9"/>
    <w:rsid w:val="005D5743"/>
    <w:rsid w:val="005D64CC"/>
    <w:rsid w:val="005E2765"/>
    <w:rsid w:val="005E52CA"/>
    <w:rsid w:val="005E5A94"/>
    <w:rsid w:val="005E696F"/>
    <w:rsid w:val="005F1D8B"/>
    <w:rsid w:val="005F3175"/>
    <w:rsid w:val="005F55FB"/>
    <w:rsid w:val="005F6F32"/>
    <w:rsid w:val="00602212"/>
    <w:rsid w:val="006073DC"/>
    <w:rsid w:val="00607BAE"/>
    <w:rsid w:val="00613B55"/>
    <w:rsid w:val="00613E21"/>
    <w:rsid w:val="0061747B"/>
    <w:rsid w:val="00621392"/>
    <w:rsid w:val="00622B8D"/>
    <w:rsid w:val="00631902"/>
    <w:rsid w:val="006330F7"/>
    <w:rsid w:val="006358ED"/>
    <w:rsid w:val="00635ED9"/>
    <w:rsid w:val="0064525E"/>
    <w:rsid w:val="006452A8"/>
    <w:rsid w:val="00652543"/>
    <w:rsid w:val="006525D0"/>
    <w:rsid w:val="00654785"/>
    <w:rsid w:val="006611F3"/>
    <w:rsid w:val="00661ACE"/>
    <w:rsid w:val="00662904"/>
    <w:rsid w:val="006635B9"/>
    <w:rsid w:val="00663AB7"/>
    <w:rsid w:val="006656B4"/>
    <w:rsid w:val="006665A0"/>
    <w:rsid w:val="006707FA"/>
    <w:rsid w:val="00676647"/>
    <w:rsid w:val="0067683E"/>
    <w:rsid w:val="00676A8F"/>
    <w:rsid w:val="00680BFF"/>
    <w:rsid w:val="006819C5"/>
    <w:rsid w:val="006829C2"/>
    <w:rsid w:val="006831BA"/>
    <w:rsid w:val="00684D32"/>
    <w:rsid w:val="0068631B"/>
    <w:rsid w:val="006936E7"/>
    <w:rsid w:val="006A39DF"/>
    <w:rsid w:val="006A4AF4"/>
    <w:rsid w:val="006A4C0B"/>
    <w:rsid w:val="006B540E"/>
    <w:rsid w:val="006C0C44"/>
    <w:rsid w:val="006C1076"/>
    <w:rsid w:val="006C12BB"/>
    <w:rsid w:val="006C14D4"/>
    <w:rsid w:val="006C1EF9"/>
    <w:rsid w:val="006C4ABF"/>
    <w:rsid w:val="006C56E2"/>
    <w:rsid w:val="006C7848"/>
    <w:rsid w:val="006D385C"/>
    <w:rsid w:val="006D46FC"/>
    <w:rsid w:val="006D5960"/>
    <w:rsid w:val="006E0C77"/>
    <w:rsid w:val="006E195A"/>
    <w:rsid w:val="006E3D44"/>
    <w:rsid w:val="006E4CFD"/>
    <w:rsid w:val="006F102C"/>
    <w:rsid w:val="006F12B4"/>
    <w:rsid w:val="006F1314"/>
    <w:rsid w:val="006F2402"/>
    <w:rsid w:val="006F2B05"/>
    <w:rsid w:val="006F3203"/>
    <w:rsid w:val="006F709F"/>
    <w:rsid w:val="006F7D29"/>
    <w:rsid w:val="0070144B"/>
    <w:rsid w:val="0070148F"/>
    <w:rsid w:val="00707B24"/>
    <w:rsid w:val="00707EBC"/>
    <w:rsid w:val="007123BE"/>
    <w:rsid w:val="00713DD3"/>
    <w:rsid w:val="007143C6"/>
    <w:rsid w:val="007174AE"/>
    <w:rsid w:val="00717668"/>
    <w:rsid w:val="00721A19"/>
    <w:rsid w:val="00724808"/>
    <w:rsid w:val="00732D63"/>
    <w:rsid w:val="007333C2"/>
    <w:rsid w:val="007354B1"/>
    <w:rsid w:val="00740447"/>
    <w:rsid w:val="00740DF1"/>
    <w:rsid w:val="00743D65"/>
    <w:rsid w:val="00746318"/>
    <w:rsid w:val="00747C26"/>
    <w:rsid w:val="00750FB4"/>
    <w:rsid w:val="007527ED"/>
    <w:rsid w:val="007538CA"/>
    <w:rsid w:val="00753EFF"/>
    <w:rsid w:val="007545FB"/>
    <w:rsid w:val="00756719"/>
    <w:rsid w:val="0075779B"/>
    <w:rsid w:val="00761577"/>
    <w:rsid w:val="00762417"/>
    <w:rsid w:val="00763463"/>
    <w:rsid w:val="00765022"/>
    <w:rsid w:val="00766589"/>
    <w:rsid w:val="00767217"/>
    <w:rsid w:val="00767269"/>
    <w:rsid w:val="0077017D"/>
    <w:rsid w:val="007735E7"/>
    <w:rsid w:val="007751F2"/>
    <w:rsid w:val="00777470"/>
    <w:rsid w:val="007826F3"/>
    <w:rsid w:val="007854B9"/>
    <w:rsid w:val="00785679"/>
    <w:rsid w:val="0078793A"/>
    <w:rsid w:val="00793C10"/>
    <w:rsid w:val="00794435"/>
    <w:rsid w:val="007A01ED"/>
    <w:rsid w:val="007A47B5"/>
    <w:rsid w:val="007A4A7F"/>
    <w:rsid w:val="007A5AF3"/>
    <w:rsid w:val="007A644A"/>
    <w:rsid w:val="007A7CC0"/>
    <w:rsid w:val="007B0160"/>
    <w:rsid w:val="007B02A2"/>
    <w:rsid w:val="007B2727"/>
    <w:rsid w:val="007B28C9"/>
    <w:rsid w:val="007B4453"/>
    <w:rsid w:val="007B494C"/>
    <w:rsid w:val="007B6D4F"/>
    <w:rsid w:val="007B6D66"/>
    <w:rsid w:val="007B7D10"/>
    <w:rsid w:val="007C104D"/>
    <w:rsid w:val="007C4956"/>
    <w:rsid w:val="007C6DAA"/>
    <w:rsid w:val="007C6F99"/>
    <w:rsid w:val="007D3546"/>
    <w:rsid w:val="007D5516"/>
    <w:rsid w:val="007D703D"/>
    <w:rsid w:val="007E1928"/>
    <w:rsid w:val="007E1CE8"/>
    <w:rsid w:val="007E464E"/>
    <w:rsid w:val="007E51B8"/>
    <w:rsid w:val="007F2565"/>
    <w:rsid w:val="007F2FD1"/>
    <w:rsid w:val="007F3674"/>
    <w:rsid w:val="007F7EB2"/>
    <w:rsid w:val="00800B4B"/>
    <w:rsid w:val="00804848"/>
    <w:rsid w:val="0081007C"/>
    <w:rsid w:val="00812C72"/>
    <w:rsid w:val="008134BB"/>
    <w:rsid w:val="00815B57"/>
    <w:rsid w:val="00815DB6"/>
    <w:rsid w:val="00816224"/>
    <w:rsid w:val="00817831"/>
    <w:rsid w:val="00817CAF"/>
    <w:rsid w:val="008277B2"/>
    <w:rsid w:val="008404EA"/>
    <w:rsid w:val="008410D6"/>
    <w:rsid w:val="00841891"/>
    <w:rsid w:val="0085043C"/>
    <w:rsid w:val="008513C2"/>
    <w:rsid w:val="00852C7F"/>
    <w:rsid w:val="00852F63"/>
    <w:rsid w:val="008532D2"/>
    <w:rsid w:val="00860608"/>
    <w:rsid w:val="00861342"/>
    <w:rsid w:val="00862173"/>
    <w:rsid w:val="008650D6"/>
    <w:rsid w:val="00865F11"/>
    <w:rsid w:val="008676B7"/>
    <w:rsid w:val="00870BCF"/>
    <w:rsid w:val="0087106C"/>
    <w:rsid w:val="00875115"/>
    <w:rsid w:val="00876C61"/>
    <w:rsid w:val="00877766"/>
    <w:rsid w:val="00877AC0"/>
    <w:rsid w:val="008820F9"/>
    <w:rsid w:val="00882253"/>
    <w:rsid w:val="008846BA"/>
    <w:rsid w:val="00885206"/>
    <w:rsid w:val="00885E34"/>
    <w:rsid w:val="00886656"/>
    <w:rsid w:val="00892426"/>
    <w:rsid w:val="00897B8B"/>
    <w:rsid w:val="008A31D9"/>
    <w:rsid w:val="008A3F1A"/>
    <w:rsid w:val="008A4BC4"/>
    <w:rsid w:val="008A4EAB"/>
    <w:rsid w:val="008B056F"/>
    <w:rsid w:val="008B0DA5"/>
    <w:rsid w:val="008B1C34"/>
    <w:rsid w:val="008B655A"/>
    <w:rsid w:val="008C2EB0"/>
    <w:rsid w:val="008C3D6B"/>
    <w:rsid w:val="008C45BD"/>
    <w:rsid w:val="008C4906"/>
    <w:rsid w:val="008C61AB"/>
    <w:rsid w:val="008E1F04"/>
    <w:rsid w:val="008E33F1"/>
    <w:rsid w:val="008E641A"/>
    <w:rsid w:val="008E6FAF"/>
    <w:rsid w:val="008F022B"/>
    <w:rsid w:val="008F0AAA"/>
    <w:rsid w:val="008F4132"/>
    <w:rsid w:val="008F59C1"/>
    <w:rsid w:val="008F6829"/>
    <w:rsid w:val="008F7E71"/>
    <w:rsid w:val="00900E0A"/>
    <w:rsid w:val="00907227"/>
    <w:rsid w:val="00910864"/>
    <w:rsid w:val="009112CB"/>
    <w:rsid w:val="00913A56"/>
    <w:rsid w:val="00914B75"/>
    <w:rsid w:val="00920EA5"/>
    <w:rsid w:val="0092700C"/>
    <w:rsid w:val="00927A6B"/>
    <w:rsid w:val="009313F7"/>
    <w:rsid w:val="00931F59"/>
    <w:rsid w:val="009321BE"/>
    <w:rsid w:val="009334C5"/>
    <w:rsid w:val="009367D7"/>
    <w:rsid w:val="00936E43"/>
    <w:rsid w:val="00937D4E"/>
    <w:rsid w:val="00940742"/>
    <w:rsid w:val="00944EC3"/>
    <w:rsid w:val="00945762"/>
    <w:rsid w:val="009469E6"/>
    <w:rsid w:val="00951BF2"/>
    <w:rsid w:val="00951C8A"/>
    <w:rsid w:val="009532EB"/>
    <w:rsid w:val="0095351A"/>
    <w:rsid w:val="00956F4A"/>
    <w:rsid w:val="009576A3"/>
    <w:rsid w:val="00957A85"/>
    <w:rsid w:val="009600F7"/>
    <w:rsid w:val="009608A2"/>
    <w:rsid w:val="009620E0"/>
    <w:rsid w:val="00962878"/>
    <w:rsid w:val="00970448"/>
    <w:rsid w:val="0097070F"/>
    <w:rsid w:val="0097269F"/>
    <w:rsid w:val="00972F42"/>
    <w:rsid w:val="009732E2"/>
    <w:rsid w:val="00973792"/>
    <w:rsid w:val="00974102"/>
    <w:rsid w:val="00983027"/>
    <w:rsid w:val="00984A1A"/>
    <w:rsid w:val="0099135B"/>
    <w:rsid w:val="009952A6"/>
    <w:rsid w:val="00995EB9"/>
    <w:rsid w:val="00996032"/>
    <w:rsid w:val="00996C55"/>
    <w:rsid w:val="009A04F1"/>
    <w:rsid w:val="009A5BDE"/>
    <w:rsid w:val="009A6CAA"/>
    <w:rsid w:val="009A73AB"/>
    <w:rsid w:val="009A7B33"/>
    <w:rsid w:val="009B2028"/>
    <w:rsid w:val="009B20BA"/>
    <w:rsid w:val="009B518B"/>
    <w:rsid w:val="009C17BC"/>
    <w:rsid w:val="009C3485"/>
    <w:rsid w:val="009C3DF1"/>
    <w:rsid w:val="009C5D03"/>
    <w:rsid w:val="009C6FA3"/>
    <w:rsid w:val="009D0114"/>
    <w:rsid w:val="009D21BD"/>
    <w:rsid w:val="009D53F1"/>
    <w:rsid w:val="009D54BF"/>
    <w:rsid w:val="009D71B9"/>
    <w:rsid w:val="009D7C94"/>
    <w:rsid w:val="009D7DFB"/>
    <w:rsid w:val="009E49B9"/>
    <w:rsid w:val="009E4AFF"/>
    <w:rsid w:val="009E6639"/>
    <w:rsid w:val="009E67E7"/>
    <w:rsid w:val="009F0E38"/>
    <w:rsid w:val="009F1673"/>
    <w:rsid w:val="009F291D"/>
    <w:rsid w:val="009F5452"/>
    <w:rsid w:val="00A037E8"/>
    <w:rsid w:val="00A03A19"/>
    <w:rsid w:val="00A04CF1"/>
    <w:rsid w:val="00A05A0E"/>
    <w:rsid w:val="00A074C9"/>
    <w:rsid w:val="00A07979"/>
    <w:rsid w:val="00A1229A"/>
    <w:rsid w:val="00A13B8A"/>
    <w:rsid w:val="00A1425E"/>
    <w:rsid w:val="00A14C19"/>
    <w:rsid w:val="00A14FD0"/>
    <w:rsid w:val="00A218F0"/>
    <w:rsid w:val="00A2265A"/>
    <w:rsid w:val="00A2746F"/>
    <w:rsid w:val="00A32C4C"/>
    <w:rsid w:val="00A34164"/>
    <w:rsid w:val="00A368CE"/>
    <w:rsid w:val="00A37276"/>
    <w:rsid w:val="00A40FDA"/>
    <w:rsid w:val="00A45ED2"/>
    <w:rsid w:val="00A47075"/>
    <w:rsid w:val="00A50A64"/>
    <w:rsid w:val="00A51CCA"/>
    <w:rsid w:val="00A524E6"/>
    <w:rsid w:val="00A53080"/>
    <w:rsid w:val="00A55B9B"/>
    <w:rsid w:val="00A55F90"/>
    <w:rsid w:val="00A564DB"/>
    <w:rsid w:val="00A56DE9"/>
    <w:rsid w:val="00A577CB"/>
    <w:rsid w:val="00A606F7"/>
    <w:rsid w:val="00A62271"/>
    <w:rsid w:val="00A62E2F"/>
    <w:rsid w:val="00A70C0D"/>
    <w:rsid w:val="00A75AE1"/>
    <w:rsid w:val="00A83537"/>
    <w:rsid w:val="00A8645D"/>
    <w:rsid w:val="00A900D9"/>
    <w:rsid w:val="00A96918"/>
    <w:rsid w:val="00AA0174"/>
    <w:rsid w:val="00AA252F"/>
    <w:rsid w:val="00AA5FC0"/>
    <w:rsid w:val="00AA79A0"/>
    <w:rsid w:val="00AB03B1"/>
    <w:rsid w:val="00AB047A"/>
    <w:rsid w:val="00AB2647"/>
    <w:rsid w:val="00AB5EC5"/>
    <w:rsid w:val="00AC19A4"/>
    <w:rsid w:val="00AC19AD"/>
    <w:rsid w:val="00AC1A8B"/>
    <w:rsid w:val="00AC2F63"/>
    <w:rsid w:val="00AC5601"/>
    <w:rsid w:val="00AC5D7C"/>
    <w:rsid w:val="00AD028C"/>
    <w:rsid w:val="00AD0D3B"/>
    <w:rsid w:val="00AD0D70"/>
    <w:rsid w:val="00AE2E51"/>
    <w:rsid w:val="00AE3D76"/>
    <w:rsid w:val="00AE6961"/>
    <w:rsid w:val="00AF1859"/>
    <w:rsid w:val="00AF3B72"/>
    <w:rsid w:val="00AF3DE4"/>
    <w:rsid w:val="00AF5E67"/>
    <w:rsid w:val="00AF72F4"/>
    <w:rsid w:val="00AF7619"/>
    <w:rsid w:val="00AF7A0F"/>
    <w:rsid w:val="00AF7ABB"/>
    <w:rsid w:val="00AF7F22"/>
    <w:rsid w:val="00B06EBD"/>
    <w:rsid w:val="00B10B40"/>
    <w:rsid w:val="00B12D5F"/>
    <w:rsid w:val="00B1359D"/>
    <w:rsid w:val="00B160FF"/>
    <w:rsid w:val="00B16D8D"/>
    <w:rsid w:val="00B1733B"/>
    <w:rsid w:val="00B1783F"/>
    <w:rsid w:val="00B204DD"/>
    <w:rsid w:val="00B24B1E"/>
    <w:rsid w:val="00B27C16"/>
    <w:rsid w:val="00B27C80"/>
    <w:rsid w:val="00B31434"/>
    <w:rsid w:val="00B31FA6"/>
    <w:rsid w:val="00B33CC9"/>
    <w:rsid w:val="00B33F1D"/>
    <w:rsid w:val="00B40748"/>
    <w:rsid w:val="00B416A8"/>
    <w:rsid w:val="00B439FB"/>
    <w:rsid w:val="00B45489"/>
    <w:rsid w:val="00B45CC2"/>
    <w:rsid w:val="00B45D92"/>
    <w:rsid w:val="00B46B3A"/>
    <w:rsid w:val="00B509AF"/>
    <w:rsid w:val="00B50A1F"/>
    <w:rsid w:val="00B50C92"/>
    <w:rsid w:val="00B51DB5"/>
    <w:rsid w:val="00B528C1"/>
    <w:rsid w:val="00B52D17"/>
    <w:rsid w:val="00B642C9"/>
    <w:rsid w:val="00B67914"/>
    <w:rsid w:val="00B72E03"/>
    <w:rsid w:val="00B73E11"/>
    <w:rsid w:val="00B77E9B"/>
    <w:rsid w:val="00B77F70"/>
    <w:rsid w:val="00B80336"/>
    <w:rsid w:val="00B82C0E"/>
    <w:rsid w:val="00B86983"/>
    <w:rsid w:val="00B97E61"/>
    <w:rsid w:val="00BA2D9B"/>
    <w:rsid w:val="00BA7DF2"/>
    <w:rsid w:val="00BB15FA"/>
    <w:rsid w:val="00BB1865"/>
    <w:rsid w:val="00BB36CD"/>
    <w:rsid w:val="00BB3778"/>
    <w:rsid w:val="00BB6285"/>
    <w:rsid w:val="00BB642D"/>
    <w:rsid w:val="00BB7159"/>
    <w:rsid w:val="00BB7B9E"/>
    <w:rsid w:val="00BC0D0B"/>
    <w:rsid w:val="00BC43B9"/>
    <w:rsid w:val="00BC45AE"/>
    <w:rsid w:val="00BC5FE1"/>
    <w:rsid w:val="00BC62FD"/>
    <w:rsid w:val="00BC6C7E"/>
    <w:rsid w:val="00BD3526"/>
    <w:rsid w:val="00BD4893"/>
    <w:rsid w:val="00BD5963"/>
    <w:rsid w:val="00BD6A52"/>
    <w:rsid w:val="00BD72D9"/>
    <w:rsid w:val="00BD7920"/>
    <w:rsid w:val="00BE0091"/>
    <w:rsid w:val="00BE1C3C"/>
    <w:rsid w:val="00BE46C2"/>
    <w:rsid w:val="00BE4F36"/>
    <w:rsid w:val="00BE7B7E"/>
    <w:rsid w:val="00BF5C6D"/>
    <w:rsid w:val="00BF67D4"/>
    <w:rsid w:val="00C0599A"/>
    <w:rsid w:val="00C07E57"/>
    <w:rsid w:val="00C11E43"/>
    <w:rsid w:val="00C12019"/>
    <w:rsid w:val="00C12147"/>
    <w:rsid w:val="00C144AD"/>
    <w:rsid w:val="00C17995"/>
    <w:rsid w:val="00C21C14"/>
    <w:rsid w:val="00C2417D"/>
    <w:rsid w:val="00C2434D"/>
    <w:rsid w:val="00C24608"/>
    <w:rsid w:val="00C2473D"/>
    <w:rsid w:val="00C251F1"/>
    <w:rsid w:val="00C27542"/>
    <w:rsid w:val="00C316F2"/>
    <w:rsid w:val="00C31E7D"/>
    <w:rsid w:val="00C336CA"/>
    <w:rsid w:val="00C337CF"/>
    <w:rsid w:val="00C3383D"/>
    <w:rsid w:val="00C408D4"/>
    <w:rsid w:val="00C412C2"/>
    <w:rsid w:val="00C42C07"/>
    <w:rsid w:val="00C433D0"/>
    <w:rsid w:val="00C45A74"/>
    <w:rsid w:val="00C55D39"/>
    <w:rsid w:val="00C70A4A"/>
    <w:rsid w:val="00C7383C"/>
    <w:rsid w:val="00C739E2"/>
    <w:rsid w:val="00C75235"/>
    <w:rsid w:val="00C8030C"/>
    <w:rsid w:val="00C807B4"/>
    <w:rsid w:val="00C832B1"/>
    <w:rsid w:val="00C84544"/>
    <w:rsid w:val="00C85D18"/>
    <w:rsid w:val="00C866CF"/>
    <w:rsid w:val="00C878BD"/>
    <w:rsid w:val="00C958E0"/>
    <w:rsid w:val="00C96CFF"/>
    <w:rsid w:val="00C96D0B"/>
    <w:rsid w:val="00CA0BB1"/>
    <w:rsid w:val="00CA1402"/>
    <w:rsid w:val="00CA2070"/>
    <w:rsid w:val="00CA2A7A"/>
    <w:rsid w:val="00CA4EE3"/>
    <w:rsid w:val="00CA523B"/>
    <w:rsid w:val="00CB08ED"/>
    <w:rsid w:val="00CB67AA"/>
    <w:rsid w:val="00CC182D"/>
    <w:rsid w:val="00CC1995"/>
    <w:rsid w:val="00CC2613"/>
    <w:rsid w:val="00CC46E9"/>
    <w:rsid w:val="00CC50DB"/>
    <w:rsid w:val="00CC65ED"/>
    <w:rsid w:val="00CC68E7"/>
    <w:rsid w:val="00CD0D80"/>
    <w:rsid w:val="00CD1884"/>
    <w:rsid w:val="00CD3514"/>
    <w:rsid w:val="00CE0999"/>
    <w:rsid w:val="00CE0CDE"/>
    <w:rsid w:val="00CE3E83"/>
    <w:rsid w:val="00CE52D7"/>
    <w:rsid w:val="00CE64F2"/>
    <w:rsid w:val="00CE6D87"/>
    <w:rsid w:val="00CF1319"/>
    <w:rsid w:val="00CF3286"/>
    <w:rsid w:val="00CF34A7"/>
    <w:rsid w:val="00CF3ABF"/>
    <w:rsid w:val="00CF496E"/>
    <w:rsid w:val="00D00D18"/>
    <w:rsid w:val="00D01882"/>
    <w:rsid w:val="00D04AA5"/>
    <w:rsid w:val="00D101CD"/>
    <w:rsid w:val="00D1166F"/>
    <w:rsid w:val="00D11D25"/>
    <w:rsid w:val="00D11D34"/>
    <w:rsid w:val="00D13237"/>
    <w:rsid w:val="00D13839"/>
    <w:rsid w:val="00D14BA8"/>
    <w:rsid w:val="00D14F97"/>
    <w:rsid w:val="00D1541B"/>
    <w:rsid w:val="00D15F9C"/>
    <w:rsid w:val="00D16F30"/>
    <w:rsid w:val="00D26C87"/>
    <w:rsid w:val="00D300AB"/>
    <w:rsid w:val="00D305ED"/>
    <w:rsid w:val="00D30D09"/>
    <w:rsid w:val="00D312DC"/>
    <w:rsid w:val="00D32ABE"/>
    <w:rsid w:val="00D33D8B"/>
    <w:rsid w:val="00D3601D"/>
    <w:rsid w:val="00D362FF"/>
    <w:rsid w:val="00D37C25"/>
    <w:rsid w:val="00D42841"/>
    <w:rsid w:val="00D44FC7"/>
    <w:rsid w:val="00D52B0C"/>
    <w:rsid w:val="00D52B5B"/>
    <w:rsid w:val="00D55BFE"/>
    <w:rsid w:val="00D56F93"/>
    <w:rsid w:val="00D60CEB"/>
    <w:rsid w:val="00D61417"/>
    <w:rsid w:val="00D61522"/>
    <w:rsid w:val="00D61EFF"/>
    <w:rsid w:val="00D62E84"/>
    <w:rsid w:val="00D64054"/>
    <w:rsid w:val="00D72D57"/>
    <w:rsid w:val="00D7431C"/>
    <w:rsid w:val="00D75BC1"/>
    <w:rsid w:val="00D82BB6"/>
    <w:rsid w:val="00D87A79"/>
    <w:rsid w:val="00D90844"/>
    <w:rsid w:val="00D910CA"/>
    <w:rsid w:val="00D93F9F"/>
    <w:rsid w:val="00D9556C"/>
    <w:rsid w:val="00D95E50"/>
    <w:rsid w:val="00DA054E"/>
    <w:rsid w:val="00DA14A2"/>
    <w:rsid w:val="00DA27A7"/>
    <w:rsid w:val="00DA3D82"/>
    <w:rsid w:val="00DA4CF2"/>
    <w:rsid w:val="00DA6D02"/>
    <w:rsid w:val="00DA76BD"/>
    <w:rsid w:val="00DB03CF"/>
    <w:rsid w:val="00DB334F"/>
    <w:rsid w:val="00DB3352"/>
    <w:rsid w:val="00DB547E"/>
    <w:rsid w:val="00DB5735"/>
    <w:rsid w:val="00DB7A3B"/>
    <w:rsid w:val="00DC0575"/>
    <w:rsid w:val="00DC0C92"/>
    <w:rsid w:val="00DC3F03"/>
    <w:rsid w:val="00DC4FF2"/>
    <w:rsid w:val="00DC5196"/>
    <w:rsid w:val="00DC625B"/>
    <w:rsid w:val="00DD211F"/>
    <w:rsid w:val="00DD3175"/>
    <w:rsid w:val="00DD466F"/>
    <w:rsid w:val="00DD627D"/>
    <w:rsid w:val="00DE01D3"/>
    <w:rsid w:val="00DE0A16"/>
    <w:rsid w:val="00DE3660"/>
    <w:rsid w:val="00DE64A7"/>
    <w:rsid w:val="00DF0170"/>
    <w:rsid w:val="00DF0F24"/>
    <w:rsid w:val="00DF1C8D"/>
    <w:rsid w:val="00DF2FC3"/>
    <w:rsid w:val="00DF323B"/>
    <w:rsid w:val="00E00BE0"/>
    <w:rsid w:val="00E018DF"/>
    <w:rsid w:val="00E018F9"/>
    <w:rsid w:val="00E022C1"/>
    <w:rsid w:val="00E0281A"/>
    <w:rsid w:val="00E036C2"/>
    <w:rsid w:val="00E038A4"/>
    <w:rsid w:val="00E04192"/>
    <w:rsid w:val="00E04346"/>
    <w:rsid w:val="00E0501D"/>
    <w:rsid w:val="00E064B3"/>
    <w:rsid w:val="00E1113E"/>
    <w:rsid w:val="00E11D5E"/>
    <w:rsid w:val="00E12F9A"/>
    <w:rsid w:val="00E13B3D"/>
    <w:rsid w:val="00E14043"/>
    <w:rsid w:val="00E14C1E"/>
    <w:rsid w:val="00E16091"/>
    <w:rsid w:val="00E16649"/>
    <w:rsid w:val="00E16A98"/>
    <w:rsid w:val="00E2117B"/>
    <w:rsid w:val="00E222D3"/>
    <w:rsid w:val="00E22DE6"/>
    <w:rsid w:val="00E272EE"/>
    <w:rsid w:val="00E30AE4"/>
    <w:rsid w:val="00E31C82"/>
    <w:rsid w:val="00E3338E"/>
    <w:rsid w:val="00E34BC4"/>
    <w:rsid w:val="00E34F0C"/>
    <w:rsid w:val="00E40D28"/>
    <w:rsid w:val="00E454AB"/>
    <w:rsid w:val="00E458F4"/>
    <w:rsid w:val="00E4790B"/>
    <w:rsid w:val="00E50267"/>
    <w:rsid w:val="00E518DC"/>
    <w:rsid w:val="00E523B8"/>
    <w:rsid w:val="00E55FD6"/>
    <w:rsid w:val="00E60860"/>
    <w:rsid w:val="00E61661"/>
    <w:rsid w:val="00E64623"/>
    <w:rsid w:val="00E6512D"/>
    <w:rsid w:val="00E65182"/>
    <w:rsid w:val="00E65667"/>
    <w:rsid w:val="00E67403"/>
    <w:rsid w:val="00E67A91"/>
    <w:rsid w:val="00E72B74"/>
    <w:rsid w:val="00E75915"/>
    <w:rsid w:val="00E77E3B"/>
    <w:rsid w:val="00E84C2F"/>
    <w:rsid w:val="00E867D6"/>
    <w:rsid w:val="00E86A5B"/>
    <w:rsid w:val="00E87D18"/>
    <w:rsid w:val="00E91106"/>
    <w:rsid w:val="00E9222F"/>
    <w:rsid w:val="00E923CD"/>
    <w:rsid w:val="00EA106E"/>
    <w:rsid w:val="00EA17DC"/>
    <w:rsid w:val="00EA3DCE"/>
    <w:rsid w:val="00EA4E3E"/>
    <w:rsid w:val="00EA6202"/>
    <w:rsid w:val="00EB23CE"/>
    <w:rsid w:val="00EC329A"/>
    <w:rsid w:val="00EC3648"/>
    <w:rsid w:val="00EC7434"/>
    <w:rsid w:val="00EC7DA4"/>
    <w:rsid w:val="00ED0002"/>
    <w:rsid w:val="00ED17AE"/>
    <w:rsid w:val="00ED23FC"/>
    <w:rsid w:val="00ED247B"/>
    <w:rsid w:val="00ED3AFA"/>
    <w:rsid w:val="00ED6B6D"/>
    <w:rsid w:val="00ED77D6"/>
    <w:rsid w:val="00EE0C52"/>
    <w:rsid w:val="00EE46B3"/>
    <w:rsid w:val="00EE52FA"/>
    <w:rsid w:val="00EE7534"/>
    <w:rsid w:val="00EF06C3"/>
    <w:rsid w:val="00EF1FE1"/>
    <w:rsid w:val="00EF2FCF"/>
    <w:rsid w:val="00EF4A81"/>
    <w:rsid w:val="00EF6004"/>
    <w:rsid w:val="00EF6A7F"/>
    <w:rsid w:val="00F01EDA"/>
    <w:rsid w:val="00F03038"/>
    <w:rsid w:val="00F03797"/>
    <w:rsid w:val="00F07614"/>
    <w:rsid w:val="00F12876"/>
    <w:rsid w:val="00F1484E"/>
    <w:rsid w:val="00F174FC"/>
    <w:rsid w:val="00F20C50"/>
    <w:rsid w:val="00F20DC7"/>
    <w:rsid w:val="00F24772"/>
    <w:rsid w:val="00F267C3"/>
    <w:rsid w:val="00F302C2"/>
    <w:rsid w:val="00F316D2"/>
    <w:rsid w:val="00F3301C"/>
    <w:rsid w:val="00F3390E"/>
    <w:rsid w:val="00F435C6"/>
    <w:rsid w:val="00F4749D"/>
    <w:rsid w:val="00F47CF4"/>
    <w:rsid w:val="00F520F3"/>
    <w:rsid w:val="00F553E7"/>
    <w:rsid w:val="00F55456"/>
    <w:rsid w:val="00F56E84"/>
    <w:rsid w:val="00F574F8"/>
    <w:rsid w:val="00F57BED"/>
    <w:rsid w:val="00F60E87"/>
    <w:rsid w:val="00F627F0"/>
    <w:rsid w:val="00F63E52"/>
    <w:rsid w:val="00F67963"/>
    <w:rsid w:val="00F679ED"/>
    <w:rsid w:val="00F76617"/>
    <w:rsid w:val="00F76695"/>
    <w:rsid w:val="00F76812"/>
    <w:rsid w:val="00F8079A"/>
    <w:rsid w:val="00F83AFF"/>
    <w:rsid w:val="00F86692"/>
    <w:rsid w:val="00F87D08"/>
    <w:rsid w:val="00F90E44"/>
    <w:rsid w:val="00F913CD"/>
    <w:rsid w:val="00F9172A"/>
    <w:rsid w:val="00F93436"/>
    <w:rsid w:val="00F93E80"/>
    <w:rsid w:val="00F960A9"/>
    <w:rsid w:val="00F96646"/>
    <w:rsid w:val="00FA063A"/>
    <w:rsid w:val="00FA106D"/>
    <w:rsid w:val="00FA15CF"/>
    <w:rsid w:val="00FA21BC"/>
    <w:rsid w:val="00FA48D5"/>
    <w:rsid w:val="00FA4A42"/>
    <w:rsid w:val="00FA66DD"/>
    <w:rsid w:val="00FA7040"/>
    <w:rsid w:val="00FB0D9D"/>
    <w:rsid w:val="00FB1E4B"/>
    <w:rsid w:val="00FB3FEC"/>
    <w:rsid w:val="00FB59BA"/>
    <w:rsid w:val="00FB6D05"/>
    <w:rsid w:val="00FC1911"/>
    <w:rsid w:val="00FC56CB"/>
    <w:rsid w:val="00FC6863"/>
    <w:rsid w:val="00FD40E1"/>
    <w:rsid w:val="00FD5157"/>
    <w:rsid w:val="00FD56C3"/>
    <w:rsid w:val="00FD5BC2"/>
    <w:rsid w:val="00FE11E7"/>
    <w:rsid w:val="00FE2415"/>
    <w:rsid w:val="00FE35B1"/>
    <w:rsid w:val="00FE4375"/>
    <w:rsid w:val="00FE72C3"/>
    <w:rsid w:val="00FF6478"/>
    <w:rsid w:val="00FF74E8"/>
    <w:rsid w:val="00FF7F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4A1518"/>
  <w15:chartTrackingRefBased/>
  <w15:docId w15:val="{0DB41D02-A97F-411C-A925-2D25F8001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ECC"/>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084ECC"/>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084ECC"/>
    <w:pPr>
      <w:keepNext/>
      <w:keepLines/>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unhideWhenUsed/>
    <w:qFormat/>
    <w:rsid w:val="005B523A"/>
    <w:pPr>
      <w:keepNext/>
      <w:keepLines/>
      <w:spacing w:before="40" w:after="0"/>
      <w:outlineLvl w:val="2"/>
    </w:pPr>
    <w:rPr>
      <w:rFonts w:asciiTheme="majorHAnsi" w:eastAsiaTheme="majorEastAsia" w:hAnsiTheme="majorHAnsi" w:cstheme="majorBidi"/>
      <w:color w:val="77104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CC"/>
    <w:rPr>
      <w:rFonts w:ascii="Calibri" w:hAnsi="Calibri" w:cs="Calibri"/>
    </w:rPr>
  </w:style>
  <w:style w:type="paragraph" w:styleId="Footer">
    <w:name w:val="footer"/>
    <w:basedOn w:val="Normal"/>
    <w:link w:val="FooterChar"/>
    <w:uiPriority w:val="99"/>
    <w:unhideWhenUsed/>
    <w:rsid w:val="0008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CC"/>
    <w:rPr>
      <w:rFonts w:ascii="Calibri" w:hAnsi="Calibri" w:cs="Calibri"/>
    </w:rPr>
  </w:style>
  <w:style w:type="character" w:customStyle="1" w:styleId="Heading1Char">
    <w:name w:val="Heading 1 Char"/>
    <w:basedOn w:val="DefaultParagraphFont"/>
    <w:link w:val="Heading1"/>
    <w:uiPriority w:val="9"/>
    <w:rsid w:val="00084ECC"/>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084ECC"/>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084ECC"/>
    <w:pPr>
      <w:spacing w:after="100"/>
    </w:pPr>
  </w:style>
  <w:style w:type="character" w:styleId="Hyperlink">
    <w:name w:val="Hyperlink"/>
    <w:basedOn w:val="DefaultParagraphFont"/>
    <w:uiPriority w:val="99"/>
    <w:unhideWhenUsed/>
    <w:rsid w:val="00084ECC"/>
    <w:rPr>
      <w:color w:val="6B9F25" w:themeColor="hyperlink"/>
      <w:u w:val="single"/>
    </w:rPr>
  </w:style>
  <w:style w:type="character" w:customStyle="1" w:styleId="Heading2Char">
    <w:name w:val="Heading 2 Char"/>
    <w:basedOn w:val="DefaultParagraphFont"/>
    <w:link w:val="Heading2"/>
    <w:uiPriority w:val="9"/>
    <w:rsid w:val="00084ECC"/>
    <w:rPr>
      <w:rFonts w:asciiTheme="majorHAnsi" w:eastAsiaTheme="majorEastAsia" w:hAnsiTheme="majorHAnsi" w:cstheme="majorBidi"/>
      <w:color w:val="B3186D" w:themeColor="accent1" w:themeShade="BF"/>
      <w:sz w:val="26"/>
      <w:szCs w:val="26"/>
    </w:rPr>
  </w:style>
  <w:style w:type="paragraph" w:styleId="TOC2">
    <w:name w:val="toc 2"/>
    <w:basedOn w:val="Normal"/>
    <w:next w:val="Normal"/>
    <w:autoRedefine/>
    <w:uiPriority w:val="39"/>
    <w:unhideWhenUsed/>
    <w:rsid w:val="00D72D57"/>
    <w:pPr>
      <w:tabs>
        <w:tab w:val="right" w:leader="dot" w:pos="9016"/>
      </w:tabs>
      <w:spacing w:after="100"/>
      <w:ind w:left="220"/>
    </w:pPr>
    <w:rPr>
      <w:rFonts w:ascii="Times New Roman" w:hAnsi="Times New Roman" w:cs="Times New Roman"/>
      <w:noProof/>
    </w:rPr>
  </w:style>
  <w:style w:type="paragraph" w:styleId="ListParagraph">
    <w:name w:val="List Paragraph"/>
    <w:basedOn w:val="Normal"/>
    <w:uiPriority w:val="34"/>
    <w:qFormat/>
    <w:rsid w:val="00084ECC"/>
    <w:pPr>
      <w:ind w:left="720"/>
      <w:contextualSpacing/>
    </w:pPr>
  </w:style>
  <w:style w:type="paragraph" w:styleId="NormalWeb">
    <w:name w:val="Normal (Web)"/>
    <w:basedOn w:val="Normal"/>
    <w:uiPriority w:val="99"/>
    <w:unhideWhenUsed/>
    <w:rsid w:val="00084ECC"/>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3">
    <w:name w:val="Head 3"/>
    <w:basedOn w:val="Heading2"/>
    <w:link w:val="Head3Char"/>
    <w:qFormat/>
    <w:rsid w:val="00084ECC"/>
    <w:pPr>
      <w:tabs>
        <w:tab w:val="num" w:pos="851"/>
      </w:tabs>
      <w:spacing w:before="0" w:line="360" w:lineRule="auto"/>
      <w:ind w:left="851" w:hanging="851"/>
    </w:pPr>
    <w:rPr>
      <w:rFonts w:ascii="Verdana" w:hAnsi="Verdana"/>
      <w:b/>
      <w:bCs/>
      <w:color w:val="auto"/>
      <w:sz w:val="18"/>
    </w:rPr>
  </w:style>
  <w:style w:type="character" w:customStyle="1" w:styleId="Head3Char">
    <w:name w:val="Head 3 Char"/>
    <w:basedOn w:val="DefaultParagraphFont"/>
    <w:link w:val="Head3"/>
    <w:rsid w:val="00084ECC"/>
    <w:rPr>
      <w:rFonts w:ascii="Verdana" w:eastAsiaTheme="majorEastAsia" w:hAnsi="Verdana" w:cstheme="majorBidi"/>
      <w:b/>
      <w:bCs/>
      <w:sz w:val="18"/>
      <w:szCs w:val="26"/>
    </w:rPr>
  </w:style>
  <w:style w:type="character" w:styleId="UnresolvedMention">
    <w:name w:val="Unresolved Mention"/>
    <w:basedOn w:val="DefaultParagraphFont"/>
    <w:uiPriority w:val="99"/>
    <w:semiHidden/>
    <w:unhideWhenUsed/>
    <w:rsid w:val="00910864"/>
    <w:rPr>
      <w:color w:val="605E5C"/>
      <w:shd w:val="clear" w:color="auto" w:fill="E1DFDD"/>
    </w:rPr>
  </w:style>
  <w:style w:type="character" w:styleId="PlaceholderText">
    <w:name w:val="Placeholder Text"/>
    <w:basedOn w:val="DefaultParagraphFont"/>
    <w:uiPriority w:val="99"/>
    <w:semiHidden/>
    <w:rsid w:val="008A3F1A"/>
    <w:rPr>
      <w:color w:val="808080"/>
    </w:rPr>
  </w:style>
  <w:style w:type="character" w:styleId="CommentReference">
    <w:name w:val="annotation reference"/>
    <w:basedOn w:val="DefaultParagraphFont"/>
    <w:uiPriority w:val="99"/>
    <w:semiHidden/>
    <w:unhideWhenUsed/>
    <w:rsid w:val="00AF7A0F"/>
    <w:rPr>
      <w:sz w:val="16"/>
      <w:szCs w:val="16"/>
    </w:rPr>
  </w:style>
  <w:style w:type="paragraph" w:styleId="CommentText">
    <w:name w:val="annotation text"/>
    <w:basedOn w:val="Normal"/>
    <w:link w:val="CommentTextChar"/>
    <w:uiPriority w:val="99"/>
    <w:semiHidden/>
    <w:unhideWhenUsed/>
    <w:rsid w:val="00AF7A0F"/>
    <w:pPr>
      <w:spacing w:line="240" w:lineRule="auto"/>
    </w:pPr>
    <w:rPr>
      <w:sz w:val="20"/>
      <w:szCs w:val="20"/>
    </w:rPr>
  </w:style>
  <w:style w:type="character" w:customStyle="1" w:styleId="CommentTextChar">
    <w:name w:val="Comment Text Char"/>
    <w:basedOn w:val="DefaultParagraphFont"/>
    <w:link w:val="CommentText"/>
    <w:uiPriority w:val="99"/>
    <w:semiHidden/>
    <w:rsid w:val="00AF7A0F"/>
    <w:rPr>
      <w:rFonts w:ascii="Calibri" w:hAnsi="Calibri" w:cs="Calibri"/>
      <w:sz w:val="20"/>
      <w:szCs w:val="20"/>
    </w:rPr>
  </w:style>
  <w:style w:type="paragraph" w:styleId="CommentSubject">
    <w:name w:val="annotation subject"/>
    <w:basedOn w:val="CommentText"/>
    <w:next w:val="CommentText"/>
    <w:link w:val="CommentSubjectChar"/>
    <w:uiPriority w:val="99"/>
    <w:semiHidden/>
    <w:unhideWhenUsed/>
    <w:rsid w:val="00AF7A0F"/>
    <w:rPr>
      <w:b/>
      <w:bCs/>
    </w:rPr>
  </w:style>
  <w:style w:type="character" w:customStyle="1" w:styleId="CommentSubjectChar">
    <w:name w:val="Comment Subject Char"/>
    <w:basedOn w:val="CommentTextChar"/>
    <w:link w:val="CommentSubject"/>
    <w:uiPriority w:val="99"/>
    <w:semiHidden/>
    <w:rsid w:val="00AF7A0F"/>
    <w:rPr>
      <w:rFonts w:ascii="Calibri" w:hAnsi="Calibri" w:cs="Calibri"/>
      <w:b/>
      <w:bCs/>
      <w:sz w:val="20"/>
      <w:szCs w:val="20"/>
    </w:rPr>
  </w:style>
  <w:style w:type="table" w:styleId="TableGrid">
    <w:name w:val="Table Grid"/>
    <w:basedOn w:val="TableNormal"/>
    <w:uiPriority w:val="39"/>
    <w:rsid w:val="00FD51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672BE"/>
    <w:rPr>
      <w:b/>
      <w:bCs/>
    </w:rPr>
  </w:style>
  <w:style w:type="character" w:customStyle="1" w:styleId="Heading3Char">
    <w:name w:val="Heading 3 Char"/>
    <w:basedOn w:val="DefaultParagraphFont"/>
    <w:link w:val="Heading3"/>
    <w:uiPriority w:val="9"/>
    <w:rsid w:val="005B523A"/>
    <w:rPr>
      <w:rFonts w:asciiTheme="majorHAnsi" w:eastAsiaTheme="majorEastAsia" w:hAnsiTheme="majorHAnsi" w:cstheme="majorBidi"/>
      <w:color w:val="771048" w:themeColor="accent1" w:themeShade="7F"/>
      <w:sz w:val="24"/>
      <w:szCs w:val="24"/>
    </w:rPr>
  </w:style>
  <w:style w:type="paragraph" w:styleId="TOC3">
    <w:name w:val="toc 3"/>
    <w:basedOn w:val="Normal"/>
    <w:next w:val="Normal"/>
    <w:autoRedefine/>
    <w:uiPriority w:val="39"/>
    <w:unhideWhenUsed/>
    <w:rsid w:val="00724808"/>
    <w:pPr>
      <w:spacing w:after="100"/>
      <w:ind w:left="440"/>
    </w:pPr>
  </w:style>
  <w:style w:type="paragraph" w:styleId="Date">
    <w:name w:val="Date"/>
    <w:basedOn w:val="Normal"/>
    <w:next w:val="Normal"/>
    <w:link w:val="DateChar"/>
    <w:uiPriority w:val="99"/>
    <w:semiHidden/>
    <w:unhideWhenUsed/>
    <w:rsid w:val="00A577CB"/>
  </w:style>
  <w:style w:type="character" w:customStyle="1" w:styleId="DateChar">
    <w:name w:val="Date Char"/>
    <w:basedOn w:val="DefaultParagraphFont"/>
    <w:link w:val="Date"/>
    <w:uiPriority w:val="99"/>
    <w:semiHidden/>
    <w:rsid w:val="00A577CB"/>
    <w:rPr>
      <w:rFonts w:ascii="Calibri" w:hAnsi="Calibri" w:cs="Calibri"/>
    </w:rPr>
  </w:style>
  <w:style w:type="character" w:styleId="FollowedHyperlink">
    <w:name w:val="FollowedHyperlink"/>
    <w:basedOn w:val="DefaultParagraphFont"/>
    <w:uiPriority w:val="99"/>
    <w:semiHidden/>
    <w:unhideWhenUsed/>
    <w:rsid w:val="00F76617"/>
    <w:rPr>
      <w:color w:val="8C8C8C" w:themeColor="followedHyperlink"/>
      <w:u w:val="single"/>
    </w:rPr>
  </w:style>
  <w:style w:type="paragraph" w:styleId="z-TopofForm">
    <w:name w:val="HTML Top of Form"/>
    <w:basedOn w:val="Normal"/>
    <w:next w:val="Normal"/>
    <w:link w:val="z-TopofFormChar"/>
    <w:hidden/>
    <w:uiPriority w:val="99"/>
    <w:semiHidden/>
    <w:unhideWhenUsed/>
    <w:rsid w:val="001F615A"/>
    <w:pPr>
      <w:pBdr>
        <w:bottom w:val="single" w:sz="6" w:space="1" w:color="auto"/>
      </w:pBdr>
      <w:autoSpaceDE/>
      <w:autoSpaceDN/>
      <w:adjustRightInd/>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F615A"/>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7145">
      <w:bodyDiv w:val="1"/>
      <w:marLeft w:val="0"/>
      <w:marRight w:val="0"/>
      <w:marTop w:val="0"/>
      <w:marBottom w:val="0"/>
      <w:divBdr>
        <w:top w:val="none" w:sz="0" w:space="0" w:color="auto"/>
        <w:left w:val="none" w:sz="0" w:space="0" w:color="auto"/>
        <w:bottom w:val="none" w:sz="0" w:space="0" w:color="auto"/>
        <w:right w:val="none" w:sz="0" w:space="0" w:color="auto"/>
      </w:divBdr>
    </w:div>
    <w:div w:id="63065946">
      <w:bodyDiv w:val="1"/>
      <w:marLeft w:val="0"/>
      <w:marRight w:val="0"/>
      <w:marTop w:val="0"/>
      <w:marBottom w:val="0"/>
      <w:divBdr>
        <w:top w:val="none" w:sz="0" w:space="0" w:color="auto"/>
        <w:left w:val="none" w:sz="0" w:space="0" w:color="auto"/>
        <w:bottom w:val="none" w:sz="0" w:space="0" w:color="auto"/>
        <w:right w:val="none" w:sz="0" w:space="0" w:color="auto"/>
      </w:divBdr>
    </w:div>
    <w:div w:id="73862876">
      <w:bodyDiv w:val="1"/>
      <w:marLeft w:val="0"/>
      <w:marRight w:val="0"/>
      <w:marTop w:val="0"/>
      <w:marBottom w:val="0"/>
      <w:divBdr>
        <w:top w:val="none" w:sz="0" w:space="0" w:color="auto"/>
        <w:left w:val="none" w:sz="0" w:space="0" w:color="auto"/>
        <w:bottom w:val="none" w:sz="0" w:space="0" w:color="auto"/>
        <w:right w:val="none" w:sz="0" w:space="0" w:color="auto"/>
      </w:divBdr>
      <w:divsChild>
        <w:div w:id="535384926">
          <w:marLeft w:val="0"/>
          <w:marRight w:val="0"/>
          <w:marTop w:val="0"/>
          <w:marBottom w:val="0"/>
          <w:divBdr>
            <w:top w:val="none" w:sz="0" w:space="0" w:color="auto"/>
            <w:left w:val="none" w:sz="0" w:space="0" w:color="auto"/>
            <w:bottom w:val="none" w:sz="0" w:space="0" w:color="auto"/>
            <w:right w:val="none" w:sz="0" w:space="0" w:color="auto"/>
          </w:divBdr>
          <w:divsChild>
            <w:div w:id="1830248616">
              <w:marLeft w:val="0"/>
              <w:marRight w:val="0"/>
              <w:marTop w:val="0"/>
              <w:marBottom w:val="0"/>
              <w:divBdr>
                <w:top w:val="none" w:sz="0" w:space="0" w:color="auto"/>
                <w:left w:val="none" w:sz="0" w:space="0" w:color="auto"/>
                <w:bottom w:val="none" w:sz="0" w:space="0" w:color="auto"/>
                <w:right w:val="none" w:sz="0" w:space="0" w:color="auto"/>
              </w:divBdr>
              <w:divsChild>
                <w:div w:id="1058013871">
                  <w:marLeft w:val="0"/>
                  <w:marRight w:val="0"/>
                  <w:marTop w:val="0"/>
                  <w:marBottom w:val="0"/>
                  <w:divBdr>
                    <w:top w:val="none" w:sz="0" w:space="0" w:color="auto"/>
                    <w:left w:val="none" w:sz="0" w:space="0" w:color="auto"/>
                    <w:bottom w:val="none" w:sz="0" w:space="0" w:color="auto"/>
                    <w:right w:val="none" w:sz="0" w:space="0" w:color="auto"/>
                  </w:divBdr>
                  <w:divsChild>
                    <w:div w:id="1935353919">
                      <w:marLeft w:val="0"/>
                      <w:marRight w:val="0"/>
                      <w:marTop w:val="0"/>
                      <w:marBottom w:val="0"/>
                      <w:divBdr>
                        <w:top w:val="none" w:sz="0" w:space="0" w:color="auto"/>
                        <w:left w:val="none" w:sz="0" w:space="0" w:color="auto"/>
                        <w:bottom w:val="none" w:sz="0" w:space="0" w:color="auto"/>
                        <w:right w:val="none" w:sz="0" w:space="0" w:color="auto"/>
                      </w:divBdr>
                    </w:div>
                    <w:div w:id="160703172">
                      <w:marLeft w:val="0"/>
                      <w:marRight w:val="0"/>
                      <w:marTop w:val="0"/>
                      <w:marBottom w:val="0"/>
                      <w:divBdr>
                        <w:top w:val="none" w:sz="0" w:space="0" w:color="auto"/>
                        <w:left w:val="none" w:sz="0" w:space="0" w:color="auto"/>
                        <w:bottom w:val="none" w:sz="0" w:space="0" w:color="auto"/>
                        <w:right w:val="none" w:sz="0" w:space="0" w:color="auto"/>
                      </w:divBdr>
                      <w:divsChild>
                        <w:div w:id="276177809">
                          <w:marLeft w:val="0"/>
                          <w:marRight w:val="0"/>
                          <w:marTop w:val="0"/>
                          <w:marBottom w:val="0"/>
                          <w:divBdr>
                            <w:top w:val="none" w:sz="0" w:space="0" w:color="auto"/>
                            <w:left w:val="none" w:sz="0" w:space="0" w:color="auto"/>
                            <w:bottom w:val="none" w:sz="0" w:space="0" w:color="auto"/>
                            <w:right w:val="none" w:sz="0" w:space="0" w:color="auto"/>
                          </w:divBdr>
                          <w:divsChild>
                            <w:div w:id="1798794151">
                              <w:marLeft w:val="0"/>
                              <w:marRight w:val="0"/>
                              <w:marTop w:val="0"/>
                              <w:marBottom w:val="0"/>
                              <w:divBdr>
                                <w:top w:val="none" w:sz="0" w:space="0" w:color="auto"/>
                                <w:left w:val="none" w:sz="0" w:space="0" w:color="auto"/>
                                <w:bottom w:val="none" w:sz="0" w:space="0" w:color="auto"/>
                                <w:right w:val="none" w:sz="0" w:space="0" w:color="auto"/>
                              </w:divBdr>
                              <w:divsChild>
                                <w:div w:id="35678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302029">
          <w:marLeft w:val="0"/>
          <w:marRight w:val="0"/>
          <w:marTop w:val="0"/>
          <w:marBottom w:val="0"/>
          <w:divBdr>
            <w:top w:val="none" w:sz="0" w:space="0" w:color="auto"/>
            <w:left w:val="none" w:sz="0" w:space="0" w:color="auto"/>
            <w:bottom w:val="none" w:sz="0" w:space="0" w:color="auto"/>
            <w:right w:val="none" w:sz="0" w:space="0" w:color="auto"/>
          </w:divBdr>
        </w:div>
      </w:divsChild>
    </w:div>
    <w:div w:id="77411950">
      <w:bodyDiv w:val="1"/>
      <w:marLeft w:val="0"/>
      <w:marRight w:val="0"/>
      <w:marTop w:val="0"/>
      <w:marBottom w:val="0"/>
      <w:divBdr>
        <w:top w:val="none" w:sz="0" w:space="0" w:color="auto"/>
        <w:left w:val="none" w:sz="0" w:space="0" w:color="auto"/>
        <w:bottom w:val="none" w:sz="0" w:space="0" w:color="auto"/>
        <w:right w:val="none" w:sz="0" w:space="0" w:color="auto"/>
      </w:divBdr>
    </w:div>
    <w:div w:id="79105071">
      <w:bodyDiv w:val="1"/>
      <w:marLeft w:val="0"/>
      <w:marRight w:val="0"/>
      <w:marTop w:val="0"/>
      <w:marBottom w:val="0"/>
      <w:divBdr>
        <w:top w:val="none" w:sz="0" w:space="0" w:color="auto"/>
        <w:left w:val="none" w:sz="0" w:space="0" w:color="auto"/>
        <w:bottom w:val="none" w:sz="0" w:space="0" w:color="auto"/>
        <w:right w:val="none" w:sz="0" w:space="0" w:color="auto"/>
      </w:divBdr>
    </w:div>
    <w:div w:id="84808934">
      <w:bodyDiv w:val="1"/>
      <w:marLeft w:val="0"/>
      <w:marRight w:val="0"/>
      <w:marTop w:val="0"/>
      <w:marBottom w:val="0"/>
      <w:divBdr>
        <w:top w:val="none" w:sz="0" w:space="0" w:color="auto"/>
        <w:left w:val="none" w:sz="0" w:space="0" w:color="auto"/>
        <w:bottom w:val="none" w:sz="0" w:space="0" w:color="auto"/>
        <w:right w:val="none" w:sz="0" w:space="0" w:color="auto"/>
      </w:divBdr>
    </w:div>
    <w:div w:id="144593506">
      <w:bodyDiv w:val="1"/>
      <w:marLeft w:val="0"/>
      <w:marRight w:val="0"/>
      <w:marTop w:val="0"/>
      <w:marBottom w:val="0"/>
      <w:divBdr>
        <w:top w:val="none" w:sz="0" w:space="0" w:color="auto"/>
        <w:left w:val="none" w:sz="0" w:space="0" w:color="auto"/>
        <w:bottom w:val="none" w:sz="0" w:space="0" w:color="auto"/>
        <w:right w:val="none" w:sz="0" w:space="0" w:color="auto"/>
      </w:divBdr>
    </w:div>
    <w:div w:id="162167423">
      <w:bodyDiv w:val="1"/>
      <w:marLeft w:val="0"/>
      <w:marRight w:val="0"/>
      <w:marTop w:val="0"/>
      <w:marBottom w:val="0"/>
      <w:divBdr>
        <w:top w:val="none" w:sz="0" w:space="0" w:color="auto"/>
        <w:left w:val="none" w:sz="0" w:space="0" w:color="auto"/>
        <w:bottom w:val="none" w:sz="0" w:space="0" w:color="auto"/>
        <w:right w:val="none" w:sz="0" w:space="0" w:color="auto"/>
      </w:divBdr>
    </w:div>
    <w:div w:id="181288597">
      <w:bodyDiv w:val="1"/>
      <w:marLeft w:val="0"/>
      <w:marRight w:val="0"/>
      <w:marTop w:val="0"/>
      <w:marBottom w:val="0"/>
      <w:divBdr>
        <w:top w:val="none" w:sz="0" w:space="0" w:color="auto"/>
        <w:left w:val="none" w:sz="0" w:space="0" w:color="auto"/>
        <w:bottom w:val="none" w:sz="0" w:space="0" w:color="auto"/>
        <w:right w:val="none" w:sz="0" w:space="0" w:color="auto"/>
      </w:divBdr>
    </w:div>
    <w:div w:id="202444520">
      <w:bodyDiv w:val="1"/>
      <w:marLeft w:val="0"/>
      <w:marRight w:val="0"/>
      <w:marTop w:val="0"/>
      <w:marBottom w:val="0"/>
      <w:divBdr>
        <w:top w:val="none" w:sz="0" w:space="0" w:color="auto"/>
        <w:left w:val="none" w:sz="0" w:space="0" w:color="auto"/>
        <w:bottom w:val="none" w:sz="0" w:space="0" w:color="auto"/>
        <w:right w:val="none" w:sz="0" w:space="0" w:color="auto"/>
      </w:divBdr>
    </w:div>
    <w:div w:id="211818982">
      <w:bodyDiv w:val="1"/>
      <w:marLeft w:val="0"/>
      <w:marRight w:val="0"/>
      <w:marTop w:val="0"/>
      <w:marBottom w:val="0"/>
      <w:divBdr>
        <w:top w:val="none" w:sz="0" w:space="0" w:color="auto"/>
        <w:left w:val="none" w:sz="0" w:space="0" w:color="auto"/>
        <w:bottom w:val="none" w:sz="0" w:space="0" w:color="auto"/>
        <w:right w:val="none" w:sz="0" w:space="0" w:color="auto"/>
      </w:divBdr>
    </w:div>
    <w:div w:id="240334297">
      <w:bodyDiv w:val="1"/>
      <w:marLeft w:val="0"/>
      <w:marRight w:val="0"/>
      <w:marTop w:val="0"/>
      <w:marBottom w:val="0"/>
      <w:divBdr>
        <w:top w:val="none" w:sz="0" w:space="0" w:color="auto"/>
        <w:left w:val="none" w:sz="0" w:space="0" w:color="auto"/>
        <w:bottom w:val="none" w:sz="0" w:space="0" w:color="auto"/>
        <w:right w:val="none" w:sz="0" w:space="0" w:color="auto"/>
      </w:divBdr>
    </w:div>
    <w:div w:id="258636952">
      <w:bodyDiv w:val="1"/>
      <w:marLeft w:val="0"/>
      <w:marRight w:val="0"/>
      <w:marTop w:val="0"/>
      <w:marBottom w:val="0"/>
      <w:divBdr>
        <w:top w:val="none" w:sz="0" w:space="0" w:color="auto"/>
        <w:left w:val="none" w:sz="0" w:space="0" w:color="auto"/>
        <w:bottom w:val="none" w:sz="0" w:space="0" w:color="auto"/>
        <w:right w:val="none" w:sz="0" w:space="0" w:color="auto"/>
      </w:divBdr>
    </w:div>
    <w:div w:id="259335561">
      <w:bodyDiv w:val="1"/>
      <w:marLeft w:val="0"/>
      <w:marRight w:val="0"/>
      <w:marTop w:val="0"/>
      <w:marBottom w:val="0"/>
      <w:divBdr>
        <w:top w:val="none" w:sz="0" w:space="0" w:color="auto"/>
        <w:left w:val="none" w:sz="0" w:space="0" w:color="auto"/>
        <w:bottom w:val="none" w:sz="0" w:space="0" w:color="auto"/>
        <w:right w:val="none" w:sz="0" w:space="0" w:color="auto"/>
      </w:divBdr>
    </w:div>
    <w:div w:id="264385925">
      <w:bodyDiv w:val="1"/>
      <w:marLeft w:val="0"/>
      <w:marRight w:val="0"/>
      <w:marTop w:val="0"/>
      <w:marBottom w:val="0"/>
      <w:divBdr>
        <w:top w:val="none" w:sz="0" w:space="0" w:color="auto"/>
        <w:left w:val="none" w:sz="0" w:space="0" w:color="auto"/>
        <w:bottom w:val="none" w:sz="0" w:space="0" w:color="auto"/>
        <w:right w:val="none" w:sz="0" w:space="0" w:color="auto"/>
      </w:divBdr>
    </w:div>
    <w:div w:id="312032597">
      <w:bodyDiv w:val="1"/>
      <w:marLeft w:val="0"/>
      <w:marRight w:val="0"/>
      <w:marTop w:val="0"/>
      <w:marBottom w:val="0"/>
      <w:divBdr>
        <w:top w:val="none" w:sz="0" w:space="0" w:color="auto"/>
        <w:left w:val="none" w:sz="0" w:space="0" w:color="auto"/>
        <w:bottom w:val="none" w:sz="0" w:space="0" w:color="auto"/>
        <w:right w:val="none" w:sz="0" w:space="0" w:color="auto"/>
      </w:divBdr>
    </w:div>
    <w:div w:id="386687961">
      <w:bodyDiv w:val="1"/>
      <w:marLeft w:val="0"/>
      <w:marRight w:val="0"/>
      <w:marTop w:val="0"/>
      <w:marBottom w:val="0"/>
      <w:divBdr>
        <w:top w:val="none" w:sz="0" w:space="0" w:color="auto"/>
        <w:left w:val="none" w:sz="0" w:space="0" w:color="auto"/>
        <w:bottom w:val="none" w:sz="0" w:space="0" w:color="auto"/>
        <w:right w:val="none" w:sz="0" w:space="0" w:color="auto"/>
      </w:divBdr>
    </w:div>
    <w:div w:id="393742261">
      <w:bodyDiv w:val="1"/>
      <w:marLeft w:val="0"/>
      <w:marRight w:val="0"/>
      <w:marTop w:val="0"/>
      <w:marBottom w:val="0"/>
      <w:divBdr>
        <w:top w:val="none" w:sz="0" w:space="0" w:color="auto"/>
        <w:left w:val="none" w:sz="0" w:space="0" w:color="auto"/>
        <w:bottom w:val="none" w:sz="0" w:space="0" w:color="auto"/>
        <w:right w:val="none" w:sz="0" w:space="0" w:color="auto"/>
      </w:divBdr>
    </w:div>
    <w:div w:id="402918898">
      <w:bodyDiv w:val="1"/>
      <w:marLeft w:val="0"/>
      <w:marRight w:val="0"/>
      <w:marTop w:val="0"/>
      <w:marBottom w:val="0"/>
      <w:divBdr>
        <w:top w:val="none" w:sz="0" w:space="0" w:color="auto"/>
        <w:left w:val="none" w:sz="0" w:space="0" w:color="auto"/>
        <w:bottom w:val="none" w:sz="0" w:space="0" w:color="auto"/>
        <w:right w:val="none" w:sz="0" w:space="0" w:color="auto"/>
      </w:divBdr>
    </w:div>
    <w:div w:id="413094095">
      <w:bodyDiv w:val="1"/>
      <w:marLeft w:val="0"/>
      <w:marRight w:val="0"/>
      <w:marTop w:val="0"/>
      <w:marBottom w:val="0"/>
      <w:divBdr>
        <w:top w:val="none" w:sz="0" w:space="0" w:color="auto"/>
        <w:left w:val="none" w:sz="0" w:space="0" w:color="auto"/>
        <w:bottom w:val="none" w:sz="0" w:space="0" w:color="auto"/>
        <w:right w:val="none" w:sz="0" w:space="0" w:color="auto"/>
      </w:divBdr>
    </w:div>
    <w:div w:id="418526717">
      <w:bodyDiv w:val="1"/>
      <w:marLeft w:val="0"/>
      <w:marRight w:val="0"/>
      <w:marTop w:val="0"/>
      <w:marBottom w:val="0"/>
      <w:divBdr>
        <w:top w:val="none" w:sz="0" w:space="0" w:color="auto"/>
        <w:left w:val="none" w:sz="0" w:space="0" w:color="auto"/>
        <w:bottom w:val="none" w:sz="0" w:space="0" w:color="auto"/>
        <w:right w:val="none" w:sz="0" w:space="0" w:color="auto"/>
      </w:divBdr>
      <w:divsChild>
        <w:div w:id="1246767076">
          <w:marLeft w:val="0"/>
          <w:marRight w:val="0"/>
          <w:marTop w:val="0"/>
          <w:marBottom w:val="0"/>
          <w:divBdr>
            <w:top w:val="none" w:sz="0" w:space="0" w:color="auto"/>
            <w:left w:val="none" w:sz="0" w:space="0" w:color="auto"/>
            <w:bottom w:val="none" w:sz="0" w:space="0" w:color="auto"/>
            <w:right w:val="none" w:sz="0" w:space="0" w:color="auto"/>
          </w:divBdr>
          <w:divsChild>
            <w:div w:id="1027295572">
              <w:marLeft w:val="0"/>
              <w:marRight w:val="0"/>
              <w:marTop w:val="0"/>
              <w:marBottom w:val="0"/>
              <w:divBdr>
                <w:top w:val="none" w:sz="0" w:space="0" w:color="auto"/>
                <w:left w:val="none" w:sz="0" w:space="0" w:color="auto"/>
                <w:bottom w:val="none" w:sz="0" w:space="0" w:color="auto"/>
                <w:right w:val="none" w:sz="0" w:space="0" w:color="auto"/>
              </w:divBdr>
              <w:divsChild>
                <w:div w:id="1753116146">
                  <w:marLeft w:val="0"/>
                  <w:marRight w:val="0"/>
                  <w:marTop w:val="0"/>
                  <w:marBottom w:val="0"/>
                  <w:divBdr>
                    <w:top w:val="none" w:sz="0" w:space="0" w:color="auto"/>
                    <w:left w:val="none" w:sz="0" w:space="0" w:color="auto"/>
                    <w:bottom w:val="none" w:sz="0" w:space="0" w:color="auto"/>
                    <w:right w:val="none" w:sz="0" w:space="0" w:color="auto"/>
                  </w:divBdr>
                </w:div>
                <w:div w:id="200410331">
                  <w:marLeft w:val="0"/>
                  <w:marRight w:val="0"/>
                  <w:marTop w:val="0"/>
                  <w:marBottom w:val="0"/>
                  <w:divBdr>
                    <w:top w:val="none" w:sz="0" w:space="0" w:color="auto"/>
                    <w:left w:val="none" w:sz="0" w:space="0" w:color="auto"/>
                    <w:bottom w:val="none" w:sz="0" w:space="0" w:color="auto"/>
                    <w:right w:val="none" w:sz="0" w:space="0" w:color="auto"/>
                  </w:divBdr>
                  <w:divsChild>
                    <w:div w:id="1596669626">
                      <w:marLeft w:val="0"/>
                      <w:marRight w:val="0"/>
                      <w:marTop w:val="0"/>
                      <w:marBottom w:val="0"/>
                      <w:divBdr>
                        <w:top w:val="none" w:sz="0" w:space="0" w:color="auto"/>
                        <w:left w:val="none" w:sz="0" w:space="0" w:color="auto"/>
                        <w:bottom w:val="none" w:sz="0" w:space="0" w:color="auto"/>
                        <w:right w:val="none" w:sz="0" w:space="0" w:color="auto"/>
                      </w:divBdr>
                      <w:divsChild>
                        <w:div w:id="2097051685">
                          <w:marLeft w:val="0"/>
                          <w:marRight w:val="0"/>
                          <w:marTop w:val="0"/>
                          <w:marBottom w:val="0"/>
                          <w:divBdr>
                            <w:top w:val="none" w:sz="0" w:space="0" w:color="auto"/>
                            <w:left w:val="none" w:sz="0" w:space="0" w:color="auto"/>
                            <w:bottom w:val="none" w:sz="0" w:space="0" w:color="auto"/>
                            <w:right w:val="none" w:sz="0" w:space="0" w:color="auto"/>
                          </w:divBdr>
                          <w:divsChild>
                            <w:div w:id="26242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1705681">
          <w:marLeft w:val="0"/>
          <w:marRight w:val="0"/>
          <w:marTop w:val="0"/>
          <w:marBottom w:val="0"/>
          <w:divBdr>
            <w:top w:val="none" w:sz="0" w:space="0" w:color="auto"/>
            <w:left w:val="none" w:sz="0" w:space="0" w:color="auto"/>
            <w:bottom w:val="none" w:sz="0" w:space="0" w:color="auto"/>
            <w:right w:val="none" w:sz="0" w:space="0" w:color="auto"/>
          </w:divBdr>
          <w:divsChild>
            <w:div w:id="41428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238303">
      <w:bodyDiv w:val="1"/>
      <w:marLeft w:val="0"/>
      <w:marRight w:val="0"/>
      <w:marTop w:val="0"/>
      <w:marBottom w:val="0"/>
      <w:divBdr>
        <w:top w:val="none" w:sz="0" w:space="0" w:color="auto"/>
        <w:left w:val="none" w:sz="0" w:space="0" w:color="auto"/>
        <w:bottom w:val="none" w:sz="0" w:space="0" w:color="auto"/>
        <w:right w:val="none" w:sz="0" w:space="0" w:color="auto"/>
      </w:divBdr>
    </w:div>
    <w:div w:id="434787483">
      <w:bodyDiv w:val="1"/>
      <w:marLeft w:val="0"/>
      <w:marRight w:val="0"/>
      <w:marTop w:val="0"/>
      <w:marBottom w:val="0"/>
      <w:divBdr>
        <w:top w:val="none" w:sz="0" w:space="0" w:color="auto"/>
        <w:left w:val="none" w:sz="0" w:space="0" w:color="auto"/>
        <w:bottom w:val="none" w:sz="0" w:space="0" w:color="auto"/>
        <w:right w:val="none" w:sz="0" w:space="0" w:color="auto"/>
      </w:divBdr>
    </w:div>
    <w:div w:id="450823568">
      <w:bodyDiv w:val="1"/>
      <w:marLeft w:val="0"/>
      <w:marRight w:val="0"/>
      <w:marTop w:val="0"/>
      <w:marBottom w:val="0"/>
      <w:divBdr>
        <w:top w:val="none" w:sz="0" w:space="0" w:color="auto"/>
        <w:left w:val="none" w:sz="0" w:space="0" w:color="auto"/>
        <w:bottom w:val="none" w:sz="0" w:space="0" w:color="auto"/>
        <w:right w:val="none" w:sz="0" w:space="0" w:color="auto"/>
      </w:divBdr>
      <w:divsChild>
        <w:div w:id="1844052106">
          <w:marLeft w:val="0"/>
          <w:marRight w:val="0"/>
          <w:marTop w:val="0"/>
          <w:marBottom w:val="0"/>
          <w:divBdr>
            <w:top w:val="single" w:sz="2" w:space="0" w:color="E3E3E3"/>
            <w:left w:val="single" w:sz="2" w:space="0" w:color="E3E3E3"/>
            <w:bottom w:val="single" w:sz="2" w:space="0" w:color="E3E3E3"/>
            <w:right w:val="single" w:sz="2" w:space="0" w:color="E3E3E3"/>
          </w:divBdr>
          <w:divsChild>
            <w:div w:id="742334472">
              <w:marLeft w:val="0"/>
              <w:marRight w:val="0"/>
              <w:marTop w:val="0"/>
              <w:marBottom w:val="0"/>
              <w:divBdr>
                <w:top w:val="single" w:sz="2" w:space="0" w:color="E3E3E3"/>
                <w:left w:val="single" w:sz="2" w:space="0" w:color="E3E3E3"/>
                <w:bottom w:val="single" w:sz="2" w:space="0" w:color="E3E3E3"/>
                <w:right w:val="single" w:sz="2" w:space="0" w:color="E3E3E3"/>
              </w:divBdr>
              <w:divsChild>
                <w:div w:id="228659459">
                  <w:marLeft w:val="0"/>
                  <w:marRight w:val="0"/>
                  <w:marTop w:val="0"/>
                  <w:marBottom w:val="0"/>
                  <w:divBdr>
                    <w:top w:val="single" w:sz="2" w:space="0" w:color="E3E3E3"/>
                    <w:left w:val="single" w:sz="2" w:space="0" w:color="E3E3E3"/>
                    <w:bottom w:val="single" w:sz="2" w:space="0" w:color="E3E3E3"/>
                    <w:right w:val="single" w:sz="2" w:space="0" w:color="E3E3E3"/>
                  </w:divBdr>
                  <w:divsChild>
                    <w:div w:id="1873037157">
                      <w:marLeft w:val="0"/>
                      <w:marRight w:val="0"/>
                      <w:marTop w:val="0"/>
                      <w:marBottom w:val="0"/>
                      <w:divBdr>
                        <w:top w:val="single" w:sz="2" w:space="0" w:color="E3E3E3"/>
                        <w:left w:val="single" w:sz="2" w:space="0" w:color="E3E3E3"/>
                        <w:bottom w:val="single" w:sz="2" w:space="0" w:color="E3E3E3"/>
                        <w:right w:val="single" w:sz="2" w:space="0" w:color="E3E3E3"/>
                      </w:divBdr>
                      <w:divsChild>
                        <w:div w:id="2136369856">
                          <w:marLeft w:val="0"/>
                          <w:marRight w:val="0"/>
                          <w:marTop w:val="0"/>
                          <w:marBottom w:val="0"/>
                          <w:divBdr>
                            <w:top w:val="single" w:sz="2" w:space="0" w:color="E3E3E3"/>
                            <w:left w:val="single" w:sz="2" w:space="0" w:color="E3E3E3"/>
                            <w:bottom w:val="single" w:sz="2" w:space="0" w:color="E3E3E3"/>
                            <w:right w:val="single" w:sz="2" w:space="0" w:color="E3E3E3"/>
                          </w:divBdr>
                          <w:divsChild>
                            <w:div w:id="1200508533">
                              <w:marLeft w:val="0"/>
                              <w:marRight w:val="0"/>
                              <w:marTop w:val="0"/>
                              <w:marBottom w:val="0"/>
                              <w:divBdr>
                                <w:top w:val="single" w:sz="2" w:space="0" w:color="E3E3E3"/>
                                <w:left w:val="single" w:sz="2" w:space="0" w:color="E3E3E3"/>
                                <w:bottom w:val="single" w:sz="2" w:space="0" w:color="E3E3E3"/>
                                <w:right w:val="single" w:sz="2" w:space="0" w:color="E3E3E3"/>
                              </w:divBdr>
                              <w:divsChild>
                                <w:div w:id="1704987213">
                                  <w:marLeft w:val="0"/>
                                  <w:marRight w:val="0"/>
                                  <w:marTop w:val="100"/>
                                  <w:marBottom w:val="100"/>
                                  <w:divBdr>
                                    <w:top w:val="single" w:sz="2" w:space="0" w:color="E3E3E3"/>
                                    <w:left w:val="single" w:sz="2" w:space="0" w:color="E3E3E3"/>
                                    <w:bottom w:val="single" w:sz="2" w:space="0" w:color="E3E3E3"/>
                                    <w:right w:val="single" w:sz="2" w:space="0" w:color="E3E3E3"/>
                                  </w:divBdr>
                                  <w:divsChild>
                                    <w:div w:id="1994336808">
                                      <w:marLeft w:val="0"/>
                                      <w:marRight w:val="0"/>
                                      <w:marTop w:val="0"/>
                                      <w:marBottom w:val="0"/>
                                      <w:divBdr>
                                        <w:top w:val="single" w:sz="2" w:space="0" w:color="E3E3E3"/>
                                        <w:left w:val="single" w:sz="2" w:space="0" w:color="E3E3E3"/>
                                        <w:bottom w:val="single" w:sz="2" w:space="0" w:color="E3E3E3"/>
                                        <w:right w:val="single" w:sz="2" w:space="0" w:color="E3E3E3"/>
                                      </w:divBdr>
                                      <w:divsChild>
                                        <w:div w:id="216208782">
                                          <w:marLeft w:val="0"/>
                                          <w:marRight w:val="0"/>
                                          <w:marTop w:val="0"/>
                                          <w:marBottom w:val="0"/>
                                          <w:divBdr>
                                            <w:top w:val="single" w:sz="2" w:space="0" w:color="E3E3E3"/>
                                            <w:left w:val="single" w:sz="2" w:space="0" w:color="E3E3E3"/>
                                            <w:bottom w:val="single" w:sz="2" w:space="0" w:color="E3E3E3"/>
                                            <w:right w:val="single" w:sz="2" w:space="0" w:color="E3E3E3"/>
                                          </w:divBdr>
                                          <w:divsChild>
                                            <w:div w:id="2101368348">
                                              <w:marLeft w:val="0"/>
                                              <w:marRight w:val="0"/>
                                              <w:marTop w:val="0"/>
                                              <w:marBottom w:val="0"/>
                                              <w:divBdr>
                                                <w:top w:val="single" w:sz="2" w:space="0" w:color="E3E3E3"/>
                                                <w:left w:val="single" w:sz="2" w:space="0" w:color="E3E3E3"/>
                                                <w:bottom w:val="single" w:sz="2" w:space="0" w:color="E3E3E3"/>
                                                <w:right w:val="single" w:sz="2" w:space="0" w:color="E3E3E3"/>
                                              </w:divBdr>
                                              <w:divsChild>
                                                <w:div w:id="101414303">
                                                  <w:marLeft w:val="0"/>
                                                  <w:marRight w:val="0"/>
                                                  <w:marTop w:val="0"/>
                                                  <w:marBottom w:val="0"/>
                                                  <w:divBdr>
                                                    <w:top w:val="single" w:sz="2" w:space="0" w:color="E3E3E3"/>
                                                    <w:left w:val="single" w:sz="2" w:space="0" w:color="E3E3E3"/>
                                                    <w:bottom w:val="single" w:sz="2" w:space="0" w:color="E3E3E3"/>
                                                    <w:right w:val="single" w:sz="2" w:space="0" w:color="E3E3E3"/>
                                                  </w:divBdr>
                                                  <w:divsChild>
                                                    <w:div w:id="591670479">
                                                      <w:marLeft w:val="0"/>
                                                      <w:marRight w:val="0"/>
                                                      <w:marTop w:val="0"/>
                                                      <w:marBottom w:val="0"/>
                                                      <w:divBdr>
                                                        <w:top w:val="single" w:sz="2" w:space="0" w:color="E3E3E3"/>
                                                        <w:left w:val="single" w:sz="2" w:space="0" w:color="E3E3E3"/>
                                                        <w:bottom w:val="single" w:sz="2" w:space="0" w:color="E3E3E3"/>
                                                        <w:right w:val="single" w:sz="2" w:space="0" w:color="E3E3E3"/>
                                                      </w:divBdr>
                                                      <w:divsChild>
                                                        <w:div w:id="1805930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9466425">
          <w:marLeft w:val="0"/>
          <w:marRight w:val="0"/>
          <w:marTop w:val="0"/>
          <w:marBottom w:val="0"/>
          <w:divBdr>
            <w:top w:val="none" w:sz="0" w:space="0" w:color="auto"/>
            <w:left w:val="none" w:sz="0" w:space="0" w:color="auto"/>
            <w:bottom w:val="none" w:sz="0" w:space="0" w:color="auto"/>
            <w:right w:val="none" w:sz="0" w:space="0" w:color="auto"/>
          </w:divBdr>
        </w:div>
      </w:divsChild>
    </w:div>
    <w:div w:id="497772109">
      <w:bodyDiv w:val="1"/>
      <w:marLeft w:val="0"/>
      <w:marRight w:val="0"/>
      <w:marTop w:val="0"/>
      <w:marBottom w:val="0"/>
      <w:divBdr>
        <w:top w:val="none" w:sz="0" w:space="0" w:color="auto"/>
        <w:left w:val="none" w:sz="0" w:space="0" w:color="auto"/>
        <w:bottom w:val="none" w:sz="0" w:space="0" w:color="auto"/>
        <w:right w:val="none" w:sz="0" w:space="0" w:color="auto"/>
      </w:divBdr>
    </w:div>
    <w:div w:id="506872454">
      <w:bodyDiv w:val="1"/>
      <w:marLeft w:val="0"/>
      <w:marRight w:val="0"/>
      <w:marTop w:val="0"/>
      <w:marBottom w:val="0"/>
      <w:divBdr>
        <w:top w:val="none" w:sz="0" w:space="0" w:color="auto"/>
        <w:left w:val="none" w:sz="0" w:space="0" w:color="auto"/>
        <w:bottom w:val="none" w:sz="0" w:space="0" w:color="auto"/>
        <w:right w:val="none" w:sz="0" w:space="0" w:color="auto"/>
      </w:divBdr>
    </w:div>
    <w:div w:id="520819827">
      <w:bodyDiv w:val="1"/>
      <w:marLeft w:val="0"/>
      <w:marRight w:val="0"/>
      <w:marTop w:val="0"/>
      <w:marBottom w:val="0"/>
      <w:divBdr>
        <w:top w:val="none" w:sz="0" w:space="0" w:color="auto"/>
        <w:left w:val="none" w:sz="0" w:space="0" w:color="auto"/>
        <w:bottom w:val="none" w:sz="0" w:space="0" w:color="auto"/>
        <w:right w:val="none" w:sz="0" w:space="0" w:color="auto"/>
      </w:divBdr>
    </w:div>
    <w:div w:id="526140828">
      <w:bodyDiv w:val="1"/>
      <w:marLeft w:val="0"/>
      <w:marRight w:val="0"/>
      <w:marTop w:val="0"/>
      <w:marBottom w:val="0"/>
      <w:divBdr>
        <w:top w:val="none" w:sz="0" w:space="0" w:color="auto"/>
        <w:left w:val="none" w:sz="0" w:space="0" w:color="auto"/>
        <w:bottom w:val="none" w:sz="0" w:space="0" w:color="auto"/>
        <w:right w:val="none" w:sz="0" w:space="0" w:color="auto"/>
      </w:divBdr>
    </w:div>
    <w:div w:id="532428436">
      <w:bodyDiv w:val="1"/>
      <w:marLeft w:val="0"/>
      <w:marRight w:val="0"/>
      <w:marTop w:val="0"/>
      <w:marBottom w:val="0"/>
      <w:divBdr>
        <w:top w:val="none" w:sz="0" w:space="0" w:color="auto"/>
        <w:left w:val="none" w:sz="0" w:space="0" w:color="auto"/>
        <w:bottom w:val="none" w:sz="0" w:space="0" w:color="auto"/>
        <w:right w:val="none" w:sz="0" w:space="0" w:color="auto"/>
      </w:divBdr>
    </w:div>
    <w:div w:id="534776485">
      <w:bodyDiv w:val="1"/>
      <w:marLeft w:val="0"/>
      <w:marRight w:val="0"/>
      <w:marTop w:val="0"/>
      <w:marBottom w:val="0"/>
      <w:divBdr>
        <w:top w:val="none" w:sz="0" w:space="0" w:color="auto"/>
        <w:left w:val="none" w:sz="0" w:space="0" w:color="auto"/>
        <w:bottom w:val="none" w:sz="0" w:space="0" w:color="auto"/>
        <w:right w:val="none" w:sz="0" w:space="0" w:color="auto"/>
      </w:divBdr>
    </w:div>
    <w:div w:id="577980538">
      <w:bodyDiv w:val="1"/>
      <w:marLeft w:val="0"/>
      <w:marRight w:val="0"/>
      <w:marTop w:val="0"/>
      <w:marBottom w:val="0"/>
      <w:divBdr>
        <w:top w:val="none" w:sz="0" w:space="0" w:color="auto"/>
        <w:left w:val="none" w:sz="0" w:space="0" w:color="auto"/>
        <w:bottom w:val="none" w:sz="0" w:space="0" w:color="auto"/>
        <w:right w:val="none" w:sz="0" w:space="0" w:color="auto"/>
      </w:divBdr>
    </w:div>
    <w:div w:id="590550231">
      <w:bodyDiv w:val="1"/>
      <w:marLeft w:val="0"/>
      <w:marRight w:val="0"/>
      <w:marTop w:val="0"/>
      <w:marBottom w:val="0"/>
      <w:divBdr>
        <w:top w:val="none" w:sz="0" w:space="0" w:color="auto"/>
        <w:left w:val="none" w:sz="0" w:space="0" w:color="auto"/>
        <w:bottom w:val="none" w:sz="0" w:space="0" w:color="auto"/>
        <w:right w:val="none" w:sz="0" w:space="0" w:color="auto"/>
      </w:divBdr>
    </w:div>
    <w:div w:id="629673948">
      <w:bodyDiv w:val="1"/>
      <w:marLeft w:val="0"/>
      <w:marRight w:val="0"/>
      <w:marTop w:val="0"/>
      <w:marBottom w:val="0"/>
      <w:divBdr>
        <w:top w:val="none" w:sz="0" w:space="0" w:color="auto"/>
        <w:left w:val="none" w:sz="0" w:space="0" w:color="auto"/>
        <w:bottom w:val="none" w:sz="0" w:space="0" w:color="auto"/>
        <w:right w:val="none" w:sz="0" w:space="0" w:color="auto"/>
      </w:divBdr>
    </w:div>
    <w:div w:id="701785971">
      <w:bodyDiv w:val="1"/>
      <w:marLeft w:val="0"/>
      <w:marRight w:val="0"/>
      <w:marTop w:val="0"/>
      <w:marBottom w:val="0"/>
      <w:divBdr>
        <w:top w:val="none" w:sz="0" w:space="0" w:color="auto"/>
        <w:left w:val="none" w:sz="0" w:space="0" w:color="auto"/>
        <w:bottom w:val="none" w:sz="0" w:space="0" w:color="auto"/>
        <w:right w:val="none" w:sz="0" w:space="0" w:color="auto"/>
      </w:divBdr>
    </w:div>
    <w:div w:id="717435373">
      <w:bodyDiv w:val="1"/>
      <w:marLeft w:val="0"/>
      <w:marRight w:val="0"/>
      <w:marTop w:val="0"/>
      <w:marBottom w:val="0"/>
      <w:divBdr>
        <w:top w:val="none" w:sz="0" w:space="0" w:color="auto"/>
        <w:left w:val="none" w:sz="0" w:space="0" w:color="auto"/>
        <w:bottom w:val="none" w:sz="0" w:space="0" w:color="auto"/>
        <w:right w:val="none" w:sz="0" w:space="0" w:color="auto"/>
      </w:divBdr>
    </w:div>
    <w:div w:id="728579520">
      <w:bodyDiv w:val="1"/>
      <w:marLeft w:val="0"/>
      <w:marRight w:val="0"/>
      <w:marTop w:val="0"/>
      <w:marBottom w:val="0"/>
      <w:divBdr>
        <w:top w:val="none" w:sz="0" w:space="0" w:color="auto"/>
        <w:left w:val="none" w:sz="0" w:space="0" w:color="auto"/>
        <w:bottom w:val="none" w:sz="0" w:space="0" w:color="auto"/>
        <w:right w:val="none" w:sz="0" w:space="0" w:color="auto"/>
      </w:divBdr>
      <w:divsChild>
        <w:div w:id="1997799957">
          <w:marLeft w:val="0"/>
          <w:marRight w:val="0"/>
          <w:marTop w:val="0"/>
          <w:marBottom w:val="0"/>
          <w:divBdr>
            <w:top w:val="single" w:sz="2" w:space="0" w:color="E3E3E3"/>
            <w:left w:val="single" w:sz="2" w:space="0" w:color="E3E3E3"/>
            <w:bottom w:val="single" w:sz="2" w:space="0" w:color="E3E3E3"/>
            <w:right w:val="single" w:sz="2" w:space="0" w:color="E3E3E3"/>
          </w:divBdr>
          <w:divsChild>
            <w:div w:id="404107991">
              <w:marLeft w:val="0"/>
              <w:marRight w:val="0"/>
              <w:marTop w:val="0"/>
              <w:marBottom w:val="0"/>
              <w:divBdr>
                <w:top w:val="single" w:sz="2" w:space="0" w:color="E3E3E3"/>
                <w:left w:val="single" w:sz="2" w:space="0" w:color="E3E3E3"/>
                <w:bottom w:val="single" w:sz="2" w:space="0" w:color="E3E3E3"/>
                <w:right w:val="single" w:sz="2" w:space="0" w:color="E3E3E3"/>
              </w:divBdr>
              <w:divsChild>
                <w:div w:id="454373660">
                  <w:marLeft w:val="0"/>
                  <w:marRight w:val="0"/>
                  <w:marTop w:val="0"/>
                  <w:marBottom w:val="0"/>
                  <w:divBdr>
                    <w:top w:val="single" w:sz="2" w:space="0" w:color="E3E3E3"/>
                    <w:left w:val="single" w:sz="2" w:space="0" w:color="E3E3E3"/>
                    <w:bottom w:val="single" w:sz="2" w:space="0" w:color="E3E3E3"/>
                    <w:right w:val="single" w:sz="2" w:space="0" w:color="E3E3E3"/>
                  </w:divBdr>
                  <w:divsChild>
                    <w:div w:id="93937401">
                      <w:marLeft w:val="0"/>
                      <w:marRight w:val="0"/>
                      <w:marTop w:val="0"/>
                      <w:marBottom w:val="0"/>
                      <w:divBdr>
                        <w:top w:val="single" w:sz="2" w:space="0" w:color="E3E3E3"/>
                        <w:left w:val="single" w:sz="2" w:space="0" w:color="E3E3E3"/>
                        <w:bottom w:val="single" w:sz="2" w:space="0" w:color="E3E3E3"/>
                        <w:right w:val="single" w:sz="2" w:space="0" w:color="E3E3E3"/>
                      </w:divBdr>
                      <w:divsChild>
                        <w:div w:id="902646306">
                          <w:marLeft w:val="0"/>
                          <w:marRight w:val="0"/>
                          <w:marTop w:val="0"/>
                          <w:marBottom w:val="0"/>
                          <w:divBdr>
                            <w:top w:val="single" w:sz="2" w:space="0" w:color="E3E3E3"/>
                            <w:left w:val="single" w:sz="2" w:space="0" w:color="E3E3E3"/>
                            <w:bottom w:val="single" w:sz="2" w:space="0" w:color="E3E3E3"/>
                            <w:right w:val="single" w:sz="2" w:space="0" w:color="E3E3E3"/>
                          </w:divBdr>
                          <w:divsChild>
                            <w:div w:id="1800150236">
                              <w:marLeft w:val="0"/>
                              <w:marRight w:val="0"/>
                              <w:marTop w:val="0"/>
                              <w:marBottom w:val="0"/>
                              <w:divBdr>
                                <w:top w:val="single" w:sz="2" w:space="0" w:color="E3E3E3"/>
                                <w:left w:val="single" w:sz="2" w:space="0" w:color="E3E3E3"/>
                                <w:bottom w:val="single" w:sz="2" w:space="0" w:color="E3E3E3"/>
                                <w:right w:val="single" w:sz="2" w:space="0" w:color="E3E3E3"/>
                              </w:divBdr>
                              <w:divsChild>
                                <w:div w:id="408308173">
                                  <w:marLeft w:val="0"/>
                                  <w:marRight w:val="0"/>
                                  <w:marTop w:val="100"/>
                                  <w:marBottom w:val="100"/>
                                  <w:divBdr>
                                    <w:top w:val="single" w:sz="2" w:space="0" w:color="E3E3E3"/>
                                    <w:left w:val="single" w:sz="2" w:space="0" w:color="E3E3E3"/>
                                    <w:bottom w:val="single" w:sz="2" w:space="0" w:color="E3E3E3"/>
                                    <w:right w:val="single" w:sz="2" w:space="0" w:color="E3E3E3"/>
                                  </w:divBdr>
                                  <w:divsChild>
                                    <w:div w:id="1591281268">
                                      <w:marLeft w:val="0"/>
                                      <w:marRight w:val="0"/>
                                      <w:marTop w:val="0"/>
                                      <w:marBottom w:val="0"/>
                                      <w:divBdr>
                                        <w:top w:val="single" w:sz="2" w:space="0" w:color="E3E3E3"/>
                                        <w:left w:val="single" w:sz="2" w:space="0" w:color="E3E3E3"/>
                                        <w:bottom w:val="single" w:sz="2" w:space="0" w:color="E3E3E3"/>
                                        <w:right w:val="single" w:sz="2" w:space="0" w:color="E3E3E3"/>
                                      </w:divBdr>
                                      <w:divsChild>
                                        <w:div w:id="847599574">
                                          <w:marLeft w:val="0"/>
                                          <w:marRight w:val="0"/>
                                          <w:marTop w:val="0"/>
                                          <w:marBottom w:val="0"/>
                                          <w:divBdr>
                                            <w:top w:val="single" w:sz="2" w:space="0" w:color="E3E3E3"/>
                                            <w:left w:val="single" w:sz="2" w:space="0" w:color="E3E3E3"/>
                                            <w:bottom w:val="single" w:sz="2" w:space="0" w:color="E3E3E3"/>
                                            <w:right w:val="single" w:sz="2" w:space="0" w:color="E3E3E3"/>
                                          </w:divBdr>
                                          <w:divsChild>
                                            <w:div w:id="985235379">
                                              <w:marLeft w:val="0"/>
                                              <w:marRight w:val="0"/>
                                              <w:marTop w:val="0"/>
                                              <w:marBottom w:val="0"/>
                                              <w:divBdr>
                                                <w:top w:val="single" w:sz="2" w:space="0" w:color="E3E3E3"/>
                                                <w:left w:val="single" w:sz="2" w:space="0" w:color="E3E3E3"/>
                                                <w:bottom w:val="single" w:sz="2" w:space="0" w:color="E3E3E3"/>
                                                <w:right w:val="single" w:sz="2" w:space="0" w:color="E3E3E3"/>
                                              </w:divBdr>
                                              <w:divsChild>
                                                <w:div w:id="689260347">
                                                  <w:marLeft w:val="0"/>
                                                  <w:marRight w:val="0"/>
                                                  <w:marTop w:val="0"/>
                                                  <w:marBottom w:val="0"/>
                                                  <w:divBdr>
                                                    <w:top w:val="single" w:sz="2" w:space="0" w:color="E3E3E3"/>
                                                    <w:left w:val="single" w:sz="2" w:space="0" w:color="E3E3E3"/>
                                                    <w:bottom w:val="single" w:sz="2" w:space="0" w:color="E3E3E3"/>
                                                    <w:right w:val="single" w:sz="2" w:space="0" w:color="E3E3E3"/>
                                                  </w:divBdr>
                                                  <w:divsChild>
                                                    <w:div w:id="968977697">
                                                      <w:marLeft w:val="0"/>
                                                      <w:marRight w:val="0"/>
                                                      <w:marTop w:val="0"/>
                                                      <w:marBottom w:val="0"/>
                                                      <w:divBdr>
                                                        <w:top w:val="single" w:sz="2" w:space="0" w:color="E3E3E3"/>
                                                        <w:left w:val="single" w:sz="2" w:space="0" w:color="E3E3E3"/>
                                                        <w:bottom w:val="single" w:sz="2" w:space="0" w:color="E3E3E3"/>
                                                        <w:right w:val="single" w:sz="2" w:space="0" w:color="E3E3E3"/>
                                                      </w:divBdr>
                                                      <w:divsChild>
                                                        <w:div w:id="2133817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8638607">
          <w:marLeft w:val="0"/>
          <w:marRight w:val="0"/>
          <w:marTop w:val="0"/>
          <w:marBottom w:val="0"/>
          <w:divBdr>
            <w:top w:val="none" w:sz="0" w:space="0" w:color="auto"/>
            <w:left w:val="none" w:sz="0" w:space="0" w:color="auto"/>
            <w:bottom w:val="none" w:sz="0" w:space="0" w:color="auto"/>
            <w:right w:val="none" w:sz="0" w:space="0" w:color="auto"/>
          </w:divBdr>
        </w:div>
      </w:divsChild>
    </w:div>
    <w:div w:id="804202991">
      <w:bodyDiv w:val="1"/>
      <w:marLeft w:val="0"/>
      <w:marRight w:val="0"/>
      <w:marTop w:val="0"/>
      <w:marBottom w:val="0"/>
      <w:divBdr>
        <w:top w:val="none" w:sz="0" w:space="0" w:color="auto"/>
        <w:left w:val="none" w:sz="0" w:space="0" w:color="auto"/>
        <w:bottom w:val="none" w:sz="0" w:space="0" w:color="auto"/>
        <w:right w:val="none" w:sz="0" w:space="0" w:color="auto"/>
      </w:divBdr>
    </w:div>
    <w:div w:id="844058177">
      <w:bodyDiv w:val="1"/>
      <w:marLeft w:val="0"/>
      <w:marRight w:val="0"/>
      <w:marTop w:val="0"/>
      <w:marBottom w:val="0"/>
      <w:divBdr>
        <w:top w:val="none" w:sz="0" w:space="0" w:color="auto"/>
        <w:left w:val="none" w:sz="0" w:space="0" w:color="auto"/>
        <w:bottom w:val="none" w:sz="0" w:space="0" w:color="auto"/>
        <w:right w:val="none" w:sz="0" w:space="0" w:color="auto"/>
      </w:divBdr>
    </w:div>
    <w:div w:id="857617575">
      <w:bodyDiv w:val="1"/>
      <w:marLeft w:val="0"/>
      <w:marRight w:val="0"/>
      <w:marTop w:val="0"/>
      <w:marBottom w:val="0"/>
      <w:divBdr>
        <w:top w:val="none" w:sz="0" w:space="0" w:color="auto"/>
        <w:left w:val="none" w:sz="0" w:space="0" w:color="auto"/>
        <w:bottom w:val="none" w:sz="0" w:space="0" w:color="auto"/>
        <w:right w:val="none" w:sz="0" w:space="0" w:color="auto"/>
      </w:divBdr>
    </w:div>
    <w:div w:id="926381300">
      <w:bodyDiv w:val="1"/>
      <w:marLeft w:val="0"/>
      <w:marRight w:val="0"/>
      <w:marTop w:val="0"/>
      <w:marBottom w:val="0"/>
      <w:divBdr>
        <w:top w:val="none" w:sz="0" w:space="0" w:color="auto"/>
        <w:left w:val="none" w:sz="0" w:space="0" w:color="auto"/>
        <w:bottom w:val="none" w:sz="0" w:space="0" w:color="auto"/>
        <w:right w:val="none" w:sz="0" w:space="0" w:color="auto"/>
      </w:divBdr>
    </w:div>
    <w:div w:id="934745657">
      <w:bodyDiv w:val="1"/>
      <w:marLeft w:val="0"/>
      <w:marRight w:val="0"/>
      <w:marTop w:val="0"/>
      <w:marBottom w:val="0"/>
      <w:divBdr>
        <w:top w:val="none" w:sz="0" w:space="0" w:color="auto"/>
        <w:left w:val="none" w:sz="0" w:space="0" w:color="auto"/>
        <w:bottom w:val="none" w:sz="0" w:space="0" w:color="auto"/>
        <w:right w:val="none" w:sz="0" w:space="0" w:color="auto"/>
      </w:divBdr>
    </w:div>
    <w:div w:id="958071695">
      <w:bodyDiv w:val="1"/>
      <w:marLeft w:val="0"/>
      <w:marRight w:val="0"/>
      <w:marTop w:val="0"/>
      <w:marBottom w:val="0"/>
      <w:divBdr>
        <w:top w:val="none" w:sz="0" w:space="0" w:color="auto"/>
        <w:left w:val="none" w:sz="0" w:space="0" w:color="auto"/>
        <w:bottom w:val="none" w:sz="0" w:space="0" w:color="auto"/>
        <w:right w:val="none" w:sz="0" w:space="0" w:color="auto"/>
      </w:divBdr>
    </w:div>
    <w:div w:id="985089527">
      <w:bodyDiv w:val="1"/>
      <w:marLeft w:val="0"/>
      <w:marRight w:val="0"/>
      <w:marTop w:val="0"/>
      <w:marBottom w:val="0"/>
      <w:divBdr>
        <w:top w:val="none" w:sz="0" w:space="0" w:color="auto"/>
        <w:left w:val="none" w:sz="0" w:space="0" w:color="auto"/>
        <w:bottom w:val="none" w:sz="0" w:space="0" w:color="auto"/>
        <w:right w:val="none" w:sz="0" w:space="0" w:color="auto"/>
      </w:divBdr>
    </w:div>
    <w:div w:id="1029179089">
      <w:bodyDiv w:val="1"/>
      <w:marLeft w:val="0"/>
      <w:marRight w:val="0"/>
      <w:marTop w:val="0"/>
      <w:marBottom w:val="0"/>
      <w:divBdr>
        <w:top w:val="none" w:sz="0" w:space="0" w:color="auto"/>
        <w:left w:val="none" w:sz="0" w:space="0" w:color="auto"/>
        <w:bottom w:val="none" w:sz="0" w:space="0" w:color="auto"/>
        <w:right w:val="none" w:sz="0" w:space="0" w:color="auto"/>
      </w:divBdr>
    </w:div>
    <w:div w:id="1063944094">
      <w:bodyDiv w:val="1"/>
      <w:marLeft w:val="0"/>
      <w:marRight w:val="0"/>
      <w:marTop w:val="0"/>
      <w:marBottom w:val="0"/>
      <w:divBdr>
        <w:top w:val="none" w:sz="0" w:space="0" w:color="auto"/>
        <w:left w:val="none" w:sz="0" w:space="0" w:color="auto"/>
        <w:bottom w:val="none" w:sz="0" w:space="0" w:color="auto"/>
        <w:right w:val="none" w:sz="0" w:space="0" w:color="auto"/>
      </w:divBdr>
    </w:div>
    <w:div w:id="1093941380">
      <w:bodyDiv w:val="1"/>
      <w:marLeft w:val="0"/>
      <w:marRight w:val="0"/>
      <w:marTop w:val="0"/>
      <w:marBottom w:val="0"/>
      <w:divBdr>
        <w:top w:val="none" w:sz="0" w:space="0" w:color="auto"/>
        <w:left w:val="none" w:sz="0" w:space="0" w:color="auto"/>
        <w:bottom w:val="none" w:sz="0" w:space="0" w:color="auto"/>
        <w:right w:val="none" w:sz="0" w:space="0" w:color="auto"/>
      </w:divBdr>
    </w:div>
    <w:div w:id="1096094927">
      <w:bodyDiv w:val="1"/>
      <w:marLeft w:val="0"/>
      <w:marRight w:val="0"/>
      <w:marTop w:val="0"/>
      <w:marBottom w:val="0"/>
      <w:divBdr>
        <w:top w:val="none" w:sz="0" w:space="0" w:color="auto"/>
        <w:left w:val="none" w:sz="0" w:space="0" w:color="auto"/>
        <w:bottom w:val="none" w:sz="0" w:space="0" w:color="auto"/>
        <w:right w:val="none" w:sz="0" w:space="0" w:color="auto"/>
      </w:divBdr>
    </w:div>
    <w:div w:id="1101417707">
      <w:bodyDiv w:val="1"/>
      <w:marLeft w:val="0"/>
      <w:marRight w:val="0"/>
      <w:marTop w:val="0"/>
      <w:marBottom w:val="0"/>
      <w:divBdr>
        <w:top w:val="none" w:sz="0" w:space="0" w:color="auto"/>
        <w:left w:val="none" w:sz="0" w:space="0" w:color="auto"/>
        <w:bottom w:val="none" w:sz="0" w:space="0" w:color="auto"/>
        <w:right w:val="none" w:sz="0" w:space="0" w:color="auto"/>
      </w:divBdr>
    </w:div>
    <w:div w:id="1103453202">
      <w:bodyDiv w:val="1"/>
      <w:marLeft w:val="0"/>
      <w:marRight w:val="0"/>
      <w:marTop w:val="0"/>
      <w:marBottom w:val="0"/>
      <w:divBdr>
        <w:top w:val="none" w:sz="0" w:space="0" w:color="auto"/>
        <w:left w:val="none" w:sz="0" w:space="0" w:color="auto"/>
        <w:bottom w:val="none" w:sz="0" w:space="0" w:color="auto"/>
        <w:right w:val="none" w:sz="0" w:space="0" w:color="auto"/>
      </w:divBdr>
    </w:div>
    <w:div w:id="1174415992">
      <w:bodyDiv w:val="1"/>
      <w:marLeft w:val="0"/>
      <w:marRight w:val="0"/>
      <w:marTop w:val="0"/>
      <w:marBottom w:val="0"/>
      <w:divBdr>
        <w:top w:val="none" w:sz="0" w:space="0" w:color="auto"/>
        <w:left w:val="none" w:sz="0" w:space="0" w:color="auto"/>
        <w:bottom w:val="none" w:sz="0" w:space="0" w:color="auto"/>
        <w:right w:val="none" w:sz="0" w:space="0" w:color="auto"/>
      </w:divBdr>
    </w:div>
    <w:div w:id="1234512121">
      <w:bodyDiv w:val="1"/>
      <w:marLeft w:val="0"/>
      <w:marRight w:val="0"/>
      <w:marTop w:val="0"/>
      <w:marBottom w:val="0"/>
      <w:divBdr>
        <w:top w:val="none" w:sz="0" w:space="0" w:color="auto"/>
        <w:left w:val="none" w:sz="0" w:space="0" w:color="auto"/>
        <w:bottom w:val="none" w:sz="0" w:space="0" w:color="auto"/>
        <w:right w:val="none" w:sz="0" w:space="0" w:color="auto"/>
      </w:divBdr>
    </w:div>
    <w:div w:id="1244678729">
      <w:bodyDiv w:val="1"/>
      <w:marLeft w:val="0"/>
      <w:marRight w:val="0"/>
      <w:marTop w:val="0"/>
      <w:marBottom w:val="0"/>
      <w:divBdr>
        <w:top w:val="none" w:sz="0" w:space="0" w:color="auto"/>
        <w:left w:val="none" w:sz="0" w:space="0" w:color="auto"/>
        <w:bottom w:val="none" w:sz="0" w:space="0" w:color="auto"/>
        <w:right w:val="none" w:sz="0" w:space="0" w:color="auto"/>
      </w:divBdr>
    </w:div>
    <w:div w:id="1245798220">
      <w:bodyDiv w:val="1"/>
      <w:marLeft w:val="0"/>
      <w:marRight w:val="0"/>
      <w:marTop w:val="0"/>
      <w:marBottom w:val="0"/>
      <w:divBdr>
        <w:top w:val="none" w:sz="0" w:space="0" w:color="auto"/>
        <w:left w:val="none" w:sz="0" w:space="0" w:color="auto"/>
        <w:bottom w:val="none" w:sz="0" w:space="0" w:color="auto"/>
        <w:right w:val="none" w:sz="0" w:space="0" w:color="auto"/>
      </w:divBdr>
    </w:div>
    <w:div w:id="1249576261">
      <w:bodyDiv w:val="1"/>
      <w:marLeft w:val="0"/>
      <w:marRight w:val="0"/>
      <w:marTop w:val="0"/>
      <w:marBottom w:val="0"/>
      <w:divBdr>
        <w:top w:val="none" w:sz="0" w:space="0" w:color="auto"/>
        <w:left w:val="none" w:sz="0" w:space="0" w:color="auto"/>
        <w:bottom w:val="none" w:sz="0" w:space="0" w:color="auto"/>
        <w:right w:val="none" w:sz="0" w:space="0" w:color="auto"/>
      </w:divBdr>
    </w:div>
    <w:div w:id="1304891790">
      <w:bodyDiv w:val="1"/>
      <w:marLeft w:val="0"/>
      <w:marRight w:val="0"/>
      <w:marTop w:val="0"/>
      <w:marBottom w:val="0"/>
      <w:divBdr>
        <w:top w:val="none" w:sz="0" w:space="0" w:color="auto"/>
        <w:left w:val="none" w:sz="0" w:space="0" w:color="auto"/>
        <w:bottom w:val="none" w:sz="0" w:space="0" w:color="auto"/>
        <w:right w:val="none" w:sz="0" w:space="0" w:color="auto"/>
      </w:divBdr>
    </w:div>
    <w:div w:id="1308702362">
      <w:bodyDiv w:val="1"/>
      <w:marLeft w:val="0"/>
      <w:marRight w:val="0"/>
      <w:marTop w:val="0"/>
      <w:marBottom w:val="0"/>
      <w:divBdr>
        <w:top w:val="none" w:sz="0" w:space="0" w:color="auto"/>
        <w:left w:val="none" w:sz="0" w:space="0" w:color="auto"/>
        <w:bottom w:val="none" w:sz="0" w:space="0" w:color="auto"/>
        <w:right w:val="none" w:sz="0" w:space="0" w:color="auto"/>
      </w:divBdr>
    </w:div>
    <w:div w:id="1324044224">
      <w:bodyDiv w:val="1"/>
      <w:marLeft w:val="0"/>
      <w:marRight w:val="0"/>
      <w:marTop w:val="0"/>
      <w:marBottom w:val="0"/>
      <w:divBdr>
        <w:top w:val="none" w:sz="0" w:space="0" w:color="auto"/>
        <w:left w:val="none" w:sz="0" w:space="0" w:color="auto"/>
        <w:bottom w:val="none" w:sz="0" w:space="0" w:color="auto"/>
        <w:right w:val="none" w:sz="0" w:space="0" w:color="auto"/>
      </w:divBdr>
    </w:div>
    <w:div w:id="1344939340">
      <w:bodyDiv w:val="1"/>
      <w:marLeft w:val="0"/>
      <w:marRight w:val="0"/>
      <w:marTop w:val="0"/>
      <w:marBottom w:val="0"/>
      <w:divBdr>
        <w:top w:val="none" w:sz="0" w:space="0" w:color="auto"/>
        <w:left w:val="none" w:sz="0" w:space="0" w:color="auto"/>
        <w:bottom w:val="none" w:sz="0" w:space="0" w:color="auto"/>
        <w:right w:val="none" w:sz="0" w:space="0" w:color="auto"/>
      </w:divBdr>
    </w:div>
    <w:div w:id="1346395483">
      <w:bodyDiv w:val="1"/>
      <w:marLeft w:val="0"/>
      <w:marRight w:val="0"/>
      <w:marTop w:val="0"/>
      <w:marBottom w:val="0"/>
      <w:divBdr>
        <w:top w:val="none" w:sz="0" w:space="0" w:color="auto"/>
        <w:left w:val="none" w:sz="0" w:space="0" w:color="auto"/>
        <w:bottom w:val="none" w:sz="0" w:space="0" w:color="auto"/>
        <w:right w:val="none" w:sz="0" w:space="0" w:color="auto"/>
      </w:divBdr>
    </w:div>
    <w:div w:id="1369337803">
      <w:bodyDiv w:val="1"/>
      <w:marLeft w:val="0"/>
      <w:marRight w:val="0"/>
      <w:marTop w:val="0"/>
      <w:marBottom w:val="0"/>
      <w:divBdr>
        <w:top w:val="none" w:sz="0" w:space="0" w:color="auto"/>
        <w:left w:val="none" w:sz="0" w:space="0" w:color="auto"/>
        <w:bottom w:val="none" w:sz="0" w:space="0" w:color="auto"/>
        <w:right w:val="none" w:sz="0" w:space="0" w:color="auto"/>
      </w:divBdr>
    </w:div>
    <w:div w:id="1370960492">
      <w:bodyDiv w:val="1"/>
      <w:marLeft w:val="0"/>
      <w:marRight w:val="0"/>
      <w:marTop w:val="0"/>
      <w:marBottom w:val="0"/>
      <w:divBdr>
        <w:top w:val="none" w:sz="0" w:space="0" w:color="auto"/>
        <w:left w:val="none" w:sz="0" w:space="0" w:color="auto"/>
        <w:bottom w:val="none" w:sz="0" w:space="0" w:color="auto"/>
        <w:right w:val="none" w:sz="0" w:space="0" w:color="auto"/>
      </w:divBdr>
    </w:div>
    <w:div w:id="1410033811">
      <w:bodyDiv w:val="1"/>
      <w:marLeft w:val="0"/>
      <w:marRight w:val="0"/>
      <w:marTop w:val="0"/>
      <w:marBottom w:val="0"/>
      <w:divBdr>
        <w:top w:val="none" w:sz="0" w:space="0" w:color="auto"/>
        <w:left w:val="none" w:sz="0" w:space="0" w:color="auto"/>
        <w:bottom w:val="none" w:sz="0" w:space="0" w:color="auto"/>
        <w:right w:val="none" w:sz="0" w:space="0" w:color="auto"/>
      </w:divBdr>
    </w:div>
    <w:div w:id="1414857290">
      <w:bodyDiv w:val="1"/>
      <w:marLeft w:val="0"/>
      <w:marRight w:val="0"/>
      <w:marTop w:val="0"/>
      <w:marBottom w:val="0"/>
      <w:divBdr>
        <w:top w:val="none" w:sz="0" w:space="0" w:color="auto"/>
        <w:left w:val="none" w:sz="0" w:space="0" w:color="auto"/>
        <w:bottom w:val="none" w:sz="0" w:space="0" w:color="auto"/>
        <w:right w:val="none" w:sz="0" w:space="0" w:color="auto"/>
      </w:divBdr>
    </w:div>
    <w:div w:id="1423601716">
      <w:bodyDiv w:val="1"/>
      <w:marLeft w:val="0"/>
      <w:marRight w:val="0"/>
      <w:marTop w:val="0"/>
      <w:marBottom w:val="0"/>
      <w:divBdr>
        <w:top w:val="none" w:sz="0" w:space="0" w:color="auto"/>
        <w:left w:val="none" w:sz="0" w:space="0" w:color="auto"/>
        <w:bottom w:val="none" w:sz="0" w:space="0" w:color="auto"/>
        <w:right w:val="none" w:sz="0" w:space="0" w:color="auto"/>
      </w:divBdr>
    </w:div>
    <w:div w:id="1435008070">
      <w:bodyDiv w:val="1"/>
      <w:marLeft w:val="0"/>
      <w:marRight w:val="0"/>
      <w:marTop w:val="0"/>
      <w:marBottom w:val="0"/>
      <w:divBdr>
        <w:top w:val="none" w:sz="0" w:space="0" w:color="auto"/>
        <w:left w:val="none" w:sz="0" w:space="0" w:color="auto"/>
        <w:bottom w:val="none" w:sz="0" w:space="0" w:color="auto"/>
        <w:right w:val="none" w:sz="0" w:space="0" w:color="auto"/>
      </w:divBdr>
    </w:div>
    <w:div w:id="1436168692">
      <w:bodyDiv w:val="1"/>
      <w:marLeft w:val="0"/>
      <w:marRight w:val="0"/>
      <w:marTop w:val="0"/>
      <w:marBottom w:val="0"/>
      <w:divBdr>
        <w:top w:val="none" w:sz="0" w:space="0" w:color="auto"/>
        <w:left w:val="none" w:sz="0" w:space="0" w:color="auto"/>
        <w:bottom w:val="none" w:sz="0" w:space="0" w:color="auto"/>
        <w:right w:val="none" w:sz="0" w:space="0" w:color="auto"/>
      </w:divBdr>
    </w:div>
    <w:div w:id="1454251742">
      <w:bodyDiv w:val="1"/>
      <w:marLeft w:val="0"/>
      <w:marRight w:val="0"/>
      <w:marTop w:val="0"/>
      <w:marBottom w:val="0"/>
      <w:divBdr>
        <w:top w:val="none" w:sz="0" w:space="0" w:color="auto"/>
        <w:left w:val="none" w:sz="0" w:space="0" w:color="auto"/>
        <w:bottom w:val="none" w:sz="0" w:space="0" w:color="auto"/>
        <w:right w:val="none" w:sz="0" w:space="0" w:color="auto"/>
      </w:divBdr>
    </w:div>
    <w:div w:id="1454444279">
      <w:bodyDiv w:val="1"/>
      <w:marLeft w:val="0"/>
      <w:marRight w:val="0"/>
      <w:marTop w:val="0"/>
      <w:marBottom w:val="0"/>
      <w:divBdr>
        <w:top w:val="none" w:sz="0" w:space="0" w:color="auto"/>
        <w:left w:val="none" w:sz="0" w:space="0" w:color="auto"/>
        <w:bottom w:val="none" w:sz="0" w:space="0" w:color="auto"/>
        <w:right w:val="none" w:sz="0" w:space="0" w:color="auto"/>
      </w:divBdr>
    </w:div>
    <w:div w:id="1459685445">
      <w:bodyDiv w:val="1"/>
      <w:marLeft w:val="0"/>
      <w:marRight w:val="0"/>
      <w:marTop w:val="0"/>
      <w:marBottom w:val="0"/>
      <w:divBdr>
        <w:top w:val="none" w:sz="0" w:space="0" w:color="auto"/>
        <w:left w:val="none" w:sz="0" w:space="0" w:color="auto"/>
        <w:bottom w:val="none" w:sz="0" w:space="0" w:color="auto"/>
        <w:right w:val="none" w:sz="0" w:space="0" w:color="auto"/>
      </w:divBdr>
    </w:div>
    <w:div w:id="1476291260">
      <w:bodyDiv w:val="1"/>
      <w:marLeft w:val="0"/>
      <w:marRight w:val="0"/>
      <w:marTop w:val="0"/>
      <w:marBottom w:val="0"/>
      <w:divBdr>
        <w:top w:val="none" w:sz="0" w:space="0" w:color="auto"/>
        <w:left w:val="none" w:sz="0" w:space="0" w:color="auto"/>
        <w:bottom w:val="none" w:sz="0" w:space="0" w:color="auto"/>
        <w:right w:val="none" w:sz="0" w:space="0" w:color="auto"/>
      </w:divBdr>
    </w:div>
    <w:div w:id="1485705473">
      <w:bodyDiv w:val="1"/>
      <w:marLeft w:val="0"/>
      <w:marRight w:val="0"/>
      <w:marTop w:val="0"/>
      <w:marBottom w:val="0"/>
      <w:divBdr>
        <w:top w:val="none" w:sz="0" w:space="0" w:color="auto"/>
        <w:left w:val="none" w:sz="0" w:space="0" w:color="auto"/>
        <w:bottom w:val="none" w:sz="0" w:space="0" w:color="auto"/>
        <w:right w:val="none" w:sz="0" w:space="0" w:color="auto"/>
      </w:divBdr>
    </w:div>
    <w:div w:id="1512648034">
      <w:bodyDiv w:val="1"/>
      <w:marLeft w:val="0"/>
      <w:marRight w:val="0"/>
      <w:marTop w:val="0"/>
      <w:marBottom w:val="0"/>
      <w:divBdr>
        <w:top w:val="none" w:sz="0" w:space="0" w:color="auto"/>
        <w:left w:val="none" w:sz="0" w:space="0" w:color="auto"/>
        <w:bottom w:val="none" w:sz="0" w:space="0" w:color="auto"/>
        <w:right w:val="none" w:sz="0" w:space="0" w:color="auto"/>
      </w:divBdr>
      <w:divsChild>
        <w:div w:id="1213735148">
          <w:marLeft w:val="0"/>
          <w:marRight w:val="0"/>
          <w:marTop w:val="0"/>
          <w:marBottom w:val="0"/>
          <w:divBdr>
            <w:top w:val="none" w:sz="0" w:space="0" w:color="auto"/>
            <w:left w:val="none" w:sz="0" w:space="0" w:color="auto"/>
            <w:bottom w:val="none" w:sz="0" w:space="0" w:color="auto"/>
            <w:right w:val="none" w:sz="0" w:space="0" w:color="auto"/>
          </w:divBdr>
          <w:divsChild>
            <w:div w:id="14624312">
              <w:marLeft w:val="0"/>
              <w:marRight w:val="0"/>
              <w:marTop w:val="0"/>
              <w:marBottom w:val="0"/>
              <w:divBdr>
                <w:top w:val="none" w:sz="0" w:space="0" w:color="auto"/>
                <w:left w:val="none" w:sz="0" w:space="0" w:color="auto"/>
                <w:bottom w:val="none" w:sz="0" w:space="0" w:color="auto"/>
                <w:right w:val="none" w:sz="0" w:space="0" w:color="auto"/>
              </w:divBdr>
              <w:divsChild>
                <w:div w:id="788670176">
                  <w:marLeft w:val="0"/>
                  <w:marRight w:val="0"/>
                  <w:marTop w:val="0"/>
                  <w:marBottom w:val="0"/>
                  <w:divBdr>
                    <w:top w:val="none" w:sz="0" w:space="0" w:color="auto"/>
                    <w:left w:val="none" w:sz="0" w:space="0" w:color="auto"/>
                    <w:bottom w:val="none" w:sz="0" w:space="0" w:color="auto"/>
                    <w:right w:val="none" w:sz="0" w:space="0" w:color="auto"/>
                  </w:divBdr>
                </w:div>
                <w:div w:id="1563053348">
                  <w:marLeft w:val="0"/>
                  <w:marRight w:val="0"/>
                  <w:marTop w:val="0"/>
                  <w:marBottom w:val="0"/>
                  <w:divBdr>
                    <w:top w:val="none" w:sz="0" w:space="0" w:color="auto"/>
                    <w:left w:val="none" w:sz="0" w:space="0" w:color="auto"/>
                    <w:bottom w:val="none" w:sz="0" w:space="0" w:color="auto"/>
                    <w:right w:val="none" w:sz="0" w:space="0" w:color="auto"/>
                  </w:divBdr>
                  <w:divsChild>
                    <w:div w:id="1608151294">
                      <w:marLeft w:val="0"/>
                      <w:marRight w:val="0"/>
                      <w:marTop w:val="0"/>
                      <w:marBottom w:val="0"/>
                      <w:divBdr>
                        <w:top w:val="none" w:sz="0" w:space="0" w:color="auto"/>
                        <w:left w:val="none" w:sz="0" w:space="0" w:color="auto"/>
                        <w:bottom w:val="none" w:sz="0" w:space="0" w:color="auto"/>
                        <w:right w:val="none" w:sz="0" w:space="0" w:color="auto"/>
                      </w:divBdr>
                      <w:divsChild>
                        <w:div w:id="1552762407">
                          <w:marLeft w:val="0"/>
                          <w:marRight w:val="0"/>
                          <w:marTop w:val="0"/>
                          <w:marBottom w:val="0"/>
                          <w:divBdr>
                            <w:top w:val="none" w:sz="0" w:space="0" w:color="auto"/>
                            <w:left w:val="none" w:sz="0" w:space="0" w:color="auto"/>
                            <w:bottom w:val="none" w:sz="0" w:space="0" w:color="auto"/>
                            <w:right w:val="none" w:sz="0" w:space="0" w:color="auto"/>
                          </w:divBdr>
                          <w:divsChild>
                            <w:div w:id="9813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0205834">
          <w:marLeft w:val="0"/>
          <w:marRight w:val="0"/>
          <w:marTop w:val="0"/>
          <w:marBottom w:val="0"/>
          <w:divBdr>
            <w:top w:val="none" w:sz="0" w:space="0" w:color="auto"/>
            <w:left w:val="none" w:sz="0" w:space="0" w:color="auto"/>
            <w:bottom w:val="none" w:sz="0" w:space="0" w:color="auto"/>
            <w:right w:val="none" w:sz="0" w:space="0" w:color="auto"/>
          </w:divBdr>
          <w:divsChild>
            <w:div w:id="30693024">
              <w:marLeft w:val="0"/>
              <w:marRight w:val="0"/>
              <w:marTop w:val="0"/>
              <w:marBottom w:val="0"/>
              <w:divBdr>
                <w:top w:val="none" w:sz="0" w:space="0" w:color="auto"/>
                <w:left w:val="none" w:sz="0" w:space="0" w:color="auto"/>
                <w:bottom w:val="none" w:sz="0" w:space="0" w:color="auto"/>
                <w:right w:val="none" w:sz="0" w:space="0" w:color="auto"/>
              </w:divBdr>
              <w:divsChild>
                <w:div w:id="20961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030845">
      <w:bodyDiv w:val="1"/>
      <w:marLeft w:val="0"/>
      <w:marRight w:val="0"/>
      <w:marTop w:val="0"/>
      <w:marBottom w:val="0"/>
      <w:divBdr>
        <w:top w:val="none" w:sz="0" w:space="0" w:color="auto"/>
        <w:left w:val="none" w:sz="0" w:space="0" w:color="auto"/>
        <w:bottom w:val="none" w:sz="0" w:space="0" w:color="auto"/>
        <w:right w:val="none" w:sz="0" w:space="0" w:color="auto"/>
      </w:divBdr>
    </w:div>
    <w:div w:id="1541745300">
      <w:bodyDiv w:val="1"/>
      <w:marLeft w:val="0"/>
      <w:marRight w:val="0"/>
      <w:marTop w:val="0"/>
      <w:marBottom w:val="0"/>
      <w:divBdr>
        <w:top w:val="none" w:sz="0" w:space="0" w:color="auto"/>
        <w:left w:val="none" w:sz="0" w:space="0" w:color="auto"/>
        <w:bottom w:val="none" w:sz="0" w:space="0" w:color="auto"/>
        <w:right w:val="none" w:sz="0" w:space="0" w:color="auto"/>
      </w:divBdr>
    </w:div>
    <w:div w:id="1557005273">
      <w:bodyDiv w:val="1"/>
      <w:marLeft w:val="0"/>
      <w:marRight w:val="0"/>
      <w:marTop w:val="0"/>
      <w:marBottom w:val="0"/>
      <w:divBdr>
        <w:top w:val="none" w:sz="0" w:space="0" w:color="auto"/>
        <w:left w:val="none" w:sz="0" w:space="0" w:color="auto"/>
        <w:bottom w:val="none" w:sz="0" w:space="0" w:color="auto"/>
        <w:right w:val="none" w:sz="0" w:space="0" w:color="auto"/>
      </w:divBdr>
    </w:div>
    <w:div w:id="1587567055">
      <w:bodyDiv w:val="1"/>
      <w:marLeft w:val="0"/>
      <w:marRight w:val="0"/>
      <w:marTop w:val="0"/>
      <w:marBottom w:val="0"/>
      <w:divBdr>
        <w:top w:val="none" w:sz="0" w:space="0" w:color="auto"/>
        <w:left w:val="none" w:sz="0" w:space="0" w:color="auto"/>
        <w:bottom w:val="none" w:sz="0" w:space="0" w:color="auto"/>
        <w:right w:val="none" w:sz="0" w:space="0" w:color="auto"/>
      </w:divBdr>
    </w:div>
    <w:div w:id="1589071373">
      <w:bodyDiv w:val="1"/>
      <w:marLeft w:val="0"/>
      <w:marRight w:val="0"/>
      <w:marTop w:val="0"/>
      <w:marBottom w:val="0"/>
      <w:divBdr>
        <w:top w:val="none" w:sz="0" w:space="0" w:color="auto"/>
        <w:left w:val="none" w:sz="0" w:space="0" w:color="auto"/>
        <w:bottom w:val="none" w:sz="0" w:space="0" w:color="auto"/>
        <w:right w:val="none" w:sz="0" w:space="0" w:color="auto"/>
      </w:divBdr>
    </w:div>
    <w:div w:id="1593201538">
      <w:bodyDiv w:val="1"/>
      <w:marLeft w:val="0"/>
      <w:marRight w:val="0"/>
      <w:marTop w:val="0"/>
      <w:marBottom w:val="0"/>
      <w:divBdr>
        <w:top w:val="none" w:sz="0" w:space="0" w:color="auto"/>
        <w:left w:val="none" w:sz="0" w:space="0" w:color="auto"/>
        <w:bottom w:val="none" w:sz="0" w:space="0" w:color="auto"/>
        <w:right w:val="none" w:sz="0" w:space="0" w:color="auto"/>
      </w:divBdr>
    </w:div>
    <w:div w:id="1614287903">
      <w:bodyDiv w:val="1"/>
      <w:marLeft w:val="0"/>
      <w:marRight w:val="0"/>
      <w:marTop w:val="0"/>
      <w:marBottom w:val="0"/>
      <w:divBdr>
        <w:top w:val="none" w:sz="0" w:space="0" w:color="auto"/>
        <w:left w:val="none" w:sz="0" w:space="0" w:color="auto"/>
        <w:bottom w:val="none" w:sz="0" w:space="0" w:color="auto"/>
        <w:right w:val="none" w:sz="0" w:space="0" w:color="auto"/>
      </w:divBdr>
    </w:div>
    <w:div w:id="1647661895">
      <w:bodyDiv w:val="1"/>
      <w:marLeft w:val="0"/>
      <w:marRight w:val="0"/>
      <w:marTop w:val="0"/>
      <w:marBottom w:val="0"/>
      <w:divBdr>
        <w:top w:val="none" w:sz="0" w:space="0" w:color="auto"/>
        <w:left w:val="none" w:sz="0" w:space="0" w:color="auto"/>
        <w:bottom w:val="none" w:sz="0" w:space="0" w:color="auto"/>
        <w:right w:val="none" w:sz="0" w:space="0" w:color="auto"/>
      </w:divBdr>
    </w:div>
    <w:div w:id="1710446456">
      <w:bodyDiv w:val="1"/>
      <w:marLeft w:val="0"/>
      <w:marRight w:val="0"/>
      <w:marTop w:val="0"/>
      <w:marBottom w:val="0"/>
      <w:divBdr>
        <w:top w:val="none" w:sz="0" w:space="0" w:color="auto"/>
        <w:left w:val="none" w:sz="0" w:space="0" w:color="auto"/>
        <w:bottom w:val="none" w:sz="0" w:space="0" w:color="auto"/>
        <w:right w:val="none" w:sz="0" w:space="0" w:color="auto"/>
      </w:divBdr>
    </w:div>
    <w:div w:id="1743792767">
      <w:bodyDiv w:val="1"/>
      <w:marLeft w:val="0"/>
      <w:marRight w:val="0"/>
      <w:marTop w:val="0"/>
      <w:marBottom w:val="0"/>
      <w:divBdr>
        <w:top w:val="none" w:sz="0" w:space="0" w:color="auto"/>
        <w:left w:val="none" w:sz="0" w:space="0" w:color="auto"/>
        <w:bottom w:val="none" w:sz="0" w:space="0" w:color="auto"/>
        <w:right w:val="none" w:sz="0" w:space="0" w:color="auto"/>
      </w:divBdr>
    </w:div>
    <w:div w:id="1842894521">
      <w:bodyDiv w:val="1"/>
      <w:marLeft w:val="0"/>
      <w:marRight w:val="0"/>
      <w:marTop w:val="0"/>
      <w:marBottom w:val="0"/>
      <w:divBdr>
        <w:top w:val="none" w:sz="0" w:space="0" w:color="auto"/>
        <w:left w:val="none" w:sz="0" w:space="0" w:color="auto"/>
        <w:bottom w:val="none" w:sz="0" w:space="0" w:color="auto"/>
        <w:right w:val="none" w:sz="0" w:space="0" w:color="auto"/>
      </w:divBdr>
    </w:div>
    <w:div w:id="1875582391">
      <w:bodyDiv w:val="1"/>
      <w:marLeft w:val="0"/>
      <w:marRight w:val="0"/>
      <w:marTop w:val="0"/>
      <w:marBottom w:val="0"/>
      <w:divBdr>
        <w:top w:val="none" w:sz="0" w:space="0" w:color="auto"/>
        <w:left w:val="none" w:sz="0" w:space="0" w:color="auto"/>
        <w:bottom w:val="none" w:sz="0" w:space="0" w:color="auto"/>
        <w:right w:val="none" w:sz="0" w:space="0" w:color="auto"/>
      </w:divBdr>
    </w:div>
    <w:div w:id="1880627061">
      <w:bodyDiv w:val="1"/>
      <w:marLeft w:val="0"/>
      <w:marRight w:val="0"/>
      <w:marTop w:val="0"/>
      <w:marBottom w:val="0"/>
      <w:divBdr>
        <w:top w:val="none" w:sz="0" w:space="0" w:color="auto"/>
        <w:left w:val="none" w:sz="0" w:space="0" w:color="auto"/>
        <w:bottom w:val="none" w:sz="0" w:space="0" w:color="auto"/>
        <w:right w:val="none" w:sz="0" w:space="0" w:color="auto"/>
      </w:divBdr>
    </w:div>
    <w:div w:id="1898469895">
      <w:bodyDiv w:val="1"/>
      <w:marLeft w:val="0"/>
      <w:marRight w:val="0"/>
      <w:marTop w:val="0"/>
      <w:marBottom w:val="0"/>
      <w:divBdr>
        <w:top w:val="none" w:sz="0" w:space="0" w:color="auto"/>
        <w:left w:val="none" w:sz="0" w:space="0" w:color="auto"/>
        <w:bottom w:val="none" w:sz="0" w:space="0" w:color="auto"/>
        <w:right w:val="none" w:sz="0" w:space="0" w:color="auto"/>
      </w:divBdr>
    </w:div>
    <w:div w:id="1912036281">
      <w:bodyDiv w:val="1"/>
      <w:marLeft w:val="0"/>
      <w:marRight w:val="0"/>
      <w:marTop w:val="0"/>
      <w:marBottom w:val="0"/>
      <w:divBdr>
        <w:top w:val="none" w:sz="0" w:space="0" w:color="auto"/>
        <w:left w:val="none" w:sz="0" w:space="0" w:color="auto"/>
        <w:bottom w:val="none" w:sz="0" w:space="0" w:color="auto"/>
        <w:right w:val="none" w:sz="0" w:space="0" w:color="auto"/>
      </w:divBdr>
    </w:div>
    <w:div w:id="1915120303">
      <w:bodyDiv w:val="1"/>
      <w:marLeft w:val="0"/>
      <w:marRight w:val="0"/>
      <w:marTop w:val="0"/>
      <w:marBottom w:val="0"/>
      <w:divBdr>
        <w:top w:val="none" w:sz="0" w:space="0" w:color="auto"/>
        <w:left w:val="none" w:sz="0" w:space="0" w:color="auto"/>
        <w:bottom w:val="none" w:sz="0" w:space="0" w:color="auto"/>
        <w:right w:val="none" w:sz="0" w:space="0" w:color="auto"/>
      </w:divBdr>
    </w:div>
    <w:div w:id="1927179403">
      <w:bodyDiv w:val="1"/>
      <w:marLeft w:val="0"/>
      <w:marRight w:val="0"/>
      <w:marTop w:val="0"/>
      <w:marBottom w:val="0"/>
      <w:divBdr>
        <w:top w:val="none" w:sz="0" w:space="0" w:color="auto"/>
        <w:left w:val="none" w:sz="0" w:space="0" w:color="auto"/>
        <w:bottom w:val="none" w:sz="0" w:space="0" w:color="auto"/>
        <w:right w:val="none" w:sz="0" w:space="0" w:color="auto"/>
      </w:divBdr>
    </w:div>
    <w:div w:id="1928925693">
      <w:bodyDiv w:val="1"/>
      <w:marLeft w:val="0"/>
      <w:marRight w:val="0"/>
      <w:marTop w:val="0"/>
      <w:marBottom w:val="0"/>
      <w:divBdr>
        <w:top w:val="none" w:sz="0" w:space="0" w:color="auto"/>
        <w:left w:val="none" w:sz="0" w:space="0" w:color="auto"/>
        <w:bottom w:val="none" w:sz="0" w:space="0" w:color="auto"/>
        <w:right w:val="none" w:sz="0" w:space="0" w:color="auto"/>
      </w:divBdr>
      <w:divsChild>
        <w:div w:id="609582210">
          <w:marLeft w:val="0"/>
          <w:marRight w:val="0"/>
          <w:marTop w:val="0"/>
          <w:marBottom w:val="0"/>
          <w:divBdr>
            <w:top w:val="single" w:sz="2" w:space="0" w:color="E3E3E3"/>
            <w:left w:val="single" w:sz="2" w:space="0" w:color="E3E3E3"/>
            <w:bottom w:val="single" w:sz="2" w:space="0" w:color="E3E3E3"/>
            <w:right w:val="single" w:sz="2" w:space="0" w:color="E3E3E3"/>
          </w:divBdr>
          <w:divsChild>
            <w:div w:id="1420172518">
              <w:marLeft w:val="0"/>
              <w:marRight w:val="0"/>
              <w:marTop w:val="0"/>
              <w:marBottom w:val="0"/>
              <w:divBdr>
                <w:top w:val="single" w:sz="2" w:space="0" w:color="E3E3E3"/>
                <w:left w:val="single" w:sz="2" w:space="0" w:color="E3E3E3"/>
                <w:bottom w:val="single" w:sz="2" w:space="0" w:color="E3E3E3"/>
                <w:right w:val="single" w:sz="2" w:space="0" w:color="E3E3E3"/>
              </w:divBdr>
              <w:divsChild>
                <w:div w:id="1343816393">
                  <w:marLeft w:val="0"/>
                  <w:marRight w:val="0"/>
                  <w:marTop w:val="0"/>
                  <w:marBottom w:val="0"/>
                  <w:divBdr>
                    <w:top w:val="single" w:sz="2" w:space="0" w:color="E3E3E3"/>
                    <w:left w:val="single" w:sz="2" w:space="0" w:color="E3E3E3"/>
                    <w:bottom w:val="single" w:sz="2" w:space="0" w:color="E3E3E3"/>
                    <w:right w:val="single" w:sz="2" w:space="0" w:color="E3E3E3"/>
                  </w:divBdr>
                  <w:divsChild>
                    <w:div w:id="1887988459">
                      <w:marLeft w:val="0"/>
                      <w:marRight w:val="0"/>
                      <w:marTop w:val="0"/>
                      <w:marBottom w:val="0"/>
                      <w:divBdr>
                        <w:top w:val="single" w:sz="2" w:space="0" w:color="E3E3E3"/>
                        <w:left w:val="single" w:sz="2" w:space="0" w:color="E3E3E3"/>
                        <w:bottom w:val="single" w:sz="2" w:space="0" w:color="E3E3E3"/>
                        <w:right w:val="single" w:sz="2" w:space="0" w:color="E3E3E3"/>
                      </w:divBdr>
                      <w:divsChild>
                        <w:div w:id="819539984">
                          <w:marLeft w:val="0"/>
                          <w:marRight w:val="0"/>
                          <w:marTop w:val="0"/>
                          <w:marBottom w:val="0"/>
                          <w:divBdr>
                            <w:top w:val="single" w:sz="2" w:space="0" w:color="E3E3E3"/>
                            <w:left w:val="single" w:sz="2" w:space="0" w:color="E3E3E3"/>
                            <w:bottom w:val="single" w:sz="2" w:space="0" w:color="E3E3E3"/>
                            <w:right w:val="single" w:sz="2" w:space="0" w:color="E3E3E3"/>
                          </w:divBdr>
                          <w:divsChild>
                            <w:div w:id="161748167">
                              <w:marLeft w:val="0"/>
                              <w:marRight w:val="0"/>
                              <w:marTop w:val="0"/>
                              <w:marBottom w:val="0"/>
                              <w:divBdr>
                                <w:top w:val="single" w:sz="2" w:space="0" w:color="E3E3E3"/>
                                <w:left w:val="single" w:sz="2" w:space="0" w:color="E3E3E3"/>
                                <w:bottom w:val="single" w:sz="2" w:space="0" w:color="E3E3E3"/>
                                <w:right w:val="single" w:sz="2" w:space="0" w:color="E3E3E3"/>
                              </w:divBdr>
                              <w:divsChild>
                                <w:div w:id="1868594325">
                                  <w:marLeft w:val="0"/>
                                  <w:marRight w:val="0"/>
                                  <w:marTop w:val="100"/>
                                  <w:marBottom w:val="100"/>
                                  <w:divBdr>
                                    <w:top w:val="single" w:sz="2" w:space="0" w:color="E3E3E3"/>
                                    <w:left w:val="single" w:sz="2" w:space="0" w:color="E3E3E3"/>
                                    <w:bottom w:val="single" w:sz="2" w:space="0" w:color="E3E3E3"/>
                                    <w:right w:val="single" w:sz="2" w:space="0" w:color="E3E3E3"/>
                                  </w:divBdr>
                                  <w:divsChild>
                                    <w:div w:id="1941986517">
                                      <w:marLeft w:val="0"/>
                                      <w:marRight w:val="0"/>
                                      <w:marTop w:val="0"/>
                                      <w:marBottom w:val="0"/>
                                      <w:divBdr>
                                        <w:top w:val="single" w:sz="2" w:space="0" w:color="E3E3E3"/>
                                        <w:left w:val="single" w:sz="2" w:space="0" w:color="E3E3E3"/>
                                        <w:bottom w:val="single" w:sz="2" w:space="0" w:color="E3E3E3"/>
                                        <w:right w:val="single" w:sz="2" w:space="0" w:color="E3E3E3"/>
                                      </w:divBdr>
                                      <w:divsChild>
                                        <w:div w:id="495997293">
                                          <w:marLeft w:val="0"/>
                                          <w:marRight w:val="0"/>
                                          <w:marTop w:val="0"/>
                                          <w:marBottom w:val="0"/>
                                          <w:divBdr>
                                            <w:top w:val="single" w:sz="2" w:space="0" w:color="E3E3E3"/>
                                            <w:left w:val="single" w:sz="2" w:space="0" w:color="E3E3E3"/>
                                            <w:bottom w:val="single" w:sz="2" w:space="0" w:color="E3E3E3"/>
                                            <w:right w:val="single" w:sz="2" w:space="0" w:color="E3E3E3"/>
                                          </w:divBdr>
                                          <w:divsChild>
                                            <w:div w:id="1042100418">
                                              <w:marLeft w:val="0"/>
                                              <w:marRight w:val="0"/>
                                              <w:marTop w:val="0"/>
                                              <w:marBottom w:val="0"/>
                                              <w:divBdr>
                                                <w:top w:val="single" w:sz="2" w:space="0" w:color="E3E3E3"/>
                                                <w:left w:val="single" w:sz="2" w:space="0" w:color="E3E3E3"/>
                                                <w:bottom w:val="single" w:sz="2" w:space="0" w:color="E3E3E3"/>
                                                <w:right w:val="single" w:sz="2" w:space="0" w:color="E3E3E3"/>
                                              </w:divBdr>
                                              <w:divsChild>
                                                <w:div w:id="675110343">
                                                  <w:marLeft w:val="0"/>
                                                  <w:marRight w:val="0"/>
                                                  <w:marTop w:val="0"/>
                                                  <w:marBottom w:val="0"/>
                                                  <w:divBdr>
                                                    <w:top w:val="single" w:sz="2" w:space="0" w:color="E3E3E3"/>
                                                    <w:left w:val="single" w:sz="2" w:space="0" w:color="E3E3E3"/>
                                                    <w:bottom w:val="single" w:sz="2" w:space="0" w:color="E3E3E3"/>
                                                    <w:right w:val="single" w:sz="2" w:space="0" w:color="E3E3E3"/>
                                                  </w:divBdr>
                                                  <w:divsChild>
                                                    <w:div w:id="229462943">
                                                      <w:marLeft w:val="0"/>
                                                      <w:marRight w:val="0"/>
                                                      <w:marTop w:val="0"/>
                                                      <w:marBottom w:val="0"/>
                                                      <w:divBdr>
                                                        <w:top w:val="single" w:sz="2" w:space="0" w:color="E3E3E3"/>
                                                        <w:left w:val="single" w:sz="2" w:space="0" w:color="E3E3E3"/>
                                                        <w:bottom w:val="single" w:sz="2" w:space="0" w:color="E3E3E3"/>
                                                        <w:right w:val="single" w:sz="2" w:space="0" w:color="E3E3E3"/>
                                                      </w:divBdr>
                                                      <w:divsChild>
                                                        <w:div w:id="1283414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62862651">
          <w:marLeft w:val="0"/>
          <w:marRight w:val="0"/>
          <w:marTop w:val="0"/>
          <w:marBottom w:val="0"/>
          <w:divBdr>
            <w:top w:val="none" w:sz="0" w:space="0" w:color="auto"/>
            <w:left w:val="none" w:sz="0" w:space="0" w:color="auto"/>
            <w:bottom w:val="none" w:sz="0" w:space="0" w:color="auto"/>
            <w:right w:val="none" w:sz="0" w:space="0" w:color="auto"/>
          </w:divBdr>
        </w:div>
      </w:divsChild>
    </w:div>
    <w:div w:id="1935938201">
      <w:bodyDiv w:val="1"/>
      <w:marLeft w:val="0"/>
      <w:marRight w:val="0"/>
      <w:marTop w:val="0"/>
      <w:marBottom w:val="0"/>
      <w:divBdr>
        <w:top w:val="none" w:sz="0" w:space="0" w:color="auto"/>
        <w:left w:val="none" w:sz="0" w:space="0" w:color="auto"/>
        <w:bottom w:val="none" w:sz="0" w:space="0" w:color="auto"/>
        <w:right w:val="none" w:sz="0" w:space="0" w:color="auto"/>
      </w:divBdr>
    </w:div>
    <w:div w:id="2051418416">
      <w:bodyDiv w:val="1"/>
      <w:marLeft w:val="0"/>
      <w:marRight w:val="0"/>
      <w:marTop w:val="0"/>
      <w:marBottom w:val="0"/>
      <w:divBdr>
        <w:top w:val="none" w:sz="0" w:space="0" w:color="auto"/>
        <w:left w:val="none" w:sz="0" w:space="0" w:color="auto"/>
        <w:bottom w:val="none" w:sz="0" w:space="0" w:color="auto"/>
        <w:right w:val="none" w:sz="0" w:space="0" w:color="auto"/>
      </w:divBdr>
    </w:div>
    <w:div w:id="2078242128">
      <w:bodyDiv w:val="1"/>
      <w:marLeft w:val="0"/>
      <w:marRight w:val="0"/>
      <w:marTop w:val="0"/>
      <w:marBottom w:val="0"/>
      <w:divBdr>
        <w:top w:val="none" w:sz="0" w:space="0" w:color="auto"/>
        <w:left w:val="none" w:sz="0" w:space="0" w:color="auto"/>
        <w:bottom w:val="none" w:sz="0" w:space="0" w:color="auto"/>
        <w:right w:val="none" w:sz="0" w:space="0" w:color="auto"/>
      </w:divBdr>
    </w:div>
    <w:div w:id="2091072693">
      <w:bodyDiv w:val="1"/>
      <w:marLeft w:val="0"/>
      <w:marRight w:val="0"/>
      <w:marTop w:val="0"/>
      <w:marBottom w:val="0"/>
      <w:divBdr>
        <w:top w:val="none" w:sz="0" w:space="0" w:color="auto"/>
        <w:left w:val="none" w:sz="0" w:space="0" w:color="auto"/>
        <w:bottom w:val="none" w:sz="0" w:space="0" w:color="auto"/>
        <w:right w:val="none" w:sz="0" w:space="0" w:color="auto"/>
      </w:divBdr>
    </w:div>
    <w:div w:id="2131779412">
      <w:bodyDiv w:val="1"/>
      <w:marLeft w:val="0"/>
      <w:marRight w:val="0"/>
      <w:marTop w:val="0"/>
      <w:marBottom w:val="0"/>
      <w:divBdr>
        <w:top w:val="none" w:sz="0" w:space="0" w:color="auto"/>
        <w:left w:val="none" w:sz="0" w:space="0" w:color="auto"/>
        <w:bottom w:val="none" w:sz="0" w:space="0" w:color="auto"/>
        <w:right w:val="none" w:sz="0" w:space="0" w:color="auto"/>
      </w:divBdr>
    </w:div>
    <w:div w:id="214696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ublication/319852576_Strengths_and_limitations_of_Qualitative_and_Quantitative_Research_Methods" TargetMode="External"/><Relationship Id="rId18" Type="http://schemas.openxmlformats.org/officeDocument/2006/relationships/hyperlink" Target="https://www.youtube.com/watch?v=hUv6UQciRbI"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doi:10.18356/9ceabfd3-en." TargetMode="External"/><Relationship Id="rId2" Type="http://schemas.openxmlformats.org/officeDocument/2006/relationships/customXml" Target="../customXml/item2.xml"/><Relationship Id="rId16" Type="http://schemas.openxmlformats.org/officeDocument/2006/relationships/hyperlink" Target="https://drodrik.scholar.harvard.edu/publications/globalization-paradox-democracy-and-future-world-econom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youtube.com/watch?v=-v3uqD1hWGE"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doi:10.2139/ssrn.3346138"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6" ma:contentTypeDescription="Create a new document." ma:contentTypeScope="" ma:versionID="fc851a694c94dd4db937f830c5eeddd4">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ac3ab0d64a0c5e0d887d00ef457bcff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9A3F3-8DC5-42B2-B4E1-6D4738E282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8D0CEE-0774-416E-B245-86E6EC7CCF27}">
  <ds:schemaRefs>
    <ds:schemaRef ds:uri="http://schemas.microsoft.com/sharepoint/v3/contenttype/forms"/>
  </ds:schemaRefs>
</ds:datastoreItem>
</file>

<file path=customXml/itemProps3.xml><?xml version="1.0" encoding="utf-8"?>
<ds:datastoreItem xmlns:ds="http://schemas.openxmlformats.org/officeDocument/2006/customXml" ds:itemID="{30B5B11A-84EE-4B72-88FB-B8A6F7DB3267}">
  <ds:schemaRefs>
    <ds:schemaRef ds:uri="http://schemas.microsoft.com/office/2006/metadata/properties"/>
    <ds:schemaRef ds:uri="http://schemas.microsoft.com/office/infopath/2007/PartnerControls"/>
    <ds:schemaRef ds:uri="1b88a2b3-a887-4da5-bc58-1cd6fd79184b"/>
  </ds:schemaRefs>
</ds:datastoreItem>
</file>

<file path=customXml/itemProps4.xml><?xml version="1.0" encoding="utf-8"?>
<ds:datastoreItem xmlns:ds="http://schemas.openxmlformats.org/officeDocument/2006/customXml" ds:itemID="{DF8E4853-F91E-4960-BF93-C6D9A6148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29</Pages>
  <Words>6216</Words>
  <Characters>43799</Characters>
  <Application>Microsoft Office Word</Application>
  <DocSecurity>0</DocSecurity>
  <Lines>706</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 Lewis</cp:lastModifiedBy>
  <cp:revision>136</cp:revision>
  <dcterms:created xsi:type="dcterms:W3CDTF">2024-04-08T15:47:00Z</dcterms:created>
  <dcterms:modified xsi:type="dcterms:W3CDTF">2024-04-13T16:14:00Z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66c7ea6013939d4f770a3a007a22992c3785de16d6943a4892086d13adbb31bb</vt:lpwstr>
  </property>
  <property fmtid="{D5CDD505-2E9C-101B-9397-08002B2CF9AE}" pid="3" name="ContentTypeId">
    <vt:lpwstr>0x010100A8E20122F4455F4B9575FBE79886672E</vt:lpwstr>
  </property>
</Properties>
</file>