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0DFC9" w14:textId="77777777" w:rsidR="00BE38B7" w:rsidRDefault="00BE38B7" w:rsidP="00BE38B7">
      <w:pPr>
        <w:spacing w:line="480" w:lineRule="auto"/>
        <w:jc w:val="center"/>
        <w:rPr>
          <w:rFonts w:ascii="Times New Roman" w:hAnsi="Times New Roman" w:cs="Times New Roman"/>
          <w:sz w:val="24"/>
          <w:szCs w:val="24"/>
        </w:rPr>
      </w:pPr>
    </w:p>
    <w:p w14:paraId="2827CAD9" w14:textId="77777777" w:rsidR="00BE38B7" w:rsidRDefault="00BE38B7" w:rsidP="00BE38B7">
      <w:pPr>
        <w:spacing w:line="480" w:lineRule="auto"/>
        <w:jc w:val="center"/>
        <w:rPr>
          <w:rFonts w:ascii="Times New Roman" w:hAnsi="Times New Roman" w:cs="Times New Roman"/>
          <w:sz w:val="24"/>
          <w:szCs w:val="24"/>
        </w:rPr>
      </w:pPr>
    </w:p>
    <w:p w14:paraId="4FFBC5F0" w14:textId="77777777" w:rsidR="00BE38B7" w:rsidRDefault="00BE38B7" w:rsidP="00BE38B7">
      <w:pPr>
        <w:spacing w:line="480" w:lineRule="auto"/>
        <w:jc w:val="center"/>
        <w:rPr>
          <w:rFonts w:ascii="Times New Roman" w:hAnsi="Times New Roman" w:cs="Times New Roman"/>
          <w:sz w:val="24"/>
          <w:szCs w:val="24"/>
        </w:rPr>
      </w:pPr>
    </w:p>
    <w:p w14:paraId="6305772E" w14:textId="77777777" w:rsidR="00BE38B7" w:rsidRDefault="00BE38B7" w:rsidP="00BE38B7">
      <w:pPr>
        <w:spacing w:line="480" w:lineRule="auto"/>
        <w:jc w:val="center"/>
        <w:rPr>
          <w:rFonts w:ascii="Times New Roman" w:hAnsi="Times New Roman" w:cs="Times New Roman"/>
          <w:sz w:val="24"/>
          <w:szCs w:val="24"/>
        </w:rPr>
      </w:pPr>
    </w:p>
    <w:p w14:paraId="71651F5B" w14:textId="77777777" w:rsidR="00BE38B7" w:rsidRDefault="00BE38B7" w:rsidP="00BE38B7">
      <w:pPr>
        <w:spacing w:line="480" w:lineRule="auto"/>
        <w:jc w:val="center"/>
        <w:rPr>
          <w:rFonts w:ascii="Times New Roman" w:hAnsi="Times New Roman" w:cs="Times New Roman"/>
          <w:sz w:val="24"/>
          <w:szCs w:val="24"/>
        </w:rPr>
      </w:pPr>
    </w:p>
    <w:p w14:paraId="400C5663" w14:textId="63B9FE7E" w:rsidR="00BE38B7" w:rsidRPr="00891594" w:rsidRDefault="00BE38B7" w:rsidP="00BE38B7">
      <w:pPr>
        <w:spacing w:line="480" w:lineRule="auto"/>
        <w:jc w:val="center"/>
        <w:rPr>
          <w:rFonts w:ascii="Times New Roman" w:hAnsi="Times New Roman" w:cs="Times New Roman"/>
          <w:sz w:val="24"/>
          <w:szCs w:val="24"/>
        </w:rPr>
      </w:pPr>
      <w:r>
        <w:rPr>
          <w:rFonts w:ascii="Times New Roman" w:hAnsi="Times New Roman" w:cs="Times New Roman"/>
          <w:sz w:val="24"/>
          <w:szCs w:val="24"/>
        </w:rPr>
        <w:t>Ella Jade Smith</w:t>
      </w:r>
    </w:p>
    <w:p w14:paraId="345AF24D" w14:textId="77777777" w:rsidR="00BE38B7" w:rsidRPr="00891594" w:rsidRDefault="00BE38B7" w:rsidP="00BE38B7">
      <w:pPr>
        <w:spacing w:line="480" w:lineRule="auto"/>
        <w:jc w:val="center"/>
        <w:rPr>
          <w:rFonts w:ascii="Times New Roman" w:hAnsi="Times New Roman" w:cs="Times New Roman"/>
          <w:sz w:val="24"/>
          <w:szCs w:val="24"/>
        </w:rPr>
      </w:pPr>
      <w:r>
        <w:rPr>
          <w:rFonts w:ascii="Times New Roman" w:hAnsi="Times New Roman" w:cs="Times New Roman"/>
          <w:sz w:val="24"/>
          <w:szCs w:val="24"/>
        </w:rPr>
        <w:t>Sian Turvey</w:t>
      </w:r>
    </w:p>
    <w:p w14:paraId="200E41C0" w14:textId="4915B96A" w:rsidR="00BE38B7" w:rsidRDefault="00BE38B7" w:rsidP="00BE38B7">
      <w:pPr>
        <w:spacing w:line="480" w:lineRule="auto"/>
        <w:jc w:val="center"/>
        <w:rPr>
          <w:rFonts w:ascii="Times New Roman" w:hAnsi="Times New Roman" w:cs="Times New Roman"/>
          <w:sz w:val="24"/>
          <w:szCs w:val="24"/>
        </w:rPr>
      </w:pPr>
      <w:r>
        <w:rPr>
          <w:rFonts w:ascii="Times New Roman" w:hAnsi="Times New Roman" w:cs="Times New Roman"/>
          <w:sz w:val="24"/>
          <w:szCs w:val="24"/>
        </w:rPr>
        <w:t>03/05/22</w:t>
      </w:r>
    </w:p>
    <w:p w14:paraId="6176F3F8" w14:textId="7B2FE61F" w:rsidR="00252265" w:rsidRPr="00891594" w:rsidRDefault="00252265" w:rsidP="00BE38B7">
      <w:pPr>
        <w:spacing w:line="480" w:lineRule="auto"/>
        <w:jc w:val="center"/>
        <w:rPr>
          <w:rFonts w:ascii="Times New Roman" w:hAnsi="Times New Roman" w:cs="Times New Roman"/>
          <w:sz w:val="24"/>
          <w:szCs w:val="24"/>
        </w:rPr>
      </w:pPr>
      <w:r>
        <w:rPr>
          <w:rFonts w:ascii="Times New Roman" w:hAnsi="Times New Roman" w:cs="Times New Roman"/>
          <w:sz w:val="24"/>
          <w:szCs w:val="24"/>
        </w:rPr>
        <w:t>UWTSD</w:t>
      </w:r>
    </w:p>
    <w:p w14:paraId="7B91890C" w14:textId="77777777" w:rsidR="00BE38B7" w:rsidRPr="00BE38B7" w:rsidRDefault="00BE38B7" w:rsidP="00BE38B7">
      <w:pPr>
        <w:spacing w:after="160" w:line="259" w:lineRule="auto"/>
        <w:rPr>
          <w:rFonts w:eastAsiaTheme="minorEastAsia"/>
        </w:rPr>
      </w:pPr>
    </w:p>
    <w:p w14:paraId="194390F7" w14:textId="77777777" w:rsidR="00BE38B7" w:rsidRPr="00BE38B7" w:rsidRDefault="00BE38B7" w:rsidP="00BE38B7">
      <w:pPr>
        <w:spacing w:after="160" w:line="259" w:lineRule="auto"/>
        <w:rPr>
          <w:rFonts w:eastAsiaTheme="minorEastAsia"/>
        </w:rPr>
      </w:pPr>
    </w:p>
    <w:p w14:paraId="0698B7AF" w14:textId="6E2D04A8" w:rsidR="00BE38B7" w:rsidRPr="00BE38B7" w:rsidRDefault="00BE38B7" w:rsidP="00BE38B7">
      <w:pPr>
        <w:spacing w:after="160"/>
        <w:rPr>
          <w:rFonts w:eastAsiaTheme="minorEastAsia" w:cstheme="minorHAnsi"/>
          <w:sz w:val="24"/>
          <w:szCs w:val="24"/>
        </w:rPr>
      </w:pPr>
      <w:r w:rsidRPr="00BE38B7">
        <w:rPr>
          <w:rFonts w:eastAsiaTheme="minorEastAsia" w:cstheme="minorHAnsi"/>
          <w:color w:val="000000"/>
          <w:sz w:val="24"/>
          <w:szCs w:val="24"/>
        </w:rPr>
        <w:t>It may be argued that the principle of statutory interpretation diminishes the status of legislation as the primary source of law in the UK.</w:t>
      </w:r>
      <w:r w:rsidRPr="00BE38B7">
        <w:rPr>
          <w:rFonts w:eastAsiaTheme="minorEastAsia" w:cstheme="minorHAnsi"/>
          <w:sz w:val="24"/>
          <w:szCs w:val="24"/>
        </w:rPr>
        <w:t xml:space="preserve"> The term statutory interpretation refers to the process by which the courts interpret and apply statutory provisions</w:t>
      </w:r>
      <w:sdt>
        <w:sdtPr>
          <w:rPr>
            <w:rFonts w:eastAsiaTheme="minorEastAsia" w:cstheme="minorHAnsi"/>
            <w:sz w:val="24"/>
            <w:szCs w:val="24"/>
          </w:rPr>
          <w:id w:val="1770350827"/>
          <w:citation/>
        </w:sdtPr>
        <w:sdtContent>
          <w:r w:rsidRPr="00BE38B7">
            <w:rPr>
              <w:rFonts w:eastAsiaTheme="minorEastAsia" w:cstheme="minorHAnsi"/>
              <w:sz w:val="24"/>
              <w:szCs w:val="24"/>
            </w:rPr>
            <w:fldChar w:fldCharType="begin"/>
          </w:r>
          <w:r w:rsidRPr="00BE38B7">
            <w:rPr>
              <w:rFonts w:eastAsiaTheme="minorEastAsia" w:cstheme="minorHAnsi"/>
              <w:sz w:val="24"/>
              <w:szCs w:val="24"/>
            </w:rPr>
            <w:instrText xml:space="preserve"> CITATION Ell20 \l 1033 </w:instrText>
          </w:r>
          <w:r w:rsidRPr="00BE38B7">
            <w:rPr>
              <w:rFonts w:eastAsiaTheme="minorEastAsia" w:cstheme="minorHAnsi"/>
              <w:sz w:val="24"/>
              <w:szCs w:val="24"/>
            </w:rPr>
            <w:fldChar w:fldCharType="separate"/>
          </w:r>
          <w:r w:rsidRPr="00BE38B7">
            <w:rPr>
              <w:rFonts w:eastAsiaTheme="minorEastAsia" w:cstheme="minorHAnsi"/>
              <w:noProof/>
              <w:sz w:val="24"/>
              <w:szCs w:val="24"/>
            </w:rPr>
            <w:t xml:space="preserve"> (Quinn, 2020)</w:t>
          </w:r>
          <w:r w:rsidRPr="00BE38B7">
            <w:rPr>
              <w:rFonts w:eastAsiaTheme="minorEastAsia" w:cstheme="minorHAnsi"/>
              <w:sz w:val="24"/>
              <w:szCs w:val="24"/>
            </w:rPr>
            <w:fldChar w:fldCharType="end"/>
          </w:r>
        </w:sdtContent>
      </w:sdt>
      <w:r w:rsidRPr="00BE38B7">
        <w:rPr>
          <w:rFonts w:eastAsiaTheme="minorEastAsia" w:cstheme="minorHAnsi"/>
          <w:sz w:val="24"/>
          <w:szCs w:val="24"/>
        </w:rPr>
        <w:t xml:space="preserve">. According to </w:t>
      </w:r>
      <w:proofErr w:type="spellStart"/>
      <w:r w:rsidRPr="00BE38B7">
        <w:rPr>
          <w:rFonts w:eastAsiaTheme="minorEastAsia" w:cstheme="minorHAnsi"/>
          <w:color w:val="222222"/>
          <w:sz w:val="24"/>
          <w:szCs w:val="24"/>
          <w:shd w:val="clear" w:color="auto" w:fill="FFFFFF"/>
        </w:rPr>
        <w:t>Shobe</w:t>
      </w:r>
      <w:proofErr w:type="spellEnd"/>
      <w:r w:rsidRPr="00BE38B7">
        <w:rPr>
          <w:rFonts w:eastAsiaTheme="minorEastAsia" w:cstheme="minorHAnsi"/>
          <w:color w:val="222222"/>
          <w:sz w:val="24"/>
          <w:szCs w:val="24"/>
          <w:shd w:val="clear" w:color="auto" w:fill="FFFFFF"/>
        </w:rPr>
        <w:t xml:space="preserve"> </w:t>
      </w:r>
      <w:proofErr w:type="gramStart"/>
      <w:r w:rsidRPr="00BE38B7">
        <w:rPr>
          <w:rFonts w:eastAsiaTheme="minorEastAsia" w:cstheme="minorHAnsi"/>
          <w:color w:val="222222"/>
          <w:sz w:val="24"/>
          <w:szCs w:val="24"/>
          <w:shd w:val="clear" w:color="auto" w:fill="FFFFFF"/>
        </w:rPr>
        <w:t>( 2014</w:t>
      </w:r>
      <w:proofErr w:type="gramEnd"/>
      <w:r w:rsidRPr="00BE38B7">
        <w:rPr>
          <w:rFonts w:eastAsiaTheme="minorEastAsia" w:cstheme="minorHAnsi"/>
          <w:color w:val="222222"/>
          <w:sz w:val="24"/>
          <w:szCs w:val="24"/>
          <w:shd w:val="clear" w:color="auto" w:fill="FFFFFF"/>
        </w:rPr>
        <w:t xml:space="preserve">), </w:t>
      </w:r>
      <w:r w:rsidRPr="00BE38B7">
        <w:rPr>
          <w:rFonts w:eastAsiaTheme="minorEastAsia" w:cstheme="minorHAnsi"/>
          <w:sz w:val="24"/>
          <w:szCs w:val="24"/>
        </w:rPr>
        <w:t>statutes are legal instructions transmitted into an existing, highly developed framework of legal values and expectations. The existing law, modes of reasoning and established localised value systems provide the interpretive context in which a statute is read. Upon receipt of a statutory text, lawyers and the judiciary seek to combine it into the context of the law. The statute may represent a radical departure from what has gone before, in which case the existing law still provides the context for assessing how parliament intended the change to be</w:t>
      </w:r>
      <w:r w:rsidRPr="00BE38B7">
        <w:rPr>
          <w:rFonts w:eastAsiaTheme="minorEastAsia" w:cstheme="minorHAnsi"/>
          <w:color w:val="222222"/>
          <w:sz w:val="24"/>
          <w:szCs w:val="24"/>
          <w:shd w:val="clear" w:color="auto" w:fill="FFFFFF"/>
        </w:rPr>
        <w:t xml:space="preserve"> (</w:t>
      </w:r>
      <w:proofErr w:type="spellStart"/>
      <w:r w:rsidRPr="00BE38B7">
        <w:rPr>
          <w:rFonts w:eastAsiaTheme="minorEastAsia" w:cstheme="minorHAnsi"/>
          <w:color w:val="222222"/>
          <w:sz w:val="24"/>
          <w:szCs w:val="24"/>
          <w:shd w:val="clear" w:color="auto" w:fill="FFFFFF"/>
        </w:rPr>
        <w:t>Geddis</w:t>
      </w:r>
      <w:proofErr w:type="spellEnd"/>
      <w:r w:rsidRPr="00BE38B7">
        <w:rPr>
          <w:rFonts w:eastAsiaTheme="minorEastAsia" w:cstheme="minorHAnsi"/>
          <w:color w:val="222222"/>
          <w:sz w:val="24"/>
          <w:szCs w:val="24"/>
          <w:shd w:val="clear" w:color="auto" w:fill="FFFFFF"/>
        </w:rPr>
        <w:t xml:space="preserve"> and Fenton, 2008)</w:t>
      </w:r>
      <w:r w:rsidRPr="00BE38B7">
        <w:rPr>
          <w:rFonts w:eastAsiaTheme="minorEastAsia" w:cstheme="minorHAnsi"/>
          <w:sz w:val="24"/>
          <w:szCs w:val="24"/>
        </w:rPr>
        <w:t>. On the other hand, the values inherent in the existing law – as recognised by judges and lawyers - may be assessed to be so strong as to exert a gravitational force on the text, pulling its meaning in their direction. Nils Jansen, in his book, ‘The Making of Legal Authority’, shows how the interpretation of texts within an existing legal culture may have profound effects on their meaning and authority within a legal system</w:t>
      </w:r>
      <w:r w:rsidRPr="00BE38B7">
        <w:rPr>
          <w:rFonts w:eastAsiaTheme="minorEastAsia" w:cstheme="minorHAnsi"/>
          <w:color w:val="222222"/>
          <w:sz w:val="24"/>
          <w:szCs w:val="24"/>
          <w:shd w:val="clear" w:color="auto" w:fill="FFFFFF"/>
        </w:rPr>
        <w:t xml:space="preserve"> (Emerson, 2017)</w:t>
      </w:r>
      <w:r w:rsidRPr="00BE38B7">
        <w:rPr>
          <w:rFonts w:eastAsiaTheme="minorEastAsia" w:cstheme="minorHAnsi"/>
          <w:sz w:val="24"/>
          <w:szCs w:val="24"/>
        </w:rPr>
        <w:t xml:space="preserve">. The English courts’ approach to interpreting the Land Registration Acts governing the system for registration of title to land, particularly with respect to registration of </w:t>
      </w:r>
      <w:proofErr w:type="gramStart"/>
      <w:r w:rsidRPr="00BE38B7">
        <w:rPr>
          <w:rFonts w:eastAsiaTheme="minorEastAsia" w:cstheme="minorHAnsi"/>
          <w:sz w:val="24"/>
          <w:szCs w:val="24"/>
        </w:rPr>
        <w:t>title</w:t>
      </w:r>
      <w:proofErr w:type="gramEnd"/>
      <w:r w:rsidRPr="00BE38B7">
        <w:rPr>
          <w:rFonts w:eastAsiaTheme="minorEastAsia" w:cstheme="minorHAnsi"/>
          <w:sz w:val="24"/>
          <w:szCs w:val="24"/>
        </w:rPr>
        <w:t xml:space="preserve"> which is acquired fraudulently, provides a practical illustration within the UK’s legal system. Arguably, the interpretation of the Acts </w:t>
      </w:r>
      <w:proofErr w:type="gramStart"/>
      <w:r w:rsidRPr="00BE38B7">
        <w:rPr>
          <w:rFonts w:eastAsiaTheme="minorEastAsia" w:cstheme="minorHAnsi"/>
          <w:sz w:val="24"/>
          <w:szCs w:val="24"/>
        </w:rPr>
        <w:lastRenderedPageBreak/>
        <w:t>so as to</w:t>
      </w:r>
      <w:proofErr w:type="gramEnd"/>
      <w:r w:rsidRPr="00BE38B7">
        <w:rPr>
          <w:rFonts w:eastAsiaTheme="minorEastAsia" w:cstheme="minorHAnsi"/>
          <w:sz w:val="24"/>
          <w:szCs w:val="24"/>
        </w:rPr>
        <w:t xml:space="preserve"> protect the innocent landowner victim in this type of case undermines the apparent legislative intention that the land register should be affinitive source of good title for third party purchasers</w:t>
      </w:r>
      <w:r w:rsidRPr="00BE38B7">
        <w:rPr>
          <w:rFonts w:eastAsiaTheme="minorEastAsia" w:cstheme="minorHAnsi"/>
          <w:color w:val="222222"/>
          <w:sz w:val="24"/>
          <w:szCs w:val="24"/>
          <w:shd w:val="clear" w:color="auto" w:fill="FFFFFF"/>
        </w:rPr>
        <w:t xml:space="preserve"> (Elliott, 2020)</w:t>
      </w:r>
      <w:r w:rsidRPr="00BE38B7">
        <w:rPr>
          <w:rFonts w:eastAsiaTheme="minorEastAsia" w:cstheme="minorHAnsi"/>
          <w:sz w:val="24"/>
          <w:szCs w:val="24"/>
        </w:rPr>
        <w:t>. With a re-balancing of statutory interpretation in favour of accommodating purpose and background understandings as against text, the arguments for recourse to interpretive aids outside the statute became correspondingly stronger. The courts now accept that reference to law commission and governmental reports which provide guidance regarding purpose is legitimate</w:t>
      </w:r>
      <w:r w:rsidRPr="00BE38B7">
        <w:rPr>
          <w:rFonts w:eastAsiaTheme="minorEastAsia" w:cstheme="minorHAnsi"/>
          <w:color w:val="222222"/>
          <w:sz w:val="24"/>
          <w:szCs w:val="24"/>
          <w:shd w:val="clear" w:color="auto" w:fill="FFFFFF"/>
        </w:rPr>
        <w:t xml:space="preserve"> (</w:t>
      </w:r>
      <w:proofErr w:type="gramStart"/>
      <w:r w:rsidRPr="00BE38B7">
        <w:rPr>
          <w:rFonts w:eastAsiaTheme="minorEastAsia" w:cstheme="minorHAnsi"/>
          <w:color w:val="222222"/>
          <w:sz w:val="24"/>
          <w:szCs w:val="24"/>
          <w:shd w:val="clear" w:color="auto" w:fill="FFFFFF"/>
        </w:rPr>
        <w:t>Sales,  2017</w:t>
      </w:r>
      <w:proofErr w:type="gramEnd"/>
      <w:r w:rsidRPr="00BE38B7">
        <w:rPr>
          <w:rFonts w:eastAsiaTheme="minorEastAsia" w:cstheme="minorHAnsi"/>
          <w:color w:val="222222"/>
          <w:sz w:val="24"/>
          <w:szCs w:val="24"/>
          <w:shd w:val="clear" w:color="auto" w:fill="FFFFFF"/>
        </w:rPr>
        <w:t>)</w:t>
      </w:r>
      <w:r w:rsidRPr="00BE38B7">
        <w:rPr>
          <w:rFonts w:eastAsiaTheme="minorEastAsia" w:cstheme="minorHAnsi"/>
          <w:sz w:val="24"/>
          <w:szCs w:val="24"/>
        </w:rPr>
        <w:t xml:space="preserve">; as is reference to statements in Parliament by promoters of bills, subject to restrictive limitations. </w:t>
      </w:r>
    </w:p>
    <w:p w14:paraId="2BCB7BAF" w14:textId="77777777" w:rsidR="00BE38B7" w:rsidRPr="00BE38B7" w:rsidRDefault="00BE38B7" w:rsidP="00BE38B7">
      <w:pPr>
        <w:spacing w:after="160"/>
        <w:rPr>
          <w:rFonts w:eastAsiaTheme="minorEastAsia" w:cstheme="minorHAnsi"/>
          <w:sz w:val="24"/>
          <w:szCs w:val="24"/>
        </w:rPr>
      </w:pPr>
      <w:r w:rsidRPr="00BE38B7">
        <w:rPr>
          <w:rFonts w:eastAsiaTheme="minorEastAsia" w:cstheme="minorHAnsi"/>
          <w:sz w:val="24"/>
          <w:szCs w:val="24"/>
        </w:rPr>
        <w:t xml:space="preserve"> In Simms Lord Hoffmann famously stated the position thus</w:t>
      </w:r>
      <w:r w:rsidRPr="00BE38B7">
        <w:rPr>
          <w:rFonts w:eastAsiaTheme="minorEastAsia" w:cstheme="minorHAnsi"/>
          <w:color w:val="222222"/>
          <w:sz w:val="24"/>
          <w:szCs w:val="24"/>
          <w:shd w:val="clear" w:color="auto" w:fill="FFFFFF"/>
        </w:rPr>
        <w:t>:</w:t>
      </w:r>
      <w:r w:rsidRPr="00BE38B7">
        <w:rPr>
          <w:rFonts w:eastAsiaTheme="minorEastAsia" w:cstheme="minorHAnsi"/>
          <w:sz w:val="24"/>
          <w:szCs w:val="24"/>
        </w:rPr>
        <w:t xml:space="preserve"> </w:t>
      </w:r>
    </w:p>
    <w:p w14:paraId="3854AA83" w14:textId="73144C33" w:rsidR="00BE38B7" w:rsidRPr="00BE38B7" w:rsidRDefault="00BE38B7" w:rsidP="00BE38B7">
      <w:pPr>
        <w:spacing w:after="160"/>
        <w:rPr>
          <w:rFonts w:eastAsiaTheme="minorEastAsia" w:cstheme="minorHAnsi"/>
          <w:sz w:val="24"/>
          <w:szCs w:val="24"/>
        </w:rPr>
      </w:pPr>
      <w:r w:rsidRPr="00BE38B7">
        <w:rPr>
          <w:rFonts w:eastAsiaTheme="minorEastAsia" w:cstheme="minorHAnsi"/>
          <w:sz w:val="24"/>
          <w:szCs w:val="24"/>
        </w:rPr>
        <w:t>“Parliamentary sovereignty means that Parliament can, if it chooses, legislate contrary to fundamental principles of human rights</w:t>
      </w:r>
      <w:r>
        <w:rPr>
          <w:rFonts w:eastAsiaTheme="minorEastAsia" w:cstheme="minorHAnsi"/>
          <w:sz w:val="24"/>
          <w:szCs w:val="24"/>
        </w:rPr>
        <w:t>”</w:t>
      </w:r>
      <w:r w:rsidRPr="00BE38B7">
        <w:rPr>
          <w:rFonts w:eastAsiaTheme="minorEastAsia" w:cstheme="minorHAnsi"/>
          <w:color w:val="222222"/>
          <w:sz w:val="24"/>
          <w:szCs w:val="24"/>
          <w:shd w:val="clear" w:color="auto" w:fill="FFFFFF"/>
        </w:rPr>
        <w:t xml:space="preserve"> (</w:t>
      </w:r>
      <w:proofErr w:type="spellStart"/>
      <w:r w:rsidRPr="00BE38B7">
        <w:rPr>
          <w:rFonts w:eastAsiaTheme="minorEastAsia" w:cstheme="minorHAnsi"/>
          <w:color w:val="222222"/>
          <w:sz w:val="24"/>
          <w:szCs w:val="24"/>
          <w:shd w:val="clear" w:color="auto" w:fill="FFFFFF"/>
        </w:rPr>
        <w:t>Geddis</w:t>
      </w:r>
      <w:proofErr w:type="spellEnd"/>
      <w:r w:rsidRPr="00BE38B7">
        <w:rPr>
          <w:rFonts w:eastAsiaTheme="minorEastAsia" w:cstheme="minorHAnsi"/>
          <w:color w:val="222222"/>
          <w:sz w:val="24"/>
          <w:szCs w:val="24"/>
          <w:shd w:val="clear" w:color="auto" w:fill="FFFFFF"/>
        </w:rPr>
        <w:t>, and Fenton, 2008; Poole, 2005)</w:t>
      </w:r>
      <w:r w:rsidRPr="00BE38B7">
        <w:rPr>
          <w:rFonts w:eastAsiaTheme="minorEastAsia" w:cstheme="minorHAnsi"/>
          <w:sz w:val="24"/>
          <w:szCs w:val="24"/>
        </w:rPr>
        <w:t xml:space="preserve">. The Human Rights Act 1998 will not detract from this power. The constraints upon its exercise by Parliament are ultimately political, not legal. But the principle of legality means that Parliament </w:t>
      </w:r>
      <w:r w:rsidRPr="00BE38B7">
        <w:rPr>
          <w:rFonts w:eastAsiaTheme="minorEastAsia" w:cstheme="minorHAnsi"/>
          <w:sz w:val="24"/>
          <w:szCs w:val="24"/>
        </w:rPr>
        <w:t>must confront</w:t>
      </w:r>
      <w:r w:rsidRPr="00BE38B7">
        <w:rPr>
          <w:rFonts w:eastAsiaTheme="minorEastAsia" w:cstheme="minorHAnsi"/>
          <w:sz w:val="24"/>
          <w:szCs w:val="24"/>
        </w:rPr>
        <w:t xml:space="preserve"> what it is doing and accept the political cost. Fundamental rights cannot be overridden by general or ambiguous words</w:t>
      </w:r>
      <w:r w:rsidRPr="00BE38B7">
        <w:rPr>
          <w:rFonts w:eastAsiaTheme="minorEastAsia" w:cstheme="minorHAnsi"/>
          <w:color w:val="222222"/>
          <w:sz w:val="24"/>
          <w:szCs w:val="24"/>
          <w:shd w:val="clear" w:color="auto" w:fill="FFFFFF"/>
        </w:rPr>
        <w:t xml:space="preserve"> (Emerson, 2017)</w:t>
      </w:r>
      <w:r w:rsidRPr="00BE38B7">
        <w:rPr>
          <w:rFonts w:eastAsiaTheme="minorEastAsia" w:cstheme="minorHAnsi"/>
          <w:sz w:val="24"/>
          <w:szCs w:val="24"/>
        </w:rPr>
        <w:t>. This is because there is too great a risk that the full implications of their unqualified meaning may have passed unnoticed in the democratic process. In the absence of express language or necessary implication to the contrary, the courts therefore presume that even the most general words were intended to be subject to the basic rights of the individual</w:t>
      </w:r>
      <w:r w:rsidRPr="00BE38B7">
        <w:rPr>
          <w:rFonts w:eastAsiaTheme="minorEastAsia" w:cstheme="minorHAnsi"/>
          <w:color w:val="222222"/>
          <w:sz w:val="24"/>
          <w:szCs w:val="24"/>
          <w:shd w:val="clear" w:color="auto" w:fill="FFFFFF"/>
        </w:rPr>
        <w:t xml:space="preserve"> (Feldman, 2014)</w:t>
      </w:r>
      <w:r w:rsidRPr="00BE38B7">
        <w:rPr>
          <w:rFonts w:eastAsiaTheme="minorEastAsia" w:cstheme="minorHAnsi"/>
          <w:sz w:val="24"/>
          <w:szCs w:val="24"/>
        </w:rPr>
        <w:t>. The United Kingdom, though acknowledging the sovereignty of Parliament, apply principles of constitutionality little different from those which exist in countries where the power of the legislature is expressly limited by a constitutional document.</w:t>
      </w:r>
    </w:p>
    <w:p w14:paraId="231E3770" w14:textId="77777777" w:rsidR="00BE38B7" w:rsidRPr="00BE38B7" w:rsidRDefault="00BE38B7" w:rsidP="00BE38B7">
      <w:pPr>
        <w:spacing w:after="160"/>
        <w:rPr>
          <w:rFonts w:eastAsiaTheme="minorEastAsia" w:cstheme="minorHAnsi"/>
          <w:sz w:val="24"/>
          <w:szCs w:val="24"/>
        </w:rPr>
      </w:pPr>
      <w:r w:rsidRPr="00BE38B7">
        <w:rPr>
          <w:rFonts w:eastAsiaTheme="minorEastAsia" w:cstheme="minorHAnsi"/>
          <w:sz w:val="24"/>
          <w:szCs w:val="24"/>
        </w:rPr>
        <w:t xml:space="preserve">Moreover, for the legislative interpretive purposes and for the grounds of application of </w:t>
      </w:r>
      <w:proofErr w:type="gramStart"/>
      <w:r w:rsidRPr="00BE38B7">
        <w:rPr>
          <w:rFonts w:eastAsiaTheme="minorEastAsia" w:cstheme="minorHAnsi"/>
          <w:sz w:val="24"/>
          <w:szCs w:val="24"/>
        </w:rPr>
        <w:t>general public</w:t>
      </w:r>
      <w:proofErr w:type="gramEnd"/>
      <w:r w:rsidRPr="00BE38B7">
        <w:rPr>
          <w:rFonts w:eastAsiaTheme="minorEastAsia" w:cstheme="minorHAnsi"/>
          <w:sz w:val="24"/>
          <w:szCs w:val="24"/>
        </w:rPr>
        <w:t xml:space="preserve"> law standards, a new emphasis on the articulation, application and enforcement of legal constitutional norms. In each context they only create presumptive effects which can be overridden - in the case of statutory interpretation, by sufficiently clear indication of parliamentary intention in the statute in question; in the case of public law, by a sufficiently strong countervailing public interest which makes the defeat of the right proportionate and lawful. Furthermore, under the Dicey scheme their might have been merely unenforceable constitutional conventions encapsulating the morality of the political process have in effect been distilled into rules of law with presumptive effects which are enforced by the courts</w:t>
      </w:r>
      <w:r w:rsidRPr="00BE38B7">
        <w:rPr>
          <w:rFonts w:eastAsiaTheme="minorEastAsia" w:cstheme="minorHAnsi"/>
          <w:color w:val="222222"/>
          <w:sz w:val="24"/>
          <w:szCs w:val="24"/>
          <w:shd w:val="clear" w:color="auto" w:fill="FFFFFF"/>
        </w:rPr>
        <w:t xml:space="preserve"> (Elliott, 2020)</w:t>
      </w:r>
      <w:r w:rsidRPr="00BE38B7">
        <w:rPr>
          <w:rFonts w:eastAsiaTheme="minorEastAsia" w:cstheme="minorHAnsi"/>
          <w:sz w:val="24"/>
          <w:szCs w:val="24"/>
        </w:rPr>
        <w:t xml:space="preserve">. </w:t>
      </w:r>
    </w:p>
    <w:p w14:paraId="594180FA" w14:textId="77777777" w:rsidR="00BE38B7" w:rsidRPr="00BE38B7" w:rsidRDefault="00BE38B7" w:rsidP="00BE38B7">
      <w:pPr>
        <w:spacing w:after="160"/>
        <w:rPr>
          <w:rFonts w:eastAsiaTheme="minorEastAsia" w:cstheme="minorHAnsi"/>
          <w:sz w:val="24"/>
          <w:szCs w:val="24"/>
        </w:rPr>
      </w:pPr>
      <w:r w:rsidRPr="00BE38B7">
        <w:rPr>
          <w:rFonts w:eastAsiaTheme="minorEastAsia" w:cstheme="minorHAnsi"/>
          <w:sz w:val="24"/>
          <w:szCs w:val="24"/>
        </w:rPr>
        <w:t>The courts thus have wide powers to adjust the meaning of statutes to reflect and embody values which the judges regard as important, but also which they think that Parliament should be taken to have thought were important, without needing to say so</w:t>
      </w:r>
      <w:r w:rsidRPr="00BE38B7">
        <w:rPr>
          <w:rFonts w:eastAsiaTheme="minorEastAsia" w:cstheme="minorHAnsi"/>
          <w:color w:val="222222"/>
          <w:sz w:val="24"/>
          <w:szCs w:val="24"/>
          <w:shd w:val="clear" w:color="auto" w:fill="FFFFFF"/>
        </w:rPr>
        <w:t xml:space="preserve"> (Sales, 2017)</w:t>
      </w:r>
      <w:r w:rsidRPr="00BE38B7">
        <w:rPr>
          <w:rFonts w:eastAsiaTheme="minorEastAsia" w:cstheme="minorHAnsi"/>
          <w:sz w:val="24"/>
          <w:szCs w:val="24"/>
        </w:rPr>
        <w:t xml:space="preserve">. This highlights the current argument concerning statutory interpretation that communicates the concept that statutory interpretation is more open and uncertain than a strict focus on grammatical meaning would allow. With reference to a wider range of sources now permitted and required - unspoken constitutional understandings and principles; inferences </w:t>
      </w:r>
      <w:r w:rsidRPr="00BE38B7">
        <w:rPr>
          <w:rFonts w:eastAsiaTheme="minorEastAsia" w:cstheme="minorHAnsi"/>
          <w:sz w:val="24"/>
          <w:szCs w:val="24"/>
        </w:rPr>
        <w:lastRenderedPageBreak/>
        <w:t xml:space="preserve">as to the purpose of the legislation; background reports and statements in Parliament – it is harder to be sure, in advance of litigation and a ruling by the courts, what legislation </w:t>
      </w:r>
      <w:proofErr w:type="gramStart"/>
      <w:r w:rsidRPr="00BE38B7">
        <w:rPr>
          <w:rFonts w:eastAsiaTheme="minorEastAsia" w:cstheme="minorHAnsi"/>
          <w:sz w:val="24"/>
          <w:szCs w:val="24"/>
        </w:rPr>
        <w:t>actually means</w:t>
      </w:r>
      <w:proofErr w:type="gramEnd"/>
      <w:r w:rsidRPr="00BE38B7">
        <w:rPr>
          <w:rFonts w:eastAsiaTheme="minorEastAsia" w:cstheme="minorHAnsi"/>
          <w:color w:val="222222"/>
          <w:sz w:val="24"/>
          <w:szCs w:val="24"/>
          <w:shd w:val="clear" w:color="auto" w:fill="FFFFFF"/>
        </w:rPr>
        <w:t xml:space="preserve"> (</w:t>
      </w:r>
      <w:proofErr w:type="spellStart"/>
      <w:r w:rsidRPr="00BE38B7">
        <w:rPr>
          <w:rFonts w:eastAsiaTheme="minorEastAsia" w:cstheme="minorHAnsi"/>
          <w:color w:val="222222"/>
          <w:sz w:val="24"/>
          <w:szCs w:val="24"/>
          <w:shd w:val="clear" w:color="auto" w:fill="FFFFFF"/>
        </w:rPr>
        <w:t>Rares</w:t>
      </w:r>
      <w:proofErr w:type="spellEnd"/>
      <w:r w:rsidRPr="00BE38B7">
        <w:rPr>
          <w:rFonts w:eastAsiaTheme="minorEastAsia" w:cstheme="minorHAnsi"/>
          <w:color w:val="222222"/>
          <w:sz w:val="24"/>
          <w:szCs w:val="24"/>
          <w:shd w:val="clear" w:color="auto" w:fill="FFFFFF"/>
        </w:rPr>
        <w:t>, 2013)</w:t>
      </w:r>
      <w:r w:rsidRPr="00BE38B7">
        <w:rPr>
          <w:rFonts w:eastAsiaTheme="minorEastAsia" w:cstheme="minorHAnsi"/>
          <w:sz w:val="24"/>
          <w:szCs w:val="24"/>
        </w:rPr>
        <w:t xml:space="preserve">. </w:t>
      </w:r>
    </w:p>
    <w:p w14:paraId="40FDE6FD" w14:textId="7036961A" w:rsidR="00BE38B7" w:rsidRPr="00BE38B7" w:rsidRDefault="00BE38B7" w:rsidP="00BE38B7">
      <w:pPr>
        <w:spacing w:after="160"/>
        <w:rPr>
          <w:rFonts w:eastAsiaTheme="minorEastAsia" w:cstheme="minorHAnsi"/>
          <w:sz w:val="24"/>
          <w:szCs w:val="24"/>
        </w:rPr>
      </w:pPr>
      <w:r w:rsidRPr="00BE38B7">
        <w:rPr>
          <w:rFonts w:eastAsiaTheme="minorEastAsia" w:cstheme="minorHAnsi"/>
          <w:sz w:val="24"/>
          <w:szCs w:val="24"/>
        </w:rPr>
        <w:t>It is impossible to specify in abstract terms what weight each of these aspects should be given, both in relation to the text and in between themselves</w:t>
      </w:r>
      <w:r w:rsidRPr="00BE38B7">
        <w:rPr>
          <w:rFonts w:eastAsiaTheme="minorEastAsia" w:cstheme="minorHAnsi"/>
          <w:color w:val="222222"/>
          <w:sz w:val="24"/>
          <w:szCs w:val="24"/>
          <w:shd w:val="clear" w:color="auto" w:fill="FFFFFF"/>
        </w:rPr>
        <w:t xml:space="preserve"> (Morag-Levine, 2009)</w:t>
      </w:r>
      <w:r w:rsidRPr="00BE38B7">
        <w:rPr>
          <w:rFonts w:eastAsiaTheme="minorEastAsia" w:cstheme="minorHAnsi"/>
          <w:sz w:val="24"/>
          <w:szCs w:val="24"/>
        </w:rPr>
        <w:t xml:space="preserve">. Statutes reflect different values which have varying and different force depending on the </w:t>
      </w:r>
      <w:r w:rsidR="00252265" w:rsidRPr="00BE38B7">
        <w:rPr>
          <w:rFonts w:eastAsiaTheme="minorEastAsia" w:cstheme="minorHAnsi"/>
          <w:sz w:val="24"/>
          <w:szCs w:val="24"/>
        </w:rPr>
        <w:t>context</w:t>
      </w:r>
      <w:r w:rsidRPr="00BE38B7">
        <w:rPr>
          <w:rFonts w:eastAsiaTheme="minorEastAsia" w:cstheme="minorHAnsi"/>
          <w:sz w:val="24"/>
          <w:szCs w:val="24"/>
        </w:rPr>
        <w:t xml:space="preserve">. The text of the statute is open to misinterpretation which makes statute at risk of being </w:t>
      </w:r>
      <w:r w:rsidRPr="00BE38B7">
        <w:rPr>
          <w:rFonts w:eastAsiaTheme="minorEastAsia" w:cstheme="minorHAnsi"/>
          <w:sz w:val="24"/>
          <w:szCs w:val="24"/>
        </w:rPr>
        <w:t>misunderstood.</w:t>
      </w:r>
      <w:r w:rsidR="00252265">
        <w:rPr>
          <w:rFonts w:eastAsiaTheme="minorEastAsia" w:cstheme="minorHAnsi"/>
          <w:sz w:val="24"/>
          <w:szCs w:val="24"/>
        </w:rPr>
        <w:t xml:space="preserve"> Therefore,</w:t>
      </w:r>
      <w:r w:rsidRPr="00BE38B7">
        <w:rPr>
          <w:rFonts w:eastAsiaTheme="minorEastAsia" w:cstheme="minorHAnsi"/>
          <w:sz w:val="24"/>
          <w:szCs w:val="24"/>
        </w:rPr>
        <w:t xml:space="preserve"> </w:t>
      </w:r>
      <w:r w:rsidR="00252265">
        <w:rPr>
          <w:rFonts w:eastAsiaTheme="minorEastAsia" w:cstheme="minorHAnsi"/>
          <w:sz w:val="24"/>
          <w:szCs w:val="24"/>
        </w:rPr>
        <w:t>t</w:t>
      </w:r>
      <w:r w:rsidRPr="00BE38B7">
        <w:rPr>
          <w:rFonts w:eastAsiaTheme="minorEastAsia" w:cstheme="minorHAnsi"/>
          <w:sz w:val="24"/>
          <w:szCs w:val="24"/>
        </w:rPr>
        <w:t xml:space="preserve">he courts make sensitive evaluative judgments balancing the different elements and assessing their respective weights </w:t>
      </w:r>
      <w:r w:rsidR="00252265" w:rsidRPr="00BE38B7">
        <w:rPr>
          <w:rFonts w:eastAsiaTheme="minorEastAsia" w:cstheme="minorHAnsi"/>
          <w:sz w:val="24"/>
          <w:szCs w:val="24"/>
        </w:rPr>
        <w:t>considering</w:t>
      </w:r>
      <w:r w:rsidRPr="00BE38B7">
        <w:rPr>
          <w:rFonts w:eastAsiaTheme="minorEastAsia" w:cstheme="minorHAnsi"/>
          <w:sz w:val="24"/>
          <w:szCs w:val="24"/>
        </w:rPr>
        <w:t xml:space="preserve"> broad background understandings in relation to the proper respective constitutional roles of Parliament and the courts</w:t>
      </w:r>
      <w:r w:rsidRPr="00BE38B7">
        <w:rPr>
          <w:rFonts w:eastAsiaTheme="minorEastAsia" w:cstheme="minorHAnsi"/>
          <w:color w:val="222222"/>
          <w:sz w:val="24"/>
          <w:szCs w:val="24"/>
          <w:shd w:val="clear" w:color="auto" w:fill="FFFFFF"/>
        </w:rPr>
        <w:t xml:space="preserve"> (Andrews, 2017)</w:t>
      </w:r>
      <w:r w:rsidRPr="00BE38B7">
        <w:rPr>
          <w:rFonts w:eastAsiaTheme="minorEastAsia" w:cstheme="minorHAnsi"/>
          <w:sz w:val="24"/>
          <w:szCs w:val="24"/>
        </w:rPr>
        <w:t>. They aim to produce a statutory meaning which reflects the reasonable expectations of citizens and</w:t>
      </w:r>
      <w:r w:rsidR="00252265" w:rsidRPr="00BE38B7">
        <w:rPr>
          <w:rFonts w:eastAsiaTheme="minorEastAsia" w:cstheme="minorHAnsi"/>
          <w:sz w:val="24"/>
          <w:szCs w:val="24"/>
        </w:rPr>
        <w:t xml:space="preserve"> the</w:t>
      </w:r>
      <w:r w:rsidRPr="00BE38B7">
        <w:rPr>
          <w:rFonts w:eastAsiaTheme="minorEastAsia" w:cstheme="minorHAnsi"/>
          <w:sz w:val="24"/>
          <w:szCs w:val="24"/>
        </w:rPr>
        <w:t xml:space="preserve"> lawyers who advise them, who are inculcated in the relevant legal culture and trained in the way in which courts derive legal meaning from legislation</w:t>
      </w:r>
      <w:r w:rsidRPr="00BE38B7">
        <w:rPr>
          <w:rFonts w:eastAsiaTheme="minorEastAsia" w:cstheme="minorHAnsi"/>
          <w:color w:val="222222"/>
          <w:sz w:val="24"/>
          <w:szCs w:val="24"/>
          <w:shd w:val="clear" w:color="auto" w:fill="FFFFFF"/>
        </w:rPr>
        <w:t xml:space="preserve"> (Walton, Sartor and </w:t>
      </w:r>
      <w:proofErr w:type="spellStart"/>
      <w:r w:rsidRPr="00BE38B7">
        <w:rPr>
          <w:rFonts w:eastAsiaTheme="minorEastAsia" w:cstheme="minorHAnsi"/>
          <w:color w:val="222222"/>
          <w:sz w:val="24"/>
          <w:szCs w:val="24"/>
          <w:shd w:val="clear" w:color="auto" w:fill="FFFFFF"/>
        </w:rPr>
        <w:t>Macagno</w:t>
      </w:r>
      <w:proofErr w:type="spellEnd"/>
      <w:r w:rsidRPr="00BE38B7">
        <w:rPr>
          <w:rFonts w:eastAsiaTheme="minorEastAsia" w:cstheme="minorHAnsi"/>
          <w:color w:val="222222"/>
          <w:sz w:val="24"/>
          <w:szCs w:val="24"/>
          <w:shd w:val="clear" w:color="auto" w:fill="FFFFFF"/>
        </w:rPr>
        <w:t>, 2016)</w:t>
      </w:r>
      <w:r w:rsidRPr="00BE38B7">
        <w:rPr>
          <w:rFonts w:eastAsiaTheme="minorEastAsia" w:cstheme="minorHAnsi"/>
          <w:sz w:val="24"/>
          <w:szCs w:val="24"/>
        </w:rPr>
        <w:t>. This study has described this as a sort of vector analysis, in which different considerations or vectors are brought into a relationship to produce a final composite, the resultant vector identified as the substantive norm to apply to the case in hand</w:t>
      </w:r>
      <w:r w:rsidRPr="00BE38B7">
        <w:rPr>
          <w:rFonts w:eastAsiaTheme="minorEastAsia" w:cstheme="minorHAnsi"/>
          <w:color w:val="222222"/>
          <w:sz w:val="24"/>
          <w:szCs w:val="24"/>
          <w:shd w:val="clear" w:color="auto" w:fill="FFFFFF"/>
        </w:rPr>
        <w:t xml:space="preserve"> (Sales, 2017; Sayer, 2019)</w:t>
      </w:r>
      <w:r w:rsidRPr="00BE38B7">
        <w:rPr>
          <w:rFonts w:eastAsiaTheme="minorEastAsia" w:cstheme="minorHAnsi"/>
          <w:sz w:val="24"/>
          <w:szCs w:val="24"/>
        </w:rPr>
        <w:t>. The common legal culture and training of judges and lawyers promotes rule of law values, in the form of reasonable predictability and stability of statutory meaning across courts and for citizens and their legal advisers.</w:t>
      </w:r>
    </w:p>
    <w:p w14:paraId="67934E86" w14:textId="77777777" w:rsidR="00BE38B7" w:rsidRPr="00BE38B7" w:rsidRDefault="00BE38B7" w:rsidP="00BE38B7">
      <w:pPr>
        <w:spacing w:after="160"/>
        <w:rPr>
          <w:rFonts w:eastAsiaTheme="minorEastAsia" w:cstheme="minorHAnsi"/>
          <w:sz w:val="24"/>
          <w:szCs w:val="24"/>
        </w:rPr>
      </w:pPr>
      <w:r w:rsidRPr="00BE38B7">
        <w:rPr>
          <w:rFonts w:eastAsiaTheme="minorEastAsia" w:cstheme="minorHAnsi"/>
          <w:sz w:val="24"/>
          <w:szCs w:val="24"/>
        </w:rPr>
        <w:t>Duxbury observes that the open-textured nature of statutory interpretation under section 3 of the Human Rights Act means that the distinction between legislation and judge-made law is less straightforward than it was. He points to a resemblance with modes of interpretive reasoning in the sixteenth and seventeenth centuries, to produce where possible statutory meanings judged to be consonant with judge-based conceptions of reason and justice</w:t>
      </w:r>
      <w:r w:rsidRPr="00BE38B7">
        <w:rPr>
          <w:rFonts w:eastAsiaTheme="minorEastAsia" w:cstheme="minorHAnsi"/>
          <w:color w:val="222222"/>
          <w:sz w:val="24"/>
          <w:szCs w:val="24"/>
          <w:shd w:val="clear" w:color="auto" w:fill="FFFFFF"/>
        </w:rPr>
        <w:t xml:space="preserve"> (</w:t>
      </w:r>
      <w:proofErr w:type="spellStart"/>
      <w:r w:rsidRPr="00BE38B7">
        <w:rPr>
          <w:rFonts w:eastAsiaTheme="minorEastAsia" w:cstheme="minorHAnsi"/>
          <w:color w:val="222222"/>
          <w:sz w:val="24"/>
          <w:szCs w:val="24"/>
          <w:shd w:val="clear" w:color="auto" w:fill="FFFFFF"/>
        </w:rPr>
        <w:t>MacCormick</w:t>
      </w:r>
      <w:proofErr w:type="spellEnd"/>
      <w:r w:rsidRPr="00BE38B7">
        <w:rPr>
          <w:rFonts w:eastAsiaTheme="minorEastAsia" w:cstheme="minorHAnsi"/>
          <w:color w:val="222222"/>
          <w:sz w:val="24"/>
          <w:szCs w:val="24"/>
          <w:shd w:val="clear" w:color="auto" w:fill="FFFFFF"/>
        </w:rPr>
        <w:t xml:space="preserve"> and Summers, 2016)</w:t>
      </w:r>
      <w:r w:rsidRPr="00BE38B7">
        <w:rPr>
          <w:rFonts w:eastAsiaTheme="minorEastAsia" w:cstheme="minorHAnsi"/>
          <w:sz w:val="24"/>
          <w:szCs w:val="24"/>
        </w:rPr>
        <w:t xml:space="preserve">, provided that such proposed meanings do not go against “the grain of the legislation”. </w:t>
      </w:r>
    </w:p>
    <w:p w14:paraId="193869FC" w14:textId="77777777" w:rsidR="00BE38B7" w:rsidRPr="00BE38B7" w:rsidRDefault="00BE38B7" w:rsidP="00BE38B7">
      <w:pPr>
        <w:spacing w:after="160"/>
        <w:rPr>
          <w:rFonts w:eastAsiaTheme="minorEastAsia" w:cstheme="minorHAnsi"/>
          <w:sz w:val="24"/>
          <w:szCs w:val="24"/>
        </w:rPr>
      </w:pPr>
      <w:r w:rsidRPr="00BE38B7">
        <w:rPr>
          <w:rFonts w:eastAsiaTheme="minorEastAsia" w:cstheme="minorHAnsi"/>
          <w:sz w:val="24"/>
          <w:szCs w:val="24"/>
        </w:rPr>
        <w:t xml:space="preserve">Different perceptions in accordance with this argument include – what counts as the grain of the legislation? What counts as justice and reason or qualifies as a constitutional right or principle? – require the courts to make evaluative assessments. This is a process </w:t>
      </w:r>
      <w:proofErr w:type="gramStart"/>
      <w:r w:rsidRPr="00BE38B7">
        <w:rPr>
          <w:rFonts w:eastAsiaTheme="minorEastAsia" w:cstheme="minorHAnsi"/>
          <w:sz w:val="24"/>
          <w:szCs w:val="24"/>
        </w:rPr>
        <w:t>similar to</w:t>
      </w:r>
      <w:proofErr w:type="gramEnd"/>
      <w:r w:rsidRPr="00BE38B7">
        <w:rPr>
          <w:rFonts w:eastAsiaTheme="minorEastAsia" w:cstheme="minorHAnsi"/>
          <w:sz w:val="24"/>
          <w:szCs w:val="24"/>
        </w:rPr>
        <w:t xml:space="preserve"> application of the common law method, with the text of the statute and the grain of the legislation fulfilling a constraining role similar to the words used in recognised canonical case-law authorities and identified underlying common law principle</w:t>
      </w:r>
      <w:r w:rsidRPr="00BE38B7">
        <w:rPr>
          <w:rFonts w:eastAsiaTheme="minorEastAsia" w:cstheme="minorHAnsi"/>
          <w:color w:val="222222"/>
          <w:sz w:val="24"/>
          <w:szCs w:val="24"/>
          <w:shd w:val="clear" w:color="auto" w:fill="FFFFFF"/>
        </w:rPr>
        <w:t xml:space="preserve"> (Andrews, 2017)</w:t>
      </w:r>
      <w:r w:rsidRPr="00BE38B7">
        <w:rPr>
          <w:rFonts w:eastAsiaTheme="minorEastAsia" w:cstheme="minorHAnsi"/>
          <w:sz w:val="24"/>
          <w:szCs w:val="24"/>
        </w:rPr>
        <w:t xml:space="preserve">. The courts are given latitude to identify and formulate different elements to be brought into account and make an evaluative judgment in weighing them up. The </w:t>
      </w:r>
      <w:proofErr w:type="spellStart"/>
      <w:r w:rsidRPr="00BE38B7">
        <w:rPr>
          <w:rFonts w:eastAsiaTheme="minorEastAsia" w:cstheme="minorHAnsi"/>
          <w:sz w:val="24"/>
          <w:szCs w:val="24"/>
        </w:rPr>
        <w:t>courts</w:t>
      </w:r>
      <w:proofErr w:type="spellEnd"/>
      <w:r w:rsidRPr="00BE38B7">
        <w:rPr>
          <w:rFonts w:eastAsiaTheme="minorEastAsia" w:cstheme="minorHAnsi"/>
          <w:sz w:val="24"/>
          <w:szCs w:val="24"/>
        </w:rPr>
        <w:t xml:space="preserve"> reasoning comes to resemble their approach to articulating and developing the common law. </w:t>
      </w:r>
    </w:p>
    <w:p w14:paraId="2446B354" w14:textId="284A651C" w:rsidR="00BE38B7" w:rsidRPr="00BE38B7" w:rsidRDefault="00BE38B7" w:rsidP="00BE38B7">
      <w:pPr>
        <w:spacing w:after="160"/>
        <w:rPr>
          <w:rFonts w:eastAsiaTheme="minorEastAsia" w:cstheme="minorHAnsi"/>
          <w:sz w:val="24"/>
          <w:szCs w:val="24"/>
        </w:rPr>
      </w:pPr>
      <w:r w:rsidRPr="00BE38B7">
        <w:rPr>
          <w:rFonts w:eastAsiaTheme="minorEastAsia" w:cstheme="minorHAnsi"/>
          <w:sz w:val="24"/>
          <w:szCs w:val="24"/>
        </w:rPr>
        <w:t xml:space="preserve">Similarly, the more statutory meaning becomes open to influence by interpretive aids and values taken from outside the text of the legislation, the more important becomes the partnership between judges and lawyers in participating in a common culture which both promotes predictability and stability of the meaning to be derived from statute and allows </w:t>
      </w:r>
      <w:r w:rsidRPr="00BE38B7">
        <w:rPr>
          <w:rFonts w:eastAsiaTheme="minorEastAsia" w:cstheme="minorHAnsi"/>
          <w:sz w:val="24"/>
          <w:szCs w:val="24"/>
        </w:rPr>
        <w:lastRenderedPageBreak/>
        <w:t>scope for evaluation and criticism by the legal profession and legal academia and hence a form of discipline for judges in performing the task of interpretation</w:t>
      </w:r>
      <w:r w:rsidRPr="00BE38B7">
        <w:rPr>
          <w:rFonts w:eastAsiaTheme="minorEastAsia" w:cstheme="minorHAnsi"/>
          <w:color w:val="222222"/>
          <w:sz w:val="24"/>
          <w:szCs w:val="24"/>
          <w:shd w:val="clear" w:color="auto" w:fill="FFFFFF"/>
        </w:rPr>
        <w:t xml:space="preserve"> (Walton, Sartor and </w:t>
      </w:r>
      <w:proofErr w:type="spellStart"/>
      <w:r w:rsidRPr="00BE38B7">
        <w:rPr>
          <w:rFonts w:eastAsiaTheme="minorEastAsia" w:cstheme="minorHAnsi"/>
          <w:color w:val="222222"/>
          <w:sz w:val="24"/>
          <w:szCs w:val="24"/>
          <w:shd w:val="clear" w:color="auto" w:fill="FFFFFF"/>
        </w:rPr>
        <w:t>Macagno</w:t>
      </w:r>
      <w:proofErr w:type="spellEnd"/>
      <w:r w:rsidRPr="00BE38B7">
        <w:rPr>
          <w:rFonts w:eastAsiaTheme="minorEastAsia" w:cstheme="minorHAnsi"/>
          <w:color w:val="222222"/>
          <w:sz w:val="24"/>
          <w:szCs w:val="24"/>
          <w:shd w:val="clear" w:color="auto" w:fill="FFFFFF"/>
        </w:rPr>
        <w:t>, 2018)</w:t>
      </w:r>
      <w:r w:rsidRPr="00BE38B7">
        <w:rPr>
          <w:rFonts w:eastAsiaTheme="minorEastAsia" w:cstheme="minorHAnsi"/>
          <w:sz w:val="24"/>
          <w:szCs w:val="24"/>
        </w:rPr>
        <w:t xml:space="preserve">. Highlighting a degree of convergence with common law styles of reasoning, </w:t>
      </w:r>
      <w:proofErr w:type="gramStart"/>
      <w:r w:rsidRPr="00BE38B7">
        <w:rPr>
          <w:rFonts w:eastAsiaTheme="minorEastAsia" w:cstheme="minorHAnsi"/>
          <w:sz w:val="24"/>
          <w:szCs w:val="24"/>
        </w:rPr>
        <w:t>objectivity</w:t>
      </w:r>
      <w:proofErr w:type="gramEnd"/>
      <w:r w:rsidRPr="00BE38B7">
        <w:rPr>
          <w:rFonts w:eastAsiaTheme="minorEastAsia" w:cstheme="minorHAnsi"/>
          <w:sz w:val="24"/>
          <w:szCs w:val="24"/>
        </w:rPr>
        <w:t xml:space="preserve"> and discipline. However, the courts are operating in a very different constitutional environment from that of the sixteenth and seventeenth centuries. In modern society, there is an obligation on the courts to play their part, alongside other constitutional actors such as Parliament and the executive government, to respect and accommodate two main imperatives or constitutional traditions of the modern– democracy and human rights</w:t>
      </w:r>
      <w:r w:rsidRPr="00BE38B7">
        <w:rPr>
          <w:rFonts w:eastAsiaTheme="minorEastAsia" w:cstheme="minorHAnsi"/>
          <w:color w:val="222222"/>
          <w:sz w:val="24"/>
          <w:szCs w:val="24"/>
          <w:shd w:val="clear" w:color="auto" w:fill="FFFFFF"/>
        </w:rPr>
        <w:t xml:space="preserve"> (</w:t>
      </w:r>
      <w:proofErr w:type="spellStart"/>
      <w:r w:rsidRPr="00BE38B7">
        <w:rPr>
          <w:rFonts w:eastAsiaTheme="minorEastAsia" w:cstheme="minorHAnsi"/>
          <w:color w:val="222222"/>
          <w:sz w:val="24"/>
          <w:szCs w:val="24"/>
          <w:shd w:val="clear" w:color="auto" w:fill="FFFFFF"/>
        </w:rPr>
        <w:t>Rares</w:t>
      </w:r>
      <w:proofErr w:type="spellEnd"/>
      <w:r w:rsidRPr="00BE38B7">
        <w:rPr>
          <w:rFonts w:eastAsiaTheme="minorEastAsia" w:cstheme="minorHAnsi"/>
          <w:color w:val="222222"/>
          <w:sz w:val="24"/>
          <w:szCs w:val="24"/>
          <w:shd w:val="clear" w:color="auto" w:fill="FFFFFF"/>
        </w:rPr>
        <w:t>, 2013)</w:t>
      </w:r>
      <w:r w:rsidRPr="00BE38B7">
        <w:rPr>
          <w:rFonts w:eastAsiaTheme="minorEastAsia" w:cstheme="minorHAnsi"/>
          <w:sz w:val="24"/>
          <w:szCs w:val="24"/>
        </w:rPr>
        <w:t xml:space="preserve">. </w:t>
      </w:r>
      <w:r w:rsidR="00252265">
        <w:rPr>
          <w:rFonts w:eastAsiaTheme="minorEastAsia" w:cstheme="minorHAnsi"/>
          <w:sz w:val="24"/>
          <w:szCs w:val="24"/>
        </w:rPr>
        <w:t>T</w:t>
      </w:r>
      <w:r w:rsidRPr="00BE38B7">
        <w:rPr>
          <w:rFonts w:eastAsiaTheme="minorEastAsia" w:cstheme="minorHAnsi"/>
          <w:sz w:val="24"/>
          <w:szCs w:val="24"/>
        </w:rPr>
        <w:t xml:space="preserve">he courts </w:t>
      </w:r>
      <w:r w:rsidR="00252265">
        <w:rPr>
          <w:rFonts w:eastAsiaTheme="minorEastAsia" w:cstheme="minorHAnsi"/>
          <w:sz w:val="24"/>
          <w:szCs w:val="24"/>
        </w:rPr>
        <w:t>need to consider</w:t>
      </w:r>
      <w:r w:rsidRPr="00BE38B7">
        <w:rPr>
          <w:rFonts w:eastAsiaTheme="minorEastAsia" w:cstheme="minorHAnsi"/>
          <w:sz w:val="24"/>
          <w:szCs w:val="24"/>
        </w:rPr>
        <w:t xml:space="preserve"> the limits on their constitutional role as against that of Parliament. </w:t>
      </w:r>
    </w:p>
    <w:p w14:paraId="475A5BA2" w14:textId="77777777" w:rsidR="00BE38B7" w:rsidRPr="00BE38B7" w:rsidRDefault="00BE38B7" w:rsidP="00BE38B7">
      <w:pPr>
        <w:spacing w:after="160"/>
        <w:rPr>
          <w:rFonts w:eastAsiaTheme="minorEastAsia" w:cstheme="minorHAnsi"/>
          <w:sz w:val="24"/>
          <w:szCs w:val="24"/>
        </w:rPr>
      </w:pPr>
      <w:proofErr w:type="gramStart"/>
      <w:r w:rsidRPr="00BE38B7">
        <w:rPr>
          <w:rFonts w:eastAsiaTheme="minorEastAsia" w:cstheme="minorHAnsi"/>
          <w:sz w:val="24"/>
          <w:szCs w:val="24"/>
        </w:rPr>
        <w:t>In order to</w:t>
      </w:r>
      <w:proofErr w:type="gramEnd"/>
      <w:r w:rsidRPr="00BE38B7">
        <w:rPr>
          <w:rFonts w:eastAsiaTheme="minorEastAsia" w:cstheme="minorHAnsi"/>
          <w:sz w:val="24"/>
          <w:szCs w:val="24"/>
        </w:rPr>
        <w:t xml:space="preserve"> legitimise the courts’ modern approach to statutory interpretation, they have to be able to specify objective criteria by reference to which they can justify their identification and use of constitutional rights and principles. The courts need to have strategies in place and a defined and defensible legal methodology to protect against the accusation that they are illegitimately imposing their own idiosyncratic values in the interpretation of legislation, completely removed from any real democratic endorsement. If they cannot do this, then in the medium to long term they will diminish public respect for their neutrality as impartial appliers of the law, which would itself undermine rule of law values. </w:t>
      </w:r>
    </w:p>
    <w:p w14:paraId="707A1F94" w14:textId="77777777" w:rsidR="00BE38B7" w:rsidRPr="00BE38B7" w:rsidRDefault="00BE38B7" w:rsidP="00BE38B7">
      <w:pPr>
        <w:spacing w:after="160"/>
        <w:rPr>
          <w:rFonts w:eastAsiaTheme="minorEastAsia" w:cstheme="minorHAnsi"/>
          <w:sz w:val="24"/>
          <w:szCs w:val="24"/>
        </w:rPr>
      </w:pPr>
      <w:r w:rsidRPr="00BE38B7">
        <w:rPr>
          <w:rFonts w:eastAsiaTheme="minorEastAsia" w:cstheme="minorHAnsi"/>
          <w:sz w:val="24"/>
          <w:szCs w:val="24"/>
        </w:rPr>
        <w:t xml:space="preserve">The modern approach to statutory interpretation involves a partnership between courts and legislature, with the courts’ side of the partnership more prominent than it was in the twentieth century. But we have not broken free from democratic principle; on the contrary, democratic ideology has grown in strength as well in a parallel development. The democratic principle remains fundamental to our constitution and the courts </w:t>
      </w:r>
      <w:proofErr w:type="gramStart"/>
      <w:r w:rsidRPr="00BE38B7">
        <w:rPr>
          <w:rFonts w:eastAsiaTheme="minorEastAsia" w:cstheme="minorHAnsi"/>
          <w:sz w:val="24"/>
          <w:szCs w:val="24"/>
        </w:rPr>
        <w:t>have to</w:t>
      </w:r>
      <w:proofErr w:type="gramEnd"/>
      <w:r w:rsidRPr="00BE38B7">
        <w:rPr>
          <w:rFonts w:eastAsiaTheme="minorEastAsia" w:cstheme="minorHAnsi"/>
          <w:sz w:val="24"/>
          <w:szCs w:val="24"/>
        </w:rPr>
        <w:t xml:space="preserve"> recognise this. For this reason, the study suggests that it is important for courts seeking to use constitutional rights and principles to inform statutory interpretation always to have this in mind. They leave a lot of work to be done by the courts in giving meaning to statutory provisions at the level of particularity required by the detailed process of interpretation, </w:t>
      </w:r>
      <w:proofErr w:type="gramStart"/>
      <w:r w:rsidRPr="00BE38B7">
        <w:rPr>
          <w:rFonts w:eastAsiaTheme="minorEastAsia" w:cstheme="minorHAnsi"/>
          <w:sz w:val="24"/>
          <w:szCs w:val="24"/>
        </w:rPr>
        <w:t>in order to</w:t>
      </w:r>
      <w:proofErr w:type="gramEnd"/>
      <w:r w:rsidRPr="00BE38B7">
        <w:rPr>
          <w:rFonts w:eastAsiaTheme="minorEastAsia" w:cstheme="minorHAnsi"/>
          <w:sz w:val="24"/>
          <w:szCs w:val="24"/>
        </w:rPr>
        <w:t xml:space="preserve"> produce a determinate legal outcome in a case.</w:t>
      </w:r>
    </w:p>
    <w:p w14:paraId="782EDB6D" w14:textId="7F724351" w:rsidR="00895559" w:rsidRDefault="00895559"/>
    <w:p w14:paraId="4F1BDF47" w14:textId="77777777" w:rsidR="00F9044C" w:rsidRDefault="00BE38B7" w:rsidP="00BE38B7">
      <w:pPr>
        <w:spacing w:line="480" w:lineRule="auto"/>
        <w:jc w:val="center"/>
      </w:pPr>
      <w:r>
        <w:tab/>
      </w:r>
    </w:p>
    <w:p w14:paraId="0213C944" w14:textId="77777777" w:rsidR="00F9044C" w:rsidRDefault="00F9044C" w:rsidP="00BE38B7">
      <w:pPr>
        <w:spacing w:line="480" w:lineRule="auto"/>
        <w:jc w:val="center"/>
      </w:pPr>
    </w:p>
    <w:p w14:paraId="0DF646B2" w14:textId="77777777" w:rsidR="00F9044C" w:rsidRDefault="00F9044C" w:rsidP="00BE38B7">
      <w:pPr>
        <w:spacing w:line="480" w:lineRule="auto"/>
        <w:jc w:val="center"/>
      </w:pPr>
    </w:p>
    <w:p w14:paraId="54F8523D" w14:textId="77777777" w:rsidR="00F9044C" w:rsidRDefault="00F9044C" w:rsidP="00BE38B7">
      <w:pPr>
        <w:spacing w:line="480" w:lineRule="auto"/>
        <w:jc w:val="center"/>
      </w:pPr>
    </w:p>
    <w:p w14:paraId="6F0F9BDE" w14:textId="77777777" w:rsidR="00F9044C" w:rsidRDefault="00F9044C" w:rsidP="00BE38B7">
      <w:pPr>
        <w:spacing w:line="480" w:lineRule="auto"/>
        <w:jc w:val="center"/>
      </w:pPr>
    </w:p>
    <w:p w14:paraId="1FBD5D5C" w14:textId="5577C6B9" w:rsidR="00BE38B7" w:rsidRPr="00BE38B7" w:rsidRDefault="00BE38B7" w:rsidP="00BE38B7">
      <w:pPr>
        <w:spacing w:line="480" w:lineRule="auto"/>
        <w:jc w:val="center"/>
        <w:rPr>
          <w:rFonts w:ascii="Times New Roman" w:eastAsiaTheme="minorEastAsia" w:hAnsi="Times New Roman" w:cs="Times New Roman"/>
          <w:sz w:val="24"/>
          <w:szCs w:val="24"/>
        </w:rPr>
      </w:pPr>
      <w:r w:rsidRPr="00BE38B7">
        <w:rPr>
          <w:rFonts w:ascii="Times New Roman" w:eastAsiaTheme="minorEastAsia" w:hAnsi="Times New Roman" w:cs="Times New Roman"/>
          <w:sz w:val="24"/>
          <w:szCs w:val="24"/>
        </w:rPr>
        <w:lastRenderedPageBreak/>
        <w:t>Reference List</w:t>
      </w:r>
    </w:p>
    <w:p w14:paraId="3EB367EA" w14:textId="77777777" w:rsidR="00BE38B7" w:rsidRPr="00BE38B7" w:rsidRDefault="00BE38B7" w:rsidP="00BE38B7">
      <w:pPr>
        <w:spacing w:after="160" w:line="480" w:lineRule="auto"/>
        <w:jc w:val="center"/>
        <w:rPr>
          <w:rFonts w:ascii="Times New Roman" w:eastAsiaTheme="minorEastAsia" w:hAnsi="Times New Roman" w:cs="Times New Roman"/>
          <w:sz w:val="24"/>
          <w:szCs w:val="24"/>
        </w:rPr>
      </w:pPr>
      <w:r w:rsidRPr="00BE38B7">
        <w:rPr>
          <w:rFonts w:ascii="Times New Roman" w:eastAsiaTheme="minorEastAsia" w:hAnsi="Times New Roman" w:cs="Times New Roman"/>
          <w:color w:val="222222"/>
          <w:sz w:val="24"/>
          <w:szCs w:val="24"/>
          <w:shd w:val="clear" w:color="auto" w:fill="FFFFFF"/>
        </w:rPr>
        <w:t>Andrews, N., 2017. The Supreme Court of the United Kingdom: a selective tribunal with the final say on most matters. In </w:t>
      </w:r>
      <w:r w:rsidRPr="00BE38B7">
        <w:rPr>
          <w:rFonts w:ascii="Times New Roman" w:eastAsiaTheme="minorEastAsia" w:hAnsi="Times New Roman" w:cs="Times New Roman"/>
          <w:i/>
          <w:iCs/>
          <w:color w:val="222222"/>
          <w:sz w:val="24"/>
          <w:szCs w:val="24"/>
          <w:shd w:val="clear" w:color="auto" w:fill="FFFFFF"/>
        </w:rPr>
        <w:t>Supreme Courts in Transition in China and the West</w:t>
      </w:r>
      <w:r w:rsidRPr="00BE38B7">
        <w:rPr>
          <w:rFonts w:ascii="Times New Roman" w:eastAsiaTheme="minorEastAsia" w:hAnsi="Times New Roman" w:cs="Times New Roman"/>
          <w:color w:val="222222"/>
          <w:sz w:val="24"/>
          <w:szCs w:val="24"/>
          <w:shd w:val="clear" w:color="auto" w:fill="FFFFFF"/>
        </w:rPr>
        <w:t> (pp. 37-51). Springer, Cham.</w:t>
      </w:r>
    </w:p>
    <w:p w14:paraId="03A65F84" w14:textId="77777777" w:rsidR="00BE38B7" w:rsidRPr="00BE38B7" w:rsidRDefault="00BE38B7" w:rsidP="00BE38B7">
      <w:pPr>
        <w:spacing w:after="160" w:line="480" w:lineRule="auto"/>
        <w:ind w:left="720" w:hanging="720"/>
        <w:rPr>
          <w:rFonts w:ascii="Times New Roman" w:eastAsiaTheme="minorEastAsia" w:hAnsi="Times New Roman" w:cs="Times New Roman"/>
          <w:color w:val="222222"/>
          <w:sz w:val="24"/>
          <w:szCs w:val="24"/>
          <w:shd w:val="clear" w:color="auto" w:fill="FFFFFF"/>
        </w:rPr>
      </w:pPr>
      <w:r w:rsidRPr="00BE38B7">
        <w:rPr>
          <w:rFonts w:ascii="Times New Roman" w:eastAsiaTheme="minorEastAsia" w:hAnsi="Times New Roman" w:cs="Times New Roman"/>
          <w:color w:val="222222"/>
          <w:sz w:val="24"/>
          <w:szCs w:val="24"/>
          <w:shd w:val="clear" w:color="auto" w:fill="FFFFFF"/>
        </w:rPr>
        <w:t>Elliott, M., 2020. Constitutional Adjudication and Constitutional Politics in the United Kingdom: The Miller II Case in Legal and Political Context. </w:t>
      </w:r>
      <w:r w:rsidRPr="00BE38B7">
        <w:rPr>
          <w:rFonts w:ascii="Times New Roman" w:eastAsiaTheme="minorEastAsia" w:hAnsi="Times New Roman" w:cs="Times New Roman"/>
          <w:i/>
          <w:iCs/>
          <w:color w:val="222222"/>
          <w:sz w:val="24"/>
          <w:szCs w:val="24"/>
          <w:shd w:val="clear" w:color="auto" w:fill="FFFFFF"/>
        </w:rPr>
        <w:t>European Constitutional Law Review</w:t>
      </w:r>
      <w:r w:rsidRPr="00BE38B7">
        <w:rPr>
          <w:rFonts w:ascii="Times New Roman" w:eastAsiaTheme="minorEastAsia" w:hAnsi="Times New Roman" w:cs="Times New Roman"/>
          <w:color w:val="222222"/>
          <w:sz w:val="24"/>
          <w:szCs w:val="24"/>
          <w:shd w:val="clear" w:color="auto" w:fill="FFFFFF"/>
        </w:rPr>
        <w:t>, </w:t>
      </w:r>
      <w:r w:rsidRPr="00BE38B7">
        <w:rPr>
          <w:rFonts w:ascii="Times New Roman" w:eastAsiaTheme="minorEastAsia" w:hAnsi="Times New Roman" w:cs="Times New Roman"/>
          <w:i/>
          <w:iCs/>
          <w:color w:val="222222"/>
          <w:sz w:val="24"/>
          <w:szCs w:val="24"/>
          <w:shd w:val="clear" w:color="auto" w:fill="FFFFFF"/>
        </w:rPr>
        <w:t>16</w:t>
      </w:r>
      <w:r w:rsidRPr="00BE38B7">
        <w:rPr>
          <w:rFonts w:ascii="Times New Roman" w:eastAsiaTheme="minorEastAsia" w:hAnsi="Times New Roman" w:cs="Times New Roman"/>
          <w:color w:val="222222"/>
          <w:sz w:val="24"/>
          <w:szCs w:val="24"/>
          <w:shd w:val="clear" w:color="auto" w:fill="FFFFFF"/>
        </w:rPr>
        <w:t>(4), pp.625-646.</w:t>
      </w:r>
    </w:p>
    <w:p w14:paraId="20AB06D3" w14:textId="77777777" w:rsidR="00BE38B7" w:rsidRPr="00BE38B7" w:rsidRDefault="00BE38B7" w:rsidP="00BE38B7">
      <w:pPr>
        <w:spacing w:after="160" w:line="480" w:lineRule="auto"/>
        <w:ind w:left="720" w:hanging="720"/>
        <w:rPr>
          <w:rFonts w:ascii="Times New Roman" w:eastAsiaTheme="minorEastAsia" w:hAnsi="Times New Roman" w:cs="Times New Roman"/>
          <w:color w:val="222222"/>
          <w:sz w:val="24"/>
          <w:szCs w:val="24"/>
          <w:shd w:val="clear" w:color="auto" w:fill="FFFFFF"/>
        </w:rPr>
      </w:pPr>
      <w:r w:rsidRPr="00BE38B7">
        <w:rPr>
          <w:rFonts w:ascii="Times New Roman" w:eastAsiaTheme="minorEastAsia" w:hAnsi="Times New Roman" w:cs="Times New Roman"/>
          <w:color w:val="222222"/>
          <w:sz w:val="24"/>
          <w:szCs w:val="24"/>
          <w:shd w:val="clear" w:color="auto" w:fill="FFFFFF"/>
        </w:rPr>
        <w:t>Emerson, B., 2017. Administrative Answers to Major Questions: On the Democratic Legitimacy of Agency Statutory Interpretation. </w:t>
      </w:r>
      <w:r w:rsidRPr="00BE38B7">
        <w:rPr>
          <w:rFonts w:ascii="Times New Roman" w:eastAsiaTheme="minorEastAsia" w:hAnsi="Times New Roman" w:cs="Times New Roman"/>
          <w:i/>
          <w:iCs/>
          <w:color w:val="222222"/>
          <w:sz w:val="24"/>
          <w:szCs w:val="24"/>
          <w:shd w:val="clear" w:color="auto" w:fill="FFFFFF"/>
        </w:rPr>
        <w:t>Minn. L. Rev.</w:t>
      </w:r>
      <w:r w:rsidRPr="00BE38B7">
        <w:rPr>
          <w:rFonts w:ascii="Times New Roman" w:eastAsiaTheme="minorEastAsia" w:hAnsi="Times New Roman" w:cs="Times New Roman"/>
          <w:color w:val="222222"/>
          <w:sz w:val="24"/>
          <w:szCs w:val="24"/>
          <w:shd w:val="clear" w:color="auto" w:fill="FFFFFF"/>
        </w:rPr>
        <w:t>, </w:t>
      </w:r>
      <w:r w:rsidRPr="00BE38B7">
        <w:rPr>
          <w:rFonts w:ascii="Times New Roman" w:eastAsiaTheme="minorEastAsia" w:hAnsi="Times New Roman" w:cs="Times New Roman"/>
          <w:i/>
          <w:iCs/>
          <w:color w:val="222222"/>
          <w:sz w:val="24"/>
          <w:szCs w:val="24"/>
          <w:shd w:val="clear" w:color="auto" w:fill="FFFFFF"/>
        </w:rPr>
        <w:t>102</w:t>
      </w:r>
      <w:r w:rsidRPr="00BE38B7">
        <w:rPr>
          <w:rFonts w:ascii="Times New Roman" w:eastAsiaTheme="minorEastAsia" w:hAnsi="Times New Roman" w:cs="Times New Roman"/>
          <w:color w:val="222222"/>
          <w:sz w:val="24"/>
          <w:szCs w:val="24"/>
          <w:shd w:val="clear" w:color="auto" w:fill="FFFFFF"/>
        </w:rPr>
        <w:t>, p.2019.</w:t>
      </w:r>
    </w:p>
    <w:p w14:paraId="5C318526" w14:textId="77777777" w:rsidR="00BE38B7" w:rsidRPr="00BE38B7" w:rsidRDefault="00BE38B7" w:rsidP="00BE38B7">
      <w:pPr>
        <w:spacing w:after="160" w:line="480" w:lineRule="auto"/>
        <w:ind w:left="720" w:hanging="720"/>
        <w:rPr>
          <w:rFonts w:ascii="Times New Roman" w:eastAsiaTheme="minorEastAsia" w:hAnsi="Times New Roman" w:cs="Times New Roman"/>
          <w:color w:val="222222"/>
          <w:sz w:val="24"/>
          <w:szCs w:val="24"/>
          <w:shd w:val="clear" w:color="auto" w:fill="FFFFFF"/>
        </w:rPr>
      </w:pPr>
      <w:r w:rsidRPr="00BE38B7">
        <w:rPr>
          <w:rFonts w:ascii="Times New Roman" w:eastAsiaTheme="minorEastAsia" w:hAnsi="Times New Roman" w:cs="Times New Roman"/>
          <w:color w:val="222222"/>
          <w:sz w:val="24"/>
          <w:szCs w:val="24"/>
          <w:shd w:val="clear" w:color="auto" w:fill="FFFFFF"/>
        </w:rPr>
        <w:t>Feldman, D., 2014. Statutory Interpretation and Constitutional Legislation.</w:t>
      </w:r>
    </w:p>
    <w:p w14:paraId="72CDDAFE" w14:textId="77777777" w:rsidR="00BE38B7" w:rsidRPr="00BE38B7" w:rsidRDefault="00BE38B7" w:rsidP="00BE38B7">
      <w:pPr>
        <w:rPr>
          <w:rFonts w:ascii="Times New Roman" w:hAnsi="Times New Roman" w:cs="Times New Roman"/>
          <w:noProof/>
          <w:sz w:val="24"/>
          <w:szCs w:val="24"/>
          <w:lang w:val="en-US"/>
        </w:rPr>
      </w:pPr>
      <w:r w:rsidRPr="00BE38B7">
        <w:rPr>
          <w:rFonts w:ascii="Times New Roman" w:hAnsi="Times New Roman" w:cs="Times New Roman"/>
          <w:noProof/>
          <w:sz w:val="24"/>
          <w:szCs w:val="24"/>
          <w:lang w:val="en-US"/>
        </w:rPr>
        <w:t xml:space="preserve">Fiona Cownie, A. B. a. M. B., 2007. </w:t>
      </w:r>
      <w:r w:rsidRPr="00BE38B7">
        <w:rPr>
          <w:rFonts w:ascii="Times New Roman" w:hAnsi="Times New Roman" w:cs="Times New Roman"/>
          <w:i/>
          <w:iCs/>
          <w:noProof/>
          <w:sz w:val="24"/>
          <w:szCs w:val="24"/>
          <w:lang w:val="en-US"/>
        </w:rPr>
        <w:t xml:space="preserve">English Legal System in Context. </w:t>
      </w:r>
      <w:r w:rsidRPr="00BE38B7">
        <w:rPr>
          <w:rFonts w:ascii="Times New Roman" w:hAnsi="Times New Roman" w:cs="Times New Roman"/>
          <w:noProof/>
          <w:sz w:val="24"/>
          <w:szCs w:val="24"/>
          <w:lang w:val="en-US"/>
        </w:rPr>
        <w:t>5 ed. s.l.:Oxford University Press.</w:t>
      </w:r>
    </w:p>
    <w:p w14:paraId="5E573A75" w14:textId="77777777" w:rsidR="00BE38B7" w:rsidRPr="00BE38B7" w:rsidRDefault="00BE38B7" w:rsidP="00BE38B7">
      <w:pPr>
        <w:spacing w:after="160" w:line="480" w:lineRule="auto"/>
        <w:ind w:left="720" w:hanging="720"/>
        <w:rPr>
          <w:rFonts w:ascii="Times New Roman" w:eastAsiaTheme="minorEastAsia" w:hAnsi="Times New Roman" w:cs="Times New Roman"/>
          <w:color w:val="222222"/>
          <w:sz w:val="24"/>
          <w:szCs w:val="24"/>
          <w:shd w:val="clear" w:color="auto" w:fill="FFFFFF"/>
        </w:rPr>
      </w:pPr>
      <w:proofErr w:type="spellStart"/>
      <w:r w:rsidRPr="00BE38B7">
        <w:rPr>
          <w:rFonts w:ascii="Times New Roman" w:eastAsiaTheme="minorEastAsia" w:hAnsi="Times New Roman" w:cs="Times New Roman"/>
          <w:color w:val="222222"/>
          <w:sz w:val="24"/>
          <w:szCs w:val="24"/>
          <w:shd w:val="clear" w:color="auto" w:fill="FFFFFF"/>
        </w:rPr>
        <w:t>MacCormick</w:t>
      </w:r>
      <w:proofErr w:type="spellEnd"/>
      <w:r w:rsidRPr="00BE38B7">
        <w:rPr>
          <w:rFonts w:ascii="Times New Roman" w:eastAsiaTheme="minorEastAsia" w:hAnsi="Times New Roman" w:cs="Times New Roman"/>
          <w:color w:val="222222"/>
          <w:sz w:val="24"/>
          <w:szCs w:val="24"/>
          <w:shd w:val="clear" w:color="auto" w:fill="FFFFFF"/>
        </w:rPr>
        <w:t>, D.N. and Summers, R.S., 2016. </w:t>
      </w:r>
      <w:r w:rsidRPr="00BE38B7">
        <w:rPr>
          <w:rFonts w:ascii="Times New Roman" w:eastAsiaTheme="minorEastAsia" w:hAnsi="Times New Roman" w:cs="Times New Roman"/>
          <w:i/>
          <w:iCs/>
          <w:color w:val="222222"/>
          <w:sz w:val="24"/>
          <w:szCs w:val="24"/>
          <w:shd w:val="clear" w:color="auto" w:fill="FFFFFF"/>
        </w:rPr>
        <w:t>Interpreting statutes: a comparative study</w:t>
      </w:r>
      <w:r w:rsidRPr="00BE38B7">
        <w:rPr>
          <w:rFonts w:ascii="Times New Roman" w:eastAsiaTheme="minorEastAsia" w:hAnsi="Times New Roman" w:cs="Times New Roman"/>
          <w:color w:val="222222"/>
          <w:sz w:val="24"/>
          <w:szCs w:val="24"/>
          <w:shd w:val="clear" w:color="auto" w:fill="FFFFFF"/>
        </w:rPr>
        <w:t>. Routledge.</w:t>
      </w:r>
    </w:p>
    <w:p w14:paraId="536A81D4" w14:textId="77777777" w:rsidR="00BE38B7" w:rsidRPr="00BE38B7" w:rsidRDefault="00BE38B7" w:rsidP="00BE38B7">
      <w:pPr>
        <w:spacing w:after="160" w:line="480" w:lineRule="auto"/>
        <w:ind w:left="720" w:hanging="720"/>
        <w:rPr>
          <w:rFonts w:ascii="Times New Roman" w:eastAsiaTheme="minorEastAsia" w:hAnsi="Times New Roman" w:cs="Times New Roman"/>
          <w:color w:val="222222"/>
          <w:sz w:val="24"/>
          <w:szCs w:val="24"/>
          <w:shd w:val="clear" w:color="auto" w:fill="FFFFFF"/>
        </w:rPr>
      </w:pPr>
      <w:r w:rsidRPr="00BE38B7">
        <w:rPr>
          <w:rFonts w:ascii="Times New Roman" w:eastAsiaTheme="minorEastAsia" w:hAnsi="Times New Roman" w:cs="Times New Roman"/>
          <w:color w:val="222222"/>
          <w:sz w:val="24"/>
          <w:szCs w:val="24"/>
          <w:shd w:val="clear" w:color="auto" w:fill="FFFFFF"/>
        </w:rPr>
        <w:t>Morag-Levine, N., 2009. Agency Statutory Interpretation and the Rule of Common Law. </w:t>
      </w:r>
      <w:r w:rsidRPr="00BE38B7">
        <w:rPr>
          <w:rFonts w:ascii="Times New Roman" w:eastAsiaTheme="minorEastAsia" w:hAnsi="Times New Roman" w:cs="Times New Roman"/>
          <w:i/>
          <w:iCs/>
          <w:color w:val="222222"/>
          <w:sz w:val="24"/>
          <w:szCs w:val="24"/>
          <w:shd w:val="clear" w:color="auto" w:fill="FFFFFF"/>
        </w:rPr>
        <w:t>Mich. St. L. Rev.</w:t>
      </w:r>
      <w:r w:rsidRPr="00BE38B7">
        <w:rPr>
          <w:rFonts w:ascii="Times New Roman" w:eastAsiaTheme="minorEastAsia" w:hAnsi="Times New Roman" w:cs="Times New Roman"/>
          <w:color w:val="222222"/>
          <w:sz w:val="24"/>
          <w:szCs w:val="24"/>
          <w:shd w:val="clear" w:color="auto" w:fill="FFFFFF"/>
        </w:rPr>
        <w:t>, p.51.</w:t>
      </w:r>
    </w:p>
    <w:p w14:paraId="38038E5D" w14:textId="77777777" w:rsidR="00BE38B7" w:rsidRPr="00BE38B7" w:rsidRDefault="00BE38B7" w:rsidP="00BE38B7">
      <w:pPr>
        <w:rPr>
          <w:rFonts w:ascii="Times New Roman" w:hAnsi="Times New Roman" w:cs="Times New Roman"/>
          <w:noProof/>
          <w:sz w:val="24"/>
          <w:szCs w:val="24"/>
          <w:lang w:val="en-US"/>
        </w:rPr>
      </w:pPr>
      <w:r w:rsidRPr="00BE38B7">
        <w:rPr>
          <w:rFonts w:ascii="Times New Roman" w:hAnsi="Times New Roman" w:cs="Times New Roman"/>
          <w:noProof/>
          <w:sz w:val="24"/>
          <w:szCs w:val="24"/>
          <w:lang w:val="en-US"/>
        </w:rPr>
        <w:t xml:space="preserve">Owens, K., 2001. </w:t>
      </w:r>
      <w:r w:rsidRPr="00BE38B7">
        <w:rPr>
          <w:rFonts w:ascii="Times New Roman" w:hAnsi="Times New Roman" w:cs="Times New Roman"/>
          <w:i/>
          <w:iCs/>
          <w:noProof/>
          <w:sz w:val="24"/>
          <w:szCs w:val="24"/>
          <w:lang w:val="en-US"/>
        </w:rPr>
        <w:t xml:space="preserve">Law for Non-law Students. </w:t>
      </w:r>
      <w:r w:rsidRPr="00BE38B7">
        <w:rPr>
          <w:rFonts w:ascii="Times New Roman" w:hAnsi="Times New Roman" w:cs="Times New Roman"/>
          <w:noProof/>
          <w:sz w:val="24"/>
          <w:szCs w:val="24"/>
          <w:lang w:val="en-US"/>
        </w:rPr>
        <w:t>3 ed. s.l.:Routledge-Cavendish.</w:t>
      </w:r>
    </w:p>
    <w:p w14:paraId="7B795249" w14:textId="77777777" w:rsidR="00BE38B7" w:rsidRPr="00BE38B7" w:rsidRDefault="00BE38B7" w:rsidP="00BE38B7">
      <w:pPr>
        <w:spacing w:after="160" w:line="480" w:lineRule="auto"/>
        <w:ind w:left="720" w:hanging="720"/>
        <w:rPr>
          <w:rFonts w:ascii="Times New Roman" w:eastAsiaTheme="minorEastAsia" w:hAnsi="Times New Roman" w:cs="Times New Roman"/>
          <w:color w:val="222222"/>
          <w:sz w:val="24"/>
          <w:szCs w:val="24"/>
          <w:shd w:val="clear" w:color="auto" w:fill="FFFFFF"/>
        </w:rPr>
      </w:pPr>
      <w:r w:rsidRPr="00BE38B7">
        <w:rPr>
          <w:rFonts w:ascii="Times New Roman" w:eastAsiaTheme="minorEastAsia" w:hAnsi="Times New Roman" w:cs="Times New Roman"/>
          <w:color w:val="222222"/>
          <w:sz w:val="24"/>
          <w:szCs w:val="24"/>
          <w:shd w:val="clear" w:color="auto" w:fill="FFFFFF"/>
        </w:rPr>
        <w:t xml:space="preserve">Poole, T., 2005. Harnessing the power of the past? Lord Hoffmann and the Belmarsh </w:t>
      </w:r>
      <w:proofErr w:type="gramStart"/>
      <w:r w:rsidRPr="00BE38B7">
        <w:rPr>
          <w:rFonts w:ascii="Times New Roman" w:eastAsiaTheme="minorEastAsia" w:hAnsi="Times New Roman" w:cs="Times New Roman"/>
          <w:color w:val="222222"/>
          <w:sz w:val="24"/>
          <w:szCs w:val="24"/>
          <w:shd w:val="clear" w:color="auto" w:fill="FFFFFF"/>
        </w:rPr>
        <w:t>detainees</w:t>
      </w:r>
      <w:proofErr w:type="gramEnd"/>
      <w:r w:rsidRPr="00BE38B7">
        <w:rPr>
          <w:rFonts w:ascii="Times New Roman" w:eastAsiaTheme="minorEastAsia" w:hAnsi="Times New Roman" w:cs="Times New Roman"/>
          <w:color w:val="222222"/>
          <w:sz w:val="24"/>
          <w:szCs w:val="24"/>
          <w:shd w:val="clear" w:color="auto" w:fill="FFFFFF"/>
        </w:rPr>
        <w:t xml:space="preserve"> case. </w:t>
      </w:r>
      <w:r w:rsidRPr="00BE38B7">
        <w:rPr>
          <w:rFonts w:ascii="Times New Roman" w:eastAsiaTheme="minorEastAsia" w:hAnsi="Times New Roman" w:cs="Times New Roman"/>
          <w:i/>
          <w:iCs/>
          <w:color w:val="222222"/>
          <w:sz w:val="24"/>
          <w:szCs w:val="24"/>
          <w:shd w:val="clear" w:color="auto" w:fill="FFFFFF"/>
        </w:rPr>
        <w:t>Journal of Law and Society</w:t>
      </w:r>
      <w:r w:rsidRPr="00BE38B7">
        <w:rPr>
          <w:rFonts w:ascii="Times New Roman" w:eastAsiaTheme="minorEastAsia" w:hAnsi="Times New Roman" w:cs="Times New Roman"/>
          <w:color w:val="222222"/>
          <w:sz w:val="24"/>
          <w:szCs w:val="24"/>
          <w:shd w:val="clear" w:color="auto" w:fill="FFFFFF"/>
        </w:rPr>
        <w:t>, </w:t>
      </w:r>
      <w:r w:rsidRPr="00BE38B7">
        <w:rPr>
          <w:rFonts w:ascii="Times New Roman" w:eastAsiaTheme="minorEastAsia" w:hAnsi="Times New Roman" w:cs="Times New Roman"/>
          <w:i/>
          <w:iCs/>
          <w:color w:val="222222"/>
          <w:sz w:val="24"/>
          <w:szCs w:val="24"/>
          <w:shd w:val="clear" w:color="auto" w:fill="FFFFFF"/>
        </w:rPr>
        <w:t>32</w:t>
      </w:r>
      <w:r w:rsidRPr="00BE38B7">
        <w:rPr>
          <w:rFonts w:ascii="Times New Roman" w:eastAsiaTheme="minorEastAsia" w:hAnsi="Times New Roman" w:cs="Times New Roman"/>
          <w:color w:val="222222"/>
          <w:sz w:val="24"/>
          <w:szCs w:val="24"/>
          <w:shd w:val="clear" w:color="auto" w:fill="FFFFFF"/>
        </w:rPr>
        <w:t>(4), pp.534-561.</w:t>
      </w:r>
    </w:p>
    <w:p w14:paraId="7856A5D0" w14:textId="77777777" w:rsidR="00BE38B7" w:rsidRPr="00BE38B7" w:rsidRDefault="00BE38B7" w:rsidP="00BE38B7">
      <w:pPr>
        <w:rPr>
          <w:rFonts w:ascii="Times New Roman" w:hAnsi="Times New Roman" w:cs="Times New Roman"/>
          <w:noProof/>
          <w:sz w:val="24"/>
          <w:szCs w:val="24"/>
          <w:lang w:val="en-US"/>
        </w:rPr>
      </w:pPr>
      <w:r w:rsidRPr="00BE38B7">
        <w:rPr>
          <w:rFonts w:ascii="Times New Roman" w:hAnsi="Times New Roman" w:cs="Times New Roman"/>
          <w:noProof/>
          <w:sz w:val="24"/>
          <w:szCs w:val="24"/>
          <w:lang w:val="en-US"/>
        </w:rPr>
        <w:t xml:space="preserve">Quinn, E. a., 2020. </w:t>
      </w:r>
      <w:r w:rsidRPr="00BE38B7">
        <w:rPr>
          <w:rFonts w:ascii="Times New Roman" w:hAnsi="Times New Roman" w:cs="Times New Roman"/>
          <w:i/>
          <w:iCs/>
          <w:noProof/>
          <w:sz w:val="24"/>
          <w:szCs w:val="24"/>
          <w:lang w:val="en-US"/>
        </w:rPr>
        <w:t xml:space="preserve">English Legal Systems. </w:t>
      </w:r>
      <w:r w:rsidRPr="00BE38B7">
        <w:rPr>
          <w:rFonts w:ascii="Times New Roman" w:hAnsi="Times New Roman" w:cs="Times New Roman"/>
          <w:noProof/>
          <w:sz w:val="24"/>
          <w:szCs w:val="24"/>
          <w:lang w:val="en-US"/>
        </w:rPr>
        <w:t>21 ed. s.l.:Harlow, Pearson Education Limited.</w:t>
      </w:r>
    </w:p>
    <w:p w14:paraId="2F2420F6" w14:textId="77777777" w:rsidR="00BE38B7" w:rsidRPr="00BE38B7" w:rsidRDefault="00BE38B7" w:rsidP="00BE38B7">
      <w:pPr>
        <w:spacing w:after="160" w:line="480" w:lineRule="auto"/>
        <w:ind w:left="720" w:hanging="720"/>
        <w:rPr>
          <w:rFonts w:ascii="Times New Roman" w:eastAsiaTheme="minorEastAsia" w:hAnsi="Times New Roman" w:cs="Times New Roman"/>
          <w:color w:val="222222"/>
          <w:sz w:val="24"/>
          <w:szCs w:val="24"/>
          <w:shd w:val="clear" w:color="auto" w:fill="FFFFFF"/>
        </w:rPr>
      </w:pPr>
      <w:r w:rsidRPr="00BE38B7">
        <w:rPr>
          <w:rFonts w:ascii="Times New Roman" w:eastAsiaTheme="minorEastAsia" w:hAnsi="Times New Roman" w:cs="Times New Roman"/>
          <w:color w:val="222222"/>
          <w:sz w:val="24"/>
          <w:szCs w:val="24"/>
          <w:shd w:val="clear" w:color="auto" w:fill="FFFFFF"/>
        </w:rPr>
        <w:t>Sales, P., 2017. Modern Statutory Interpretation. </w:t>
      </w:r>
      <w:r w:rsidRPr="00BE38B7">
        <w:rPr>
          <w:rFonts w:ascii="Times New Roman" w:eastAsiaTheme="minorEastAsia" w:hAnsi="Times New Roman" w:cs="Times New Roman"/>
          <w:i/>
          <w:iCs/>
          <w:color w:val="222222"/>
          <w:sz w:val="24"/>
          <w:szCs w:val="24"/>
          <w:shd w:val="clear" w:color="auto" w:fill="FFFFFF"/>
        </w:rPr>
        <w:t>Statute Law Review</w:t>
      </w:r>
      <w:r w:rsidRPr="00BE38B7">
        <w:rPr>
          <w:rFonts w:ascii="Times New Roman" w:eastAsiaTheme="minorEastAsia" w:hAnsi="Times New Roman" w:cs="Times New Roman"/>
          <w:color w:val="222222"/>
          <w:sz w:val="24"/>
          <w:szCs w:val="24"/>
          <w:shd w:val="clear" w:color="auto" w:fill="FFFFFF"/>
        </w:rPr>
        <w:t>.</w:t>
      </w:r>
    </w:p>
    <w:p w14:paraId="181155B6" w14:textId="77777777" w:rsidR="00BE38B7" w:rsidRPr="00BE38B7" w:rsidRDefault="00BE38B7" w:rsidP="00BE38B7">
      <w:pPr>
        <w:spacing w:after="160" w:line="480" w:lineRule="auto"/>
        <w:ind w:left="720" w:hanging="720"/>
        <w:rPr>
          <w:rFonts w:ascii="Times New Roman" w:eastAsiaTheme="minorEastAsia" w:hAnsi="Times New Roman" w:cs="Times New Roman"/>
          <w:color w:val="222222"/>
          <w:sz w:val="24"/>
          <w:szCs w:val="24"/>
          <w:shd w:val="clear" w:color="auto" w:fill="FFFFFF"/>
        </w:rPr>
      </w:pPr>
      <w:r w:rsidRPr="00BE38B7">
        <w:rPr>
          <w:rFonts w:ascii="Times New Roman" w:eastAsiaTheme="minorEastAsia" w:hAnsi="Times New Roman" w:cs="Times New Roman"/>
          <w:color w:val="222222"/>
          <w:sz w:val="24"/>
          <w:szCs w:val="24"/>
          <w:shd w:val="clear" w:color="auto" w:fill="FFFFFF"/>
        </w:rPr>
        <w:t>Sayer, T.J., 2019. </w:t>
      </w:r>
      <w:r w:rsidRPr="00BE38B7">
        <w:rPr>
          <w:rFonts w:ascii="Times New Roman" w:eastAsiaTheme="minorEastAsia" w:hAnsi="Times New Roman" w:cs="Times New Roman"/>
          <w:i/>
          <w:iCs/>
          <w:color w:val="222222"/>
          <w:sz w:val="24"/>
          <w:szCs w:val="24"/>
          <w:shd w:val="clear" w:color="auto" w:fill="FFFFFF"/>
        </w:rPr>
        <w:t>Substantive Review, Statutory Interpretation and Bifurcation in the United Kingdom Supreme Court</w:t>
      </w:r>
      <w:r w:rsidRPr="00BE38B7">
        <w:rPr>
          <w:rFonts w:ascii="Times New Roman" w:eastAsiaTheme="minorEastAsia" w:hAnsi="Times New Roman" w:cs="Times New Roman"/>
          <w:color w:val="222222"/>
          <w:sz w:val="24"/>
          <w:szCs w:val="24"/>
          <w:shd w:val="clear" w:color="auto" w:fill="FFFFFF"/>
        </w:rPr>
        <w:t> (Doctoral dissertation, Newcastle University).</w:t>
      </w:r>
    </w:p>
    <w:p w14:paraId="6C11E083" w14:textId="77777777" w:rsidR="00BE38B7" w:rsidRPr="00BE38B7" w:rsidRDefault="00BE38B7" w:rsidP="00BE38B7">
      <w:pPr>
        <w:spacing w:after="160" w:line="480" w:lineRule="auto"/>
        <w:ind w:left="720" w:hanging="720"/>
        <w:rPr>
          <w:rFonts w:ascii="Times New Roman" w:eastAsiaTheme="minorEastAsia" w:hAnsi="Times New Roman" w:cs="Times New Roman"/>
          <w:color w:val="222222"/>
          <w:sz w:val="24"/>
          <w:szCs w:val="24"/>
          <w:shd w:val="clear" w:color="auto" w:fill="FFFFFF"/>
        </w:rPr>
      </w:pPr>
      <w:proofErr w:type="spellStart"/>
      <w:r w:rsidRPr="00BE38B7">
        <w:rPr>
          <w:rFonts w:ascii="Times New Roman" w:eastAsiaTheme="minorEastAsia" w:hAnsi="Times New Roman" w:cs="Times New Roman"/>
          <w:color w:val="222222"/>
          <w:sz w:val="24"/>
          <w:szCs w:val="24"/>
          <w:shd w:val="clear" w:color="auto" w:fill="FFFFFF"/>
        </w:rPr>
        <w:lastRenderedPageBreak/>
        <w:t>Shobe</w:t>
      </w:r>
      <w:proofErr w:type="spellEnd"/>
      <w:r w:rsidRPr="00BE38B7">
        <w:rPr>
          <w:rFonts w:ascii="Times New Roman" w:eastAsiaTheme="minorEastAsia" w:hAnsi="Times New Roman" w:cs="Times New Roman"/>
          <w:color w:val="222222"/>
          <w:sz w:val="24"/>
          <w:szCs w:val="24"/>
          <w:shd w:val="clear" w:color="auto" w:fill="FFFFFF"/>
        </w:rPr>
        <w:t>, J., 2014. Intertemporal statutory interpretation and the evolution of legislative drafting. </w:t>
      </w:r>
      <w:r w:rsidRPr="00BE38B7">
        <w:rPr>
          <w:rFonts w:ascii="Times New Roman" w:eastAsiaTheme="minorEastAsia" w:hAnsi="Times New Roman" w:cs="Times New Roman"/>
          <w:i/>
          <w:iCs/>
          <w:color w:val="222222"/>
          <w:sz w:val="24"/>
          <w:szCs w:val="24"/>
          <w:shd w:val="clear" w:color="auto" w:fill="FFFFFF"/>
        </w:rPr>
        <w:t>Colum. L. Rev.</w:t>
      </w:r>
      <w:r w:rsidRPr="00BE38B7">
        <w:rPr>
          <w:rFonts w:ascii="Times New Roman" w:eastAsiaTheme="minorEastAsia" w:hAnsi="Times New Roman" w:cs="Times New Roman"/>
          <w:color w:val="222222"/>
          <w:sz w:val="24"/>
          <w:szCs w:val="24"/>
          <w:shd w:val="clear" w:color="auto" w:fill="FFFFFF"/>
        </w:rPr>
        <w:t>, </w:t>
      </w:r>
      <w:r w:rsidRPr="00BE38B7">
        <w:rPr>
          <w:rFonts w:ascii="Times New Roman" w:eastAsiaTheme="minorEastAsia" w:hAnsi="Times New Roman" w:cs="Times New Roman"/>
          <w:i/>
          <w:iCs/>
          <w:color w:val="222222"/>
          <w:sz w:val="24"/>
          <w:szCs w:val="24"/>
          <w:shd w:val="clear" w:color="auto" w:fill="FFFFFF"/>
        </w:rPr>
        <w:t>114</w:t>
      </w:r>
      <w:r w:rsidRPr="00BE38B7">
        <w:rPr>
          <w:rFonts w:ascii="Times New Roman" w:eastAsiaTheme="minorEastAsia" w:hAnsi="Times New Roman" w:cs="Times New Roman"/>
          <w:color w:val="222222"/>
          <w:sz w:val="24"/>
          <w:szCs w:val="24"/>
          <w:shd w:val="clear" w:color="auto" w:fill="FFFFFF"/>
        </w:rPr>
        <w:t>, p.807.</w:t>
      </w:r>
    </w:p>
    <w:p w14:paraId="04DEE0AE" w14:textId="77777777" w:rsidR="00BE38B7" w:rsidRPr="00BE38B7" w:rsidRDefault="00BE38B7" w:rsidP="00BE38B7">
      <w:pPr>
        <w:rPr>
          <w:rFonts w:ascii="Times New Roman" w:hAnsi="Times New Roman" w:cs="Times New Roman"/>
          <w:noProof/>
          <w:sz w:val="24"/>
          <w:szCs w:val="24"/>
          <w:lang w:val="en-US"/>
        </w:rPr>
      </w:pPr>
      <w:r w:rsidRPr="00BE38B7">
        <w:rPr>
          <w:rFonts w:ascii="Times New Roman" w:hAnsi="Times New Roman" w:cs="Times New Roman"/>
          <w:noProof/>
          <w:sz w:val="24"/>
          <w:szCs w:val="24"/>
          <w:lang w:val="en-US"/>
        </w:rPr>
        <w:t xml:space="preserve">The Law Commission And Scottish Law Commission, 1969. </w:t>
      </w:r>
      <w:r w:rsidRPr="00BE38B7">
        <w:rPr>
          <w:rFonts w:ascii="Times New Roman" w:hAnsi="Times New Roman" w:cs="Times New Roman"/>
          <w:i/>
          <w:iCs/>
          <w:noProof/>
          <w:sz w:val="24"/>
          <w:szCs w:val="24"/>
          <w:lang w:val="en-US"/>
        </w:rPr>
        <w:t xml:space="preserve">The Interpretation Of Statutes, </w:t>
      </w:r>
      <w:r w:rsidRPr="00BE38B7">
        <w:rPr>
          <w:rFonts w:ascii="Times New Roman" w:hAnsi="Times New Roman" w:cs="Times New Roman"/>
          <w:noProof/>
          <w:sz w:val="24"/>
          <w:szCs w:val="24"/>
          <w:lang w:val="en-US"/>
        </w:rPr>
        <w:t>s.l.: s.n.</w:t>
      </w:r>
    </w:p>
    <w:p w14:paraId="755E13A7" w14:textId="77777777" w:rsidR="00BE38B7" w:rsidRPr="00BE38B7" w:rsidRDefault="00BE38B7" w:rsidP="00BE38B7">
      <w:pPr>
        <w:spacing w:after="160" w:line="480" w:lineRule="auto"/>
        <w:ind w:left="720" w:hanging="720"/>
        <w:rPr>
          <w:rFonts w:ascii="Times New Roman" w:eastAsiaTheme="minorEastAsia" w:hAnsi="Times New Roman" w:cs="Times New Roman"/>
          <w:color w:val="222222"/>
          <w:sz w:val="24"/>
          <w:szCs w:val="24"/>
          <w:shd w:val="clear" w:color="auto" w:fill="FFFFFF"/>
        </w:rPr>
      </w:pPr>
      <w:r w:rsidRPr="00BE38B7">
        <w:rPr>
          <w:rFonts w:ascii="Times New Roman" w:eastAsiaTheme="minorEastAsia" w:hAnsi="Times New Roman" w:cs="Times New Roman"/>
          <w:color w:val="222222"/>
          <w:sz w:val="24"/>
          <w:szCs w:val="24"/>
          <w:shd w:val="clear" w:color="auto" w:fill="FFFFFF"/>
        </w:rPr>
        <w:t xml:space="preserve">Walton, D., Sartor, G. and </w:t>
      </w:r>
      <w:proofErr w:type="spellStart"/>
      <w:r w:rsidRPr="00BE38B7">
        <w:rPr>
          <w:rFonts w:ascii="Times New Roman" w:eastAsiaTheme="minorEastAsia" w:hAnsi="Times New Roman" w:cs="Times New Roman"/>
          <w:color w:val="222222"/>
          <w:sz w:val="24"/>
          <w:szCs w:val="24"/>
          <w:shd w:val="clear" w:color="auto" w:fill="FFFFFF"/>
        </w:rPr>
        <w:t>Macagno</w:t>
      </w:r>
      <w:proofErr w:type="spellEnd"/>
      <w:r w:rsidRPr="00BE38B7">
        <w:rPr>
          <w:rFonts w:ascii="Times New Roman" w:eastAsiaTheme="minorEastAsia" w:hAnsi="Times New Roman" w:cs="Times New Roman"/>
          <w:color w:val="222222"/>
          <w:sz w:val="24"/>
          <w:szCs w:val="24"/>
          <w:shd w:val="clear" w:color="auto" w:fill="FFFFFF"/>
        </w:rPr>
        <w:t>, F., 2016. An argumentation framework for contested cases of statutory interpretation. </w:t>
      </w:r>
      <w:r w:rsidRPr="00BE38B7">
        <w:rPr>
          <w:rFonts w:ascii="Times New Roman" w:eastAsiaTheme="minorEastAsia" w:hAnsi="Times New Roman" w:cs="Times New Roman"/>
          <w:i/>
          <w:iCs/>
          <w:color w:val="222222"/>
          <w:sz w:val="24"/>
          <w:szCs w:val="24"/>
          <w:shd w:val="clear" w:color="auto" w:fill="FFFFFF"/>
        </w:rPr>
        <w:t>Artificial Intelligence and Law</w:t>
      </w:r>
      <w:r w:rsidRPr="00BE38B7">
        <w:rPr>
          <w:rFonts w:ascii="Times New Roman" w:eastAsiaTheme="minorEastAsia" w:hAnsi="Times New Roman" w:cs="Times New Roman"/>
          <w:color w:val="222222"/>
          <w:sz w:val="24"/>
          <w:szCs w:val="24"/>
          <w:shd w:val="clear" w:color="auto" w:fill="FFFFFF"/>
        </w:rPr>
        <w:t>, </w:t>
      </w:r>
      <w:r w:rsidRPr="00BE38B7">
        <w:rPr>
          <w:rFonts w:ascii="Times New Roman" w:eastAsiaTheme="minorEastAsia" w:hAnsi="Times New Roman" w:cs="Times New Roman"/>
          <w:i/>
          <w:iCs/>
          <w:color w:val="222222"/>
          <w:sz w:val="24"/>
          <w:szCs w:val="24"/>
          <w:shd w:val="clear" w:color="auto" w:fill="FFFFFF"/>
        </w:rPr>
        <w:t>24</w:t>
      </w:r>
      <w:r w:rsidRPr="00BE38B7">
        <w:rPr>
          <w:rFonts w:ascii="Times New Roman" w:eastAsiaTheme="minorEastAsia" w:hAnsi="Times New Roman" w:cs="Times New Roman"/>
          <w:color w:val="222222"/>
          <w:sz w:val="24"/>
          <w:szCs w:val="24"/>
          <w:shd w:val="clear" w:color="auto" w:fill="FFFFFF"/>
        </w:rPr>
        <w:t>(1), pp.51-91.</w:t>
      </w:r>
    </w:p>
    <w:p w14:paraId="3524E076" w14:textId="77777777" w:rsidR="00BE38B7" w:rsidRPr="00BE38B7" w:rsidRDefault="00BE38B7" w:rsidP="00BE38B7">
      <w:pPr>
        <w:spacing w:after="160" w:line="480" w:lineRule="auto"/>
        <w:ind w:left="720" w:hanging="720"/>
        <w:rPr>
          <w:rFonts w:ascii="Times New Roman" w:eastAsiaTheme="minorEastAsia" w:hAnsi="Times New Roman" w:cs="Times New Roman"/>
          <w:color w:val="222222"/>
          <w:sz w:val="24"/>
          <w:szCs w:val="24"/>
          <w:shd w:val="clear" w:color="auto" w:fill="FFFFFF"/>
        </w:rPr>
      </w:pPr>
      <w:r w:rsidRPr="00BE38B7">
        <w:rPr>
          <w:rFonts w:ascii="Times New Roman" w:eastAsiaTheme="minorEastAsia" w:hAnsi="Times New Roman" w:cs="Times New Roman"/>
          <w:color w:val="222222"/>
          <w:sz w:val="24"/>
          <w:szCs w:val="24"/>
          <w:shd w:val="clear" w:color="auto" w:fill="FFFFFF"/>
        </w:rPr>
        <w:t xml:space="preserve">Walton, D., Sartor, G. and </w:t>
      </w:r>
      <w:proofErr w:type="spellStart"/>
      <w:r w:rsidRPr="00BE38B7">
        <w:rPr>
          <w:rFonts w:ascii="Times New Roman" w:eastAsiaTheme="minorEastAsia" w:hAnsi="Times New Roman" w:cs="Times New Roman"/>
          <w:color w:val="222222"/>
          <w:sz w:val="24"/>
          <w:szCs w:val="24"/>
          <w:shd w:val="clear" w:color="auto" w:fill="FFFFFF"/>
        </w:rPr>
        <w:t>Macagno</w:t>
      </w:r>
      <w:proofErr w:type="spellEnd"/>
      <w:r w:rsidRPr="00BE38B7">
        <w:rPr>
          <w:rFonts w:ascii="Times New Roman" w:eastAsiaTheme="minorEastAsia" w:hAnsi="Times New Roman" w:cs="Times New Roman"/>
          <w:color w:val="222222"/>
          <w:sz w:val="24"/>
          <w:szCs w:val="24"/>
          <w:shd w:val="clear" w:color="auto" w:fill="FFFFFF"/>
        </w:rPr>
        <w:t>, F., 2018. Statutory interpretation as argumentation. In </w:t>
      </w:r>
      <w:r w:rsidRPr="00BE38B7">
        <w:rPr>
          <w:rFonts w:ascii="Times New Roman" w:eastAsiaTheme="minorEastAsia" w:hAnsi="Times New Roman" w:cs="Times New Roman"/>
          <w:i/>
          <w:iCs/>
          <w:color w:val="222222"/>
          <w:sz w:val="24"/>
          <w:szCs w:val="24"/>
          <w:shd w:val="clear" w:color="auto" w:fill="FFFFFF"/>
        </w:rPr>
        <w:t>Handbook of legal reasoning and argumentation</w:t>
      </w:r>
      <w:r w:rsidRPr="00BE38B7">
        <w:rPr>
          <w:rFonts w:ascii="Times New Roman" w:eastAsiaTheme="minorEastAsia" w:hAnsi="Times New Roman" w:cs="Times New Roman"/>
          <w:color w:val="222222"/>
          <w:sz w:val="24"/>
          <w:szCs w:val="24"/>
          <w:shd w:val="clear" w:color="auto" w:fill="FFFFFF"/>
        </w:rPr>
        <w:t> (pp. 519-560). Springer, Dordrecht.</w:t>
      </w:r>
    </w:p>
    <w:p w14:paraId="62C3CCD5" w14:textId="77777777" w:rsidR="00BE38B7" w:rsidRPr="00BE38B7" w:rsidRDefault="00BE38B7" w:rsidP="00BE38B7">
      <w:pPr>
        <w:rPr>
          <w:rFonts w:ascii="Times New Roman" w:hAnsi="Times New Roman" w:cs="Times New Roman"/>
          <w:noProof/>
          <w:sz w:val="24"/>
          <w:szCs w:val="24"/>
          <w:lang w:val="en-US"/>
        </w:rPr>
      </w:pPr>
      <w:r w:rsidRPr="00BE38B7">
        <w:rPr>
          <w:rFonts w:ascii="Times New Roman" w:hAnsi="Times New Roman" w:cs="Times New Roman"/>
          <w:noProof/>
          <w:sz w:val="24"/>
          <w:szCs w:val="24"/>
          <w:lang w:val="en-US"/>
        </w:rPr>
        <w:t xml:space="preserve">Weare, A. G. a. S., 2021. </w:t>
      </w:r>
      <w:r w:rsidRPr="00BE38B7">
        <w:rPr>
          <w:rFonts w:ascii="Times New Roman" w:hAnsi="Times New Roman" w:cs="Times New Roman"/>
          <w:i/>
          <w:iCs/>
          <w:noProof/>
          <w:sz w:val="24"/>
          <w:szCs w:val="24"/>
          <w:lang w:val="en-US"/>
        </w:rPr>
        <w:t xml:space="preserve">The English Legal System. </w:t>
      </w:r>
      <w:r w:rsidRPr="00BE38B7">
        <w:rPr>
          <w:rFonts w:ascii="Times New Roman" w:hAnsi="Times New Roman" w:cs="Times New Roman"/>
          <w:noProof/>
          <w:sz w:val="24"/>
          <w:szCs w:val="24"/>
          <w:lang w:val="en-US"/>
        </w:rPr>
        <w:t>8 ed. s.l.:Oxford University Press.</w:t>
      </w:r>
    </w:p>
    <w:p w14:paraId="5D8D7468" w14:textId="0C95E98A" w:rsidR="00BE38B7" w:rsidRPr="00BE38B7" w:rsidRDefault="00BE38B7" w:rsidP="00BE38B7">
      <w:pPr>
        <w:tabs>
          <w:tab w:val="left" w:pos="1920"/>
        </w:tabs>
      </w:pPr>
    </w:p>
    <w:sectPr w:rsidR="00BE38B7" w:rsidRPr="00BE38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8B7"/>
    <w:rsid w:val="00252265"/>
    <w:rsid w:val="00895559"/>
    <w:rsid w:val="00BE38B7"/>
    <w:rsid w:val="00D60D71"/>
    <w:rsid w:val="00F90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AD01F"/>
  <w15:chartTrackingRefBased/>
  <w15:docId w15:val="{1BE9C30F-7832-4B49-B8F7-07418C5A8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8B7"/>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BE38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Ell20</b:Tag>
    <b:SourceType>Book</b:SourceType>
    <b:Guid>{0606CF65-C736-462E-B034-CE25C4D9EA01}</b:Guid>
    <b:Author>
      <b:Author>
        <b:NameList>
          <b:Person>
            <b:Last>Quinn</b:Last>
            <b:First>Elliot</b:First>
            <b:Middle>and</b:Middle>
          </b:Person>
        </b:NameList>
      </b:Author>
    </b:Author>
    <b:Title>English Legal Systems</b:Title>
    <b:Year>2020</b:Year>
    <b:Publisher>Harlow, Pearson Education Limited</b:Publisher>
    <b:Edition>21</b:Edition>
    <b:RefOrder>1</b:RefOrder>
  </b:Source>
</b:Sources>
</file>

<file path=customXml/itemProps1.xml><?xml version="1.0" encoding="utf-8"?>
<ds:datastoreItem xmlns:ds="http://schemas.openxmlformats.org/officeDocument/2006/customXml" ds:itemID="{3807F678-44A6-4A45-A5A2-C60291645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1951</Words>
  <Characters>11123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2</cp:revision>
  <dcterms:created xsi:type="dcterms:W3CDTF">2022-05-03T22:58:00Z</dcterms:created>
  <dcterms:modified xsi:type="dcterms:W3CDTF">2022-05-03T23:08:00Z</dcterms:modified>
</cp:coreProperties>
</file>