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C0ECA" w14:textId="77777777" w:rsidR="00FD18C4" w:rsidRDefault="00FD18C4" w:rsidP="00FD18C4">
      <w:pPr>
        <w:spacing w:before="120" w:after="120"/>
        <w:jc w:val="center"/>
        <w:rPr>
          <w:rFonts w:ascii="Arial" w:hAnsi="Arial" w:cs="Arial"/>
          <w:b/>
          <w:sz w:val="56"/>
          <w:szCs w:val="56"/>
        </w:rPr>
      </w:pPr>
    </w:p>
    <w:p w14:paraId="584258ED" w14:textId="77777777" w:rsidR="00FD18C4" w:rsidRDefault="00FD18C4" w:rsidP="00FD18C4">
      <w:pPr>
        <w:spacing w:before="120" w:after="120"/>
        <w:jc w:val="center"/>
        <w:rPr>
          <w:rFonts w:ascii="Arial" w:hAnsi="Arial" w:cs="Arial"/>
          <w:b/>
          <w:sz w:val="56"/>
          <w:szCs w:val="56"/>
        </w:rPr>
      </w:pPr>
    </w:p>
    <w:p w14:paraId="17DF1287" w14:textId="77777777" w:rsidR="00FD18C4" w:rsidRDefault="00FD18C4" w:rsidP="00FD18C4">
      <w:pPr>
        <w:spacing w:before="120" w:after="120"/>
        <w:jc w:val="center"/>
        <w:rPr>
          <w:rFonts w:ascii="Arial" w:hAnsi="Arial" w:cs="Arial"/>
          <w:b/>
          <w:sz w:val="56"/>
          <w:szCs w:val="56"/>
        </w:rPr>
      </w:pPr>
    </w:p>
    <w:p w14:paraId="36EB6BB4" w14:textId="77777777" w:rsidR="00FD18C4" w:rsidRDefault="00FD18C4" w:rsidP="00FD18C4">
      <w:pPr>
        <w:spacing w:before="120" w:after="120"/>
        <w:jc w:val="center"/>
        <w:rPr>
          <w:rFonts w:ascii="Arial" w:hAnsi="Arial" w:cs="Arial"/>
          <w:b/>
          <w:sz w:val="56"/>
          <w:szCs w:val="56"/>
        </w:rPr>
      </w:pPr>
    </w:p>
    <w:p w14:paraId="22764176" w14:textId="77777777" w:rsidR="00FD18C4" w:rsidRDefault="00FD18C4" w:rsidP="008E1065">
      <w:pPr>
        <w:pStyle w:val="Title"/>
      </w:pPr>
    </w:p>
    <w:p w14:paraId="548D43B3" w14:textId="77777777" w:rsidR="008E1065" w:rsidRPr="008E1065" w:rsidRDefault="00FD18C4" w:rsidP="008E1065">
      <w:pPr>
        <w:pStyle w:val="Title"/>
      </w:pPr>
      <w:r w:rsidRPr="008E1065">
        <w:t xml:space="preserve">Certificate in Higher Education </w:t>
      </w:r>
    </w:p>
    <w:p w14:paraId="3EAD78E0" w14:textId="4A6B012B" w:rsidR="008E1065" w:rsidRPr="008E1065" w:rsidRDefault="00FD18C4" w:rsidP="008E1065">
      <w:pPr>
        <w:pStyle w:val="Title"/>
      </w:pPr>
      <w:r w:rsidRPr="008E1065">
        <w:t>Business Skills for the Workplace</w:t>
      </w:r>
    </w:p>
    <w:p w14:paraId="2E0404A4" w14:textId="77777777" w:rsidR="008E1065" w:rsidRDefault="008E1065" w:rsidP="00FD18C4">
      <w:pPr>
        <w:rPr>
          <w:rFonts w:ascii="Arial" w:hAnsi="Arial" w:cs="Arial"/>
          <w:sz w:val="24"/>
          <w:szCs w:val="24"/>
        </w:rPr>
      </w:pPr>
    </w:p>
    <w:p w14:paraId="176C5529" w14:textId="77777777" w:rsidR="008E1065" w:rsidRDefault="008E1065" w:rsidP="00FD18C4">
      <w:pPr>
        <w:rPr>
          <w:rFonts w:ascii="Arial" w:hAnsi="Arial" w:cs="Arial"/>
          <w:sz w:val="24"/>
          <w:szCs w:val="24"/>
        </w:rPr>
      </w:pPr>
    </w:p>
    <w:p w14:paraId="0A375C21" w14:textId="77777777" w:rsidR="008E1065" w:rsidRDefault="008E1065" w:rsidP="00FD18C4">
      <w:pPr>
        <w:rPr>
          <w:rFonts w:ascii="Arial" w:hAnsi="Arial" w:cs="Arial"/>
          <w:sz w:val="24"/>
          <w:szCs w:val="24"/>
        </w:rPr>
      </w:pPr>
    </w:p>
    <w:p w14:paraId="1A8DAFB2" w14:textId="77777777" w:rsidR="008E1065" w:rsidRDefault="008E1065" w:rsidP="00FD18C4">
      <w:pPr>
        <w:rPr>
          <w:rFonts w:ascii="Arial" w:hAnsi="Arial" w:cs="Arial"/>
          <w:sz w:val="24"/>
          <w:szCs w:val="24"/>
        </w:rPr>
      </w:pPr>
    </w:p>
    <w:p w14:paraId="3DEC6582" w14:textId="08D62673" w:rsidR="00A12D9C" w:rsidRPr="00FD18C4" w:rsidRDefault="00FD18C4" w:rsidP="00FD18C4">
      <w:pPr>
        <w:rPr>
          <w:rFonts w:ascii="Arial" w:hAnsi="Arial" w:cs="Arial"/>
          <w:sz w:val="24"/>
          <w:szCs w:val="24"/>
        </w:rPr>
      </w:pPr>
      <w:r w:rsidRPr="00FD18C4">
        <w:rPr>
          <w:rFonts w:ascii="Arial" w:hAnsi="Arial" w:cs="Arial"/>
          <w:sz w:val="24"/>
          <w:szCs w:val="24"/>
        </w:rPr>
        <w:t>Module: Enterprise and Entrepreneurship</w:t>
      </w:r>
    </w:p>
    <w:p w14:paraId="092DF7EC" w14:textId="77777777" w:rsidR="002A0FCA" w:rsidRDefault="00FD18C4" w:rsidP="00FD18C4">
      <w:pPr>
        <w:spacing w:before="120" w:after="120"/>
        <w:rPr>
          <w:rFonts w:ascii="Arial" w:hAnsi="Arial" w:cs="Arial"/>
          <w:sz w:val="24"/>
          <w:szCs w:val="24"/>
        </w:rPr>
      </w:pPr>
      <w:r w:rsidRPr="00FD18C4">
        <w:rPr>
          <w:rFonts w:ascii="Arial" w:hAnsi="Arial" w:cs="Arial"/>
          <w:sz w:val="24"/>
          <w:szCs w:val="24"/>
        </w:rPr>
        <w:t xml:space="preserve">Lecturer: </w:t>
      </w:r>
      <w:proofErr w:type="spellStart"/>
      <w:r w:rsidR="002A0FCA" w:rsidRPr="002A0FCA">
        <w:rPr>
          <w:rFonts w:ascii="Arial" w:hAnsi="Arial" w:cs="Arial"/>
          <w:sz w:val="24"/>
          <w:szCs w:val="24"/>
        </w:rPr>
        <w:t>Shujun</w:t>
      </w:r>
      <w:proofErr w:type="spellEnd"/>
      <w:r w:rsidR="002A0FCA" w:rsidRPr="002A0FCA">
        <w:rPr>
          <w:rFonts w:ascii="Arial" w:hAnsi="Arial" w:cs="Arial"/>
          <w:sz w:val="24"/>
          <w:szCs w:val="24"/>
        </w:rPr>
        <w:t xml:space="preserve"> Xiao</w:t>
      </w:r>
    </w:p>
    <w:p w14:paraId="56A838A5" w14:textId="4EBECF92" w:rsidR="00FD18C4" w:rsidRPr="00FD18C4" w:rsidRDefault="00FD18C4" w:rsidP="00FD18C4">
      <w:pPr>
        <w:spacing w:before="120" w:after="120"/>
        <w:rPr>
          <w:rFonts w:ascii="Arial" w:hAnsi="Arial" w:cs="Arial"/>
          <w:sz w:val="24"/>
          <w:szCs w:val="24"/>
        </w:rPr>
      </w:pPr>
      <w:r w:rsidRPr="00FD18C4">
        <w:rPr>
          <w:rFonts w:ascii="Arial" w:hAnsi="Arial" w:cs="Arial"/>
          <w:sz w:val="24"/>
          <w:szCs w:val="24"/>
        </w:rPr>
        <w:t>Assignment: Individual Written Business Plan</w:t>
      </w:r>
    </w:p>
    <w:p w14:paraId="67B7CD9B" w14:textId="7EAF57E0" w:rsidR="00FD18C4" w:rsidRPr="00FD18C4" w:rsidRDefault="00FD18C4" w:rsidP="00FD18C4">
      <w:pPr>
        <w:spacing w:before="120" w:after="120"/>
        <w:rPr>
          <w:rFonts w:ascii="Arial" w:hAnsi="Arial" w:cs="Arial"/>
          <w:sz w:val="24"/>
          <w:szCs w:val="24"/>
        </w:rPr>
      </w:pPr>
      <w:r w:rsidRPr="00FD18C4">
        <w:rPr>
          <w:rFonts w:ascii="Arial" w:hAnsi="Arial" w:cs="Arial"/>
          <w:sz w:val="24"/>
          <w:szCs w:val="24"/>
        </w:rPr>
        <w:t>Student Name: Vladislav Prodan</w:t>
      </w:r>
    </w:p>
    <w:p w14:paraId="46AA6966" w14:textId="5A83E323" w:rsidR="00FD18C4" w:rsidRPr="00FD18C4" w:rsidRDefault="00FD18C4" w:rsidP="00FD18C4">
      <w:pPr>
        <w:spacing w:before="120" w:after="120"/>
        <w:rPr>
          <w:rFonts w:ascii="Arial" w:hAnsi="Arial" w:cs="Arial"/>
          <w:sz w:val="24"/>
          <w:szCs w:val="24"/>
        </w:rPr>
      </w:pPr>
      <w:r w:rsidRPr="00FD18C4">
        <w:rPr>
          <w:rFonts w:ascii="Arial" w:hAnsi="Arial" w:cs="Arial"/>
          <w:sz w:val="24"/>
          <w:szCs w:val="24"/>
        </w:rPr>
        <w:t>Student ID:</w:t>
      </w:r>
      <w:r w:rsidR="002A0FCA">
        <w:rPr>
          <w:rFonts w:ascii="Arial" w:hAnsi="Arial" w:cs="Arial"/>
          <w:sz w:val="24"/>
          <w:szCs w:val="24"/>
        </w:rPr>
        <w:t xml:space="preserve"> </w:t>
      </w:r>
      <w:r w:rsidR="002A0FCA" w:rsidRPr="002A0FCA">
        <w:rPr>
          <w:rFonts w:ascii="Arial" w:hAnsi="Arial" w:cs="Arial"/>
          <w:sz w:val="24"/>
          <w:szCs w:val="24"/>
        </w:rPr>
        <w:t>2440094</w:t>
      </w:r>
    </w:p>
    <w:p w14:paraId="1826722E" w14:textId="77777777" w:rsidR="00A12D9C" w:rsidRDefault="00A12D9C"/>
    <w:p w14:paraId="43D3324D" w14:textId="77777777" w:rsidR="00A12D9C" w:rsidRDefault="00A12D9C"/>
    <w:p w14:paraId="0EF179A8" w14:textId="77777777" w:rsidR="00A12D9C" w:rsidRDefault="00A12D9C"/>
    <w:p w14:paraId="617CBD79" w14:textId="77777777" w:rsidR="00A12D9C" w:rsidRDefault="00A12D9C"/>
    <w:p w14:paraId="3624C0E4" w14:textId="77777777" w:rsidR="00A12D9C" w:rsidRDefault="00A12D9C"/>
    <w:p w14:paraId="5A484779" w14:textId="77777777" w:rsidR="00A12D9C" w:rsidRDefault="00A12D9C"/>
    <w:p w14:paraId="490F984E" w14:textId="77777777" w:rsidR="00A12D9C" w:rsidRDefault="00A12D9C"/>
    <w:p w14:paraId="5EF03587" w14:textId="77777777" w:rsidR="00A12D9C" w:rsidRDefault="00A12D9C"/>
    <w:p w14:paraId="4F102C4E" w14:textId="77777777" w:rsidR="00A12D9C" w:rsidRDefault="00A12D9C"/>
    <w:p w14:paraId="6DE7D231" w14:textId="77777777" w:rsidR="00A12D9C" w:rsidRDefault="00A12D9C"/>
    <w:p w14:paraId="141922ED" w14:textId="77777777" w:rsidR="00A12D9C" w:rsidRDefault="00A12D9C"/>
    <w:p w14:paraId="586FBD05" w14:textId="77777777" w:rsidR="00A12D9C" w:rsidRDefault="00A12D9C"/>
    <w:p w14:paraId="67C2D9AA" w14:textId="77777777" w:rsidR="00A12D9C" w:rsidRDefault="00A12D9C"/>
    <w:p w14:paraId="62C3F98B" w14:textId="77777777" w:rsidR="00A12D9C" w:rsidRDefault="00A12D9C"/>
    <w:p w14:paraId="7B52C414" w14:textId="77777777" w:rsidR="00A12D9C" w:rsidRDefault="00A12D9C"/>
    <w:p w14:paraId="79E89ACE" w14:textId="77777777" w:rsidR="00A12D9C" w:rsidRDefault="00A12D9C"/>
    <w:p w14:paraId="51C7BCB2" w14:textId="77777777" w:rsidR="00A12D9C" w:rsidRDefault="00A12D9C"/>
    <w:p w14:paraId="47576104" w14:textId="77777777" w:rsidR="00A12D9C" w:rsidRDefault="00A12D9C"/>
    <w:p w14:paraId="53DA7831" w14:textId="77777777" w:rsidR="00A12D9C" w:rsidRDefault="00A12D9C"/>
    <w:p w14:paraId="12212E53" w14:textId="77777777" w:rsidR="00A12D9C" w:rsidRDefault="00A12D9C"/>
    <w:p w14:paraId="3A56945A" w14:textId="77777777" w:rsidR="00A12D9C" w:rsidRDefault="00A12D9C"/>
    <w:p w14:paraId="01644F11" w14:textId="77777777" w:rsidR="00A12D9C" w:rsidRDefault="00A12D9C"/>
    <w:p w14:paraId="4A190299" w14:textId="77777777" w:rsidR="00A12D9C" w:rsidRDefault="00A12D9C"/>
    <w:p w14:paraId="6BA6F87C" w14:textId="77777777" w:rsidR="00A12D9C" w:rsidRDefault="00A12D9C"/>
    <w:sdt>
      <w:sdtPr>
        <w:rPr>
          <w:rFonts w:ascii="Times New Roman" w:eastAsia="Times New Roman" w:hAnsi="Times New Roman" w:cs="Times New Roman"/>
          <w:color w:val="auto"/>
          <w:sz w:val="20"/>
          <w:szCs w:val="20"/>
          <w:lang w:val="en-GB" w:eastAsia="en-GB"/>
        </w:rPr>
        <w:id w:val="1595275912"/>
        <w:docPartObj>
          <w:docPartGallery w:val="Table of Contents"/>
          <w:docPartUnique/>
        </w:docPartObj>
      </w:sdtPr>
      <w:sdtEndPr>
        <w:rPr>
          <w:b/>
          <w:bCs/>
          <w:noProof/>
        </w:rPr>
      </w:sdtEndPr>
      <w:sdtContent>
        <w:p w14:paraId="25068980" w14:textId="49203DF5" w:rsidR="008E1065" w:rsidRPr="008E1065" w:rsidRDefault="008E1065">
          <w:pPr>
            <w:pStyle w:val="TOCHeading"/>
            <w:rPr>
              <w:sz w:val="56"/>
              <w:szCs w:val="56"/>
            </w:rPr>
          </w:pPr>
          <w:r w:rsidRPr="008E1065">
            <w:rPr>
              <w:sz w:val="56"/>
              <w:szCs w:val="56"/>
            </w:rPr>
            <w:t>Contents</w:t>
          </w:r>
        </w:p>
        <w:p w14:paraId="6F1C8003" w14:textId="7055EF87" w:rsidR="00DF13EA" w:rsidRDefault="008E1065">
          <w:pPr>
            <w:pStyle w:val="TOC1"/>
            <w:tabs>
              <w:tab w:val="right" w:leader="dot" w:pos="9016"/>
            </w:tabs>
            <w:rPr>
              <w:rFonts w:asciiTheme="minorHAnsi" w:eastAsiaTheme="minorEastAsia" w:hAnsiTheme="minorHAnsi" w:cstheme="minorBidi"/>
              <w:noProof/>
              <w:kern w:val="2"/>
              <w:sz w:val="24"/>
              <w:szCs w:val="24"/>
              <w14:ligatures w14:val="standardContextual"/>
            </w:rPr>
          </w:pPr>
          <w:r w:rsidRPr="008E1065">
            <w:rPr>
              <w:sz w:val="32"/>
              <w:szCs w:val="32"/>
            </w:rPr>
            <w:fldChar w:fldCharType="begin"/>
          </w:r>
          <w:r w:rsidRPr="008E1065">
            <w:rPr>
              <w:sz w:val="32"/>
              <w:szCs w:val="32"/>
            </w:rPr>
            <w:instrText xml:space="preserve"> TOC \o "1-3" \h \z \u </w:instrText>
          </w:r>
          <w:r w:rsidRPr="008E1065">
            <w:rPr>
              <w:sz w:val="32"/>
              <w:szCs w:val="32"/>
            </w:rPr>
            <w:fldChar w:fldCharType="separate"/>
          </w:r>
          <w:hyperlink w:anchor="_Toc223101830" w:history="1">
            <w:r w:rsidR="00DF13EA" w:rsidRPr="006D7298">
              <w:rPr>
                <w:rStyle w:val="Hyperlink"/>
                <w:noProof/>
              </w:rPr>
              <w:t>Executive Summary</w:t>
            </w:r>
            <w:r w:rsidR="00DF13EA">
              <w:rPr>
                <w:noProof/>
                <w:webHidden/>
              </w:rPr>
              <w:tab/>
            </w:r>
            <w:r w:rsidR="00DF13EA">
              <w:rPr>
                <w:noProof/>
                <w:webHidden/>
              </w:rPr>
              <w:fldChar w:fldCharType="begin"/>
            </w:r>
            <w:r w:rsidR="00DF13EA">
              <w:rPr>
                <w:noProof/>
                <w:webHidden/>
              </w:rPr>
              <w:instrText xml:space="preserve"> PAGEREF _Toc223101830 \h </w:instrText>
            </w:r>
            <w:r w:rsidR="00DF13EA">
              <w:rPr>
                <w:noProof/>
                <w:webHidden/>
              </w:rPr>
            </w:r>
            <w:r w:rsidR="00DF13EA">
              <w:rPr>
                <w:noProof/>
                <w:webHidden/>
              </w:rPr>
              <w:fldChar w:fldCharType="separate"/>
            </w:r>
            <w:r w:rsidR="00DF13EA">
              <w:rPr>
                <w:noProof/>
                <w:webHidden/>
              </w:rPr>
              <w:t>3</w:t>
            </w:r>
            <w:r w:rsidR="00DF13EA">
              <w:rPr>
                <w:noProof/>
                <w:webHidden/>
              </w:rPr>
              <w:fldChar w:fldCharType="end"/>
            </w:r>
          </w:hyperlink>
        </w:p>
        <w:p w14:paraId="3367DBB1" w14:textId="59D3A446"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1" w:history="1">
            <w:r w:rsidRPr="006D7298">
              <w:rPr>
                <w:rStyle w:val="Hyperlink"/>
                <w:rFonts w:eastAsia="Arial"/>
                <w:noProof/>
                <w:lang w:eastAsia="en-US"/>
              </w:rPr>
              <w:t>Business Overview</w:t>
            </w:r>
            <w:r>
              <w:rPr>
                <w:noProof/>
                <w:webHidden/>
              </w:rPr>
              <w:tab/>
            </w:r>
            <w:r>
              <w:rPr>
                <w:noProof/>
                <w:webHidden/>
              </w:rPr>
              <w:fldChar w:fldCharType="begin"/>
            </w:r>
            <w:r>
              <w:rPr>
                <w:noProof/>
                <w:webHidden/>
              </w:rPr>
              <w:instrText xml:space="preserve"> PAGEREF _Toc223101831 \h </w:instrText>
            </w:r>
            <w:r>
              <w:rPr>
                <w:noProof/>
                <w:webHidden/>
              </w:rPr>
            </w:r>
            <w:r>
              <w:rPr>
                <w:noProof/>
                <w:webHidden/>
              </w:rPr>
              <w:fldChar w:fldCharType="separate"/>
            </w:r>
            <w:r>
              <w:rPr>
                <w:noProof/>
                <w:webHidden/>
              </w:rPr>
              <w:t>4</w:t>
            </w:r>
            <w:r>
              <w:rPr>
                <w:noProof/>
                <w:webHidden/>
              </w:rPr>
              <w:fldChar w:fldCharType="end"/>
            </w:r>
          </w:hyperlink>
        </w:p>
        <w:p w14:paraId="3263DEA8" w14:textId="0BCCF27A"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2" w:history="1">
            <w:r w:rsidRPr="006D7298">
              <w:rPr>
                <w:rStyle w:val="Hyperlink"/>
                <w:rFonts w:eastAsia="Arial"/>
                <w:noProof/>
                <w:lang w:eastAsia="en-US"/>
              </w:rPr>
              <w:t>Legal Format and Management Structure</w:t>
            </w:r>
            <w:r>
              <w:rPr>
                <w:noProof/>
                <w:webHidden/>
              </w:rPr>
              <w:tab/>
            </w:r>
            <w:r>
              <w:rPr>
                <w:noProof/>
                <w:webHidden/>
              </w:rPr>
              <w:fldChar w:fldCharType="begin"/>
            </w:r>
            <w:r>
              <w:rPr>
                <w:noProof/>
                <w:webHidden/>
              </w:rPr>
              <w:instrText xml:space="preserve"> PAGEREF _Toc223101832 \h </w:instrText>
            </w:r>
            <w:r>
              <w:rPr>
                <w:noProof/>
                <w:webHidden/>
              </w:rPr>
            </w:r>
            <w:r>
              <w:rPr>
                <w:noProof/>
                <w:webHidden/>
              </w:rPr>
              <w:fldChar w:fldCharType="separate"/>
            </w:r>
            <w:r>
              <w:rPr>
                <w:noProof/>
                <w:webHidden/>
              </w:rPr>
              <w:t>5</w:t>
            </w:r>
            <w:r>
              <w:rPr>
                <w:noProof/>
                <w:webHidden/>
              </w:rPr>
              <w:fldChar w:fldCharType="end"/>
            </w:r>
          </w:hyperlink>
        </w:p>
        <w:p w14:paraId="3C61A634" w14:textId="2EB5BB1F"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3" w:history="1">
            <w:r w:rsidRPr="006D7298">
              <w:rPr>
                <w:rStyle w:val="Hyperlink"/>
                <w:rFonts w:eastAsia="Arial"/>
                <w:noProof/>
                <w:lang w:eastAsia="en-US"/>
              </w:rPr>
              <w:t>Market Research:</w:t>
            </w:r>
            <w:r>
              <w:rPr>
                <w:noProof/>
                <w:webHidden/>
              </w:rPr>
              <w:tab/>
            </w:r>
            <w:r>
              <w:rPr>
                <w:noProof/>
                <w:webHidden/>
              </w:rPr>
              <w:fldChar w:fldCharType="begin"/>
            </w:r>
            <w:r>
              <w:rPr>
                <w:noProof/>
                <w:webHidden/>
              </w:rPr>
              <w:instrText xml:space="preserve"> PAGEREF _Toc223101833 \h </w:instrText>
            </w:r>
            <w:r>
              <w:rPr>
                <w:noProof/>
                <w:webHidden/>
              </w:rPr>
            </w:r>
            <w:r>
              <w:rPr>
                <w:noProof/>
                <w:webHidden/>
              </w:rPr>
              <w:fldChar w:fldCharType="separate"/>
            </w:r>
            <w:r>
              <w:rPr>
                <w:noProof/>
                <w:webHidden/>
              </w:rPr>
              <w:t>5</w:t>
            </w:r>
            <w:r>
              <w:rPr>
                <w:noProof/>
                <w:webHidden/>
              </w:rPr>
              <w:fldChar w:fldCharType="end"/>
            </w:r>
          </w:hyperlink>
        </w:p>
        <w:p w14:paraId="0931E432" w14:textId="61B7BEA6"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4" w:history="1">
            <w:r w:rsidRPr="006D7298">
              <w:rPr>
                <w:rStyle w:val="Hyperlink"/>
                <w:rFonts w:eastAsia="Arial"/>
                <w:noProof/>
                <w:lang w:eastAsia="en-US"/>
              </w:rPr>
              <w:t>Competitive Analysis</w:t>
            </w:r>
            <w:r>
              <w:rPr>
                <w:noProof/>
                <w:webHidden/>
              </w:rPr>
              <w:tab/>
            </w:r>
            <w:r>
              <w:rPr>
                <w:noProof/>
                <w:webHidden/>
              </w:rPr>
              <w:fldChar w:fldCharType="begin"/>
            </w:r>
            <w:r>
              <w:rPr>
                <w:noProof/>
                <w:webHidden/>
              </w:rPr>
              <w:instrText xml:space="preserve"> PAGEREF _Toc223101834 \h </w:instrText>
            </w:r>
            <w:r>
              <w:rPr>
                <w:noProof/>
                <w:webHidden/>
              </w:rPr>
            </w:r>
            <w:r>
              <w:rPr>
                <w:noProof/>
                <w:webHidden/>
              </w:rPr>
              <w:fldChar w:fldCharType="separate"/>
            </w:r>
            <w:r>
              <w:rPr>
                <w:noProof/>
                <w:webHidden/>
              </w:rPr>
              <w:t>6</w:t>
            </w:r>
            <w:r>
              <w:rPr>
                <w:noProof/>
                <w:webHidden/>
              </w:rPr>
              <w:fldChar w:fldCharType="end"/>
            </w:r>
          </w:hyperlink>
        </w:p>
        <w:p w14:paraId="5A0C1AB2" w14:textId="34ADB473"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5" w:history="1">
            <w:r w:rsidRPr="006D7298">
              <w:rPr>
                <w:rStyle w:val="Hyperlink"/>
                <w:rFonts w:eastAsia="Arial"/>
                <w:noProof/>
                <w:lang w:eastAsia="en-US"/>
              </w:rPr>
              <w:t>Marketing Communications Strategy</w:t>
            </w:r>
            <w:r>
              <w:rPr>
                <w:noProof/>
                <w:webHidden/>
              </w:rPr>
              <w:tab/>
            </w:r>
            <w:r>
              <w:rPr>
                <w:noProof/>
                <w:webHidden/>
              </w:rPr>
              <w:fldChar w:fldCharType="begin"/>
            </w:r>
            <w:r>
              <w:rPr>
                <w:noProof/>
                <w:webHidden/>
              </w:rPr>
              <w:instrText xml:space="preserve"> PAGEREF _Toc223101835 \h </w:instrText>
            </w:r>
            <w:r>
              <w:rPr>
                <w:noProof/>
                <w:webHidden/>
              </w:rPr>
            </w:r>
            <w:r>
              <w:rPr>
                <w:noProof/>
                <w:webHidden/>
              </w:rPr>
              <w:fldChar w:fldCharType="separate"/>
            </w:r>
            <w:r>
              <w:rPr>
                <w:noProof/>
                <w:webHidden/>
              </w:rPr>
              <w:t>7</w:t>
            </w:r>
            <w:r>
              <w:rPr>
                <w:noProof/>
                <w:webHidden/>
              </w:rPr>
              <w:fldChar w:fldCharType="end"/>
            </w:r>
          </w:hyperlink>
        </w:p>
        <w:p w14:paraId="1D68F1E9" w14:textId="5142E1E8"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6" w:history="1">
            <w:r w:rsidRPr="006D7298">
              <w:rPr>
                <w:rStyle w:val="Hyperlink"/>
                <w:rFonts w:eastAsia="Arial"/>
                <w:noProof/>
                <w:lang w:eastAsia="en-US"/>
              </w:rPr>
              <w:t>Financial Plan</w:t>
            </w:r>
            <w:r>
              <w:rPr>
                <w:noProof/>
                <w:webHidden/>
              </w:rPr>
              <w:tab/>
            </w:r>
            <w:r>
              <w:rPr>
                <w:noProof/>
                <w:webHidden/>
              </w:rPr>
              <w:fldChar w:fldCharType="begin"/>
            </w:r>
            <w:r>
              <w:rPr>
                <w:noProof/>
                <w:webHidden/>
              </w:rPr>
              <w:instrText xml:space="preserve"> PAGEREF _Toc223101836 \h </w:instrText>
            </w:r>
            <w:r>
              <w:rPr>
                <w:noProof/>
                <w:webHidden/>
              </w:rPr>
            </w:r>
            <w:r>
              <w:rPr>
                <w:noProof/>
                <w:webHidden/>
              </w:rPr>
              <w:fldChar w:fldCharType="separate"/>
            </w:r>
            <w:r>
              <w:rPr>
                <w:noProof/>
                <w:webHidden/>
              </w:rPr>
              <w:t>8</w:t>
            </w:r>
            <w:r>
              <w:rPr>
                <w:noProof/>
                <w:webHidden/>
              </w:rPr>
              <w:fldChar w:fldCharType="end"/>
            </w:r>
          </w:hyperlink>
        </w:p>
        <w:p w14:paraId="5E1549EA" w14:textId="1C3785FE"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7" w:history="1">
            <w:r w:rsidRPr="006D7298">
              <w:rPr>
                <w:rStyle w:val="Hyperlink"/>
                <w:rFonts w:eastAsia="Arial"/>
                <w:noProof/>
                <w:lang w:eastAsia="en-US"/>
              </w:rPr>
              <w:t>Appendix</w:t>
            </w:r>
            <w:r>
              <w:rPr>
                <w:noProof/>
                <w:webHidden/>
              </w:rPr>
              <w:tab/>
            </w:r>
            <w:r>
              <w:rPr>
                <w:noProof/>
                <w:webHidden/>
              </w:rPr>
              <w:fldChar w:fldCharType="begin"/>
            </w:r>
            <w:r>
              <w:rPr>
                <w:noProof/>
                <w:webHidden/>
              </w:rPr>
              <w:instrText xml:space="preserve"> PAGEREF _Toc223101837 \h </w:instrText>
            </w:r>
            <w:r>
              <w:rPr>
                <w:noProof/>
                <w:webHidden/>
              </w:rPr>
            </w:r>
            <w:r>
              <w:rPr>
                <w:noProof/>
                <w:webHidden/>
              </w:rPr>
              <w:fldChar w:fldCharType="separate"/>
            </w:r>
            <w:r>
              <w:rPr>
                <w:noProof/>
                <w:webHidden/>
              </w:rPr>
              <w:t>10</w:t>
            </w:r>
            <w:r>
              <w:rPr>
                <w:noProof/>
                <w:webHidden/>
              </w:rPr>
              <w:fldChar w:fldCharType="end"/>
            </w:r>
          </w:hyperlink>
        </w:p>
        <w:p w14:paraId="71C180C7" w14:textId="67F29D49" w:rsidR="00DF13EA" w:rsidRDefault="00DF13EA">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3101838" w:history="1">
            <w:r w:rsidRPr="006D7298">
              <w:rPr>
                <w:rStyle w:val="Hyperlink"/>
                <w:noProof/>
              </w:rPr>
              <w:t>References:</w:t>
            </w:r>
            <w:r>
              <w:rPr>
                <w:noProof/>
                <w:webHidden/>
              </w:rPr>
              <w:tab/>
            </w:r>
            <w:r>
              <w:rPr>
                <w:noProof/>
                <w:webHidden/>
              </w:rPr>
              <w:fldChar w:fldCharType="begin"/>
            </w:r>
            <w:r>
              <w:rPr>
                <w:noProof/>
                <w:webHidden/>
              </w:rPr>
              <w:instrText xml:space="preserve"> PAGEREF _Toc223101838 \h </w:instrText>
            </w:r>
            <w:r>
              <w:rPr>
                <w:noProof/>
                <w:webHidden/>
              </w:rPr>
            </w:r>
            <w:r>
              <w:rPr>
                <w:noProof/>
                <w:webHidden/>
              </w:rPr>
              <w:fldChar w:fldCharType="separate"/>
            </w:r>
            <w:r>
              <w:rPr>
                <w:noProof/>
                <w:webHidden/>
              </w:rPr>
              <w:t>10</w:t>
            </w:r>
            <w:r>
              <w:rPr>
                <w:noProof/>
                <w:webHidden/>
              </w:rPr>
              <w:fldChar w:fldCharType="end"/>
            </w:r>
          </w:hyperlink>
        </w:p>
        <w:p w14:paraId="06D5C939" w14:textId="27764C47" w:rsidR="008E1065" w:rsidRPr="008E1065" w:rsidRDefault="008E1065">
          <w:pPr>
            <w:rPr>
              <w:sz w:val="32"/>
              <w:szCs w:val="32"/>
            </w:rPr>
          </w:pPr>
          <w:r w:rsidRPr="008E1065">
            <w:rPr>
              <w:b/>
              <w:bCs/>
              <w:noProof/>
              <w:sz w:val="32"/>
              <w:szCs w:val="32"/>
            </w:rPr>
            <w:fldChar w:fldCharType="end"/>
          </w:r>
        </w:p>
      </w:sdtContent>
    </w:sdt>
    <w:p w14:paraId="5C24C987" w14:textId="31FBD426" w:rsidR="00A12D9C" w:rsidRDefault="00A12D9C" w:rsidP="008E1065">
      <w:pPr>
        <w:pStyle w:val="TOCHeading"/>
      </w:pPr>
    </w:p>
    <w:p w14:paraId="59CD7514" w14:textId="77777777" w:rsidR="00A12D9C" w:rsidRDefault="00A12D9C"/>
    <w:p w14:paraId="47FF60DE" w14:textId="77777777" w:rsidR="00A12D9C" w:rsidRDefault="00A12D9C"/>
    <w:p w14:paraId="03D97D0B" w14:textId="77777777" w:rsidR="00A12D9C" w:rsidRDefault="00A12D9C"/>
    <w:p w14:paraId="6C15BC6D" w14:textId="77777777" w:rsidR="00A12D9C" w:rsidRDefault="00A12D9C"/>
    <w:p w14:paraId="7A963B14" w14:textId="77777777" w:rsidR="00A12D9C" w:rsidRDefault="00A12D9C"/>
    <w:p w14:paraId="7D127182" w14:textId="77777777" w:rsidR="00A12D9C" w:rsidRDefault="00A12D9C"/>
    <w:p w14:paraId="686FB191" w14:textId="77777777" w:rsidR="00A12D9C" w:rsidRDefault="00A12D9C"/>
    <w:p w14:paraId="213D4621" w14:textId="77777777" w:rsidR="00A12D9C" w:rsidRDefault="00A12D9C"/>
    <w:p w14:paraId="22DD3F38" w14:textId="77777777" w:rsidR="00A12D9C" w:rsidRDefault="00A12D9C"/>
    <w:p w14:paraId="4CACAE1F" w14:textId="77777777" w:rsidR="00A12D9C" w:rsidRDefault="00A12D9C"/>
    <w:p w14:paraId="0E27B767" w14:textId="77777777" w:rsidR="00A12D9C" w:rsidRDefault="00A12D9C"/>
    <w:p w14:paraId="4BD3EB9B" w14:textId="77777777" w:rsidR="00EA090E" w:rsidRDefault="00EA090E"/>
    <w:p w14:paraId="2813476E" w14:textId="77777777" w:rsidR="00EA090E" w:rsidRDefault="00EA090E"/>
    <w:p w14:paraId="7A4A124A" w14:textId="77777777" w:rsidR="00EA090E" w:rsidRDefault="00EA090E"/>
    <w:p w14:paraId="26454AFB" w14:textId="77777777" w:rsidR="00EA090E" w:rsidRDefault="00EA090E"/>
    <w:p w14:paraId="62D13B77" w14:textId="77777777" w:rsidR="00EA090E" w:rsidRDefault="00EA090E"/>
    <w:p w14:paraId="17C041CF" w14:textId="77777777" w:rsidR="00EA090E" w:rsidRDefault="00EA090E"/>
    <w:p w14:paraId="0C513F23" w14:textId="77777777" w:rsidR="00EA090E" w:rsidRDefault="00EA090E"/>
    <w:p w14:paraId="40E70096" w14:textId="77777777" w:rsidR="00EA090E" w:rsidRDefault="00EA090E"/>
    <w:p w14:paraId="37D41AE3" w14:textId="77777777" w:rsidR="00EA090E" w:rsidRDefault="00EA090E"/>
    <w:p w14:paraId="3EF67E3D" w14:textId="77777777" w:rsidR="00EA090E" w:rsidRDefault="00EA090E"/>
    <w:p w14:paraId="20BA97C8" w14:textId="77777777" w:rsidR="00EA090E" w:rsidRDefault="00EA090E"/>
    <w:p w14:paraId="6C3E3336" w14:textId="77777777" w:rsidR="00EA090E" w:rsidRDefault="00EA090E"/>
    <w:p w14:paraId="05C5D22F" w14:textId="77777777" w:rsidR="00EA090E" w:rsidRDefault="00EA090E"/>
    <w:p w14:paraId="1F291A10" w14:textId="77777777" w:rsidR="00EA090E" w:rsidRDefault="00EA090E"/>
    <w:p w14:paraId="67CC0D7C" w14:textId="77777777" w:rsidR="00EA090E" w:rsidRDefault="00EA090E"/>
    <w:p w14:paraId="7C156F16" w14:textId="77777777" w:rsidR="00EA090E" w:rsidRDefault="00EA090E"/>
    <w:p w14:paraId="68B39981" w14:textId="77777777" w:rsidR="00EA090E" w:rsidRDefault="00EA090E"/>
    <w:p w14:paraId="3142BAF3" w14:textId="77777777" w:rsidR="00EA090E" w:rsidRDefault="00EA090E"/>
    <w:p w14:paraId="033AE946" w14:textId="77777777" w:rsidR="00EA090E" w:rsidRDefault="00EA090E"/>
    <w:p w14:paraId="3F9DB281" w14:textId="77777777" w:rsidR="00EA090E" w:rsidRDefault="00EA090E"/>
    <w:p w14:paraId="66D90A3A" w14:textId="77777777" w:rsidR="00EA090E" w:rsidRDefault="00EA090E"/>
    <w:p w14:paraId="1829EE3B" w14:textId="77777777" w:rsidR="00EA090E" w:rsidRDefault="00EA090E"/>
    <w:p w14:paraId="27A193F8" w14:textId="77777777" w:rsidR="00EA090E" w:rsidRDefault="00EA090E"/>
    <w:p w14:paraId="5E9A7E8F" w14:textId="77777777" w:rsidR="00DE3798" w:rsidRDefault="00DE3798"/>
    <w:p w14:paraId="7A290769" w14:textId="77777777" w:rsidR="00EA090E" w:rsidRDefault="00EA090E"/>
    <w:p w14:paraId="25C87399" w14:textId="77777777" w:rsidR="00EA090E" w:rsidRDefault="00EA090E"/>
    <w:p w14:paraId="38A2516B" w14:textId="0DDD7316" w:rsidR="00EA090E" w:rsidRDefault="00EA090E" w:rsidP="00EA090E">
      <w:pPr>
        <w:pStyle w:val="Heading1"/>
      </w:pPr>
      <w:bookmarkStart w:id="0" w:name="_Toc223101830"/>
      <w:r>
        <w:lastRenderedPageBreak/>
        <w:t>Executive Summary</w:t>
      </w:r>
      <w:bookmarkEnd w:id="0"/>
    </w:p>
    <w:p w14:paraId="0E768B52" w14:textId="77777777" w:rsidR="00EA090E" w:rsidRPr="00EA090E" w:rsidRDefault="00EA090E" w:rsidP="00EA090E">
      <w:pPr>
        <w:spacing w:line="360" w:lineRule="auto"/>
        <w:rPr>
          <w:rFonts w:ascii="Arial" w:hAnsi="Arial" w:cs="Arial"/>
          <w:sz w:val="24"/>
          <w:szCs w:val="24"/>
        </w:rPr>
      </w:pPr>
    </w:p>
    <w:p w14:paraId="799B4EA0" w14:textId="2A943C4B" w:rsidR="00EA090E" w:rsidRDefault="00EA090E" w:rsidP="00EA090E">
      <w:pPr>
        <w:spacing w:line="360" w:lineRule="auto"/>
        <w:rPr>
          <w:rFonts w:ascii="Arial" w:hAnsi="Arial" w:cs="Arial"/>
          <w:sz w:val="24"/>
          <w:szCs w:val="24"/>
        </w:rPr>
      </w:pPr>
      <w:r w:rsidRPr="00EA090E">
        <w:rPr>
          <w:rFonts w:ascii="Arial" w:hAnsi="Arial" w:cs="Arial"/>
          <w:sz w:val="24"/>
          <w:szCs w:val="24"/>
        </w:rPr>
        <w:t xml:space="preserve">Recharge Performance Studio is a small, specialised wellness and recovery studio based in Birmingham, UK. The business focuses on performance optimisation, injury prevention, and structured recovery for semi-professional athletes, active gym users, and corporate professionals. As participation in fitness activities continues to grow in the UK (Sport England, 2023), there is increasing demand for recovery services that support performance and long-term physical wellbeing. The studio will offer sports massage, compression therapy, infrared sauna sessions, and assisted stretching. These services are designed to reduce muscle tension, improve circulation, enhance recovery time, and lower the risk of injury. Unlike spa centres that focus mainly on relaxation, or physiotherapy clinics that focus on injury treatment, Recharge positions itself as a performance-driven recovery space. The business will adopt an affordable premium pricing strategy, offering high-quality, evidence-informed services at accessible rates. Recharge will operate as a private limited company (Ltd) and launch using a lean start-up model to reduce financial risk. The estimated start-up funding required is £40,000, financed through a combination of personal savings and a small business loan. Main expenses include premises, equipment, insurance, marketing, and working capital. Revenue will be generated through single-session bookings and monthly membership packages, providing predictable income and encouraging customer loyalty. Marketing will focus primarily on digital channels, including social media, paid advertising, and partnerships with local gyms and sports communities in Birmingham. The business aims to build a strong local reputation based on professionalism, results, and trust. </w:t>
      </w:r>
    </w:p>
    <w:p w14:paraId="2762A641" w14:textId="77777777" w:rsidR="00DE3798" w:rsidRPr="00EA090E" w:rsidRDefault="00DE3798" w:rsidP="00EA090E">
      <w:pPr>
        <w:spacing w:line="360" w:lineRule="auto"/>
        <w:rPr>
          <w:rFonts w:ascii="Arial" w:hAnsi="Arial" w:cs="Arial"/>
          <w:sz w:val="24"/>
          <w:szCs w:val="24"/>
        </w:rPr>
      </w:pPr>
    </w:p>
    <w:p w14:paraId="18A65869" w14:textId="77777777" w:rsidR="00A12D9C" w:rsidRDefault="00A12D9C"/>
    <w:p w14:paraId="00DED569" w14:textId="77777777" w:rsidR="00A12D9C" w:rsidRDefault="00A12D9C"/>
    <w:p w14:paraId="477FF416" w14:textId="77777777" w:rsidR="00A12D9C" w:rsidRDefault="00A12D9C"/>
    <w:p w14:paraId="7AB2D29A" w14:textId="77777777" w:rsidR="00A12D9C" w:rsidRDefault="00A12D9C"/>
    <w:p w14:paraId="5A157AE1" w14:textId="77777777" w:rsidR="00A12D9C" w:rsidRDefault="00A12D9C"/>
    <w:p w14:paraId="73966475" w14:textId="77777777" w:rsidR="00DE3798" w:rsidRDefault="00DE3798"/>
    <w:p w14:paraId="03C13111" w14:textId="77777777" w:rsidR="00A12D9C" w:rsidRDefault="00A12D9C"/>
    <w:p w14:paraId="6D75FF37" w14:textId="77777777" w:rsidR="00A12D9C" w:rsidRDefault="00A12D9C" w:rsidP="00B6508F">
      <w:pPr>
        <w:pStyle w:val="Heading2"/>
        <w:rPr>
          <w:rFonts w:eastAsia="Arial"/>
          <w:lang w:eastAsia="en-US"/>
        </w:rPr>
      </w:pPr>
    </w:p>
    <w:p w14:paraId="1E32F16D" w14:textId="77777777" w:rsidR="00DE3798" w:rsidRPr="00DE3798" w:rsidRDefault="00DE3798" w:rsidP="00DE3798">
      <w:pPr>
        <w:rPr>
          <w:rFonts w:eastAsia="Arial"/>
          <w:lang w:eastAsia="en-US"/>
        </w:rPr>
      </w:pPr>
    </w:p>
    <w:p w14:paraId="670A6F49" w14:textId="6C1E0148" w:rsidR="00A12D9C" w:rsidRPr="00B6508F" w:rsidRDefault="00A12D9C" w:rsidP="008E1065">
      <w:pPr>
        <w:pStyle w:val="Heading1"/>
        <w:rPr>
          <w:rFonts w:eastAsia="Arial"/>
          <w:lang w:eastAsia="en-US"/>
        </w:rPr>
      </w:pPr>
      <w:bookmarkStart w:id="1" w:name="_Toc223083863"/>
      <w:bookmarkStart w:id="2" w:name="_Toc223083871"/>
      <w:bookmarkStart w:id="3" w:name="_Toc223101831"/>
      <w:r w:rsidRPr="00B6508F">
        <w:rPr>
          <w:rFonts w:eastAsia="Arial"/>
          <w:lang w:eastAsia="en-US"/>
        </w:rPr>
        <w:lastRenderedPageBreak/>
        <w:t>Business Overview</w:t>
      </w:r>
      <w:bookmarkEnd w:id="1"/>
      <w:bookmarkEnd w:id="2"/>
      <w:bookmarkEnd w:id="3"/>
      <w:r w:rsidRPr="00B6508F">
        <w:rPr>
          <w:rFonts w:eastAsia="Arial"/>
          <w:lang w:eastAsia="en-US"/>
        </w:rPr>
        <w:t xml:space="preserve"> </w:t>
      </w:r>
    </w:p>
    <w:p w14:paraId="2F2CBB79" w14:textId="77777777" w:rsidR="00A12D9C" w:rsidRDefault="00A12D9C">
      <w:pPr>
        <w:rPr>
          <w:rFonts w:ascii="Arial" w:eastAsia="Arial" w:hAnsi="Arial" w:cs="Arial"/>
          <w:sz w:val="22"/>
          <w:szCs w:val="22"/>
          <w:lang w:eastAsia="en-US"/>
        </w:rPr>
      </w:pPr>
    </w:p>
    <w:p w14:paraId="60ECAFBC" w14:textId="77777777" w:rsidR="00FD18C4" w:rsidRPr="00FD18C4" w:rsidRDefault="00FD18C4" w:rsidP="008E1065">
      <w:pPr>
        <w:spacing w:line="360" w:lineRule="auto"/>
        <w:rPr>
          <w:rFonts w:ascii="Arial" w:eastAsia="Arial" w:hAnsi="Arial" w:cs="Arial"/>
          <w:sz w:val="24"/>
          <w:szCs w:val="24"/>
          <w:lang w:eastAsia="en-US"/>
        </w:rPr>
      </w:pPr>
      <w:r w:rsidRPr="00FD18C4">
        <w:rPr>
          <w:rFonts w:ascii="Arial" w:eastAsia="Arial" w:hAnsi="Arial" w:cs="Arial"/>
          <w:sz w:val="24"/>
          <w:szCs w:val="24"/>
          <w:lang w:eastAsia="en-US"/>
        </w:rPr>
        <w:t>Recharge Performance Studio is a specialised sports recovery and performance optimisation facility based in Birmingham, UK. The business targets semi-professional athletes, regular gym users, and corporate professionals who want to improve performance, recover faster, and reduce injury risk. As participation in sport and physical activity increases across the UK (Sport England, 2023), recovery is increasingly viewed as an essential part of training. In addition, growth in the UK wellness sector reflects rising interest in preventative and performance-focused health services (Office for National Statistics, 2022). Recharge aims to meet this demand through structured, science-informed recovery services.</w:t>
      </w:r>
    </w:p>
    <w:p w14:paraId="731E9670" w14:textId="77777777" w:rsidR="00FD18C4" w:rsidRPr="00FD18C4" w:rsidRDefault="00FD18C4" w:rsidP="008E1065">
      <w:pPr>
        <w:spacing w:line="360" w:lineRule="auto"/>
        <w:rPr>
          <w:rFonts w:ascii="Arial" w:eastAsia="Arial" w:hAnsi="Arial" w:cs="Arial"/>
          <w:sz w:val="24"/>
          <w:szCs w:val="24"/>
          <w:lang w:eastAsia="en-US"/>
        </w:rPr>
      </w:pPr>
      <w:r w:rsidRPr="00FD18C4">
        <w:rPr>
          <w:rFonts w:ascii="Arial" w:eastAsia="Arial" w:hAnsi="Arial" w:cs="Arial"/>
          <w:sz w:val="24"/>
          <w:szCs w:val="24"/>
          <w:lang w:eastAsia="en-US"/>
        </w:rPr>
        <w:t>The studio will offer sports massage, compression therapy, infrared sauna sessions, and assisted stretching. Sports massage helps reduce muscle tension and improve circulation after intense exercise. Compression therapy uses air compression boots to increase blood flow and reduce soreness, particularly for endurance athletes. Infrared sauna sessions support muscle relaxation and circulation, while assisted stretching improves flexibility and range of motion, reducing the likelihood of muscular imbalance. Research highlights that structured recovery supports performance maintenance and reduces overtraining risks (Kellmann, 2010). These services are positioned as practical performance tools rather than relaxation treatments.</w:t>
      </w:r>
    </w:p>
    <w:p w14:paraId="777E2A0A" w14:textId="77777777" w:rsidR="00FD18C4" w:rsidRPr="00FD18C4" w:rsidRDefault="00FD18C4" w:rsidP="008E1065">
      <w:pPr>
        <w:spacing w:line="360" w:lineRule="auto"/>
        <w:rPr>
          <w:rFonts w:ascii="Arial" w:eastAsia="Arial" w:hAnsi="Arial" w:cs="Arial"/>
          <w:sz w:val="24"/>
          <w:szCs w:val="24"/>
          <w:lang w:eastAsia="en-US"/>
        </w:rPr>
      </w:pPr>
      <w:r w:rsidRPr="00FD18C4">
        <w:rPr>
          <w:rFonts w:ascii="Arial" w:eastAsia="Arial" w:hAnsi="Arial" w:cs="Arial"/>
          <w:sz w:val="24"/>
          <w:szCs w:val="24"/>
          <w:lang w:eastAsia="en-US"/>
        </w:rPr>
        <w:t>Recharge differentiates itself through its clear performance focus. A value proposition explains how a business creates value by addressing customer needs more effectively than competitors (Osterwalder and Pigneur, 2010). Unlike spa centres that prioritise relaxation, or physiotherapy clinics that focus mainly on injury treatment, Recharge concentrates on preventative recovery and ongoing performance improvement. Compared to gyms with limited recovery facilities, the studio provides specialised equipment and therapist-led services. The business will adopt an affordable premium pricing strategy, offering high-quality services at a mid-range price point.</w:t>
      </w:r>
    </w:p>
    <w:p w14:paraId="3E1FBC71" w14:textId="1C99B6C4" w:rsidR="00FD18C4" w:rsidRPr="00FD18C4" w:rsidRDefault="00FD18C4" w:rsidP="008E1065">
      <w:pPr>
        <w:spacing w:line="360" w:lineRule="auto"/>
        <w:rPr>
          <w:rFonts w:ascii="Arial" w:eastAsia="Arial" w:hAnsi="Arial" w:cs="Arial"/>
          <w:sz w:val="24"/>
          <w:szCs w:val="24"/>
          <w:lang w:eastAsia="en-US"/>
        </w:rPr>
      </w:pPr>
      <w:r w:rsidRPr="00FD18C4">
        <w:rPr>
          <w:rFonts w:ascii="Arial" w:eastAsia="Arial" w:hAnsi="Arial" w:cs="Arial"/>
          <w:sz w:val="24"/>
          <w:szCs w:val="24"/>
          <w:lang w:eastAsia="en-US"/>
        </w:rPr>
        <w:t>Revenue will come from single-session bookings and monthly memberships, creating predictable income and encouraging repeat visits (Kotler and Keller, 2016).</w:t>
      </w:r>
    </w:p>
    <w:p w14:paraId="18606660" w14:textId="77777777" w:rsidR="00A12D9C" w:rsidRDefault="00A12D9C">
      <w:pPr>
        <w:rPr>
          <w:rFonts w:ascii="Arial" w:eastAsia="Arial" w:hAnsi="Arial" w:cs="Arial"/>
          <w:sz w:val="22"/>
          <w:szCs w:val="22"/>
          <w:lang w:eastAsia="en-US"/>
        </w:rPr>
      </w:pPr>
    </w:p>
    <w:p w14:paraId="486A2382" w14:textId="77777777" w:rsidR="00DE3798" w:rsidRDefault="00DE3798" w:rsidP="00DE3798">
      <w:pPr>
        <w:pStyle w:val="Heading1"/>
        <w:rPr>
          <w:rFonts w:eastAsia="Arial"/>
          <w:lang w:eastAsia="en-US"/>
        </w:rPr>
      </w:pPr>
      <w:bookmarkStart w:id="4" w:name="_Toc223101832"/>
      <w:r w:rsidRPr="00DE3798">
        <w:rPr>
          <w:rFonts w:eastAsia="Arial"/>
          <w:lang w:eastAsia="en-US"/>
        </w:rPr>
        <w:lastRenderedPageBreak/>
        <w:t>Legal Format and Management Structure</w:t>
      </w:r>
      <w:bookmarkEnd w:id="4"/>
    </w:p>
    <w:p w14:paraId="52F95D79" w14:textId="77777777" w:rsidR="00DE3798" w:rsidRPr="00DE3798" w:rsidRDefault="00DE3798" w:rsidP="00DE3798">
      <w:pPr>
        <w:rPr>
          <w:rFonts w:eastAsia="Arial"/>
          <w:lang w:eastAsia="en-US"/>
        </w:rPr>
      </w:pPr>
    </w:p>
    <w:p w14:paraId="2AE11EB9" w14:textId="2B16F3D0" w:rsidR="00DE3798" w:rsidRPr="00DE3798" w:rsidRDefault="00DE3798" w:rsidP="00DE3798">
      <w:pPr>
        <w:spacing w:line="360" w:lineRule="auto"/>
        <w:rPr>
          <w:rFonts w:ascii="Arial" w:eastAsia="Arial" w:hAnsi="Arial" w:cs="Arial"/>
          <w:sz w:val="24"/>
          <w:szCs w:val="24"/>
          <w:lang w:eastAsia="en-US"/>
        </w:rPr>
      </w:pPr>
      <w:r w:rsidRPr="00DE3798">
        <w:rPr>
          <w:rFonts w:ascii="Arial" w:eastAsia="Arial" w:hAnsi="Arial" w:cs="Arial"/>
          <w:sz w:val="24"/>
          <w:szCs w:val="24"/>
          <w:lang w:eastAsia="en-US"/>
        </w:rPr>
        <w:t>Recharge Performance Studio will operate as a Private Limited Company in the UK. This reduces personal financial risk compared to operating as a sole trader (Burns, 2016). The business will comply with UK legal requirements, including corporation tax, health and safety regulations, employment law, and GDPR data protection rules (Gov.uk, 2018).</w:t>
      </w:r>
    </w:p>
    <w:p w14:paraId="196479A6" w14:textId="77777777" w:rsidR="00DE3798" w:rsidRPr="00DE3798" w:rsidRDefault="00DE3798" w:rsidP="00DE3798">
      <w:pPr>
        <w:spacing w:line="360" w:lineRule="auto"/>
        <w:rPr>
          <w:rFonts w:ascii="Arial" w:eastAsia="Arial" w:hAnsi="Arial" w:cs="Arial"/>
          <w:sz w:val="24"/>
          <w:szCs w:val="24"/>
          <w:lang w:eastAsia="en-US"/>
        </w:rPr>
      </w:pPr>
      <w:r w:rsidRPr="00DE3798">
        <w:rPr>
          <w:rFonts w:ascii="Arial" w:eastAsia="Arial" w:hAnsi="Arial" w:cs="Arial"/>
          <w:sz w:val="24"/>
          <w:szCs w:val="24"/>
          <w:lang w:eastAsia="en-US"/>
        </w:rPr>
        <w:t>The management structure will be simple in the early stages. The Founder will act as Managing Director, overseeing strategy, finance, marketing, and daily operations. Qualified therapists will deliver treatments and ensure professional standards are maintained. As the business grows, additional staff such as a studio manager may be hired to support operations and customer service. This structure allows flexibility while keeping costs controlled during the start-up phase.</w:t>
      </w:r>
    </w:p>
    <w:p w14:paraId="7ECE4ABA" w14:textId="77777777" w:rsidR="00DE3798" w:rsidRDefault="00DE3798">
      <w:pPr>
        <w:rPr>
          <w:rFonts w:ascii="Arial" w:eastAsia="Arial" w:hAnsi="Arial" w:cs="Arial"/>
          <w:sz w:val="22"/>
          <w:szCs w:val="22"/>
          <w:lang w:eastAsia="en-US"/>
        </w:rPr>
      </w:pPr>
    </w:p>
    <w:p w14:paraId="6475285F" w14:textId="77777777" w:rsidR="00A12D9C" w:rsidRDefault="00A12D9C">
      <w:pPr>
        <w:rPr>
          <w:rFonts w:ascii="Arial" w:eastAsia="Arial" w:hAnsi="Arial" w:cs="Arial"/>
          <w:sz w:val="22"/>
          <w:szCs w:val="22"/>
          <w:lang w:eastAsia="en-US"/>
        </w:rPr>
      </w:pPr>
    </w:p>
    <w:p w14:paraId="3757B68A" w14:textId="77777777" w:rsidR="00512285" w:rsidRDefault="00A12D9C" w:rsidP="00512285">
      <w:pPr>
        <w:pStyle w:val="Heading1"/>
        <w:rPr>
          <w:rFonts w:eastAsia="Arial"/>
          <w:lang w:eastAsia="en-US"/>
        </w:rPr>
      </w:pPr>
      <w:bookmarkStart w:id="5" w:name="_Toc223083872"/>
      <w:bookmarkStart w:id="6" w:name="_Toc223101833"/>
      <w:r w:rsidRPr="6F8226AB">
        <w:rPr>
          <w:rFonts w:eastAsia="Arial"/>
          <w:lang w:eastAsia="en-US"/>
        </w:rPr>
        <w:t>Market Research:</w:t>
      </w:r>
      <w:bookmarkEnd w:id="5"/>
      <w:bookmarkEnd w:id="6"/>
      <w:r w:rsidRPr="6F8226AB">
        <w:rPr>
          <w:rFonts w:eastAsia="Arial"/>
          <w:lang w:eastAsia="en-US"/>
        </w:rPr>
        <w:t xml:space="preserve"> </w:t>
      </w:r>
    </w:p>
    <w:p w14:paraId="32013A1D" w14:textId="77777777" w:rsidR="00A12D9C" w:rsidRDefault="00A12D9C">
      <w:pPr>
        <w:rPr>
          <w:rFonts w:ascii="Arial" w:eastAsia="Arial" w:hAnsi="Arial" w:cs="Arial"/>
          <w:sz w:val="22"/>
          <w:szCs w:val="22"/>
          <w:lang w:eastAsia="en-US"/>
        </w:rPr>
      </w:pPr>
    </w:p>
    <w:p w14:paraId="275C6E24"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A PESTLE analysis helps assess how external factors may directly influence Recharge Performance Studio’s success in Birmingham (Johnson, Scholes and Whittington, 2017). Below, each factor is applied specifically to the business model.</w:t>
      </w:r>
    </w:p>
    <w:p w14:paraId="1FFA2BA1" w14:textId="77777777" w:rsidR="00512285" w:rsidRPr="00512285" w:rsidRDefault="00512285" w:rsidP="008E1065">
      <w:pPr>
        <w:spacing w:line="360" w:lineRule="auto"/>
        <w:rPr>
          <w:rFonts w:ascii="Arial" w:eastAsia="Arial" w:hAnsi="Arial" w:cs="Arial"/>
          <w:b/>
          <w:bCs/>
          <w:sz w:val="24"/>
          <w:szCs w:val="24"/>
          <w:lang w:eastAsia="en-US"/>
        </w:rPr>
      </w:pPr>
      <w:r w:rsidRPr="00512285">
        <w:rPr>
          <w:rFonts w:ascii="Arial" w:eastAsia="Arial" w:hAnsi="Arial" w:cs="Arial"/>
          <w:b/>
          <w:bCs/>
          <w:sz w:val="24"/>
          <w:szCs w:val="24"/>
          <w:lang w:eastAsia="en-US"/>
        </w:rPr>
        <w:t>Political</w:t>
      </w:r>
    </w:p>
    <w:p w14:paraId="5B687D14"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Government policies promoting public health and physical activity positively support the studio’s concept. National campaigns encouraging active lifestyles increase participation in sport, which in turn increases demand for recovery services (Sport England, 2023). However, changes in small business taxation, employment law, or local council licensing requirements in Birmingham could increase operational costs. Any future restrictions affecting wellness or close-contact services would also directly impact service delivery.</w:t>
      </w:r>
    </w:p>
    <w:p w14:paraId="52934DF1" w14:textId="77777777" w:rsidR="00512285" w:rsidRPr="00512285" w:rsidRDefault="00512285" w:rsidP="008E1065">
      <w:pPr>
        <w:spacing w:line="360" w:lineRule="auto"/>
        <w:rPr>
          <w:rFonts w:ascii="Arial" w:eastAsia="Arial" w:hAnsi="Arial" w:cs="Arial"/>
          <w:b/>
          <w:bCs/>
          <w:sz w:val="24"/>
          <w:szCs w:val="24"/>
          <w:lang w:eastAsia="en-US"/>
        </w:rPr>
      </w:pPr>
      <w:r w:rsidRPr="00512285">
        <w:rPr>
          <w:rFonts w:ascii="Arial" w:eastAsia="Arial" w:hAnsi="Arial" w:cs="Arial"/>
          <w:b/>
          <w:bCs/>
          <w:sz w:val="24"/>
          <w:szCs w:val="24"/>
          <w:lang w:eastAsia="en-US"/>
        </w:rPr>
        <w:t>Economic</w:t>
      </w:r>
    </w:p>
    <w:p w14:paraId="7822030B"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 xml:space="preserve">Recharge operates within the wellness sector, which has shown continued growth in the UK (Office for National Statistics, 2022). However, recovery services are often viewed as non-essential spending. During periods of economic uncertainty or high inflation, customers may reduce discretionary spending. The studio’s mid-to-upper </w:t>
      </w:r>
      <w:r w:rsidRPr="00512285">
        <w:rPr>
          <w:rFonts w:ascii="Arial" w:eastAsia="Arial" w:hAnsi="Arial" w:cs="Arial"/>
          <w:sz w:val="24"/>
          <w:szCs w:val="24"/>
          <w:lang w:eastAsia="en-US"/>
        </w:rPr>
        <w:lastRenderedPageBreak/>
        <w:t>pricing means it must clearly communicate value to maintain client retention. Offering memberships helps create predictable income and reduce revenue volatility.</w:t>
      </w:r>
    </w:p>
    <w:p w14:paraId="4BDBBDCC" w14:textId="77777777" w:rsidR="00512285" w:rsidRPr="00512285" w:rsidRDefault="00512285" w:rsidP="008E1065">
      <w:pPr>
        <w:spacing w:line="360" w:lineRule="auto"/>
        <w:rPr>
          <w:rFonts w:ascii="Arial" w:eastAsia="Arial" w:hAnsi="Arial" w:cs="Arial"/>
          <w:b/>
          <w:bCs/>
          <w:sz w:val="24"/>
          <w:szCs w:val="24"/>
          <w:lang w:eastAsia="en-US"/>
        </w:rPr>
      </w:pPr>
      <w:r w:rsidRPr="00512285">
        <w:rPr>
          <w:rFonts w:ascii="Arial" w:eastAsia="Arial" w:hAnsi="Arial" w:cs="Arial"/>
          <w:b/>
          <w:bCs/>
          <w:sz w:val="24"/>
          <w:szCs w:val="24"/>
          <w:lang w:eastAsia="en-US"/>
        </w:rPr>
        <w:t>Social</w:t>
      </w:r>
    </w:p>
    <w:p w14:paraId="480D1E3D"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Social trends strongly support the business idea. There is increasing awareness of injury prevention, physical wellbeing, and performance optimisation. Gym culture, endurance events, and hybrid corporate lifestyles create demand for structured recovery services. Clients are also more informed and actively seek evidence-based treatments, which aligns with Recharge’s performance-focused positioning.</w:t>
      </w:r>
    </w:p>
    <w:p w14:paraId="3A4DEFEA" w14:textId="77777777" w:rsidR="00512285" w:rsidRPr="00512285" w:rsidRDefault="00512285" w:rsidP="008E1065">
      <w:pPr>
        <w:spacing w:line="360" w:lineRule="auto"/>
        <w:rPr>
          <w:rFonts w:ascii="Arial" w:eastAsia="Arial" w:hAnsi="Arial" w:cs="Arial"/>
          <w:b/>
          <w:bCs/>
          <w:sz w:val="24"/>
          <w:szCs w:val="24"/>
          <w:lang w:eastAsia="en-US"/>
        </w:rPr>
      </w:pPr>
      <w:r w:rsidRPr="00512285">
        <w:rPr>
          <w:rFonts w:ascii="Arial" w:eastAsia="Arial" w:hAnsi="Arial" w:cs="Arial"/>
          <w:b/>
          <w:bCs/>
          <w:sz w:val="24"/>
          <w:szCs w:val="24"/>
          <w:lang w:eastAsia="en-US"/>
        </w:rPr>
        <w:t>Technological</w:t>
      </w:r>
    </w:p>
    <w:p w14:paraId="5AF9B11C"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Advancements in recovery technology, such as compression therapy systems and infrared saunas, enhance service quality and differentiation. Social media platforms also provide cost-effective marketing channels, particularly when targeting athletes and fitness communities. However, equipment requires ongoing investment and maintenance to remain competitive.</w:t>
      </w:r>
    </w:p>
    <w:p w14:paraId="380C557D" w14:textId="77777777" w:rsidR="00512285" w:rsidRPr="00512285" w:rsidRDefault="00512285" w:rsidP="008E1065">
      <w:pPr>
        <w:spacing w:line="360" w:lineRule="auto"/>
        <w:rPr>
          <w:rFonts w:ascii="Arial" w:eastAsia="Arial" w:hAnsi="Arial" w:cs="Arial"/>
          <w:b/>
          <w:bCs/>
          <w:sz w:val="24"/>
          <w:szCs w:val="24"/>
          <w:lang w:eastAsia="en-US"/>
        </w:rPr>
      </w:pPr>
      <w:r w:rsidRPr="00512285">
        <w:rPr>
          <w:rFonts w:ascii="Arial" w:eastAsia="Arial" w:hAnsi="Arial" w:cs="Arial"/>
          <w:b/>
          <w:bCs/>
          <w:sz w:val="24"/>
          <w:szCs w:val="24"/>
          <w:lang w:eastAsia="en-US"/>
        </w:rPr>
        <w:t>Legal</w:t>
      </w:r>
    </w:p>
    <w:p w14:paraId="4C387FD7"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Recharge must comply with UK health and safety regulations, ensure therapists hold appropriate qualifications, and maintain professional indemnity insurance. Data protection compliance under GDPR is also essential when handling client records (Gov.uk, 2018). Failure to meet legal standards could damage brand reputation and financial stability.</w:t>
      </w:r>
    </w:p>
    <w:p w14:paraId="2E8D365F" w14:textId="77777777" w:rsidR="00512285" w:rsidRPr="00512285" w:rsidRDefault="00512285" w:rsidP="008E1065">
      <w:pPr>
        <w:spacing w:line="360" w:lineRule="auto"/>
        <w:rPr>
          <w:rFonts w:ascii="Arial" w:eastAsia="Arial" w:hAnsi="Arial" w:cs="Arial"/>
          <w:b/>
          <w:bCs/>
          <w:sz w:val="24"/>
          <w:szCs w:val="24"/>
          <w:lang w:eastAsia="en-US"/>
        </w:rPr>
      </w:pPr>
      <w:r w:rsidRPr="00512285">
        <w:rPr>
          <w:rFonts w:ascii="Arial" w:eastAsia="Arial" w:hAnsi="Arial" w:cs="Arial"/>
          <w:b/>
          <w:bCs/>
          <w:sz w:val="24"/>
          <w:szCs w:val="24"/>
          <w:lang w:eastAsia="en-US"/>
        </w:rPr>
        <w:t>Environmental</w:t>
      </w:r>
    </w:p>
    <w:p w14:paraId="7A6B9720" w14:textId="77777777" w:rsidR="00512285" w:rsidRPr="008E106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Energy consumption, particularly from infrared sauna usage, may increase operational costs. Customers are increasingly aware of sustainability practices, so using energy-efficient systems and environmentally friendly products could strengthen brand image and align with modern consumer expectations.</w:t>
      </w:r>
    </w:p>
    <w:p w14:paraId="6CA1C1BF" w14:textId="77777777" w:rsidR="00A12D9C" w:rsidRDefault="00A12D9C">
      <w:pPr>
        <w:rPr>
          <w:rFonts w:ascii="Arial" w:eastAsia="Arial" w:hAnsi="Arial" w:cs="Arial"/>
          <w:sz w:val="22"/>
          <w:szCs w:val="22"/>
          <w:lang w:eastAsia="en-US"/>
        </w:rPr>
      </w:pPr>
    </w:p>
    <w:p w14:paraId="486E8C76" w14:textId="77777777" w:rsidR="00512285" w:rsidRPr="00512285" w:rsidRDefault="00512285" w:rsidP="00C30673">
      <w:pPr>
        <w:pStyle w:val="Heading1"/>
        <w:rPr>
          <w:rFonts w:eastAsia="Arial"/>
          <w:lang w:eastAsia="en-US"/>
        </w:rPr>
      </w:pPr>
      <w:bookmarkStart w:id="7" w:name="_Toc223083873"/>
      <w:bookmarkStart w:id="8" w:name="_Toc223101834"/>
      <w:r w:rsidRPr="00512285">
        <w:rPr>
          <w:rFonts w:eastAsia="Arial"/>
          <w:lang w:eastAsia="en-US"/>
        </w:rPr>
        <w:t>Competitive Analysis</w:t>
      </w:r>
      <w:bookmarkEnd w:id="7"/>
      <w:bookmarkEnd w:id="8"/>
    </w:p>
    <w:p w14:paraId="540F5D5D"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Recharge Performance Studio operates in a competitive but fragmented recovery and wellness market in Birmingham. According to Porter (1980), competitive advantage can be achieved through differentiation rather than direct price competition.</w:t>
      </w:r>
    </w:p>
    <w:p w14:paraId="6C7D9219" w14:textId="77777777"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lastRenderedPageBreak/>
        <w:t>Direct competitors include independent sports massage clinics and small recovery studios offering similar treatments. These competitors may compete on price or convenience but often lack a fully integrated performance-focused service model.</w:t>
      </w:r>
    </w:p>
    <w:p w14:paraId="3B1FE757" w14:textId="7975F730" w:rsidR="00512285" w:rsidRPr="00512285" w:rsidRDefault="00512285" w:rsidP="008E1065">
      <w:pPr>
        <w:spacing w:line="360" w:lineRule="auto"/>
        <w:rPr>
          <w:rFonts w:ascii="Arial" w:eastAsia="Arial" w:hAnsi="Arial" w:cs="Arial"/>
          <w:sz w:val="24"/>
          <w:szCs w:val="24"/>
          <w:lang w:eastAsia="en-US"/>
        </w:rPr>
      </w:pPr>
      <w:r w:rsidRPr="00512285">
        <w:rPr>
          <w:rFonts w:ascii="Arial" w:eastAsia="Arial" w:hAnsi="Arial" w:cs="Arial"/>
          <w:sz w:val="24"/>
          <w:szCs w:val="24"/>
          <w:lang w:eastAsia="en-US"/>
        </w:rPr>
        <w:t>Indirect competitors include spa centres, physiotherapy clinics, and gyms. Spa centres primarily focus on relaxation and stress relief rather than measurable performance outcomes. Physiotherapy clinics concentrate on injury diagnosis and rehabilitation, typically serving clients after injury rather than preventing it. Gyms may offer limited recovery tools but rarely provide structured, therapist-led recovery services.</w:t>
      </w:r>
      <w:r w:rsidR="00DE3798">
        <w:rPr>
          <w:rFonts w:ascii="Arial" w:eastAsia="Arial" w:hAnsi="Arial" w:cs="Arial"/>
          <w:sz w:val="24"/>
          <w:szCs w:val="24"/>
          <w:lang w:eastAsia="en-US"/>
        </w:rPr>
        <w:t xml:space="preserve"> </w:t>
      </w:r>
      <w:r w:rsidRPr="00512285">
        <w:rPr>
          <w:rFonts w:ascii="Arial" w:eastAsia="Arial" w:hAnsi="Arial" w:cs="Arial"/>
          <w:sz w:val="24"/>
          <w:szCs w:val="24"/>
          <w:lang w:eastAsia="en-US"/>
        </w:rPr>
        <w:t>Recharge Performance Studio positions itself strategically between these options. It is more performance-driven than a spa, more preventative than a physiotherapy clinic, and more specialised than a standard gym. By targeting semi-professional athletes and performance-focused individuals, the business seeks to occupy a clear niche within the Birmingham market, competing on expertise, service quality, and results rather than price alone.</w:t>
      </w:r>
    </w:p>
    <w:p w14:paraId="01A91039" w14:textId="77777777" w:rsidR="00A12D9C" w:rsidRPr="008E1065" w:rsidRDefault="00A12D9C" w:rsidP="008E1065">
      <w:pPr>
        <w:spacing w:line="360" w:lineRule="auto"/>
        <w:rPr>
          <w:rFonts w:ascii="Arial" w:eastAsia="Arial" w:hAnsi="Arial" w:cs="Arial"/>
          <w:sz w:val="24"/>
          <w:szCs w:val="24"/>
          <w:lang w:eastAsia="en-US"/>
        </w:rPr>
      </w:pPr>
    </w:p>
    <w:p w14:paraId="24CCB26F" w14:textId="77777777" w:rsidR="00A12D9C" w:rsidRDefault="00A12D9C">
      <w:pPr>
        <w:rPr>
          <w:rFonts w:ascii="Arial" w:eastAsia="Arial" w:hAnsi="Arial" w:cs="Arial"/>
          <w:sz w:val="22"/>
          <w:szCs w:val="22"/>
          <w:lang w:eastAsia="en-US"/>
        </w:rPr>
      </w:pPr>
    </w:p>
    <w:p w14:paraId="7B34CD63" w14:textId="77777777" w:rsidR="00C30673" w:rsidRPr="00C30673" w:rsidRDefault="00C30673" w:rsidP="00C30673">
      <w:pPr>
        <w:pStyle w:val="Heading1"/>
        <w:rPr>
          <w:rFonts w:eastAsia="Arial"/>
          <w:lang w:eastAsia="en-US"/>
        </w:rPr>
      </w:pPr>
      <w:bookmarkStart w:id="9" w:name="_Toc223083874"/>
      <w:bookmarkStart w:id="10" w:name="_Toc223101835"/>
      <w:r w:rsidRPr="00C30673">
        <w:rPr>
          <w:rFonts w:eastAsia="Arial"/>
          <w:lang w:eastAsia="en-US"/>
        </w:rPr>
        <w:t>Marketing Communications Strategy</w:t>
      </w:r>
      <w:bookmarkEnd w:id="9"/>
      <w:bookmarkEnd w:id="10"/>
    </w:p>
    <w:p w14:paraId="03BEF128" w14:textId="1872A08A" w:rsidR="00C30673" w:rsidRPr="00C30673" w:rsidRDefault="00C30673" w:rsidP="008E1065">
      <w:pPr>
        <w:spacing w:line="360" w:lineRule="auto"/>
        <w:rPr>
          <w:rFonts w:ascii="Arial" w:eastAsia="Arial" w:hAnsi="Arial" w:cs="Arial"/>
          <w:sz w:val="24"/>
          <w:szCs w:val="24"/>
          <w:lang w:eastAsia="en-US"/>
        </w:rPr>
      </w:pPr>
      <w:r w:rsidRPr="00C30673">
        <w:rPr>
          <w:rFonts w:ascii="Arial" w:eastAsia="Arial" w:hAnsi="Arial" w:cs="Arial"/>
          <w:sz w:val="24"/>
          <w:szCs w:val="24"/>
          <w:lang w:eastAsia="en-US"/>
        </w:rPr>
        <w:t>Marketing communications refer to the methods a business uses to inform, persuade, and remind customers about its services (Kotler and Keller, 2016). For Recharge Performance Studio, the objective is to position the brand as Birmingham’s leading performance-focused recovery space, targeting semi-professional athletes, active gym users, and corporate professionals.</w:t>
      </w:r>
      <w:r w:rsidR="00761E61" w:rsidRPr="008E1065">
        <w:rPr>
          <w:rFonts w:ascii="Arial" w:eastAsia="Arial" w:hAnsi="Arial" w:cs="Arial"/>
          <w:sz w:val="24"/>
          <w:szCs w:val="24"/>
          <w:lang w:eastAsia="en-US"/>
        </w:rPr>
        <w:t xml:space="preserve"> </w:t>
      </w:r>
      <w:r w:rsidRPr="00C30673">
        <w:rPr>
          <w:rFonts w:ascii="Arial" w:eastAsia="Arial" w:hAnsi="Arial" w:cs="Arial"/>
          <w:sz w:val="24"/>
          <w:szCs w:val="24"/>
          <w:lang w:eastAsia="en-US"/>
        </w:rPr>
        <w:t>Recharge will adopt a differentiation strategy (Porter, 1980), focusing on performance optimisation rather than relaxation. The brand message will emphasise science-informed recovery, injury prevention, and measurable performance improvement. Communication will consistently highlight results, professionalism, and expertise.</w:t>
      </w:r>
    </w:p>
    <w:p w14:paraId="026AE4B9" w14:textId="70EBDF14" w:rsidR="00761E61" w:rsidRPr="008E1065" w:rsidRDefault="00C30673" w:rsidP="008E1065">
      <w:pPr>
        <w:spacing w:line="360" w:lineRule="auto"/>
        <w:rPr>
          <w:rFonts w:ascii="Arial" w:eastAsia="Arial" w:hAnsi="Arial" w:cs="Arial"/>
          <w:sz w:val="24"/>
          <w:szCs w:val="24"/>
          <w:lang w:eastAsia="en-US"/>
        </w:rPr>
      </w:pPr>
      <w:r w:rsidRPr="00C30673">
        <w:rPr>
          <w:rFonts w:ascii="Arial" w:eastAsia="Arial" w:hAnsi="Arial" w:cs="Arial"/>
          <w:sz w:val="24"/>
          <w:szCs w:val="24"/>
          <w:lang w:eastAsia="en-US"/>
        </w:rPr>
        <w:t xml:space="preserve">Digital channels will be the primary communication tool. Social media platforms such as Instagram and TikTok will showcase educational content </w:t>
      </w:r>
      <w:r w:rsidR="00FD18C4" w:rsidRPr="008E1065">
        <w:rPr>
          <w:rFonts w:ascii="Arial" w:eastAsia="Arial" w:hAnsi="Arial" w:cs="Arial"/>
          <w:sz w:val="24"/>
          <w:szCs w:val="24"/>
          <w:lang w:eastAsia="en-US"/>
        </w:rPr>
        <w:t xml:space="preserve">for example, </w:t>
      </w:r>
      <w:r w:rsidRPr="00C30673">
        <w:rPr>
          <w:rFonts w:ascii="Arial" w:eastAsia="Arial" w:hAnsi="Arial" w:cs="Arial"/>
          <w:sz w:val="24"/>
          <w:szCs w:val="24"/>
          <w:lang w:eastAsia="en-US"/>
        </w:rPr>
        <w:t>benefits of recovery, injury prevention tips, behind-the-scenes treatment demonstrations, and client testimonials. Video content will be especially important, as visual proof increases trust in service-based businesses (Zeithaml, Bitner and Gremler, 2018).</w:t>
      </w:r>
      <w:r w:rsidR="00FD18C4" w:rsidRPr="008E1065">
        <w:rPr>
          <w:rFonts w:ascii="Arial" w:eastAsia="Arial" w:hAnsi="Arial" w:cs="Arial"/>
          <w:sz w:val="24"/>
          <w:szCs w:val="24"/>
          <w:lang w:eastAsia="en-US"/>
        </w:rPr>
        <w:t xml:space="preserve"> </w:t>
      </w:r>
      <w:r w:rsidRPr="00C30673">
        <w:rPr>
          <w:rFonts w:ascii="Arial" w:eastAsia="Arial" w:hAnsi="Arial" w:cs="Arial"/>
          <w:sz w:val="24"/>
          <w:szCs w:val="24"/>
          <w:lang w:eastAsia="en-US"/>
        </w:rPr>
        <w:t xml:space="preserve">Paid social media advertising will target Birmingham-based gym members, runners, and sports communities. Google Ads will capture high-intent searches such as </w:t>
      </w:r>
      <w:r w:rsidRPr="00C30673">
        <w:rPr>
          <w:rFonts w:ascii="Arial" w:eastAsia="Arial" w:hAnsi="Arial" w:cs="Arial"/>
          <w:sz w:val="24"/>
          <w:szCs w:val="24"/>
          <w:lang w:eastAsia="en-US"/>
        </w:rPr>
        <w:lastRenderedPageBreak/>
        <w:t>“sports massage Birmingham” or “compression therapy near me.”</w:t>
      </w:r>
      <w:r w:rsidR="00DE3798">
        <w:rPr>
          <w:rFonts w:ascii="Arial" w:eastAsia="Arial" w:hAnsi="Arial" w:cs="Arial"/>
          <w:sz w:val="24"/>
          <w:szCs w:val="24"/>
          <w:lang w:eastAsia="en-US"/>
        </w:rPr>
        <w:t xml:space="preserve"> </w:t>
      </w:r>
      <w:r w:rsidRPr="00C30673">
        <w:rPr>
          <w:rFonts w:ascii="Arial" w:eastAsia="Arial" w:hAnsi="Arial" w:cs="Arial"/>
          <w:sz w:val="24"/>
          <w:szCs w:val="24"/>
          <w:lang w:eastAsia="en-US"/>
        </w:rPr>
        <w:t>Recharge will build partnerships with local gyms, personal trainers, running clubs, and amateur sports teams. Referral agreements can increase credibility and generate consistent client flow. Corporate wellness partnerships with Birmingham-based businesses may also provide access to professionals seeking structured recovery support.</w:t>
      </w:r>
      <w:r w:rsidR="00761E61" w:rsidRPr="008E1065">
        <w:rPr>
          <w:rFonts w:ascii="Arial" w:eastAsia="Arial" w:hAnsi="Arial" w:cs="Arial"/>
          <w:sz w:val="24"/>
          <w:szCs w:val="24"/>
          <w:lang w:eastAsia="en-US"/>
        </w:rPr>
        <w:t xml:space="preserve"> </w:t>
      </w:r>
    </w:p>
    <w:p w14:paraId="406FFA2D" w14:textId="5E94E8C0" w:rsidR="00C30673" w:rsidRPr="00C30673" w:rsidRDefault="00C30673" w:rsidP="008E1065">
      <w:pPr>
        <w:spacing w:line="360" w:lineRule="auto"/>
        <w:rPr>
          <w:rFonts w:ascii="Arial" w:eastAsia="Arial" w:hAnsi="Arial" w:cs="Arial"/>
          <w:sz w:val="24"/>
          <w:szCs w:val="24"/>
          <w:lang w:eastAsia="en-US"/>
        </w:rPr>
      </w:pPr>
      <w:r w:rsidRPr="00C30673">
        <w:rPr>
          <w:rFonts w:ascii="Arial" w:eastAsia="Arial" w:hAnsi="Arial" w:cs="Arial"/>
          <w:sz w:val="24"/>
          <w:szCs w:val="24"/>
          <w:lang w:eastAsia="en-US"/>
        </w:rPr>
        <w:t>Introductory offers (e.g., first-session discounts) will reduce perceived risk for new customers. Membership packages will encourage repeat visits and create predictable revenue. Loyalty incentives will reward long-term clients, strengthening retention.</w:t>
      </w:r>
      <w:r w:rsidR="00DE3798">
        <w:rPr>
          <w:rFonts w:ascii="Arial" w:eastAsia="Arial" w:hAnsi="Arial" w:cs="Arial"/>
          <w:sz w:val="24"/>
          <w:szCs w:val="24"/>
          <w:lang w:eastAsia="en-US"/>
        </w:rPr>
        <w:t xml:space="preserve"> </w:t>
      </w:r>
      <w:r w:rsidRPr="00C30673">
        <w:rPr>
          <w:rFonts w:ascii="Arial" w:eastAsia="Arial" w:hAnsi="Arial" w:cs="Arial"/>
          <w:sz w:val="24"/>
          <w:szCs w:val="24"/>
          <w:lang w:eastAsia="en-US"/>
        </w:rPr>
        <w:t>Service businesses rely heavily on trust and reputation (Kotler and Keller, 2016). Therefore, collecting online reviews and client testimonials will be central to the communication strategy. Word-of-mouth within fitness communities can significantly influence purchasing decisions.</w:t>
      </w:r>
    </w:p>
    <w:p w14:paraId="09967A5A" w14:textId="59D539F0" w:rsidR="00A12D9C" w:rsidRDefault="00C30673" w:rsidP="008E1065">
      <w:pPr>
        <w:spacing w:line="360" w:lineRule="auto"/>
        <w:rPr>
          <w:rFonts w:ascii="Arial" w:eastAsia="Arial" w:hAnsi="Arial" w:cs="Arial"/>
          <w:sz w:val="22"/>
          <w:szCs w:val="22"/>
          <w:lang w:eastAsia="en-US"/>
        </w:rPr>
      </w:pPr>
      <w:r w:rsidRPr="00C30673">
        <w:rPr>
          <w:rFonts w:ascii="Arial" w:eastAsia="Arial" w:hAnsi="Arial" w:cs="Arial"/>
          <w:sz w:val="24"/>
          <w:szCs w:val="24"/>
          <w:lang w:eastAsia="en-US"/>
        </w:rPr>
        <w:t>Overall, Recharge Performance Studio will adopt an integrated marketing communications approach, combining digital visibility, local partnerships, and membership-based retention strategies to build brand awareness and long-term customer relationships in Birmingham.</w:t>
      </w:r>
    </w:p>
    <w:p w14:paraId="17309B33" w14:textId="77777777" w:rsidR="00C30673" w:rsidRPr="00C30673" w:rsidRDefault="00C30673" w:rsidP="00C30673">
      <w:pPr>
        <w:pStyle w:val="Heading1"/>
        <w:rPr>
          <w:rFonts w:eastAsia="Arial"/>
          <w:lang w:eastAsia="en-US"/>
        </w:rPr>
      </w:pPr>
      <w:bookmarkStart w:id="11" w:name="_Toc223083875"/>
      <w:bookmarkStart w:id="12" w:name="_Toc223101836"/>
      <w:r w:rsidRPr="00C30673">
        <w:rPr>
          <w:rFonts w:eastAsia="Arial"/>
          <w:lang w:eastAsia="en-US"/>
        </w:rPr>
        <w:t>Financial Plan</w:t>
      </w:r>
      <w:bookmarkEnd w:id="11"/>
      <w:bookmarkEnd w:id="12"/>
    </w:p>
    <w:p w14:paraId="7CCE374A" w14:textId="2652E348" w:rsidR="00C30673" w:rsidRPr="00C30673" w:rsidRDefault="00C30673" w:rsidP="008E1065">
      <w:pPr>
        <w:spacing w:line="360" w:lineRule="auto"/>
        <w:rPr>
          <w:rFonts w:ascii="Arial" w:eastAsia="Arial" w:hAnsi="Arial" w:cs="Arial"/>
          <w:sz w:val="24"/>
          <w:szCs w:val="24"/>
          <w:lang w:eastAsia="en-US"/>
        </w:rPr>
      </w:pPr>
      <w:r w:rsidRPr="00C30673">
        <w:rPr>
          <w:rFonts w:ascii="Arial" w:eastAsia="Arial" w:hAnsi="Arial" w:cs="Arial"/>
          <w:sz w:val="24"/>
          <w:szCs w:val="24"/>
          <w:lang w:eastAsia="en-US"/>
        </w:rPr>
        <w:t xml:space="preserve">Recharge Performance Studio will launch as a small, specialised wellness and recovery studio in Birmingham rather than a large performance centre. Starting with a lean model reduces financial risk and allows the business to test demand before expanding. This is important for service-based businesses, as high fixed costs can create pressure in the first year (Burns, 2016). The estimated start-up funding required is </w:t>
      </w:r>
      <w:r w:rsidR="00761E61" w:rsidRPr="008E1065">
        <w:rPr>
          <w:rFonts w:ascii="Arial" w:eastAsia="Arial" w:hAnsi="Arial" w:cs="Arial"/>
          <w:sz w:val="24"/>
          <w:szCs w:val="24"/>
          <w:lang w:eastAsia="en-US"/>
        </w:rPr>
        <w:t>£</w:t>
      </w:r>
      <w:r w:rsidRPr="00C30673">
        <w:rPr>
          <w:rFonts w:ascii="Arial" w:eastAsia="Arial" w:hAnsi="Arial" w:cs="Arial"/>
          <w:sz w:val="24"/>
          <w:szCs w:val="24"/>
          <w:lang w:eastAsia="en-US"/>
        </w:rPr>
        <w:t>40,000. This will cover a small commercial premises, essential equipment, initial marketing, and working capital. The funding will come from a mix of personal savings (around 40–50%) and a UK small business loan such as a Start Up Loan (around 50–60%). Using both personal investment and a loan spreads financial risk while allowing the owner to keep full control of the business (Burns, 2016).</w:t>
      </w:r>
    </w:p>
    <w:p w14:paraId="16736AAE" w14:textId="77777777" w:rsidR="00761E61" w:rsidRPr="008E1065" w:rsidRDefault="00761E61" w:rsidP="008E1065">
      <w:pPr>
        <w:spacing w:line="360" w:lineRule="auto"/>
        <w:rPr>
          <w:rFonts w:ascii="Arial" w:eastAsia="Arial" w:hAnsi="Arial" w:cs="Arial"/>
          <w:sz w:val="24"/>
          <w:szCs w:val="24"/>
          <w:lang w:eastAsia="en-US"/>
        </w:rPr>
      </w:pPr>
    </w:p>
    <w:p w14:paraId="581F0A13" w14:textId="30B77639" w:rsidR="00C30673" w:rsidRPr="00C30673" w:rsidRDefault="00C30673" w:rsidP="008E1065">
      <w:pPr>
        <w:spacing w:line="360" w:lineRule="auto"/>
        <w:rPr>
          <w:rFonts w:ascii="Arial" w:eastAsia="Arial" w:hAnsi="Arial" w:cs="Arial"/>
          <w:sz w:val="24"/>
          <w:szCs w:val="24"/>
          <w:lang w:eastAsia="en-US"/>
        </w:rPr>
      </w:pPr>
      <w:r w:rsidRPr="00C30673">
        <w:rPr>
          <w:rFonts w:ascii="Arial" w:eastAsia="Arial" w:hAnsi="Arial" w:cs="Arial"/>
          <w:sz w:val="24"/>
          <w:szCs w:val="24"/>
          <w:lang w:eastAsia="en-US"/>
        </w:rPr>
        <w:t xml:space="preserve">Main start-up costs in the first month will include premises costs of £4,000–£8,000, covering rent, deposit, and light refurbishment to create one or two treatment rooms in an accessible Birmingham location. Equipment costs of £8,000–£15,000 will include one or two treatment beds, a compression therapy system, a compact </w:t>
      </w:r>
      <w:r w:rsidRPr="00C30673">
        <w:rPr>
          <w:rFonts w:ascii="Arial" w:eastAsia="Arial" w:hAnsi="Arial" w:cs="Arial"/>
          <w:sz w:val="24"/>
          <w:szCs w:val="24"/>
          <w:lang w:eastAsia="en-US"/>
        </w:rPr>
        <w:lastRenderedPageBreak/>
        <w:t xml:space="preserve">infrared sauna, assisted stretching equipment, and basic supplies such as towels and oils. Insurance and legal costs of around £1,000–£1,500 will cover professional indemnity insurance, public liability insurance, company registration as a private limited company (Ltd), and compliance with UK health and safety and GDPR regulations (Gov.uk, 2018). Marketing and branding will require £2,000–£3,000 for a website, logo, signage, and social media advertising, which is important </w:t>
      </w:r>
      <w:r w:rsidR="00761E61" w:rsidRPr="008E1065">
        <w:rPr>
          <w:rFonts w:ascii="Arial" w:eastAsia="Arial" w:hAnsi="Arial" w:cs="Arial"/>
          <w:sz w:val="24"/>
          <w:szCs w:val="24"/>
          <w:lang w:eastAsia="en-US"/>
        </w:rPr>
        <w:t>in-service</w:t>
      </w:r>
      <w:r w:rsidRPr="00C30673">
        <w:rPr>
          <w:rFonts w:ascii="Arial" w:eastAsia="Arial" w:hAnsi="Arial" w:cs="Arial"/>
          <w:sz w:val="24"/>
          <w:szCs w:val="24"/>
          <w:lang w:eastAsia="en-US"/>
        </w:rPr>
        <w:t xml:space="preserve"> businesses where trust plays a key role (Zeithaml, Bitner and Gremler, 2018). A further £5,000–£8,000 will be kept as working capital to cover utilities and operating costs in the first one to two months. Although premises and equipment are the main initial expenses, ongoing session costs are relatively low, and monthly memberships will provide steady income and support long-term financial stability.</w:t>
      </w:r>
      <w:r w:rsidR="00FD18C4" w:rsidRPr="008E1065">
        <w:rPr>
          <w:rFonts w:ascii="Arial" w:eastAsia="Arial" w:hAnsi="Arial" w:cs="Arial"/>
          <w:sz w:val="24"/>
          <w:szCs w:val="24"/>
          <w:lang w:eastAsia="en-US"/>
        </w:rPr>
        <w:t xml:space="preserve"> </w:t>
      </w:r>
      <w:r w:rsidRPr="00C30673">
        <w:rPr>
          <w:rFonts w:ascii="Arial" w:eastAsia="Arial" w:hAnsi="Arial" w:cs="Arial"/>
          <w:sz w:val="24"/>
          <w:szCs w:val="24"/>
          <w:lang w:eastAsia="en-US"/>
        </w:rPr>
        <w:t>Subscription-based revenue models are widely recognised as effective in building stable cash flow and long-term customer relationships (Kotler and Keller, 2016).</w:t>
      </w:r>
    </w:p>
    <w:p w14:paraId="7ACF3096" w14:textId="77777777" w:rsidR="00A12D9C" w:rsidRDefault="00A12D9C">
      <w:pPr>
        <w:rPr>
          <w:rFonts w:ascii="Arial" w:eastAsia="Arial" w:hAnsi="Arial" w:cs="Arial"/>
          <w:sz w:val="22"/>
          <w:szCs w:val="22"/>
          <w:lang w:eastAsia="en-US"/>
        </w:rPr>
      </w:pPr>
    </w:p>
    <w:p w14:paraId="7AB8C00C" w14:textId="77777777" w:rsidR="00A12D9C" w:rsidRDefault="00A12D9C">
      <w:pPr>
        <w:rPr>
          <w:rFonts w:ascii="Arial" w:eastAsia="Arial" w:hAnsi="Arial" w:cs="Arial"/>
          <w:sz w:val="22"/>
          <w:szCs w:val="22"/>
          <w:lang w:eastAsia="en-US"/>
        </w:rPr>
      </w:pPr>
    </w:p>
    <w:p w14:paraId="2411D132" w14:textId="77777777" w:rsidR="00A12D9C" w:rsidRDefault="00A12D9C">
      <w:pPr>
        <w:rPr>
          <w:rFonts w:ascii="Arial" w:eastAsia="Arial" w:hAnsi="Arial" w:cs="Arial"/>
          <w:sz w:val="22"/>
          <w:szCs w:val="22"/>
          <w:lang w:eastAsia="en-US"/>
        </w:rPr>
      </w:pPr>
    </w:p>
    <w:p w14:paraId="6D7E66E8" w14:textId="77777777" w:rsidR="00A12D9C" w:rsidRDefault="00A12D9C">
      <w:pPr>
        <w:rPr>
          <w:rFonts w:ascii="Arial" w:eastAsia="Arial" w:hAnsi="Arial" w:cs="Arial"/>
          <w:sz w:val="22"/>
          <w:szCs w:val="22"/>
          <w:lang w:eastAsia="en-US"/>
        </w:rPr>
      </w:pPr>
    </w:p>
    <w:p w14:paraId="76C18958" w14:textId="77777777" w:rsidR="00A12D9C" w:rsidRDefault="00A12D9C">
      <w:pPr>
        <w:rPr>
          <w:rFonts w:ascii="Arial" w:eastAsia="Arial" w:hAnsi="Arial" w:cs="Arial"/>
          <w:sz w:val="22"/>
          <w:szCs w:val="22"/>
          <w:lang w:eastAsia="en-US"/>
        </w:rPr>
      </w:pPr>
    </w:p>
    <w:p w14:paraId="2D0A13BB" w14:textId="77777777" w:rsidR="00A12D9C" w:rsidRDefault="00A12D9C">
      <w:pPr>
        <w:rPr>
          <w:rFonts w:ascii="Arial" w:eastAsia="Arial" w:hAnsi="Arial" w:cs="Arial"/>
          <w:sz w:val="22"/>
          <w:szCs w:val="22"/>
          <w:lang w:eastAsia="en-US"/>
        </w:rPr>
      </w:pPr>
    </w:p>
    <w:p w14:paraId="02B47B20" w14:textId="77777777" w:rsidR="00A12D9C" w:rsidRDefault="00A12D9C">
      <w:pPr>
        <w:rPr>
          <w:rFonts w:ascii="Arial" w:eastAsia="Arial" w:hAnsi="Arial" w:cs="Arial"/>
          <w:sz w:val="22"/>
          <w:szCs w:val="22"/>
          <w:lang w:eastAsia="en-US"/>
        </w:rPr>
      </w:pPr>
    </w:p>
    <w:p w14:paraId="2C1CF4E1" w14:textId="77777777" w:rsidR="00A12D9C" w:rsidRDefault="00A12D9C">
      <w:pPr>
        <w:rPr>
          <w:rFonts w:ascii="Arial" w:eastAsia="Arial" w:hAnsi="Arial" w:cs="Arial"/>
          <w:sz w:val="22"/>
          <w:szCs w:val="22"/>
          <w:lang w:eastAsia="en-US"/>
        </w:rPr>
      </w:pPr>
    </w:p>
    <w:p w14:paraId="7099CDEF" w14:textId="77777777" w:rsidR="00DF13EA" w:rsidRDefault="00DF13EA">
      <w:pPr>
        <w:rPr>
          <w:rFonts w:ascii="Arial" w:eastAsia="Arial" w:hAnsi="Arial" w:cs="Arial"/>
          <w:sz w:val="22"/>
          <w:szCs w:val="22"/>
          <w:lang w:eastAsia="en-US"/>
        </w:rPr>
      </w:pPr>
    </w:p>
    <w:p w14:paraId="1F6148F4" w14:textId="77777777" w:rsidR="00DF13EA" w:rsidRDefault="00DF13EA">
      <w:pPr>
        <w:rPr>
          <w:rFonts w:ascii="Arial" w:eastAsia="Arial" w:hAnsi="Arial" w:cs="Arial"/>
          <w:sz w:val="22"/>
          <w:szCs w:val="22"/>
          <w:lang w:eastAsia="en-US"/>
        </w:rPr>
      </w:pPr>
    </w:p>
    <w:p w14:paraId="7E5875DD" w14:textId="77777777" w:rsidR="00DF13EA" w:rsidRDefault="00DF13EA">
      <w:pPr>
        <w:rPr>
          <w:rFonts w:ascii="Arial" w:eastAsia="Arial" w:hAnsi="Arial" w:cs="Arial"/>
          <w:sz w:val="22"/>
          <w:szCs w:val="22"/>
          <w:lang w:eastAsia="en-US"/>
        </w:rPr>
      </w:pPr>
    </w:p>
    <w:p w14:paraId="1D942DE8" w14:textId="77777777" w:rsidR="00DF13EA" w:rsidRDefault="00DF13EA">
      <w:pPr>
        <w:rPr>
          <w:rFonts w:ascii="Arial" w:eastAsia="Arial" w:hAnsi="Arial" w:cs="Arial"/>
          <w:sz w:val="22"/>
          <w:szCs w:val="22"/>
          <w:lang w:eastAsia="en-US"/>
        </w:rPr>
      </w:pPr>
    </w:p>
    <w:p w14:paraId="37ED5C4C" w14:textId="77777777" w:rsidR="00DF13EA" w:rsidRDefault="00DF13EA">
      <w:pPr>
        <w:rPr>
          <w:rFonts w:ascii="Arial" w:eastAsia="Arial" w:hAnsi="Arial" w:cs="Arial"/>
          <w:sz w:val="22"/>
          <w:szCs w:val="22"/>
          <w:lang w:eastAsia="en-US"/>
        </w:rPr>
      </w:pPr>
    </w:p>
    <w:p w14:paraId="54DC229D" w14:textId="77777777" w:rsidR="00DF13EA" w:rsidRDefault="00DF13EA">
      <w:pPr>
        <w:rPr>
          <w:rFonts w:ascii="Arial" w:eastAsia="Arial" w:hAnsi="Arial" w:cs="Arial"/>
          <w:sz w:val="22"/>
          <w:szCs w:val="22"/>
          <w:lang w:eastAsia="en-US"/>
        </w:rPr>
      </w:pPr>
    </w:p>
    <w:p w14:paraId="63FA3980" w14:textId="77777777" w:rsidR="00DF13EA" w:rsidRDefault="00DF13EA">
      <w:pPr>
        <w:rPr>
          <w:rFonts w:ascii="Arial" w:eastAsia="Arial" w:hAnsi="Arial" w:cs="Arial"/>
          <w:sz w:val="22"/>
          <w:szCs w:val="22"/>
          <w:lang w:eastAsia="en-US"/>
        </w:rPr>
      </w:pPr>
    </w:p>
    <w:p w14:paraId="7A169D29" w14:textId="77777777" w:rsidR="00DF13EA" w:rsidRDefault="00DF13EA">
      <w:pPr>
        <w:rPr>
          <w:rFonts w:ascii="Arial" w:eastAsia="Arial" w:hAnsi="Arial" w:cs="Arial"/>
          <w:sz w:val="22"/>
          <w:szCs w:val="22"/>
          <w:lang w:eastAsia="en-US"/>
        </w:rPr>
      </w:pPr>
    </w:p>
    <w:p w14:paraId="79A32173" w14:textId="77777777" w:rsidR="00DF13EA" w:rsidRDefault="00DF13EA">
      <w:pPr>
        <w:rPr>
          <w:rFonts w:ascii="Arial" w:eastAsia="Arial" w:hAnsi="Arial" w:cs="Arial"/>
          <w:sz w:val="22"/>
          <w:szCs w:val="22"/>
          <w:lang w:eastAsia="en-US"/>
        </w:rPr>
      </w:pPr>
    </w:p>
    <w:p w14:paraId="7EFD828C" w14:textId="77777777" w:rsidR="00DF13EA" w:rsidRDefault="00DF13EA">
      <w:pPr>
        <w:rPr>
          <w:rFonts w:ascii="Arial" w:eastAsia="Arial" w:hAnsi="Arial" w:cs="Arial"/>
          <w:sz w:val="22"/>
          <w:szCs w:val="22"/>
          <w:lang w:eastAsia="en-US"/>
        </w:rPr>
      </w:pPr>
    </w:p>
    <w:p w14:paraId="5F04A02C" w14:textId="77777777" w:rsidR="00DF13EA" w:rsidRDefault="00DF13EA">
      <w:pPr>
        <w:rPr>
          <w:rFonts w:ascii="Arial" w:eastAsia="Arial" w:hAnsi="Arial" w:cs="Arial"/>
          <w:sz w:val="22"/>
          <w:szCs w:val="22"/>
          <w:lang w:eastAsia="en-US"/>
        </w:rPr>
      </w:pPr>
    </w:p>
    <w:p w14:paraId="39A1735E" w14:textId="77777777" w:rsidR="00DF13EA" w:rsidRDefault="00DF13EA">
      <w:pPr>
        <w:rPr>
          <w:rFonts w:ascii="Arial" w:eastAsia="Arial" w:hAnsi="Arial" w:cs="Arial"/>
          <w:sz w:val="22"/>
          <w:szCs w:val="22"/>
          <w:lang w:eastAsia="en-US"/>
        </w:rPr>
      </w:pPr>
    </w:p>
    <w:p w14:paraId="307F0C56" w14:textId="77777777" w:rsidR="00DF13EA" w:rsidRDefault="00DF13EA">
      <w:pPr>
        <w:rPr>
          <w:rFonts w:ascii="Arial" w:eastAsia="Arial" w:hAnsi="Arial" w:cs="Arial"/>
          <w:sz w:val="22"/>
          <w:szCs w:val="22"/>
          <w:lang w:eastAsia="en-US"/>
        </w:rPr>
      </w:pPr>
    </w:p>
    <w:p w14:paraId="16932025" w14:textId="77777777" w:rsidR="00DF13EA" w:rsidRDefault="00DF13EA">
      <w:pPr>
        <w:rPr>
          <w:rFonts w:ascii="Arial" w:eastAsia="Arial" w:hAnsi="Arial" w:cs="Arial"/>
          <w:sz w:val="22"/>
          <w:szCs w:val="22"/>
          <w:lang w:eastAsia="en-US"/>
        </w:rPr>
      </w:pPr>
    </w:p>
    <w:p w14:paraId="6239403A" w14:textId="77777777" w:rsidR="00DF13EA" w:rsidRDefault="00DF13EA">
      <w:pPr>
        <w:rPr>
          <w:rFonts w:ascii="Arial" w:eastAsia="Arial" w:hAnsi="Arial" w:cs="Arial"/>
          <w:sz w:val="22"/>
          <w:szCs w:val="22"/>
          <w:lang w:eastAsia="en-US"/>
        </w:rPr>
      </w:pPr>
    </w:p>
    <w:p w14:paraId="48479797" w14:textId="77777777" w:rsidR="00DF13EA" w:rsidRDefault="00DF13EA">
      <w:pPr>
        <w:rPr>
          <w:rFonts w:ascii="Arial" w:eastAsia="Arial" w:hAnsi="Arial" w:cs="Arial"/>
          <w:sz w:val="22"/>
          <w:szCs w:val="22"/>
          <w:lang w:eastAsia="en-US"/>
        </w:rPr>
      </w:pPr>
    </w:p>
    <w:p w14:paraId="012784B3" w14:textId="77777777" w:rsidR="00DF13EA" w:rsidRDefault="00DF13EA">
      <w:pPr>
        <w:rPr>
          <w:rFonts w:ascii="Arial" w:eastAsia="Arial" w:hAnsi="Arial" w:cs="Arial"/>
          <w:sz w:val="22"/>
          <w:szCs w:val="22"/>
          <w:lang w:eastAsia="en-US"/>
        </w:rPr>
      </w:pPr>
    </w:p>
    <w:p w14:paraId="660B81D9" w14:textId="77777777" w:rsidR="00DF13EA" w:rsidRDefault="00DF13EA">
      <w:pPr>
        <w:rPr>
          <w:rFonts w:ascii="Arial" w:eastAsia="Arial" w:hAnsi="Arial" w:cs="Arial"/>
          <w:sz w:val="22"/>
          <w:szCs w:val="22"/>
          <w:lang w:eastAsia="en-US"/>
        </w:rPr>
      </w:pPr>
    </w:p>
    <w:p w14:paraId="12FAA5BD" w14:textId="77777777" w:rsidR="00DF13EA" w:rsidRDefault="00DF13EA">
      <w:pPr>
        <w:rPr>
          <w:rFonts w:ascii="Arial" w:eastAsia="Arial" w:hAnsi="Arial" w:cs="Arial"/>
          <w:sz w:val="22"/>
          <w:szCs w:val="22"/>
          <w:lang w:eastAsia="en-US"/>
        </w:rPr>
      </w:pPr>
    </w:p>
    <w:p w14:paraId="1C5D3831" w14:textId="77777777" w:rsidR="00DF13EA" w:rsidRDefault="00DF13EA">
      <w:pPr>
        <w:rPr>
          <w:rFonts w:ascii="Arial" w:eastAsia="Arial" w:hAnsi="Arial" w:cs="Arial"/>
          <w:sz w:val="22"/>
          <w:szCs w:val="22"/>
          <w:lang w:eastAsia="en-US"/>
        </w:rPr>
      </w:pPr>
    </w:p>
    <w:p w14:paraId="4E1F6336" w14:textId="77777777" w:rsidR="00DF13EA" w:rsidRDefault="00DF13EA">
      <w:pPr>
        <w:rPr>
          <w:rFonts w:ascii="Arial" w:eastAsia="Arial" w:hAnsi="Arial" w:cs="Arial"/>
          <w:sz w:val="22"/>
          <w:szCs w:val="22"/>
          <w:lang w:eastAsia="en-US"/>
        </w:rPr>
      </w:pPr>
    </w:p>
    <w:p w14:paraId="6BA094AB" w14:textId="77777777" w:rsidR="00DF13EA" w:rsidRDefault="00DF13EA">
      <w:pPr>
        <w:rPr>
          <w:rFonts w:ascii="Arial" w:eastAsia="Arial" w:hAnsi="Arial" w:cs="Arial"/>
          <w:sz w:val="22"/>
          <w:szCs w:val="22"/>
          <w:lang w:eastAsia="en-US"/>
        </w:rPr>
      </w:pPr>
    </w:p>
    <w:p w14:paraId="2A7C610B" w14:textId="77777777" w:rsidR="00DF13EA" w:rsidRDefault="00DF13EA">
      <w:pPr>
        <w:rPr>
          <w:rFonts w:ascii="Arial" w:eastAsia="Arial" w:hAnsi="Arial" w:cs="Arial"/>
          <w:sz w:val="22"/>
          <w:szCs w:val="22"/>
          <w:lang w:eastAsia="en-US"/>
        </w:rPr>
      </w:pPr>
    </w:p>
    <w:p w14:paraId="1F85897C" w14:textId="77777777" w:rsidR="00DF13EA" w:rsidRDefault="00DF13EA">
      <w:pPr>
        <w:rPr>
          <w:rFonts w:ascii="Arial" w:eastAsia="Arial" w:hAnsi="Arial" w:cs="Arial"/>
          <w:sz w:val="22"/>
          <w:szCs w:val="22"/>
          <w:lang w:eastAsia="en-US"/>
        </w:rPr>
      </w:pPr>
    </w:p>
    <w:p w14:paraId="28707C3E" w14:textId="77777777" w:rsidR="00DF13EA" w:rsidRDefault="00DF13EA">
      <w:pPr>
        <w:rPr>
          <w:rFonts w:ascii="Arial" w:eastAsia="Arial" w:hAnsi="Arial" w:cs="Arial"/>
          <w:sz w:val="22"/>
          <w:szCs w:val="22"/>
          <w:lang w:eastAsia="en-US"/>
        </w:rPr>
      </w:pPr>
    </w:p>
    <w:p w14:paraId="06F18449" w14:textId="77777777" w:rsidR="00DF13EA" w:rsidRDefault="00DF13EA">
      <w:pPr>
        <w:rPr>
          <w:rFonts w:ascii="Arial" w:eastAsia="Arial" w:hAnsi="Arial" w:cs="Arial"/>
          <w:sz w:val="22"/>
          <w:szCs w:val="22"/>
          <w:lang w:eastAsia="en-US"/>
        </w:rPr>
      </w:pPr>
    </w:p>
    <w:p w14:paraId="33C374CA" w14:textId="5A27AD83" w:rsidR="00DF13EA" w:rsidRDefault="00DF13EA" w:rsidP="00DF13EA">
      <w:pPr>
        <w:pStyle w:val="Heading1"/>
        <w:rPr>
          <w:rFonts w:eastAsia="Arial"/>
          <w:lang w:eastAsia="en-US"/>
        </w:rPr>
      </w:pPr>
      <w:bookmarkStart w:id="13" w:name="_Toc223101837"/>
      <w:r>
        <w:rPr>
          <w:rFonts w:eastAsia="Arial"/>
          <w:lang w:eastAsia="en-US"/>
        </w:rPr>
        <w:t>Appendix</w:t>
      </w:r>
      <w:bookmarkEnd w:id="13"/>
      <w:r>
        <w:rPr>
          <w:rFonts w:eastAsia="Arial"/>
          <w:lang w:eastAsia="en-US"/>
        </w:rPr>
        <w:t xml:space="preserve"> </w:t>
      </w:r>
    </w:p>
    <w:p w14:paraId="1B34B3E2" w14:textId="77777777" w:rsidR="00DF13EA" w:rsidRDefault="00DF13EA">
      <w:pPr>
        <w:rPr>
          <w:rFonts w:ascii="Arial" w:eastAsia="Arial" w:hAnsi="Arial" w:cs="Arial"/>
          <w:sz w:val="22"/>
          <w:szCs w:val="22"/>
          <w:lang w:eastAsia="en-US"/>
        </w:rPr>
      </w:pPr>
    </w:p>
    <w:p w14:paraId="6F3F8F4D" w14:textId="0E44757A" w:rsidR="00DF13EA" w:rsidRDefault="00DF13EA">
      <w:pPr>
        <w:rPr>
          <w:rFonts w:ascii="Arial" w:eastAsia="Arial" w:hAnsi="Arial" w:cs="Arial"/>
          <w:sz w:val="22"/>
          <w:szCs w:val="22"/>
          <w:lang w:eastAsia="en-US"/>
        </w:rPr>
      </w:pPr>
      <w:r>
        <w:rPr>
          <w:rFonts w:ascii="Arial" w:eastAsia="Arial" w:hAnsi="Arial" w:cs="Arial"/>
          <w:noProof/>
          <w:sz w:val="22"/>
          <w:szCs w:val="22"/>
          <w:lang w:eastAsia="en-US"/>
          <w14:ligatures w14:val="standardContextual"/>
        </w:rPr>
        <w:drawing>
          <wp:inline distT="0" distB="0" distL="0" distR="0" wp14:anchorId="735B8316" wp14:editId="460EC406">
            <wp:extent cx="5731510" cy="1845945"/>
            <wp:effectExtent l="0" t="0" r="2540" b="1905"/>
            <wp:docPr id="46120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05105" name="Picture 461205105"/>
                    <pic:cNvPicPr/>
                  </pic:nvPicPr>
                  <pic:blipFill>
                    <a:blip r:embed="rId8">
                      <a:extLst>
                        <a:ext uri="{28A0092B-C50C-407E-A947-70E740481C1C}">
                          <a14:useLocalDpi xmlns:a14="http://schemas.microsoft.com/office/drawing/2010/main" val="0"/>
                        </a:ext>
                      </a:extLst>
                    </a:blip>
                    <a:stretch>
                      <a:fillRect/>
                    </a:stretch>
                  </pic:blipFill>
                  <pic:spPr>
                    <a:xfrm>
                      <a:off x="0" y="0"/>
                      <a:ext cx="5731510" cy="1845945"/>
                    </a:xfrm>
                    <a:prstGeom prst="rect">
                      <a:avLst/>
                    </a:prstGeom>
                  </pic:spPr>
                </pic:pic>
              </a:graphicData>
            </a:graphic>
          </wp:inline>
        </w:drawing>
      </w:r>
    </w:p>
    <w:p w14:paraId="2D80B423" w14:textId="608F71FC" w:rsidR="00DF13EA" w:rsidRPr="00DF13EA" w:rsidRDefault="00DF13EA">
      <w:pPr>
        <w:rPr>
          <w:rFonts w:ascii="Arial" w:eastAsia="Arial" w:hAnsi="Arial" w:cs="Arial"/>
          <w:i/>
          <w:iCs/>
          <w:sz w:val="22"/>
          <w:szCs w:val="22"/>
          <w:lang w:eastAsia="en-US"/>
        </w:rPr>
      </w:pPr>
      <w:r w:rsidRPr="00DF13EA">
        <w:rPr>
          <w:rFonts w:ascii="Arial" w:eastAsia="Arial" w:hAnsi="Arial" w:cs="Arial"/>
          <w:i/>
          <w:iCs/>
          <w:sz w:val="22"/>
          <w:szCs w:val="22"/>
          <w:lang w:eastAsia="en-US"/>
        </w:rPr>
        <w:t xml:space="preserve">                                                                                                              Fig1, spending tracker </w:t>
      </w:r>
    </w:p>
    <w:p w14:paraId="3930B1F8" w14:textId="603CC6F4" w:rsidR="000232E6" w:rsidRPr="000232E6" w:rsidRDefault="00512285" w:rsidP="000232E6">
      <w:pPr>
        <w:pStyle w:val="Heading1"/>
      </w:pPr>
      <w:bookmarkStart w:id="14" w:name="_Toc223083877"/>
      <w:bookmarkStart w:id="15" w:name="_Toc223101838"/>
      <w:r>
        <w:t>References:</w:t>
      </w:r>
      <w:bookmarkEnd w:id="14"/>
      <w:bookmarkEnd w:id="15"/>
      <w:r>
        <w:t xml:space="preserve"> </w:t>
      </w:r>
    </w:p>
    <w:p w14:paraId="1C285936" w14:textId="77777777" w:rsidR="000232E6" w:rsidRPr="00761E61" w:rsidRDefault="000232E6" w:rsidP="00761E61">
      <w:pPr>
        <w:rPr>
          <w:sz w:val="24"/>
          <w:szCs w:val="24"/>
        </w:rPr>
      </w:pPr>
    </w:p>
    <w:p w14:paraId="7D98544E" w14:textId="77777777" w:rsidR="00DE3798" w:rsidRPr="00DE3798" w:rsidRDefault="00DE3798" w:rsidP="00761E61">
      <w:pPr>
        <w:rPr>
          <w:sz w:val="32"/>
          <w:szCs w:val="32"/>
        </w:rPr>
      </w:pPr>
      <w:r w:rsidRPr="00DE3798">
        <w:rPr>
          <w:sz w:val="32"/>
          <w:szCs w:val="32"/>
        </w:rPr>
        <w:t xml:space="preserve">Burns, P. (2016) </w:t>
      </w:r>
      <w:r w:rsidRPr="00DE3798">
        <w:rPr>
          <w:i/>
          <w:iCs/>
          <w:sz w:val="32"/>
          <w:szCs w:val="32"/>
        </w:rPr>
        <w:t>Entrepreneurship and Small Business</w:t>
      </w:r>
      <w:r w:rsidRPr="00DE3798">
        <w:rPr>
          <w:sz w:val="32"/>
          <w:szCs w:val="32"/>
        </w:rPr>
        <w:t xml:space="preserve">. 4th </w:t>
      </w:r>
      <w:proofErr w:type="spellStart"/>
      <w:r w:rsidRPr="00DE3798">
        <w:rPr>
          <w:sz w:val="32"/>
          <w:szCs w:val="32"/>
        </w:rPr>
        <w:t>edn</w:t>
      </w:r>
      <w:proofErr w:type="spellEnd"/>
      <w:r w:rsidRPr="00DE3798">
        <w:rPr>
          <w:sz w:val="32"/>
          <w:szCs w:val="32"/>
        </w:rPr>
        <w:t>. London: Palgrave Macmillan.</w:t>
      </w:r>
    </w:p>
    <w:p w14:paraId="57E7380F" w14:textId="77777777" w:rsidR="00DE3798" w:rsidRPr="00DE3798" w:rsidRDefault="00DE3798" w:rsidP="00DE3798">
      <w:pPr>
        <w:rPr>
          <w:sz w:val="32"/>
          <w:szCs w:val="32"/>
        </w:rPr>
      </w:pPr>
      <w:r w:rsidRPr="00DE3798">
        <w:rPr>
          <w:sz w:val="32"/>
          <w:szCs w:val="32"/>
        </w:rPr>
        <w:t xml:space="preserve">Burns, P. (2016) </w:t>
      </w:r>
      <w:r w:rsidRPr="00DE3798">
        <w:rPr>
          <w:i/>
          <w:iCs/>
          <w:sz w:val="32"/>
          <w:szCs w:val="32"/>
        </w:rPr>
        <w:t>Entrepreneurship and Small Business</w:t>
      </w:r>
      <w:r w:rsidRPr="00DE3798">
        <w:rPr>
          <w:sz w:val="32"/>
          <w:szCs w:val="32"/>
        </w:rPr>
        <w:t xml:space="preserve">. 4th </w:t>
      </w:r>
      <w:proofErr w:type="spellStart"/>
      <w:r w:rsidRPr="00DE3798">
        <w:rPr>
          <w:sz w:val="32"/>
          <w:szCs w:val="32"/>
        </w:rPr>
        <w:t>edn</w:t>
      </w:r>
      <w:proofErr w:type="spellEnd"/>
      <w:r w:rsidRPr="00DE3798">
        <w:rPr>
          <w:sz w:val="32"/>
          <w:szCs w:val="32"/>
        </w:rPr>
        <w:t>. London: Palgrave Macmillan.</w:t>
      </w:r>
    </w:p>
    <w:p w14:paraId="5C5E7DE0" w14:textId="77777777" w:rsidR="00DE3798" w:rsidRPr="00DE3798" w:rsidRDefault="00DE3798" w:rsidP="00512285">
      <w:pPr>
        <w:rPr>
          <w:sz w:val="32"/>
          <w:szCs w:val="32"/>
        </w:rPr>
      </w:pPr>
      <w:r w:rsidRPr="00DE3798">
        <w:rPr>
          <w:sz w:val="32"/>
          <w:szCs w:val="32"/>
        </w:rPr>
        <w:t xml:space="preserve">Gov.uk (2018) </w:t>
      </w:r>
      <w:r w:rsidRPr="00DE3798">
        <w:rPr>
          <w:i/>
          <w:iCs/>
          <w:sz w:val="32"/>
          <w:szCs w:val="32"/>
        </w:rPr>
        <w:t>Guide to the General Data Protection Regulation (GDPR)</w:t>
      </w:r>
      <w:r w:rsidRPr="00DE3798">
        <w:rPr>
          <w:sz w:val="32"/>
          <w:szCs w:val="32"/>
        </w:rPr>
        <w:t>. London: UK Government.</w:t>
      </w:r>
    </w:p>
    <w:p w14:paraId="300FDFD4" w14:textId="77777777" w:rsidR="00DE3798" w:rsidRPr="00DE3798" w:rsidRDefault="00DE3798" w:rsidP="00DE3798">
      <w:pPr>
        <w:rPr>
          <w:sz w:val="32"/>
          <w:szCs w:val="32"/>
        </w:rPr>
      </w:pPr>
      <w:r w:rsidRPr="00DE3798">
        <w:rPr>
          <w:sz w:val="32"/>
          <w:szCs w:val="32"/>
        </w:rPr>
        <w:t xml:space="preserve">Gov.uk (2018) </w:t>
      </w:r>
      <w:r w:rsidRPr="00DE3798">
        <w:rPr>
          <w:i/>
          <w:iCs/>
          <w:sz w:val="32"/>
          <w:szCs w:val="32"/>
        </w:rPr>
        <w:t>Running a limited company</w:t>
      </w:r>
      <w:r w:rsidRPr="00DE3798">
        <w:rPr>
          <w:sz w:val="32"/>
          <w:szCs w:val="32"/>
        </w:rPr>
        <w:t>. London: UK Government.</w:t>
      </w:r>
    </w:p>
    <w:p w14:paraId="6C0A9F9B" w14:textId="77777777" w:rsidR="00DE3798" w:rsidRPr="00DE3798" w:rsidRDefault="00DE3798" w:rsidP="00512285">
      <w:pPr>
        <w:rPr>
          <w:sz w:val="32"/>
          <w:szCs w:val="32"/>
        </w:rPr>
      </w:pPr>
      <w:r w:rsidRPr="00DE3798">
        <w:rPr>
          <w:sz w:val="32"/>
          <w:szCs w:val="32"/>
        </w:rPr>
        <w:t xml:space="preserve">Johnson, G., Scholes, R. and Whittington, R. (2017) </w:t>
      </w:r>
      <w:r w:rsidRPr="00DE3798">
        <w:rPr>
          <w:i/>
          <w:iCs/>
          <w:sz w:val="32"/>
          <w:szCs w:val="32"/>
        </w:rPr>
        <w:t>Exploring Strategy</w:t>
      </w:r>
      <w:r w:rsidRPr="00DE3798">
        <w:rPr>
          <w:sz w:val="32"/>
          <w:szCs w:val="32"/>
        </w:rPr>
        <w:t xml:space="preserve">. 11th </w:t>
      </w:r>
      <w:proofErr w:type="spellStart"/>
      <w:r w:rsidRPr="00DE3798">
        <w:rPr>
          <w:sz w:val="32"/>
          <w:szCs w:val="32"/>
        </w:rPr>
        <w:t>edn</w:t>
      </w:r>
      <w:proofErr w:type="spellEnd"/>
      <w:r w:rsidRPr="00DE3798">
        <w:rPr>
          <w:sz w:val="32"/>
          <w:szCs w:val="32"/>
        </w:rPr>
        <w:t>. Harlow: Pearson.</w:t>
      </w:r>
    </w:p>
    <w:p w14:paraId="6E99E41C" w14:textId="77777777" w:rsidR="00DE3798" w:rsidRPr="00DE3798" w:rsidRDefault="00DE3798" w:rsidP="00512285">
      <w:pPr>
        <w:rPr>
          <w:sz w:val="32"/>
          <w:szCs w:val="32"/>
        </w:rPr>
      </w:pPr>
      <w:r w:rsidRPr="00DE3798">
        <w:rPr>
          <w:sz w:val="32"/>
          <w:szCs w:val="32"/>
        </w:rPr>
        <w:t xml:space="preserve">Kellmann, M. (2010) </w:t>
      </w:r>
      <w:r w:rsidRPr="00DE3798">
        <w:rPr>
          <w:i/>
          <w:iCs/>
          <w:sz w:val="32"/>
          <w:szCs w:val="32"/>
        </w:rPr>
        <w:t>Preventing overtraining in athletes in high-intensity sports and stress/recovery monitoring</w:t>
      </w:r>
      <w:r w:rsidRPr="00DE3798">
        <w:rPr>
          <w:sz w:val="32"/>
          <w:szCs w:val="32"/>
        </w:rPr>
        <w:t>. Scandinavian Journal of Medicine &amp; Science in Sports, 20(Suppl. 2), pp. 95–102.</w:t>
      </w:r>
    </w:p>
    <w:p w14:paraId="20D0E81B" w14:textId="77777777" w:rsidR="00DE3798" w:rsidRPr="00DE3798" w:rsidRDefault="00DE3798" w:rsidP="00C30673">
      <w:pPr>
        <w:rPr>
          <w:sz w:val="32"/>
          <w:szCs w:val="32"/>
        </w:rPr>
      </w:pPr>
      <w:r w:rsidRPr="00DE3798">
        <w:rPr>
          <w:sz w:val="32"/>
          <w:szCs w:val="32"/>
        </w:rPr>
        <w:t xml:space="preserve">Kotler, P. and Keller, K.L. (2016) </w:t>
      </w:r>
      <w:r w:rsidRPr="00DE3798">
        <w:rPr>
          <w:i/>
          <w:iCs/>
          <w:sz w:val="32"/>
          <w:szCs w:val="32"/>
        </w:rPr>
        <w:t>Marketing Management</w:t>
      </w:r>
      <w:r w:rsidRPr="00DE3798">
        <w:rPr>
          <w:sz w:val="32"/>
          <w:szCs w:val="32"/>
        </w:rPr>
        <w:t xml:space="preserve">. 15th </w:t>
      </w:r>
      <w:proofErr w:type="spellStart"/>
      <w:r w:rsidRPr="00DE3798">
        <w:rPr>
          <w:sz w:val="32"/>
          <w:szCs w:val="32"/>
        </w:rPr>
        <w:t>edn</w:t>
      </w:r>
      <w:proofErr w:type="spellEnd"/>
      <w:r w:rsidRPr="00DE3798">
        <w:rPr>
          <w:sz w:val="32"/>
          <w:szCs w:val="32"/>
        </w:rPr>
        <w:t>. Harlow: Pearson.</w:t>
      </w:r>
    </w:p>
    <w:p w14:paraId="096516E0" w14:textId="77777777" w:rsidR="00DE3798" w:rsidRPr="00DE3798" w:rsidRDefault="00DE3798" w:rsidP="00512285">
      <w:pPr>
        <w:rPr>
          <w:sz w:val="32"/>
          <w:szCs w:val="32"/>
        </w:rPr>
      </w:pPr>
      <w:r w:rsidRPr="00DE3798">
        <w:rPr>
          <w:sz w:val="32"/>
          <w:szCs w:val="32"/>
        </w:rPr>
        <w:t xml:space="preserve">Office for National Statistics (2022) </w:t>
      </w:r>
      <w:r w:rsidRPr="00DE3798">
        <w:rPr>
          <w:i/>
          <w:iCs/>
          <w:sz w:val="32"/>
          <w:szCs w:val="32"/>
        </w:rPr>
        <w:t>UK health and wellness industry data</w:t>
      </w:r>
      <w:r w:rsidRPr="00DE3798">
        <w:rPr>
          <w:sz w:val="32"/>
          <w:szCs w:val="32"/>
        </w:rPr>
        <w:t>. London: ONS.</w:t>
      </w:r>
    </w:p>
    <w:p w14:paraId="062B324C" w14:textId="77777777" w:rsidR="00DE3798" w:rsidRPr="00DE3798" w:rsidRDefault="00DE3798" w:rsidP="00512285">
      <w:pPr>
        <w:rPr>
          <w:sz w:val="32"/>
          <w:szCs w:val="32"/>
        </w:rPr>
      </w:pPr>
      <w:r w:rsidRPr="00DE3798">
        <w:rPr>
          <w:sz w:val="32"/>
          <w:szCs w:val="32"/>
        </w:rPr>
        <w:t xml:space="preserve">Osterwalder, A. and Pigneur, Y. (2010) </w:t>
      </w:r>
      <w:r w:rsidRPr="00DE3798">
        <w:rPr>
          <w:i/>
          <w:iCs/>
          <w:sz w:val="32"/>
          <w:szCs w:val="32"/>
        </w:rPr>
        <w:t>Business Model Generation</w:t>
      </w:r>
      <w:r w:rsidRPr="00DE3798">
        <w:rPr>
          <w:sz w:val="32"/>
          <w:szCs w:val="32"/>
        </w:rPr>
        <w:t>. Hoboken: John Wiley &amp; Sons.</w:t>
      </w:r>
    </w:p>
    <w:p w14:paraId="42353373" w14:textId="22652E81" w:rsidR="00DE3798" w:rsidRPr="00DE3798" w:rsidRDefault="00DE3798" w:rsidP="00C30673">
      <w:pPr>
        <w:rPr>
          <w:sz w:val="32"/>
          <w:szCs w:val="32"/>
        </w:rPr>
      </w:pPr>
      <w:r w:rsidRPr="00DE3798">
        <w:rPr>
          <w:sz w:val="32"/>
          <w:szCs w:val="32"/>
        </w:rPr>
        <w:t xml:space="preserve">Porter, M.E. (1980) </w:t>
      </w:r>
      <w:r w:rsidRPr="00DE3798">
        <w:rPr>
          <w:i/>
          <w:iCs/>
          <w:sz w:val="32"/>
          <w:szCs w:val="32"/>
        </w:rPr>
        <w:t>Competitive Strategy: Techniques for Analysing Industries and Competitors</w:t>
      </w:r>
      <w:r w:rsidRPr="00DE3798">
        <w:rPr>
          <w:sz w:val="32"/>
          <w:szCs w:val="32"/>
        </w:rPr>
        <w:t>. New York: Free Press.</w:t>
      </w:r>
    </w:p>
    <w:p w14:paraId="0E039234" w14:textId="77777777" w:rsidR="00DE3798" w:rsidRPr="00DE3798" w:rsidRDefault="00DE3798" w:rsidP="00512285">
      <w:pPr>
        <w:rPr>
          <w:sz w:val="32"/>
          <w:szCs w:val="32"/>
        </w:rPr>
      </w:pPr>
      <w:r w:rsidRPr="00DE3798">
        <w:rPr>
          <w:sz w:val="32"/>
          <w:szCs w:val="32"/>
        </w:rPr>
        <w:lastRenderedPageBreak/>
        <w:t xml:space="preserve">Sport England (2023) </w:t>
      </w:r>
      <w:r w:rsidRPr="00DE3798">
        <w:rPr>
          <w:i/>
          <w:iCs/>
          <w:sz w:val="32"/>
          <w:szCs w:val="32"/>
        </w:rPr>
        <w:t>Active Lives Adult Survey Report</w:t>
      </w:r>
      <w:r w:rsidRPr="00DE3798">
        <w:rPr>
          <w:sz w:val="32"/>
          <w:szCs w:val="32"/>
        </w:rPr>
        <w:t>. London: Sport England.</w:t>
      </w:r>
    </w:p>
    <w:p w14:paraId="3A0C9D0C" w14:textId="77777777" w:rsidR="00DE3798" w:rsidRDefault="00DE3798" w:rsidP="00512285">
      <w:pPr>
        <w:rPr>
          <w:sz w:val="32"/>
          <w:szCs w:val="32"/>
        </w:rPr>
      </w:pPr>
      <w:r w:rsidRPr="00DE3798">
        <w:rPr>
          <w:sz w:val="32"/>
          <w:szCs w:val="32"/>
        </w:rPr>
        <w:t xml:space="preserve">Zeithaml, V.A., Bitner, M.J. and Gremler, D.D. (2018) </w:t>
      </w:r>
      <w:r w:rsidRPr="00DE3798">
        <w:rPr>
          <w:i/>
          <w:iCs/>
          <w:sz w:val="32"/>
          <w:szCs w:val="32"/>
        </w:rPr>
        <w:t>Services Marketing: Integrating Customer Focus Across the Firm</w:t>
      </w:r>
      <w:r w:rsidRPr="00DE3798">
        <w:rPr>
          <w:sz w:val="32"/>
          <w:szCs w:val="32"/>
        </w:rPr>
        <w:t xml:space="preserve">. 7th </w:t>
      </w:r>
      <w:proofErr w:type="spellStart"/>
      <w:r w:rsidRPr="00DE3798">
        <w:rPr>
          <w:sz w:val="32"/>
          <w:szCs w:val="32"/>
        </w:rPr>
        <w:t>edn</w:t>
      </w:r>
      <w:proofErr w:type="spellEnd"/>
      <w:r w:rsidRPr="00DE3798">
        <w:rPr>
          <w:sz w:val="32"/>
          <w:szCs w:val="32"/>
        </w:rPr>
        <w:t>. New York: McGraw-Hill</w:t>
      </w:r>
    </w:p>
    <w:p w14:paraId="66F8AEE1" w14:textId="77777777" w:rsidR="00DE3798" w:rsidRDefault="00DE3798" w:rsidP="00512285">
      <w:pPr>
        <w:rPr>
          <w:sz w:val="32"/>
          <w:szCs w:val="32"/>
        </w:rPr>
      </w:pPr>
    </w:p>
    <w:p w14:paraId="4121A4DC" w14:textId="77777777" w:rsidR="00DE3798" w:rsidRPr="00DE3798" w:rsidRDefault="00DE3798" w:rsidP="00512285">
      <w:pPr>
        <w:rPr>
          <w:sz w:val="32"/>
          <w:szCs w:val="32"/>
        </w:rPr>
      </w:pPr>
    </w:p>
    <w:p w14:paraId="6CE807EE" w14:textId="77777777" w:rsidR="00A12D9C" w:rsidRDefault="00A12D9C"/>
    <w:p w14:paraId="39665AC0" w14:textId="77777777" w:rsidR="00A12D9C" w:rsidRDefault="00A12D9C"/>
    <w:p w14:paraId="6CF31350" w14:textId="77777777" w:rsidR="00A12D9C" w:rsidRDefault="00A12D9C"/>
    <w:p w14:paraId="5249DC86" w14:textId="77777777" w:rsidR="00A12D9C" w:rsidRDefault="00A12D9C"/>
    <w:p w14:paraId="24BA651D" w14:textId="77777777" w:rsidR="00A12D9C" w:rsidRDefault="00A12D9C"/>
    <w:p w14:paraId="3654039E" w14:textId="77777777" w:rsidR="00A12D9C" w:rsidRDefault="00A12D9C"/>
    <w:sectPr w:rsidR="00A12D9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34597" w14:textId="77777777" w:rsidR="0050762A" w:rsidRDefault="0050762A" w:rsidP="008E1065">
      <w:r>
        <w:separator/>
      </w:r>
    </w:p>
  </w:endnote>
  <w:endnote w:type="continuationSeparator" w:id="0">
    <w:p w14:paraId="528663EE" w14:textId="77777777" w:rsidR="0050762A" w:rsidRDefault="0050762A" w:rsidP="008E1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930852"/>
      <w:docPartObj>
        <w:docPartGallery w:val="Page Numbers (Bottom of Page)"/>
        <w:docPartUnique/>
      </w:docPartObj>
    </w:sdtPr>
    <w:sdtEndPr>
      <w:rPr>
        <w:noProof/>
      </w:rPr>
    </w:sdtEndPr>
    <w:sdtContent>
      <w:p w14:paraId="6E74157B" w14:textId="6120BCE9" w:rsidR="008E1065" w:rsidRDefault="008E10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7A5B0A" w14:textId="77777777" w:rsidR="008E1065" w:rsidRDefault="008E1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89F1A" w14:textId="77777777" w:rsidR="0050762A" w:rsidRDefault="0050762A" w:rsidP="008E1065">
      <w:r>
        <w:separator/>
      </w:r>
    </w:p>
  </w:footnote>
  <w:footnote w:type="continuationSeparator" w:id="0">
    <w:p w14:paraId="23D57A88" w14:textId="77777777" w:rsidR="0050762A" w:rsidRDefault="0050762A" w:rsidP="008E10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7B15"/>
    <w:multiLevelType w:val="multilevel"/>
    <w:tmpl w:val="64045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155C78"/>
    <w:multiLevelType w:val="hybridMultilevel"/>
    <w:tmpl w:val="492EC30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2" w15:restartNumberingAfterBreak="0">
    <w:nsid w:val="101C4450"/>
    <w:multiLevelType w:val="multilevel"/>
    <w:tmpl w:val="E042E0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1CD731E"/>
    <w:multiLevelType w:val="hybridMultilevel"/>
    <w:tmpl w:val="492EC30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4" w15:restartNumberingAfterBreak="0">
    <w:nsid w:val="292A725B"/>
    <w:multiLevelType w:val="hybridMultilevel"/>
    <w:tmpl w:val="492EC30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5" w15:restartNumberingAfterBreak="0">
    <w:nsid w:val="322D1F62"/>
    <w:multiLevelType w:val="multilevel"/>
    <w:tmpl w:val="7068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C63622"/>
    <w:multiLevelType w:val="hybridMultilevel"/>
    <w:tmpl w:val="93A82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8" w15:restartNumberingAfterBreak="0">
    <w:nsid w:val="751B50E0"/>
    <w:multiLevelType w:val="hybridMultilevel"/>
    <w:tmpl w:val="492EC30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num w:numId="1" w16cid:durableId="1249000844">
    <w:abstractNumId w:val="7"/>
  </w:num>
  <w:num w:numId="2" w16cid:durableId="1850294679">
    <w:abstractNumId w:val="8"/>
  </w:num>
  <w:num w:numId="3" w16cid:durableId="805510430">
    <w:abstractNumId w:val="1"/>
  </w:num>
  <w:num w:numId="4" w16cid:durableId="1269775708">
    <w:abstractNumId w:val="4"/>
  </w:num>
  <w:num w:numId="5" w16cid:durableId="375129542">
    <w:abstractNumId w:val="3"/>
  </w:num>
  <w:num w:numId="6" w16cid:durableId="290985399">
    <w:abstractNumId w:val="6"/>
  </w:num>
  <w:num w:numId="7" w16cid:durableId="1539049584">
    <w:abstractNumId w:val="2"/>
  </w:num>
  <w:num w:numId="8" w16cid:durableId="1776246204">
    <w:abstractNumId w:val="0"/>
  </w:num>
  <w:num w:numId="9" w16cid:durableId="17740854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706"/>
    <w:rsid w:val="000232E6"/>
    <w:rsid w:val="00061767"/>
    <w:rsid w:val="00097744"/>
    <w:rsid w:val="000D1670"/>
    <w:rsid w:val="002A0FCA"/>
    <w:rsid w:val="003E5AC8"/>
    <w:rsid w:val="004323CF"/>
    <w:rsid w:val="00501C12"/>
    <w:rsid w:val="0050762A"/>
    <w:rsid w:val="00512285"/>
    <w:rsid w:val="00563D69"/>
    <w:rsid w:val="006B1C21"/>
    <w:rsid w:val="00761E61"/>
    <w:rsid w:val="007D6F64"/>
    <w:rsid w:val="008E1065"/>
    <w:rsid w:val="009B074C"/>
    <w:rsid w:val="00A12D9C"/>
    <w:rsid w:val="00AF4706"/>
    <w:rsid w:val="00B6508F"/>
    <w:rsid w:val="00BA2F17"/>
    <w:rsid w:val="00BF003A"/>
    <w:rsid w:val="00BF6624"/>
    <w:rsid w:val="00C30673"/>
    <w:rsid w:val="00C70F39"/>
    <w:rsid w:val="00CC7197"/>
    <w:rsid w:val="00DE3798"/>
    <w:rsid w:val="00DF13EA"/>
    <w:rsid w:val="00EA090E"/>
    <w:rsid w:val="00F54BAA"/>
    <w:rsid w:val="00FD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F4584"/>
  <w15:chartTrackingRefBased/>
  <w15:docId w15:val="{2DCCCFBF-A30A-43F9-99D3-A26322CA3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D9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F47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47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7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7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7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7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7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7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7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7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47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7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7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7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7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7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7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706"/>
    <w:rPr>
      <w:rFonts w:eastAsiaTheme="majorEastAsia" w:cstheme="majorBidi"/>
      <w:color w:val="272727" w:themeColor="text1" w:themeTint="D8"/>
    </w:rPr>
  </w:style>
  <w:style w:type="paragraph" w:styleId="Title">
    <w:name w:val="Title"/>
    <w:basedOn w:val="Normal"/>
    <w:next w:val="Normal"/>
    <w:link w:val="TitleChar"/>
    <w:uiPriority w:val="10"/>
    <w:qFormat/>
    <w:rsid w:val="00AF47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7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7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7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706"/>
    <w:pPr>
      <w:spacing w:before="160"/>
      <w:jc w:val="center"/>
    </w:pPr>
    <w:rPr>
      <w:i/>
      <w:iCs/>
      <w:color w:val="404040" w:themeColor="text1" w:themeTint="BF"/>
    </w:rPr>
  </w:style>
  <w:style w:type="character" w:customStyle="1" w:styleId="QuoteChar">
    <w:name w:val="Quote Char"/>
    <w:basedOn w:val="DefaultParagraphFont"/>
    <w:link w:val="Quote"/>
    <w:uiPriority w:val="29"/>
    <w:rsid w:val="00AF4706"/>
    <w:rPr>
      <w:i/>
      <w:iCs/>
      <w:color w:val="404040" w:themeColor="text1" w:themeTint="BF"/>
    </w:rPr>
  </w:style>
  <w:style w:type="paragraph" w:styleId="ListParagraph">
    <w:name w:val="List Paragraph"/>
    <w:basedOn w:val="Normal"/>
    <w:uiPriority w:val="34"/>
    <w:qFormat/>
    <w:rsid w:val="00AF4706"/>
    <w:pPr>
      <w:ind w:left="720"/>
      <w:contextualSpacing/>
    </w:pPr>
  </w:style>
  <w:style w:type="character" w:styleId="IntenseEmphasis">
    <w:name w:val="Intense Emphasis"/>
    <w:basedOn w:val="DefaultParagraphFont"/>
    <w:uiPriority w:val="21"/>
    <w:qFormat/>
    <w:rsid w:val="00AF4706"/>
    <w:rPr>
      <w:i/>
      <w:iCs/>
      <w:color w:val="0F4761" w:themeColor="accent1" w:themeShade="BF"/>
    </w:rPr>
  </w:style>
  <w:style w:type="paragraph" w:styleId="IntenseQuote">
    <w:name w:val="Intense Quote"/>
    <w:basedOn w:val="Normal"/>
    <w:next w:val="Normal"/>
    <w:link w:val="IntenseQuoteChar"/>
    <w:uiPriority w:val="30"/>
    <w:qFormat/>
    <w:rsid w:val="00AF47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706"/>
    <w:rPr>
      <w:i/>
      <w:iCs/>
      <w:color w:val="0F4761" w:themeColor="accent1" w:themeShade="BF"/>
    </w:rPr>
  </w:style>
  <w:style w:type="character" w:styleId="IntenseReference">
    <w:name w:val="Intense Reference"/>
    <w:basedOn w:val="DefaultParagraphFont"/>
    <w:uiPriority w:val="32"/>
    <w:qFormat/>
    <w:rsid w:val="00AF4706"/>
    <w:rPr>
      <w:b/>
      <w:bCs/>
      <w:smallCaps/>
      <w:color w:val="0F4761" w:themeColor="accent1" w:themeShade="BF"/>
      <w:spacing w:val="5"/>
    </w:rPr>
  </w:style>
  <w:style w:type="paragraph" w:styleId="NoSpacing">
    <w:name w:val="No Spacing"/>
    <w:link w:val="NoSpacingChar"/>
    <w:uiPriority w:val="1"/>
    <w:qFormat/>
    <w:rsid w:val="008E106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1065"/>
    <w:rPr>
      <w:rFonts w:eastAsiaTheme="minorEastAsia"/>
      <w:kern w:val="0"/>
      <w:sz w:val="22"/>
      <w:szCs w:val="22"/>
      <w:lang w:val="en-US"/>
      <w14:ligatures w14:val="none"/>
    </w:rPr>
  </w:style>
  <w:style w:type="paragraph" w:styleId="Header">
    <w:name w:val="header"/>
    <w:basedOn w:val="Normal"/>
    <w:link w:val="HeaderChar"/>
    <w:uiPriority w:val="99"/>
    <w:unhideWhenUsed/>
    <w:rsid w:val="008E1065"/>
    <w:pPr>
      <w:tabs>
        <w:tab w:val="center" w:pos="4513"/>
        <w:tab w:val="right" w:pos="9026"/>
      </w:tabs>
    </w:pPr>
  </w:style>
  <w:style w:type="character" w:customStyle="1" w:styleId="HeaderChar">
    <w:name w:val="Header Char"/>
    <w:basedOn w:val="DefaultParagraphFont"/>
    <w:link w:val="Header"/>
    <w:uiPriority w:val="99"/>
    <w:rsid w:val="008E1065"/>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E1065"/>
    <w:pPr>
      <w:tabs>
        <w:tab w:val="center" w:pos="4513"/>
        <w:tab w:val="right" w:pos="9026"/>
      </w:tabs>
    </w:pPr>
  </w:style>
  <w:style w:type="character" w:customStyle="1" w:styleId="FooterChar">
    <w:name w:val="Footer Char"/>
    <w:basedOn w:val="DefaultParagraphFont"/>
    <w:link w:val="Footer"/>
    <w:uiPriority w:val="99"/>
    <w:rsid w:val="008E1065"/>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8E1065"/>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8E1065"/>
    <w:pPr>
      <w:spacing w:after="100"/>
    </w:pPr>
  </w:style>
  <w:style w:type="paragraph" w:styleId="TOC2">
    <w:name w:val="toc 2"/>
    <w:basedOn w:val="Normal"/>
    <w:next w:val="Normal"/>
    <w:autoRedefine/>
    <w:uiPriority w:val="39"/>
    <w:unhideWhenUsed/>
    <w:rsid w:val="008E1065"/>
    <w:pPr>
      <w:spacing w:after="100"/>
      <w:ind w:left="200"/>
    </w:pPr>
  </w:style>
  <w:style w:type="character" w:styleId="Hyperlink">
    <w:name w:val="Hyperlink"/>
    <w:basedOn w:val="DefaultParagraphFont"/>
    <w:uiPriority w:val="99"/>
    <w:unhideWhenUsed/>
    <w:rsid w:val="008E106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D520D2-3EA5-44ED-975B-2B14D1B4A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Pages>
  <Words>2433</Words>
  <Characters>13873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Laurentia  Bordeianu</dc:creator>
  <cp:keywords/>
  <dc:description/>
  <cp:lastModifiedBy>Vladislav Prodan (2440094)</cp:lastModifiedBy>
  <cp:revision>12</cp:revision>
  <dcterms:created xsi:type="dcterms:W3CDTF">2026-02-27T10:09:00Z</dcterms:created>
  <dcterms:modified xsi:type="dcterms:W3CDTF">2026-03-01T20:21:00Z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2026-02-27T11:33:00Z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d717bece-8957-48c7-80b8-e7bf6eb0b5de</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