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4510F" w14:textId="6A584C01" w:rsidR="00EF4FCB" w:rsidRDefault="00EF4FCB" w:rsidP="003008C2">
      <w:pPr>
        <w:jc w:val="center"/>
      </w:pPr>
    </w:p>
    <w:p w14:paraId="5868A771" w14:textId="41EC752A" w:rsidR="003008C2" w:rsidRDefault="003008C2" w:rsidP="003008C2">
      <w:pPr>
        <w:jc w:val="center"/>
      </w:pPr>
    </w:p>
    <w:p w14:paraId="2757A14E" w14:textId="67D3E707" w:rsidR="003008C2" w:rsidRDefault="003008C2" w:rsidP="003008C2">
      <w:pPr>
        <w:jc w:val="center"/>
      </w:pPr>
    </w:p>
    <w:p w14:paraId="4752F280" w14:textId="542DF51C" w:rsidR="003008C2" w:rsidRDefault="003008C2" w:rsidP="003008C2">
      <w:pPr>
        <w:jc w:val="center"/>
      </w:pPr>
    </w:p>
    <w:p w14:paraId="0221207F" w14:textId="4BE85C23" w:rsidR="003008C2" w:rsidRDefault="003008C2" w:rsidP="003008C2">
      <w:pPr>
        <w:jc w:val="center"/>
      </w:pPr>
    </w:p>
    <w:p w14:paraId="2C2386CE" w14:textId="69F76061" w:rsidR="003008C2" w:rsidRDefault="003008C2" w:rsidP="003008C2">
      <w:pPr>
        <w:jc w:val="center"/>
      </w:pPr>
    </w:p>
    <w:p w14:paraId="52395762" w14:textId="7E0F4E2A" w:rsidR="003008C2" w:rsidRDefault="003008C2" w:rsidP="003008C2">
      <w:pPr>
        <w:jc w:val="center"/>
        <w:rPr>
          <w:b/>
        </w:rPr>
      </w:pPr>
      <w:r w:rsidRPr="003008C2">
        <w:rPr>
          <w:b/>
        </w:rPr>
        <w:t>Principles of Health and Social Care Practice</w:t>
      </w:r>
    </w:p>
    <w:p w14:paraId="2C36A548" w14:textId="37A40B5F" w:rsidR="003008C2" w:rsidRDefault="00A342EB" w:rsidP="003008C2">
      <w:pPr>
        <w:jc w:val="center"/>
      </w:pPr>
      <w:r w:rsidRPr="00A342EB">
        <w:t xml:space="preserve">Saba </w:t>
      </w:r>
      <w:r>
        <w:t>Chaudhary</w:t>
      </w:r>
    </w:p>
    <w:p w14:paraId="4C57F562" w14:textId="681A74FA" w:rsidR="00A342EB" w:rsidRDefault="00A342EB" w:rsidP="003008C2">
      <w:pPr>
        <w:jc w:val="center"/>
      </w:pPr>
      <w:r>
        <w:t xml:space="preserve">Prof. Robert </w:t>
      </w:r>
      <w:proofErr w:type="spellStart"/>
      <w:r w:rsidRPr="00A342EB">
        <w:t>Nartowski</w:t>
      </w:r>
      <w:proofErr w:type="spellEnd"/>
    </w:p>
    <w:p w14:paraId="5A0692A1" w14:textId="256B6C42" w:rsidR="00864B37" w:rsidRDefault="00864B37" w:rsidP="003008C2">
      <w:pPr>
        <w:jc w:val="center"/>
      </w:pPr>
      <w:r>
        <w:t>24</w:t>
      </w:r>
      <w:r w:rsidRPr="00864B37">
        <w:rPr>
          <w:vertAlign w:val="superscript"/>
        </w:rPr>
        <w:t>th</w:t>
      </w:r>
      <w:r>
        <w:t xml:space="preserve"> September 2026</w:t>
      </w:r>
    </w:p>
    <w:p w14:paraId="2524D5ED" w14:textId="112FB68C" w:rsidR="00864B37" w:rsidRDefault="00864B37">
      <w:pPr>
        <w:spacing w:line="259" w:lineRule="auto"/>
        <w:jc w:val="left"/>
      </w:pPr>
      <w:r>
        <w:br w:type="page"/>
      </w:r>
    </w:p>
    <w:sdt>
      <w:sdtPr>
        <w:rPr>
          <w:rFonts w:eastAsiaTheme="minorHAnsi" w:cstheme="minorBidi"/>
          <w:b w:val="0"/>
          <w:szCs w:val="22"/>
        </w:rPr>
        <w:id w:val="812753546"/>
        <w:docPartObj>
          <w:docPartGallery w:val="Table of Contents"/>
          <w:docPartUnique/>
        </w:docPartObj>
      </w:sdtPr>
      <w:sdtEndPr>
        <w:rPr>
          <w:bCs/>
          <w:noProof/>
        </w:rPr>
      </w:sdtEndPr>
      <w:sdtContent>
        <w:p w14:paraId="4D6727F2" w14:textId="0DFAEA9A" w:rsidR="004E1F9F" w:rsidRPr="004E1F9F" w:rsidRDefault="004E1F9F" w:rsidP="004E1F9F">
          <w:pPr>
            <w:pStyle w:val="TOCHeading"/>
            <w:jc w:val="center"/>
            <w:rPr>
              <w:rFonts w:cs="Times New Roman"/>
              <w:sz w:val="32"/>
            </w:rPr>
          </w:pPr>
          <w:r w:rsidRPr="004E1F9F">
            <w:rPr>
              <w:rFonts w:cs="Times New Roman"/>
              <w:sz w:val="32"/>
            </w:rPr>
            <w:t>Table of Content</w:t>
          </w:r>
        </w:p>
        <w:p w14:paraId="3B4C4271" w14:textId="3ADC262A" w:rsidR="00D47DCC" w:rsidRDefault="004E1F9F">
          <w:pPr>
            <w:pStyle w:val="TOC1"/>
            <w:tabs>
              <w:tab w:val="right" w:leader="dot" w:pos="9350"/>
            </w:tabs>
            <w:rPr>
              <w:rFonts w:asciiTheme="minorHAnsi" w:eastAsiaTheme="minorEastAsia" w:hAnsiTheme="minorHAnsi"/>
              <w:noProof/>
              <w:color w:val="auto"/>
            </w:rPr>
          </w:pPr>
          <w:r>
            <w:fldChar w:fldCharType="begin"/>
          </w:r>
          <w:r>
            <w:instrText xml:space="preserve"> TOC \o "1-3" \h \z \u </w:instrText>
          </w:r>
          <w:r>
            <w:fldChar w:fldCharType="separate"/>
          </w:r>
          <w:hyperlink w:anchor="_Toc241188549" w:history="1">
            <w:r w:rsidR="00D47DCC" w:rsidRPr="00CF0CDC">
              <w:rPr>
                <w:rStyle w:val="Hyperlink"/>
                <w:noProof/>
              </w:rPr>
              <w:t>Task 1: Reflection on the Importance of Principles of Health and Social Care</w:t>
            </w:r>
            <w:r w:rsidR="00D47DCC">
              <w:rPr>
                <w:noProof/>
                <w:webHidden/>
              </w:rPr>
              <w:tab/>
            </w:r>
            <w:r w:rsidR="00D47DCC">
              <w:rPr>
                <w:noProof/>
                <w:webHidden/>
              </w:rPr>
              <w:fldChar w:fldCharType="begin"/>
            </w:r>
            <w:r w:rsidR="00D47DCC">
              <w:rPr>
                <w:noProof/>
                <w:webHidden/>
              </w:rPr>
              <w:instrText xml:space="preserve"> PAGEREF _Toc241188549 \h </w:instrText>
            </w:r>
            <w:r w:rsidR="00D47DCC">
              <w:rPr>
                <w:noProof/>
                <w:webHidden/>
              </w:rPr>
            </w:r>
            <w:r w:rsidR="00D47DCC">
              <w:rPr>
                <w:noProof/>
                <w:webHidden/>
              </w:rPr>
              <w:fldChar w:fldCharType="separate"/>
            </w:r>
            <w:r w:rsidR="00D47DCC">
              <w:rPr>
                <w:noProof/>
                <w:webHidden/>
              </w:rPr>
              <w:t>1</w:t>
            </w:r>
            <w:r w:rsidR="00D47DCC">
              <w:rPr>
                <w:noProof/>
                <w:webHidden/>
              </w:rPr>
              <w:fldChar w:fldCharType="end"/>
            </w:r>
          </w:hyperlink>
        </w:p>
        <w:p w14:paraId="779DC00A" w14:textId="493657B8" w:rsidR="00D47DCC" w:rsidRDefault="000329F1">
          <w:pPr>
            <w:pStyle w:val="TOC1"/>
            <w:tabs>
              <w:tab w:val="right" w:leader="dot" w:pos="9350"/>
            </w:tabs>
            <w:rPr>
              <w:rFonts w:asciiTheme="minorHAnsi" w:eastAsiaTheme="minorEastAsia" w:hAnsiTheme="minorHAnsi"/>
              <w:noProof/>
              <w:color w:val="auto"/>
            </w:rPr>
          </w:pPr>
          <w:hyperlink w:anchor="_Toc241188550" w:history="1">
            <w:r w:rsidR="00D47DCC" w:rsidRPr="00CF0CDC">
              <w:rPr>
                <w:rStyle w:val="Hyperlink"/>
                <w:noProof/>
              </w:rPr>
              <w:t>Task 2: Practical Examples of Concepts in Practice</w:t>
            </w:r>
            <w:r w:rsidR="00D47DCC">
              <w:rPr>
                <w:noProof/>
                <w:webHidden/>
              </w:rPr>
              <w:tab/>
            </w:r>
            <w:r w:rsidR="00D47DCC">
              <w:rPr>
                <w:noProof/>
                <w:webHidden/>
              </w:rPr>
              <w:fldChar w:fldCharType="begin"/>
            </w:r>
            <w:r w:rsidR="00D47DCC">
              <w:rPr>
                <w:noProof/>
                <w:webHidden/>
              </w:rPr>
              <w:instrText xml:space="preserve"> PAGEREF _Toc241188550 \h </w:instrText>
            </w:r>
            <w:r w:rsidR="00D47DCC">
              <w:rPr>
                <w:noProof/>
                <w:webHidden/>
              </w:rPr>
            </w:r>
            <w:r w:rsidR="00D47DCC">
              <w:rPr>
                <w:noProof/>
                <w:webHidden/>
              </w:rPr>
              <w:fldChar w:fldCharType="separate"/>
            </w:r>
            <w:r w:rsidR="00D47DCC">
              <w:rPr>
                <w:noProof/>
                <w:webHidden/>
              </w:rPr>
              <w:t>2</w:t>
            </w:r>
            <w:r w:rsidR="00D47DCC">
              <w:rPr>
                <w:noProof/>
                <w:webHidden/>
              </w:rPr>
              <w:fldChar w:fldCharType="end"/>
            </w:r>
          </w:hyperlink>
        </w:p>
        <w:p w14:paraId="79DD3B69" w14:textId="27C1163F" w:rsidR="00D47DCC" w:rsidRDefault="000329F1">
          <w:pPr>
            <w:pStyle w:val="TOC1"/>
            <w:tabs>
              <w:tab w:val="right" w:leader="dot" w:pos="9350"/>
            </w:tabs>
            <w:rPr>
              <w:rFonts w:asciiTheme="minorHAnsi" w:eastAsiaTheme="minorEastAsia" w:hAnsiTheme="minorHAnsi"/>
              <w:noProof/>
              <w:color w:val="auto"/>
            </w:rPr>
          </w:pPr>
          <w:hyperlink w:anchor="_Toc241188551" w:history="1">
            <w:r w:rsidR="00D47DCC" w:rsidRPr="00CF0CDC">
              <w:rPr>
                <w:rStyle w:val="Hyperlink"/>
                <w:noProof/>
              </w:rPr>
              <w:t>Task 3: Self-Reflection as a Health and Social Care Professional</w:t>
            </w:r>
            <w:r w:rsidR="00D47DCC">
              <w:rPr>
                <w:noProof/>
                <w:webHidden/>
              </w:rPr>
              <w:tab/>
            </w:r>
            <w:r w:rsidR="00D47DCC">
              <w:rPr>
                <w:noProof/>
                <w:webHidden/>
              </w:rPr>
              <w:fldChar w:fldCharType="begin"/>
            </w:r>
            <w:r w:rsidR="00D47DCC">
              <w:rPr>
                <w:noProof/>
                <w:webHidden/>
              </w:rPr>
              <w:instrText xml:space="preserve"> PAGEREF _Toc241188551 \h </w:instrText>
            </w:r>
            <w:r w:rsidR="00D47DCC">
              <w:rPr>
                <w:noProof/>
                <w:webHidden/>
              </w:rPr>
            </w:r>
            <w:r w:rsidR="00D47DCC">
              <w:rPr>
                <w:noProof/>
                <w:webHidden/>
              </w:rPr>
              <w:fldChar w:fldCharType="separate"/>
            </w:r>
            <w:r w:rsidR="00D47DCC">
              <w:rPr>
                <w:noProof/>
                <w:webHidden/>
              </w:rPr>
              <w:t>3</w:t>
            </w:r>
            <w:r w:rsidR="00D47DCC">
              <w:rPr>
                <w:noProof/>
                <w:webHidden/>
              </w:rPr>
              <w:fldChar w:fldCharType="end"/>
            </w:r>
          </w:hyperlink>
        </w:p>
        <w:p w14:paraId="373D2E0C" w14:textId="5C6EC4A6" w:rsidR="00D47DCC" w:rsidRDefault="000329F1">
          <w:pPr>
            <w:pStyle w:val="TOC1"/>
            <w:tabs>
              <w:tab w:val="right" w:leader="dot" w:pos="9350"/>
            </w:tabs>
            <w:rPr>
              <w:rFonts w:asciiTheme="minorHAnsi" w:eastAsiaTheme="minorEastAsia" w:hAnsiTheme="minorHAnsi"/>
              <w:noProof/>
              <w:color w:val="auto"/>
            </w:rPr>
          </w:pPr>
          <w:hyperlink w:anchor="_Toc241188552" w:history="1">
            <w:r w:rsidR="00D47DCC" w:rsidRPr="00CF0CDC">
              <w:rPr>
                <w:rStyle w:val="Hyperlink"/>
                <w:noProof/>
              </w:rPr>
              <w:t>Conclusion</w:t>
            </w:r>
            <w:r w:rsidR="00D47DCC">
              <w:rPr>
                <w:noProof/>
                <w:webHidden/>
              </w:rPr>
              <w:tab/>
            </w:r>
            <w:r w:rsidR="00D47DCC">
              <w:rPr>
                <w:noProof/>
                <w:webHidden/>
              </w:rPr>
              <w:fldChar w:fldCharType="begin"/>
            </w:r>
            <w:r w:rsidR="00D47DCC">
              <w:rPr>
                <w:noProof/>
                <w:webHidden/>
              </w:rPr>
              <w:instrText xml:space="preserve"> PAGEREF _Toc241188552 \h </w:instrText>
            </w:r>
            <w:r w:rsidR="00D47DCC">
              <w:rPr>
                <w:noProof/>
                <w:webHidden/>
              </w:rPr>
            </w:r>
            <w:r w:rsidR="00D47DCC">
              <w:rPr>
                <w:noProof/>
                <w:webHidden/>
              </w:rPr>
              <w:fldChar w:fldCharType="separate"/>
            </w:r>
            <w:r w:rsidR="00D47DCC">
              <w:rPr>
                <w:noProof/>
                <w:webHidden/>
              </w:rPr>
              <w:t>5</w:t>
            </w:r>
            <w:r w:rsidR="00D47DCC">
              <w:rPr>
                <w:noProof/>
                <w:webHidden/>
              </w:rPr>
              <w:fldChar w:fldCharType="end"/>
            </w:r>
          </w:hyperlink>
        </w:p>
        <w:p w14:paraId="411C426C" w14:textId="37B072EA" w:rsidR="00D47DCC" w:rsidRDefault="000329F1">
          <w:pPr>
            <w:pStyle w:val="TOC1"/>
            <w:tabs>
              <w:tab w:val="right" w:leader="dot" w:pos="9350"/>
            </w:tabs>
            <w:rPr>
              <w:rFonts w:asciiTheme="minorHAnsi" w:eastAsiaTheme="minorEastAsia" w:hAnsiTheme="minorHAnsi"/>
              <w:noProof/>
              <w:color w:val="auto"/>
            </w:rPr>
          </w:pPr>
          <w:hyperlink w:anchor="_Toc241188553" w:history="1">
            <w:r w:rsidR="00D47DCC" w:rsidRPr="00CF0CDC">
              <w:rPr>
                <w:rStyle w:val="Hyperlink"/>
                <w:noProof/>
              </w:rPr>
              <w:t>References</w:t>
            </w:r>
            <w:r w:rsidR="00D47DCC">
              <w:rPr>
                <w:noProof/>
                <w:webHidden/>
              </w:rPr>
              <w:tab/>
            </w:r>
            <w:r w:rsidR="00D47DCC">
              <w:rPr>
                <w:noProof/>
                <w:webHidden/>
              </w:rPr>
              <w:fldChar w:fldCharType="begin"/>
            </w:r>
            <w:r w:rsidR="00D47DCC">
              <w:rPr>
                <w:noProof/>
                <w:webHidden/>
              </w:rPr>
              <w:instrText xml:space="preserve"> PAGEREF _Toc241188553 \h </w:instrText>
            </w:r>
            <w:r w:rsidR="00D47DCC">
              <w:rPr>
                <w:noProof/>
                <w:webHidden/>
              </w:rPr>
            </w:r>
            <w:r w:rsidR="00D47DCC">
              <w:rPr>
                <w:noProof/>
                <w:webHidden/>
              </w:rPr>
              <w:fldChar w:fldCharType="separate"/>
            </w:r>
            <w:r w:rsidR="00D47DCC">
              <w:rPr>
                <w:noProof/>
                <w:webHidden/>
              </w:rPr>
              <w:t>7</w:t>
            </w:r>
            <w:r w:rsidR="00D47DCC">
              <w:rPr>
                <w:noProof/>
                <w:webHidden/>
              </w:rPr>
              <w:fldChar w:fldCharType="end"/>
            </w:r>
          </w:hyperlink>
        </w:p>
        <w:p w14:paraId="0974435D" w14:textId="37F7DFAA" w:rsidR="004E1F9F" w:rsidRDefault="004E1F9F">
          <w:r>
            <w:rPr>
              <w:b/>
              <w:bCs/>
              <w:noProof/>
            </w:rPr>
            <w:fldChar w:fldCharType="end"/>
          </w:r>
        </w:p>
      </w:sdtContent>
    </w:sdt>
    <w:p w14:paraId="2E2566D5" w14:textId="77777777" w:rsidR="004B67F8" w:rsidRDefault="004B67F8" w:rsidP="00864B37">
      <w:pPr>
        <w:sectPr w:rsidR="004B67F8" w:rsidSect="006A734E">
          <w:footerReference w:type="default" r:id="rId7"/>
          <w:footerReference w:type="first" r:id="rId8"/>
          <w:pgSz w:w="12240" w:h="15840"/>
          <w:pgMar w:top="1440" w:right="1440" w:bottom="1440" w:left="1440" w:header="720" w:footer="720" w:gutter="0"/>
          <w:pgNumType w:fmt="upperRoman"/>
          <w:cols w:space="720"/>
          <w:titlePg/>
          <w:docGrid w:linePitch="360"/>
        </w:sectPr>
      </w:pPr>
    </w:p>
    <w:p w14:paraId="46EC6C4F" w14:textId="77777777" w:rsidR="00605515" w:rsidRDefault="00D47E08" w:rsidP="00D47E08">
      <w:pPr>
        <w:pStyle w:val="Heading1"/>
      </w:pPr>
      <w:bookmarkStart w:id="0" w:name="_Toc241188549"/>
      <w:r w:rsidRPr="00D47E08">
        <w:lastRenderedPageBreak/>
        <w:t>Task 1: Reflection on the Importance of Principles of Health and Social Care</w:t>
      </w:r>
      <w:bookmarkEnd w:id="0"/>
    </w:p>
    <w:p w14:paraId="2BFB4889" w14:textId="293AA2B8" w:rsidR="006406B1" w:rsidRPr="006406B1" w:rsidRDefault="006406B1" w:rsidP="006406B1">
      <w:r w:rsidRPr="006406B1">
        <w:t xml:space="preserve">Critical consideration of health and social care principles and values is essential for practitioners seeking to ensure their care is delivered effectively, ethically, and to the highest standard. It has been recommended that care is more than simply clinical intervention and is instead a relational and enabling process. The following discussion demonstrates understanding of the significance of person-centered care, working in partnership, and ethics to high-quality care in the UK health and social care environment. The principle under focus is person-centered care, which has become increasingly relevant in today's society. </w:t>
      </w:r>
    </w:p>
    <w:p w14:paraId="621A833D" w14:textId="303C3620" w:rsidR="006406B1" w:rsidRPr="006406B1" w:rsidRDefault="006406B1" w:rsidP="006406B1">
      <w:r w:rsidRPr="006406B1">
        <w:t xml:space="preserve">Unlike older, traditional, disease-oriented care, person-centered care views the patient in their entirety as a unique person, acknowledging their beliefs, values, and personal circumstances. NHS England (2023) have included a documentary story about </w:t>
      </w:r>
      <w:proofErr w:type="spellStart"/>
      <w:r w:rsidRPr="006406B1">
        <w:t>Mrs</w:t>
      </w:r>
      <w:proofErr w:type="spellEnd"/>
      <w:r w:rsidRPr="006406B1">
        <w:t xml:space="preserve"> C. where the emphasis on understanding the patient as an individual is said to be just as important as understanding their disease process. It is argued that this principle is important as it tends to achieve better levels of satisfaction from the patient, and successful clinical outcomes, which are both considered vital within literature. </w:t>
      </w:r>
      <w:r w:rsidR="009800D5" w:rsidRPr="009800D5">
        <w:rPr>
          <w:highlight w:val="yellow"/>
        </w:rPr>
        <w:t>Maslow's (1943) "Hierarchy of Needs" theory has also emphasized the importance of the theory, which states that before one seeks after fulfilling some higher needs, it is imperative that he or she first satisfies his or her basic physiological and safety needs. This means that in case of health and social care services, it is necessary that the treatment does not only address itself to the medical issues, but must also take into consideration other needs of the person such as provision of proper accommodation, financial stability, and social interaction.</w:t>
      </w:r>
    </w:p>
    <w:p w14:paraId="0E459BA8" w14:textId="4B02BA71" w:rsidR="006406B1" w:rsidRPr="006406B1" w:rsidRDefault="006406B1" w:rsidP="006406B1">
      <w:r w:rsidRPr="006406B1">
        <w:t xml:space="preserve">Furthermore, literature advocates that this principle is crucial when aiming to reduce inequalities experienced by vulnerable groups. </w:t>
      </w:r>
      <w:r w:rsidR="007B1C69">
        <w:t>A study b</w:t>
      </w:r>
      <w:r w:rsidR="00FF738D">
        <w:t>y</w:t>
      </w:r>
      <w:r w:rsidRPr="006406B1">
        <w:t xml:space="preserve"> Chan et al. (2022) place a focus on proportionate universalism, where resources are allocated based upon the level of need, within integrated community care provision for older persons with dementia as preventing a one-size-fits-all approach to service delivery. A second principle discussed is that of working in partnership, which is regarded as central to good working practices. In the UK context, where patient care needs tend to be complex, no one agency or professional group can work successfully in an isolated context. </w:t>
      </w:r>
    </w:p>
    <w:p w14:paraId="1F712A6A" w14:textId="6B0E5756" w:rsidR="006406B1" w:rsidRPr="006406B1" w:rsidRDefault="006406B1" w:rsidP="006406B1">
      <w:r w:rsidRPr="006406B1">
        <w:t xml:space="preserve">It has been claimed that there needs to be an integrated system of health and social care linking professional groups and users and </w:t>
      </w:r>
      <w:r w:rsidR="001728E9" w:rsidRPr="006406B1">
        <w:t>careers</w:t>
      </w:r>
      <w:r w:rsidRPr="006406B1">
        <w:t xml:space="preserve">, as this is not merely politeness but functional necessity. </w:t>
      </w:r>
      <w:r w:rsidR="007B1C69">
        <w:t xml:space="preserve">A study by </w:t>
      </w:r>
      <w:r w:rsidRPr="006406B1">
        <w:t>Menzies-</w:t>
      </w:r>
      <w:proofErr w:type="spellStart"/>
      <w:r w:rsidRPr="006406B1">
        <w:t>Gow</w:t>
      </w:r>
      <w:proofErr w:type="spellEnd"/>
      <w:r w:rsidRPr="006406B1">
        <w:t xml:space="preserve"> et al. (2022) argue the urgent need to involve people with specialist knowledge, such as clinicians in discussions regarding severe asthma care, which the draft report recommends would be achieved through shared decision-making. This supports the </w:t>
      </w:r>
      <w:r w:rsidRPr="006406B1">
        <w:lastRenderedPageBreak/>
        <w:t xml:space="preserve">argument that in an ideal situation the partnership should not be solely between the professionals but should include the service user. </w:t>
      </w:r>
    </w:p>
    <w:p w14:paraId="5374E8B1" w14:textId="77777777" w:rsidR="006406B1" w:rsidRPr="006406B1" w:rsidRDefault="006406B1" w:rsidP="006406B1">
      <w:r w:rsidRPr="006406B1">
        <w:t xml:space="preserve">Otherwise, if ineffective the care process might result in a fragmented journey that causes delays and negative outcomes. </w:t>
      </w:r>
    </w:p>
    <w:p w14:paraId="470FB361" w14:textId="40DA4793" w:rsidR="006406B1" w:rsidRPr="006406B1" w:rsidRDefault="006406B1" w:rsidP="006406B1">
      <w:r w:rsidRPr="006406B1">
        <w:t xml:space="preserve">However, effective and well-integrated partnership working is more likely to produce holistic care, where the Health and Care Act (2022) argues that the Integrated Care Systems will work together. Finally, on the principle of ethics, this forms the foundation for all health and social care interactions, and practitioners are expected to make difficult decisions while respecting patients and service users' autonomy, benefiting, and avoiding to harm. </w:t>
      </w:r>
    </w:p>
    <w:p w14:paraId="30FC0ADE" w14:textId="77777777" w:rsidR="00FF738D" w:rsidRDefault="00FF738D" w:rsidP="00FF738D">
      <w:pPr>
        <w:pStyle w:val="Heading1"/>
      </w:pPr>
      <w:bookmarkStart w:id="1" w:name="_Toc241188550"/>
      <w:r w:rsidRPr="00FF738D">
        <w:t>Task 2: Practical Examples of Concepts in Practice</w:t>
      </w:r>
      <w:bookmarkEnd w:id="1"/>
    </w:p>
    <w:p w14:paraId="044942F5" w14:textId="77777777" w:rsidR="00D13A5C" w:rsidRDefault="00D13A5C" w:rsidP="00FF738D">
      <w:r w:rsidRPr="00D13A5C">
        <w:t>This analysis will aim at examining a case study from the module, with special attention being paid to the Robyn’s Story case (NHS England, 2023), to demonstrate the implementation of person-centered care, collaboration and ethics in the health and social care sector in the United Kingdom. The case study of Robyn’s story is the perfect example in which these aspects could be examined.</w:t>
      </w:r>
    </w:p>
    <w:p w14:paraId="287ED9F0" w14:textId="77777777" w:rsidR="00D13A5C" w:rsidRDefault="00D13A5C" w:rsidP="00FF738D">
      <w:r w:rsidRPr="00D13A5C">
        <w:t>In the story of Robyn, the concept of person-centered care can be observed when the practitioners not only identify what is wrong with Robyn but also attempt to understand her aspirations, fears, and social circumstances. Rather than relying on a one-size-fits-all approach, the practitioners engage Robyn in the process of decision-making and thus provide her with an opportunity to take part in her own care. This idea aligns with the principles discussed</w:t>
      </w:r>
      <w:r>
        <w:t xml:space="preserve"> in a study by </w:t>
      </w:r>
      <w:proofErr w:type="spellStart"/>
      <w:r w:rsidRPr="00D13A5C">
        <w:t>Hillörn</w:t>
      </w:r>
      <w:proofErr w:type="spellEnd"/>
      <w:r w:rsidRPr="00D13A5C">
        <w:t xml:space="preserve"> et al. (2026) as they analyze how adaptations of Individual Placement and Support (IPS) in order to facilitate young adults with mental health issues should be made considering a welfare context in which the individual lives.</w:t>
      </w:r>
    </w:p>
    <w:p w14:paraId="495D58AA" w14:textId="77777777" w:rsidR="00D13A5C" w:rsidRDefault="00D13A5C" w:rsidP="00FF738D">
      <w:r w:rsidRPr="00D13A5C">
        <w:t>This case study gives us an example of effective partnership working. The treatment of Robyn required the cooperation of different mental health experts, social workers, and probably even other organizations such as educational and housing authorities. The success of the treatment was based on their cooperation and common vision of things. This is a good example of using the framework for change presented by Verity and Llewellyn (2025). It is a framework that is based on certain guidance and principles of regional integration. According to the UK legislation, it can be achieved by implementing the provisions of the Health and Care Act 2022. When there was effective partnership working in Robyn’s case, the problem of fragmented care in the context of mental health services was avoided.</w:t>
      </w:r>
    </w:p>
    <w:p w14:paraId="52B2CFE8" w14:textId="77777777" w:rsidR="00C04161" w:rsidRDefault="00D13A5C" w:rsidP="00FF738D">
      <w:r w:rsidRPr="00D13A5C">
        <w:lastRenderedPageBreak/>
        <w:t>In terms of ethics, the story of Robyn brings to mind two key issues—autonomy and confidentiality. The challenge for the professionals here is how to reconcile the need for beneficence (the principle of duty of care) with respect for Robyn's right to make decisions, despite the risk involved. This is an ethical dilemma in social care, and the professionals in question applied ethical principles in that they followed professional standards of practice and ensured that consent from Robyn was always the priority. Moreover, as stated by Diaz-Navarro et al. (2024), in the global consensus statement on simulation-based practice, ethical practice implies constant self-improvement and reflection. In this situation, the professionals engaged in self-reflection and made sure that they were not applying their personal values to Robyn, but rather respecting her autonomy.</w:t>
      </w:r>
    </w:p>
    <w:p w14:paraId="5487E48B" w14:textId="77777777" w:rsidR="00C04161" w:rsidRDefault="00C04161" w:rsidP="00C04161">
      <w:pPr>
        <w:pStyle w:val="Heading1"/>
      </w:pPr>
      <w:bookmarkStart w:id="2" w:name="_Toc241188551"/>
      <w:r w:rsidRPr="00C04161">
        <w:t>Task 3: Self-Reflection as a Health and Social Care Professional</w:t>
      </w:r>
      <w:bookmarkEnd w:id="2"/>
    </w:p>
    <w:p w14:paraId="418F1D13" w14:textId="77777777" w:rsidR="00C04161" w:rsidRDefault="00C04161" w:rsidP="00C04161">
      <w:r w:rsidRPr="00C04161">
        <w:t>Reflections on the concepts of person-</w:t>
      </w:r>
      <w:proofErr w:type="spellStart"/>
      <w:r w:rsidRPr="00C04161">
        <w:t>centred</w:t>
      </w:r>
      <w:proofErr w:type="spellEnd"/>
      <w:r w:rsidRPr="00C04161">
        <w:t xml:space="preserve"> care, partnership working, and ethics is not just an academic exercise but an important part of professional development as well. Reflecting on my progress as I move towards a career in health and social care profession, I realize that the way I incorporate these concepts into my work will ultimately define my success as a professional. This reflection critically examines how these concepts will affect my professional development in the coming years. It aims at identifying areas that require improvement in my practice, importance of CPD, and application of these concepts in my future professional life within the UK legal framework.</w:t>
      </w:r>
    </w:p>
    <w:p w14:paraId="2C72E662" w14:textId="77777777" w:rsidR="00C04161" w:rsidRPr="00C04161" w:rsidRDefault="00C04161" w:rsidP="00C04161">
      <w:pPr>
        <w:rPr>
          <w:b/>
        </w:rPr>
      </w:pPr>
      <w:r w:rsidRPr="00C04161">
        <w:rPr>
          <w:b/>
        </w:rPr>
        <w:t>The Influence of Principles on Professional Growth</w:t>
      </w:r>
    </w:p>
    <w:p w14:paraId="0FBEC28E" w14:textId="48F107EB" w:rsidR="00155EE2" w:rsidRDefault="00155EE2" w:rsidP="00C04161">
      <w:r w:rsidRPr="00155EE2">
        <w:t>My perception of person-</w:t>
      </w:r>
      <w:proofErr w:type="spellStart"/>
      <w:r w:rsidRPr="00155EE2">
        <w:t>centred</w:t>
      </w:r>
      <w:proofErr w:type="spellEnd"/>
      <w:r w:rsidRPr="00155EE2">
        <w:t xml:space="preserve"> care has changed significantly. At first, I considered it as a box-ticking exercise whereby the consultation of the patient was involved. </w:t>
      </w:r>
      <w:r w:rsidR="006C4287" w:rsidRPr="006C4287">
        <w:t xml:space="preserve">But, now after reading about it and discussing the cases with other people within the module, I realize that it is a philosophy which needs empathy and active listening skills. </w:t>
      </w:r>
      <w:r w:rsidRPr="00155EE2">
        <w:t>This will help me in developing myself as I am forced to focus on the development of the therapeutic relationship rather than on administrative work. According to Chandra et al., (2025) when it comes to kidney supportive care, principles and pathways have to be developed considering the quality of the patient's life rather than the clinical indicators.</w:t>
      </w:r>
      <w:r w:rsidR="0033229B">
        <w:t xml:space="preserve"> </w:t>
      </w:r>
      <w:r w:rsidR="0033229B" w:rsidRPr="0033229B">
        <w:t>Hierarchy of Needs by Maslow (1943) has aided me to recognize that person-centeredness in healthcare does not only imply finding out the needs of the client but also recognizing where he or she stands in the hierarchy of needs. As I move ahead into my career in nursing, I will start my assessment by identifying the basic needs of the client first.</w:t>
      </w:r>
    </w:p>
    <w:p w14:paraId="0AEF6EF6" w14:textId="77777777" w:rsidR="00155EE2" w:rsidRDefault="00155EE2" w:rsidP="00C04161">
      <w:r w:rsidRPr="00155EE2">
        <w:lastRenderedPageBreak/>
        <w:t xml:space="preserve">In the same way, my understanding of partnership working has also changed. It is clear to me now that it involves handling power relations, beyond participating in meetings. It entails the courage to confront poor practices, and the ability to learn from other people as well. This will influence my future career as I will have to acquire excellent communication and negotiation skills. This is because I will have to engage in multi-agency partnerships, where different priorities can be at play. The research carried out by </w:t>
      </w:r>
      <w:proofErr w:type="spellStart"/>
      <w:r w:rsidRPr="00155EE2">
        <w:t>Hillörn</w:t>
      </w:r>
      <w:proofErr w:type="spellEnd"/>
      <w:r w:rsidRPr="00155EE2">
        <w:t xml:space="preserve"> et al. (2026) on adjusting the IPS in welfare contexts in Sweden demonstrates that partnership working depends on the context, and therefore, something that is applicable in one situation can be adjusted in another situation.</w:t>
      </w:r>
    </w:p>
    <w:p w14:paraId="34E46573" w14:textId="77777777" w:rsidR="00155EE2" w:rsidRDefault="00155EE2" w:rsidP="00C04161">
      <w:pPr>
        <w:rPr>
          <w:rFonts w:eastAsiaTheme="majorEastAsia" w:cstheme="majorBidi"/>
          <w:b/>
          <w:szCs w:val="32"/>
        </w:rPr>
      </w:pPr>
      <w:r w:rsidRPr="00155EE2">
        <w:rPr>
          <w:b/>
        </w:rPr>
        <w:t>Areas for Improvement and Professional Development</w:t>
      </w:r>
    </w:p>
    <w:p w14:paraId="458D68B6" w14:textId="77777777" w:rsidR="00F8014C" w:rsidRPr="00F8014C" w:rsidRDefault="00F8014C" w:rsidP="00F8014C">
      <w:r w:rsidRPr="00F8014C">
        <w:t>Upon critical reflection there are a few areas I see to be areas of improvement: Firstly, I feel I am lacking in some knowledge around the law surrounding practice. Although I am aware of the broad strokes of the Health and Care Act 2022, I feel I would benefit from a greater understanding of how this effect local policy and practice, this is further outlined in important as it reflects the need for ongoing learning: as concluded by Diaz-Navarro et al 2024, 'simulation and ongoing training seem needed to sustain the standards in health care'. I plan to complete specific CPD modules around mental capacity law and safeguarding.</w:t>
      </w:r>
    </w:p>
    <w:p w14:paraId="0FCB623F" w14:textId="75CB5299" w:rsidR="00F8014C" w:rsidRDefault="00F8014C" w:rsidP="00F8014C">
      <w:r w:rsidRPr="00F8014C">
        <w:t xml:space="preserve">Enhanced integration into different communities is also essential. </w:t>
      </w:r>
      <w:r>
        <w:t xml:space="preserve">A study by </w:t>
      </w:r>
      <w:r w:rsidRPr="00F8014C">
        <w:t>Westwood (2022) discusses bias regarding the LGBTQ community that is assumed implicitly, but it is imperative that personal biases are identified and challenged to make provision fully inclusive. Attending training to understand other cultures and listening to the lived experiences of minority groups can effectively reveal biases.</w:t>
      </w:r>
    </w:p>
    <w:p w14:paraId="142CA834" w14:textId="7CA9CFED" w:rsidR="00F8014C" w:rsidRDefault="003157E2" w:rsidP="00F8014C">
      <w:pPr>
        <w:rPr>
          <w:b/>
        </w:rPr>
      </w:pPr>
      <w:r w:rsidRPr="003157E2">
        <w:rPr>
          <w:b/>
        </w:rPr>
        <w:t>Influence of Legislation and Policy</w:t>
      </w:r>
    </w:p>
    <w:p w14:paraId="199AB49B" w14:textId="2BCC81E6" w:rsidR="003157E2" w:rsidRDefault="003157E2" w:rsidP="003157E2">
      <w:r w:rsidRPr="003157E2">
        <w:t>The United Kingdom policy and legislative environment will form the environment in which I will work. The Health and Care Act of 2022 is particularly important to note in this case because the ICSs are included in the act. This is important because my future practice will need to be informed by the legislation, and this means that I will need to collaborate and integrate in accordance with the law. My practice will not be isolated as I will be part of a larger system.</w:t>
      </w:r>
    </w:p>
    <w:p w14:paraId="5FA02600" w14:textId="1F0FCA2A" w:rsidR="003157E2" w:rsidRDefault="003157E2" w:rsidP="003157E2">
      <w:r w:rsidRPr="003157E2">
        <w:t xml:space="preserve">Moreover, Care Act 2014 emphasizes the importance of individual wellbeing and the "prevention" policy. This means shifting from providing reactive care to proactively supporting individuals. According to the principles described </w:t>
      </w:r>
      <w:r w:rsidR="00E20AF7">
        <w:t xml:space="preserve">in a study by </w:t>
      </w:r>
      <w:r w:rsidRPr="003157E2">
        <w:t xml:space="preserve">Verity and Llewellyn (2025), these guiding principles are fundamental in order to develop sustainable care systems. For me, this means </w:t>
      </w:r>
      <w:r w:rsidRPr="003157E2">
        <w:lastRenderedPageBreak/>
        <w:t xml:space="preserve">being proactive in my practice. Not only do I need to deal with current challenges, but also prevent future problems. This principle is also based on the idea of beneficence – performing actions which will serve the interest of the individual and improve his/her wellbeing in the </w:t>
      </w:r>
      <w:r w:rsidR="00E20AF7" w:rsidRPr="003157E2">
        <w:t>long-term</w:t>
      </w:r>
      <w:r w:rsidRPr="003157E2">
        <w:t xml:space="preserve"> perspective. It is important to understand such legal aspects because they determine the "why" in addition to the "what" I need to do as part of my everyday practice. When I need to record our partnership meetings, it is not just another bureaucratic measure, but a legal obligation under the integration policy.</w:t>
      </w:r>
    </w:p>
    <w:p w14:paraId="6C65A096" w14:textId="60FD6ACD" w:rsidR="003157E2" w:rsidRPr="003157E2" w:rsidRDefault="003157E2" w:rsidP="003157E2">
      <w:pPr>
        <w:rPr>
          <w:b/>
        </w:rPr>
      </w:pPr>
      <w:r w:rsidRPr="003157E2">
        <w:rPr>
          <w:b/>
        </w:rPr>
        <w:t>Application in Future Career</w:t>
      </w:r>
    </w:p>
    <w:p w14:paraId="74F72DEF" w14:textId="5F9446EB" w:rsidR="003157E2" w:rsidRDefault="004D1319" w:rsidP="004D1319">
      <w:r>
        <w:t>These principles will be applied in my future career as reflective and proactive. Following the principles of person-</w:t>
      </w:r>
      <w:proofErr w:type="spellStart"/>
      <w:r>
        <w:t>centred</w:t>
      </w:r>
      <w:proofErr w:type="spellEnd"/>
      <w:r>
        <w:t xml:space="preserve"> care, I will ask myself the question "What matters to you?" instead of the question "What is the matter with you?". Applying the principle of partnership working, I will look for any opportunities that come in order to collaborate with other organizations, as nothing is achieved on my own and only in collaboration we can get the best results. The ethical practice means that I will adhere to the professional code of conduct and become an advocate for social justice. Moreover, I will use the principles suggested </w:t>
      </w:r>
      <w:r w:rsidR="00E20AF7">
        <w:t xml:space="preserve">in research by </w:t>
      </w:r>
      <w:r>
        <w:t>Menzies-</w:t>
      </w:r>
      <w:proofErr w:type="spellStart"/>
      <w:r>
        <w:t>Gow</w:t>
      </w:r>
      <w:proofErr w:type="spellEnd"/>
      <w:r>
        <w:t xml:space="preserve"> et al. (2022) concerning shared decision-making in order to empower the service users. Also, I will try to find models similar to the ones proposed in a study by Chan et al. (2022) to deal with inequalities. In addition, I will </w:t>
      </w:r>
      <w:proofErr w:type="spellStart"/>
      <w:r>
        <w:t>trymy</w:t>
      </w:r>
      <w:proofErr w:type="spellEnd"/>
      <w:r>
        <w:t xml:space="preserve"> best to treat the individual with respect, as my position is a privilege.</w:t>
      </w:r>
    </w:p>
    <w:p w14:paraId="210CC69F" w14:textId="111A8E3B" w:rsidR="004D1319" w:rsidRPr="00D47DCC" w:rsidRDefault="00E20AF7" w:rsidP="00D47DCC">
      <w:pPr>
        <w:pStyle w:val="Heading1"/>
      </w:pPr>
      <w:bookmarkStart w:id="3" w:name="_Toc241188552"/>
      <w:r w:rsidRPr="00D47DCC">
        <w:rPr>
          <w:rStyle w:val="Strong"/>
          <w:b/>
          <w:bCs w:val="0"/>
        </w:rPr>
        <w:t>Conclusion</w:t>
      </w:r>
      <w:bookmarkEnd w:id="3"/>
    </w:p>
    <w:p w14:paraId="6E7ADD57" w14:textId="2252BDF0" w:rsidR="00223255" w:rsidRPr="00A37E15" w:rsidRDefault="00B512D2" w:rsidP="00C04161">
      <w:r w:rsidRPr="00B512D2">
        <w:t>To summarize, the concepts of person-centered care, collaboration, and ethics are not just abstract concepts; they will become practical instruments which will form my professional identity. Reflections have revealed that even though I respect these concepts, I need to constantly develop my knowledge of the law, emotional stability, and cultural competence in order to live up to them. The UK legislation, namely the Health and Care Act 2022 and the Care Act 2014, is an indispensable instrument in implementing these concepts. With my commitment to further professional growth and reflection, I will be able to deal with the challenges of the industry.</w:t>
      </w:r>
    </w:p>
    <w:p w14:paraId="06AD8774" w14:textId="77777777" w:rsidR="001728E9" w:rsidRDefault="001728E9">
      <w:pPr>
        <w:spacing w:line="259" w:lineRule="auto"/>
        <w:jc w:val="left"/>
        <w:rPr>
          <w:rFonts w:eastAsiaTheme="majorEastAsia" w:cstheme="majorBidi"/>
          <w:b/>
          <w:szCs w:val="32"/>
        </w:rPr>
      </w:pPr>
      <w:bookmarkStart w:id="4" w:name="_Toc241188553"/>
      <w:r>
        <w:br w:type="page"/>
      </w:r>
    </w:p>
    <w:p w14:paraId="6D0EAA7A" w14:textId="404DE095" w:rsidR="00864B37" w:rsidRDefault="00223255" w:rsidP="00223255">
      <w:pPr>
        <w:pStyle w:val="Heading1"/>
      </w:pPr>
      <w:r>
        <w:lastRenderedPageBreak/>
        <w:t>References</w:t>
      </w:r>
      <w:bookmarkEnd w:id="4"/>
    </w:p>
    <w:p w14:paraId="3AA42692" w14:textId="3DFB28DA" w:rsidR="001728E9" w:rsidRDefault="001728E9" w:rsidP="001728E9">
      <w:pPr>
        <w:pStyle w:val="NormalWeb"/>
        <w:spacing w:after="0" w:line="480" w:lineRule="auto"/>
        <w:ind w:left="720" w:hanging="720"/>
      </w:pPr>
      <w:r>
        <w:t xml:space="preserve">Chan, S., Chung, G. K., Kwan, M. H., &amp; Woo, J. (2022). Mitigating inequalities in community care needs of older adults with dementia: A qualitative case study of an integrated model of community care operated under the proportionate universalism principle. BMC Family Practice, 23(1), 244. </w:t>
      </w:r>
      <w:hyperlink r:id="rId9" w:history="1">
        <w:r w:rsidR="00B62D78" w:rsidRPr="00793508">
          <w:rPr>
            <w:rStyle w:val="Hyperlink"/>
          </w:rPr>
          <w:t>https://doi.org/10.1186/s12875-022-01855-z</w:t>
        </w:r>
      </w:hyperlink>
      <w:r w:rsidR="00B62D78">
        <w:t xml:space="preserve"> </w:t>
      </w:r>
    </w:p>
    <w:p w14:paraId="35015E45" w14:textId="1C21A427" w:rsidR="001728E9" w:rsidRDefault="001728E9" w:rsidP="001728E9">
      <w:pPr>
        <w:pStyle w:val="NormalWeb"/>
        <w:spacing w:after="0" w:line="480" w:lineRule="auto"/>
        <w:ind w:left="720" w:hanging="720"/>
      </w:pPr>
      <w:r>
        <w:t xml:space="preserve">Chandra, Y., </w:t>
      </w:r>
      <w:proofErr w:type="spellStart"/>
      <w:r>
        <w:t>Ta'eed</w:t>
      </w:r>
      <w:proofErr w:type="spellEnd"/>
      <w:r>
        <w:t xml:space="preserve">, A., Li, K., </w:t>
      </w:r>
      <w:proofErr w:type="spellStart"/>
      <w:r>
        <w:t>Jesudason</w:t>
      </w:r>
      <w:proofErr w:type="spellEnd"/>
      <w:r>
        <w:t xml:space="preserve">, S., &amp; Brown, M. (2025). Kidney supportive care: Principles, practice, and pathways for Fiji. Kidney International Reports, 11(2), 103703. </w:t>
      </w:r>
      <w:hyperlink r:id="rId10" w:history="1">
        <w:r w:rsidR="00B62D78" w:rsidRPr="00793508">
          <w:rPr>
            <w:rStyle w:val="Hyperlink"/>
          </w:rPr>
          <w:t>https://doi.org/10.1016/j.ekir.2025.11.028</w:t>
        </w:r>
      </w:hyperlink>
      <w:r w:rsidR="00B62D78">
        <w:t xml:space="preserve"> </w:t>
      </w:r>
    </w:p>
    <w:p w14:paraId="26B90E02" w14:textId="198F9481" w:rsidR="001728E9" w:rsidRDefault="001728E9" w:rsidP="001728E9">
      <w:pPr>
        <w:pStyle w:val="NormalWeb"/>
        <w:spacing w:after="0" w:line="480" w:lineRule="auto"/>
        <w:ind w:left="720" w:hanging="720"/>
      </w:pPr>
      <w:r>
        <w:t xml:space="preserve">Diaz-Navarro, C., Armstrong, R., </w:t>
      </w:r>
      <w:proofErr w:type="spellStart"/>
      <w:r>
        <w:t>Charnetski</w:t>
      </w:r>
      <w:proofErr w:type="spellEnd"/>
      <w:r>
        <w:t xml:space="preserve">, M., Freeman, K. J., Koh, S., Reedy, G., Smitten, J., Ingrassia, P. L., Matos, F. M., &amp; Issenberg, B. (2024). Global consensus statement on simulation-based practice in healthcare. Advances in Simulation, 9(1), 19. </w:t>
      </w:r>
      <w:hyperlink r:id="rId11" w:history="1">
        <w:r w:rsidR="00B62D78" w:rsidRPr="00793508">
          <w:rPr>
            <w:rStyle w:val="Hyperlink"/>
          </w:rPr>
          <w:t>https://doi.org/10.1186/s41077-024-00288-1</w:t>
        </w:r>
      </w:hyperlink>
      <w:r w:rsidR="00B62D78">
        <w:t xml:space="preserve"> </w:t>
      </w:r>
    </w:p>
    <w:p w14:paraId="55B49775" w14:textId="3394A1B2" w:rsidR="001728E9" w:rsidRDefault="001728E9" w:rsidP="001728E9">
      <w:pPr>
        <w:pStyle w:val="NormalWeb"/>
        <w:spacing w:after="0" w:line="480" w:lineRule="auto"/>
        <w:ind w:left="720" w:hanging="720"/>
      </w:pPr>
      <w:r>
        <w:t xml:space="preserve">Edelman, N. L. (2022). Trauma and resilience informed research principles and practice: A framework to improve the inclusion and experience of disadvantaged populations in health and social care research. Journal of Health Services Research &amp; Policy, 28(1), 66–75. </w:t>
      </w:r>
      <w:hyperlink r:id="rId12" w:history="1">
        <w:r w:rsidR="00B62D78" w:rsidRPr="00793508">
          <w:rPr>
            <w:rStyle w:val="Hyperlink"/>
          </w:rPr>
          <w:t>https://doi.org/10.1177/13558196221124740</w:t>
        </w:r>
      </w:hyperlink>
      <w:r w:rsidR="00B62D78">
        <w:t xml:space="preserve"> </w:t>
      </w:r>
    </w:p>
    <w:p w14:paraId="4150CF7B" w14:textId="08E09FBC" w:rsidR="001728E9" w:rsidRDefault="001728E9" w:rsidP="001728E9">
      <w:pPr>
        <w:pStyle w:val="NormalWeb"/>
        <w:spacing w:after="0" w:line="480" w:lineRule="auto"/>
        <w:ind w:left="720" w:hanging="720"/>
      </w:pPr>
      <w:proofErr w:type="spellStart"/>
      <w:r>
        <w:t>Hillörn</w:t>
      </w:r>
      <w:proofErr w:type="spellEnd"/>
      <w:r>
        <w:t xml:space="preserve">, M., </w:t>
      </w:r>
      <w:proofErr w:type="spellStart"/>
      <w:r>
        <w:t>Bergmark</w:t>
      </w:r>
      <w:proofErr w:type="spellEnd"/>
      <w:r>
        <w:t xml:space="preserve">, M., </w:t>
      </w:r>
      <w:proofErr w:type="spellStart"/>
      <w:r>
        <w:t>Lövgren</w:t>
      </w:r>
      <w:proofErr w:type="spellEnd"/>
      <w:r>
        <w:t xml:space="preserve">, V., </w:t>
      </w:r>
      <w:proofErr w:type="spellStart"/>
      <w:r>
        <w:t>Hillborg</w:t>
      </w:r>
      <w:proofErr w:type="spellEnd"/>
      <w:r>
        <w:t xml:space="preserve">, H., Bond, G. R., &amp; Rosenberg, D. (2026). From principles to practice: Exploring practitioner adaptations of individual placement and support for young adults with mental health problems in a Swedish welfare context. Social Work in Mental Health, 24(5), 531–555. </w:t>
      </w:r>
      <w:hyperlink r:id="rId13" w:history="1">
        <w:r w:rsidR="00B62D78" w:rsidRPr="00793508">
          <w:rPr>
            <w:rStyle w:val="Hyperlink"/>
          </w:rPr>
          <w:t>https://doi.org/10.1080/15332985.2026.2623880</w:t>
        </w:r>
      </w:hyperlink>
      <w:r w:rsidR="00B62D78">
        <w:t xml:space="preserve"> </w:t>
      </w:r>
    </w:p>
    <w:p w14:paraId="7EEBF8E5" w14:textId="515C112E" w:rsidR="001728E9" w:rsidRDefault="001728E9" w:rsidP="001728E9">
      <w:pPr>
        <w:pStyle w:val="NormalWeb"/>
        <w:spacing w:after="0" w:line="480" w:lineRule="auto"/>
        <w:ind w:left="720" w:hanging="720"/>
      </w:pPr>
      <w:r>
        <w:t xml:space="preserve">Majeed, T., Breuer, E., Edwards, L., </w:t>
      </w:r>
      <w:proofErr w:type="spellStart"/>
      <w:r>
        <w:t>Remond</w:t>
      </w:r>
      <w:proofErr w:type="spellEnd"/>
      <w:r>
        <w:t xml:space="preserve">, M., Taylor, J., Zeki, R., Hampton, S., Grant, L., Sherwood, J., Baldry, E., &amp; Sullivan, E. (2023). Developing best practice principles for </w:t>
      </w:r>
      <w:r>
        <w:lastRenderedPageBreak/>
        <w:t xml:space="preserve">the provision of programs and services to people transitioning from custody to the community: Study protocol for a modified Delphi consensus exercise. BMJ Open, 13(6), e067366. </w:t>
      </w:r>
      <w:hyperlink r:id="rId14" w:history="1">
        <w:r w:rsidR="00B62D78" w:rsidRPr="00793508">
          <w:rPr>
            <w:rStyle w:val="Hyperlink"/>
          </w:rPr>
          <w:t>https://doi.org/10.1136/bmjopen-2022-067366</w:t>
        </w:r>
      </w:hyperlink>
      <w:r w:rsidR="00B62D78">
        <w:t xml:space="preserve"> </w:t>
      </w:r>
    </w:p>
    <w:p w14:paraId="68BB41E6" w14:textId="311A480B" w:rsidR="001728E9" w:rsidRDefault="001728E9" w:rsidP="001728E9">
      <w:pPr>
        <w:pStyle w:val="NormalWeb"/>
        <w:spacing w:after="0" w:line="480" w:lineRule="auto"/>
        <w:ind w:left="720" w:hanging="720"/>
      </w:pPr>
      <w:r>
        <w:t>Menzies-</w:t>
      </w:r>
      <w:proofErr w:type="spellStart"/>
      <w:r>
        <w:t>Gow</w:t>
      </w:r>
      <w:proofErr w:type="spellEnd"/>
      <w:r>
        <w:t xml:space="preserve">, A., Jackson, D. J., Al-Ahmad, M., Bleecker, E. R., De Borja G </w:t>
      </w:r>
      <w:proofErr w:type="spellStart"/>
      <w:r>
        <w:t>Cosio</w:t>
      </w:r>
      <w:proofErr w:type="spellEnd"/>
      <w:r>
        <w:t xml:space="preserve"> </w:t>
      </w:r>
      <w:proofErr w:type="spellStart"/>
      <w:r>
        <w:t>Piqueras</w:t>
      </w:r>
      <w:proofErr w:type="spellEnd"/>
      <w:r>
        <w:t xml:space="preserve">, F., Brunton, S., </w:t>
      </w:r>
      <w:proofErr w:type="spellStart"/>
      <w:r>
        <w:t>Canonica</w:t>
      </w:r>
      <w:proofErr w:type="spellEnd"/>
      <w:r>
        <w:t xml:space="preserve">, G. W., Chan, C. K. N., </w:t>
      </w:r>
      <w:proofErr w:type="spellStart"/>
      <w:r>
        <w:t>Haughney</w:t>
      </w:r>
      <w:proofErr w:type="spellEnd"/>
      <w:r>
        <w:t xml:space="preserve">, J., Holmes, S., </w:t>
      </w:r>
      <w:proofErr w:type="spellStart"/>
      <w:r>
        <w:t>Kocks</w:t>
      </w:r>
      <w:proofErr w:type="spellEnd"/>
      <w:r>
        <w:t xml:space="preserve">, J., &amp; Winders, T. (2022). A renewed charter: Key principles to improve patient care in severe asthma. Advances in Therapy, 39(12), 5307–5326. </w:t>
      </w:r>
      <w:hyperlink r:id="rId15" w:history="1">
        <w:r w:rsidR="00B62D78" w:rsidRPr="00793508">
          <w:rPr>
            <w:rStyle w:val="Hyperlink"/>
          </w:rPr>
          <w:t>https://doi.org/10.1007/s12325-022-02340-w</w:t>
        </w:r>
      </w:hyperlink>
      <w:r w:rsidR="00B62D78">
        <w:t xml:space="preserve"> </w:t>
      </w:r>
    </w:p>
    <w:p w14:paraId="7DE4A15D" w14:textId="578861E6" w:rsidR="001728E9" w:rsidRDefault="001728E9" w:rsidP="001728E9">
      <w:pPr>
        <w:pStyle w:val="NormalWeb"/>
        <w:spacing w:after="0" w:line="480" w:lineRule="auto"/>
        <w:ind w:left="720" w:hanging="720"/>
      </w:pPr>
      <w:r>
        <w:t xml:space="preserve">NHS England. (2023). Joan's story, </w:t>
      </w:r>
      <w:proofErr w:type="spellStart"/>
      <w:r>
        <w:t>Mrs</w:t>
      </w:r>
      <w:proofErr w:type="spellEnd"/>
      <w:r>
        <w:t xml:space="preserve"> C's story, Robyn's story. NHS England Website. </w:t>
      </w:r>
      <w:hyperlink r:id="rId16" w:history="1">
        <w:r w:rsidR="00B62D78" w:rsidRPr="00793508">
          <w:rPr>
            <w:rStyle w:val="Hyperlink"/>
          </w:rPr>
          <w:t>https://www.england.nhs.uk</w:t>
        </w:r>
      </w:hyperlink>
      <w:r w:rsidR="00B62D78">
        <w:t xml:space="preserve"> </w:t>
      </w:r>
    </w:p>
    <w:p w14:paraId="3578FBCC" w14:textId="6E489BF0" w:rsidR="001728E9" w:rsidRDefault="001728E9" w:rsidP="001728E9">
      <w:pPr>
        <w:pStyle w:val="NormalWeb"/>
        <w:spacing w:after="0" w:line="480" w:lineRule="auto"/>
        <w:ind w:left="720" w:hanging="720"/>
      </w:pPr>
      <w:r>
        <w:t xml:space="preserve">Verity, F., &amp; Llewellyn, M. (2025, January 14). Framework for change: Guiding directions, principles and aims of the Health and Social Care Regional Integration Fund. Brunel University Research Archive. </w:t>
      </w:r>
      <w:hyperlink r:id="rId17" w:history="1">
        <w:r w:rsidR="00B62D78" w:rsidRPr="00793508">
          <w:rPr>
            <w:rStyle w:val="Hyperlink"/>
          </w:rPr>
          <w:t>https://bura.brunel.ac.uk/handle/2438/31378</w:t>
        </w:r>
      </w:hyperlink>
      <w:r w:rsidR="00B62D78">
        <w:t xml:space="preserve"> </w:t>
      </w:r>
    </w:p>
    <w:p w14:paraId="2BD844E7" w14:textId="233CFFF7" w:rsidR="00F4289C" w:rsidRDefault="001728E9" w:rsidP="001728E9">
      <w:pPr>
        <w:pStyle w:val="NormalWeb"/>
        <w:spacing w:before="0" w:beforeAutospacing="0" w:after="0" w:afterAutospacing="0" w:line="480" w:lineRule="auto"/>
        <w:ind w:left="720" w:hanging="720"/>
      </w:pPr>
      <w:r>
        <w:t xml:space="preserve">Westwood, S. (2022). Religious-based negative attitudes towards LGBTQ people among healthcare, social care and social work students and professionals: A review of the international literature. Health &amp; Social Care in the Community, 30(5), e1449–e1470. </w:t>
      </w:r>
      <w:hyperlink r:id="rId18" w:history="1">
        <w:r w:rsidR="00B62D78" w:rsidRPr="00793508">
          <w:rPr>
            <w:rStyle w:val="Hyperlink"/>
          </w:rPr>
          <w:t>https://doi.org/10.1111/hsc.13812</w:t>
        </w:r>
      </w:hyperlink>
      <w:r w:rsidR="00B62D78">
        <w:t xml:space="preserve"> </w:t>
      </w:r>
    </w:p>
    <w:p w14:paraId="3C3D2A40" w14:textId="32AF5819" w:rsidR="00F72B94" w:rsidRPr="00F72B94" w:rsidRDefault="00F72B94" w:rsidP="00F72B94">
      <w:pPr>
        <w:ind w:left="720" w:hanging="720"/>
        <w:rPr>
          <w:rFonts w:eastAsia="Times New Roman" w:cs="Times New Roman"/>
          <w:color w:val="auto"/>
          <w:szCs w:val="24"/>
        </w:rPr>
      </w:pPr>
      <w:r w:rsidRPr="00F72B94">
        <w:rPr>
          <w:rFonts w:eastAsia="Times New Roman" w:cs="Times New Roman"/>
          <w:color w:val="auto"/>
          <w:szCs w:val="24"/>
        </w:rPr>
        <w:t xml:space="preserve">Maslow, A. H. (1943). A theory of human motivation. Psychological Review, 50(4), 370–396. </w:t>
      </w:r>
      <w:hyperlink r:id="rId19" w:history="1">
        <w:r w:rsidRPr="00111F3F">
          <w:rPr>
            <w:rStyle w:val="Hyperlink"/>
            <w:rFonts w:eastAsia="Times New Roman" w:cs="Times New Roman"/>
            <w:szCs w:val="24"/>
          </w:rPr>
          <w:t>https://doi.org/10.1037/h0054346</w:t>
        </w:r>
      </w:hyperlink>
      <w:r>
        <w:rPr>
          <w:rFonts w:eastAsia="Times New Roman" w:cs="Times New Roman"/>
          <w:color w:val="auto"/>
          <w:szCs w:val="24"/>
        </w:rPr>
        <w:t xml:space="preserve"> </w:t>
      </w:r>
      <w:bookmarkStart w:id="5" w:name="_GoBack"/>
      <w:bookmarkEnd w:id="5"/>
    </w:p>
    <w:p w14:paraId="708DB4C3" w14:textId="77777777" w:rsidR="00D03D04" w:rsidRDefault="00D03D04" w:rsidP="00D03D04">
      <w:pPr>
        <w:pStyle w:val="NormalWeb"/>
        <w:spacing w:before="0" w:beforeAutospacing="0" w:after="0" w:afterAutospacing="0" w:line="480" w:lineRule="auto"/>
        <w:ind w:left="720" w:hanging="720"/>
      </w:pPr>
    </w:p>
    <w:p w14:paraId="09AA7677" w14:textId="77777777" w:rsidR="00C65D0D" w:rsidRDefault="00C65D0D" w:rsidP="00C65D0D">
      <w:pPr>
        <w:pStyle w:val="NormalWeb"/>
        <w:spacing w:before="0" w:beforeAutospacing="0" w:after="0" w:afterAutospacing="0" w:line="480" w:lineRule="auto"/>
        <w:ind w:left="720" w:hanging="720"/>
      </w:pPr>
    </w:p>
    <w:p w14:paraId="5B815443" w14:textId="77777777" w:rsidR="00791993" w:rsidRDefault="00791993" w:rsidP="00791993">
      <w:pPr>
        <w:pStyle w:val="NormalWeb"/>
        <w:spacing w:before="0" w:beforeAutospacing="0" w:after="0" w:afterAutospacing="0" w:line="480" w:lineRule="auto"/>
        <w:ind w:left="720" w:hanging="720"/>
      </w:pPr>
    </w:p>
    <w:p w14:paraId="61B58CD1" w14:textId="77777777" w:rsidR="003312CD" w:rsidRDefault="003312CD" w:rsidP="003312CD">
      <w:pPr>
        <w:pStyle w:val="NormalWeb"/>
        <w:spacing w:before="0" w:beforeAutospacing="0" w:after="0" w:afterAutospacing="0" w:line="480" w:lineRule="auto"/>
        <w:ind w:left="720" w:hanging="720"/>
      </w:pPr>
    </w:p>
    <w:p w14:paraId="204AC762" w14:textId="6FC44D24" w:rsidR="00A342EB" w:rsidRPr="003008C2" w:rsidRDefault="00A342EB" w:rsidP="004E1F9F"/>
    <w:sectPr w:rsidR="00A342EB" w:rsidRPr="003008C2" w:rsidSect="00F42AA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2A7C7" w14:textId="77777777" w:rsidR="000329F1" w:rsidRDefault="000329F1" w:rsidP="006A734E">
      <w:pPr>
        <w:spacing w:after="0" w:line="240" w:lineRule="auto"/>
      </w:pPr>
      <w:r>
        <w:separator/>
      </w:r>
    </w:p>
  </w:endnote>
  <w:endnote w:type="continuationSeparator" w:id="0">
    <w:p w14:paraId="164A535D" w14:textId="77777777" w:rsidR="000329F1" w:rsidRDefault="000329F1" w:rsidP="006A7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2960815"/>
      <w:docPartObj>
        <w:docPartGallery w:val="Page Numbers (Bottom of Page)"/>
        <w:docPartUnique/>
      </w:docPartObj>
    </w:sdtPr>
    <w:sdtEndPr>
      <w:rPr>
        <w:noProof/>
      </w:rPr>
    </w:sdtEndPr>
    <w:sdtContent>
      <w:p w14:paraId="0C281B3A" w14:textId="6911CBB7" w:rsidR="006A734E" w:rsidRDefault="006A73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B04C62" w14:textId="77777777" w:rsidR="006A734E" w:rsidRDefault="006A7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7613735"/>
      <w:docPartObj>
        <w:docPartGallery w:val="Page Numbers (Bottom of Page)"/>
        <w:docPartUnique/>
      </w:docPartObj>
    </w:sdtPr>
    <w:sdtEndPr>
      <w:rPr>
        <w:noProof/>
      </w:rPr>
    </w:sdtEndPr>
    <w:sdtContent>
      <w:p w14:paraId="4D480D2F" w14:textId="797DD3E1" w:rsidR="00F42AA3" w:rsidRDefault="00F42A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29EBCD" w14:textId="77777777" w:rsidR="00F42AA3" w:rsidRDefault="00F42A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70319" w14:textId="77777777" w:rsidR="000329F1" w:rsidRDefault="000329F1" w:rsidP="006A734E">
      <w:pPr>
        <w:spacing w:after="0" w:line="240" w:lineRule="auto"/>
      </w:pPr>
      <w:r>
        <w:separator/>
      </w:r>
    </w:p>
  </w:footnote>
  <w:footnote w:type="continuationSeparator" w:id="0">
    <w:p w14:paraId="41288320" w14:textId="77777777" w:rsidR="000329F1" w:rsidRDefault="000329F1" w:rsidP="006A73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E3"/>
    <w:rsid w:val="00031C47"/>
    <w:rsid w:val="000329F1"/>
    <w:rsid w:val="00067669"/>
    <w:rsid w:val="00155EE2"/>
    <w:rsid w:val="001728E9"/>
    <w:rsid w:val="00223255"/>
    <w:rsid w:val="003008C2"/>
    <w:rsid w:val="003157E2"/>
    <w:rsid w:val="003312CD"/>
    <w:rsid w:val="0033229B"/>
    <w:rsid w:val="00355B06"/>
    <w:rsid w:val="00421273"/>
    <w:rsid w:val="00482AF3"/>
    <w:rsid w:val="004B67F8"/>
    <w:rsid w:val="004D1319"/>
    <w:rsid w:val="004E1F9F"/>
    <w:rsid w:val="00517BB8"/>
    <w:rsid w:val="00530D0B"/>
    <w:rsid w:val="00563DE3"/>
    <w:rsid w:val="005B5F4D"/>
    <w:rsid w:val="00605515"/>
    <w:rsid w:val="006406B1"/>
    <w:rsid w:val="006A734E"/>
    <w:rsid w:val="006C4287"/>
    <w:rsid w:val="00702D37"/>
    <w:rsid w:val="00745F2A"/>
    <w:rsid w:val="00791993"/>
    <w:rsid w:val="007B1C69"/>
    <w:rsid w:val="00864B37"/>
    <w:rsid w:val="008A2772"/>
    <w:rsid w:val="009139F2"/>
    <w:rsid w:val="009800D5"/>
    <w:rsid w:val="009C7F76"/>
    <w:rsid w:val="00A342EB"/>
    <w:rsid w:val="00A37E15"/>
    <w:rsid w:val="00A77921"/>
    <w:rsid w:val="00B512D2"/>
    <w:rsid w:val="00B62D78"/>
    <w:rsid w:val="00BC7448"/>
    <w:rsid w:val="00C04161"/>
    <w:rsid w:val="00C65D0D"/>
    <w:rsid w:val="00D03D04"/>
    <w:rsid w:val="00D13A5C"/>
    <w:rsid w:val="00D47DCC"/>
    <w:rsid w:val="00D47E08"/>
    <w:rsid w:val="00D7373A"/>
    <w:rsid w:val="00E20AF7"/>
    <w:rsid w:val="00EF4FCB"/>
    <w:rsid w:val="00F4289C"/>
    <w:rsid w:val="00F42AA3"/>
    <w:rsid w:val="00F72B94"/>
    <w:rsid w:val="00F8014C"/>
    <w:rsid w:val="00FF7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B45FA"/>
  <w15:chartTrackingRefBased/>
  <w15:docId w15:val="{23945B36-A165-4FF2-AAD9-D5A92D50E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28E9"/>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4E1F9F"/>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F9F"/>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4E1F9F"/>
    <w:pPr>
      <w:spacing w:line="259" w:lineRule="auto"/>
      <w:jc w:val="left"/>
      <w:outlineLvl w:val="9"/>
    </w:pPr>
  </w:style>
  <w:style w:type="paragraph" w:styleId="Header">
    <w:name w:val="header"/>
    <w:basedOn w:val="Normal"/>
    <w:link w:val="HeaderChar"/>
    <w:uiPriority w:val="99"/>
    <w:unhideWhenUsed/>
    <w:rsid w:val="006A73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34E"/>
    <w:rPr>
      <w:rFonts w:ascii="Times New Roman" w:hAnsi="Times New Roman"/>
      <w:color w:val="000000" w:themeColor="text1"/>
      <w:sz w:val="24"/>
    </w:rPr>
  </w:style>
  <w:style w:type="paragraph" w:styleId="Footer">
    <w:name w:val="footer"/>
    <w:basedOn w:val="Normal"/>
    <w:link w:val="FooterChar"/>
    <w:uiPriority w:val="99"/>
    <w:unhideWhenUsed/>
    <w:rsid w:val="006A73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34E"/>
    <w:rPr>
      <w:rFonts w:ascii="Times New Roman" w:hAnsi="Times New Roman"/>
      <w:color w:val="000000" w:themeColor="text1"/>
      <w:sz w:val="24"/>
    </w:rPr>
  </w:style>
  <w:style w:type="character" w:styleId="Hyperlink">
    <w:name w:val="Hyperlink"/>
    <w:basedOn w:val="DefaultParagraphFont"/>
    <w:uiPriority w:val="99"/>
    <w:unhideWhenUsed/>
    <w:rsid w:val="005B5F4D"/>
    <w:rPr>
      <w:color w:val="0563C1" w:themeColor="hyperlink"/>
      <w:u w:val="single"/>
    </w:rPr>
  </w:style>
  <w:style w:type="character" w:styleId="UnresolvedMention">
    <w:name w:val="Unresolved Mention"/>
    <w:basedOn w:val="DefaultParagraphFont"/>
    <w:uiPriority w:val="99"/>
    <w:semiHidden/>
    <w:unhideWhenUsed/>
    <w:rsid w:val="005B5F4D"/>
    <w:rPr>
      <w:color w:val="605E5C"/>
      <w:shd w:val="clear" w:color="auto" w:fill="E1DFDD"/>
    </w:rPr>
  </w:style>
  <w:style w:type="paragraph" w:styleId="NormalWeb">
    <w:name w:val="Normal (Web)"/>
    <w:basedOn w:val="Normal"/>
    <w:uiPriority w:val="99"/>
    <w:semiHidden/>
    <w:unhideWhenUsed/>
    <w:rsid w:val="00355B06"/>
    <w:pPr>
      <w:spacing w:before="100" w:beforeAutospacing="1" w:after="100" w:afterAutospacing="1" w:line="240" w:lineRule="auto"/>
      <w:jc w:val="left"/>
    </w:pPr>
    <w:rPr>
      <w:rFonts w:eastAsia="Times New Roman" w:cs="Times New Roman"/>
      <w:color w:val="auto"/>
      <w:szCs w:val="24"/>
    </w:rPr>
  </w:style>
  <w:style w:type="character" w:customStyle="1" w:styleId="url">
    <w:name w:val="url"/>
    <w:basedOn w:val="DefaultParagraphFont"/>
    <w:rsid w:val="00355B06"/>
  </w:style>
  <w:style w:type="character" w:customStyle="1" w:styleId="cursor-pointer">
    <w:name w:val="cursor-pointer"/>
    <w:basedOn w:val="DefaultParagraphFont"/>
    <w:rsid w:val="006406B1"/>
  </w:style>
  <w:style w:type="character" w:customStyle="1" w:styleId="bg-green-100">
    <w:name w:val="bg-green-100"/>
    <w:basedOn w:val="DefaultParagraphFont"/>
    <w:rsid w:val="006406B1"/>
  </w:style>
  <w:style w:type="character" w:styleId="Strong">
    <w:name w:val="Strong"/>
    <w:basedOn w:val="DefaultParagraphFont"/>
    <w:uiPriority w:val="22"/>
    <w:qFormat/>
    <w:rsid w:val="00E20AF7"/>
    <w:rPr>
      <w:b/>
      <w:bCs/>
    </w:rPr>
  </w:style>
  <w:style w:type="paragraph" w:styleId="TOC1">
    <w:name w:val="toc 1"/>
    <w:basedOn w:val="Normal"/>
    <w:next w:val="Normal"/>
    <w:autoRedefine/>
    <w:uiPriority w:val="39"/>
    <w:unhideWhenUsed/>
    <w:rsid w:val="00D47DC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8988">
      <w:bodyDiv w:val="1"/>
      <w:marLeft w:val="0"/>
      <w:marRight w:val="0"/>
      <w:marTop w:val="0"/>
      <w:marBottom w:val="0"/>
      <w:divBdr>
        <w:top w:val="none" w:sz="0" w:space="0" w:color="auto"/>
        <w:left w:val="none" w:sz="0" w:space="0" w:color="auto"/>
        <w:bottom w:val="none" w:sz="0" w:space="0" w:color="auto"/>
        <w:right w:val="none" w:sz="0" w:space="0" w:color="auto"/>
      </w:divBdr>
      <w:divsChild>
        <w:div w:id="1202790919">
          <w:marLeft w:val="-720"/>
          <w:marRight w:val="0"/>
          <w:marTop w:val="0"/>
          <w:marBottom w:val="0"/>
          <w:divBdr>
            <w:top w:val="none" w:sz="0" w:space="0" w:color="auto"/>
            <w:left w:val="none" w:sz="0" w:space="0" w:color="auto"/>
            <w:bottom w:val="none" w:sz="0" w:space="0" w:color="auto"/>
            <w:right w:val="none" w:sz="0" w:space="0" w:color="auto"/>
          </w:divBdr>
        </w:div>
      </w:divsChild>
    </w:div>
    <w:div w:id="92360676">
      <w:bodyDiv w:val="1"/>
      <w:marLeft w:val="0"/>
      <w:marRight w:val="0"/>
      <w:marTop w:val="0"/>
      <w:marBottom w:val="0"/>
      <w:divBdr>
        <w:top w:val="none" w:sz="0" w:space="0" w:color="auto"/>
        <w:left w:val="none" w:sz="0" w:space="0" w:color="auto"/>
        <w:bottom w:val="none" w:sz="0" w:space="0" w:color="auto"/>
        <w:right w:val="none" w:sz="0" w:space="0" w:color="auto"/>
      </w:divBdr>
      <w:divsChild>
        <w:div w:id="719205606">
          <w:marLeft w:val="-720"/>
          <w:marRight w:val="0"/>
          <w:marTop w:val="0"/>
          <w:marBottom w:val="0"/>
          <w:divBdr>
            <w:top w:val="none" w:sz="0" w:space="0" w:color="auto"/>
            <w:left w:val="none" w:sz="0" w:space="0" w:color="auto"/>
            <w:bottom w:val="none" w:sz="0" w:space="0" w:color="auto"/>
            <w:right w:val="none" w:sz="0" w:space="0" w:color="auto"/>
          </w:divBdr>
        </w:div>
      </w:divsChild>
    </w:div>
    <w:div w:id="199973458">
      <w:bodyDiv w:val="1"/>
      <w:marLeft w:val="0"/>
      <w:marRight w:val="0"/>
      <w:marTop w:val="0"/>
      <w:marBottom w:val="0"/>
      <w:divBdr>
        <w:top w:val="none" w:sz="0" w:space="0" w:color="auto"/>
        <w:left w:val="none" w:sz="0" w:space="0" w:color="auto"/>
        <w:bottom w:val="none" w:sz="0" w:space="0" w:color="auto"/>
        <w:right w:val="none" w:sz="0" w:space="0" w:color="auto"/>
      </w:divBdr>
      <w:divsChild>
        <w:div w:id="1211649834">
          <w:marLeft w:val="-720"/>
          <w:marRight w:val="0"/>
          <w:marTop w:val="0"/>
          <w:marBottom w:val="0"/>
          <w:divBdr>
            <w:top w:val="none" w:sz="0" w:space="0" w:color="auto"/>
            <w:left w:val="none" w:sz="0" w:space="0" w:color="auto"/>
            <w:bottom w:val="none" w:sz="0" w:space="0" w:color="auto"/>
            <w:right w:val="none" w:sz="0" w:space="0" w:color="auto"/>
          </w:divBdr>
        </w:div>
      </w:divsChild>
    </w:div>
    <w:div w:id="317923963">
      <w:bodyDiv w:val="1"/>
      <w:marLeft w:val="0"/>
      <w:marRight w:val="0"/>
      <w:marTop w:val="0"/>
      <w:marBottom w:val="0"/>
      <w:divBdr>
        <w:top w:val="none" w:sz="0" w:space="0" w:color="auto"/>
        <w:left w:val="none" w:sz="0" w:space="0" w:color="auto"/>
        <w:bottom w:val="none" w:sz="0" w:space="0" w:color="auto"/>
        <w:right w:val="none" w:sz="0" w:space="0" w:color="auto"/>
      </w:divBdr>
    </w:div>
    <w:div w:id="854614750">
      <w:bodyDiv w:val="1"/>
      <w:marLeft w:val="0"/>
      <w:marRight w:val="0"/>
      <w:marTop w:val="0"/>
      <w:marBottom w:val="0"/>
      <w:divBdr>
        <w:top w:val="none" w:sz="0" w:space="0" w:color="auto"/>
        <w:left w:val="none" w:sz="0" w:space="0" w:color="auto"/>
        <w:bottom w:val="none" w:sz="0" w:space="0" w:color="auto"/>
        <w:right w:val="none" w:sz="0" w:space="0" w:color="auto"/>
      </w:divBdr>
    </w:div>
    <w:div w:id="857961181">
      <w:bodyDiv w:val="1"/>
      <w:marLeft w:val="0"/>
      <w:marRight w:val="0"/>
      <w:marTop w:val="0"/>
      <w:marBottom w:val="0"/>
      <w:divBdr>
        <w:top w:val="none" w:sz="0" w:space="0" w:color="auto"/>
        <w:left w:val="none" w:sz="0" w:space="0" w:color="auto"/>
        <w:bottom w:val="none" w:sz="0" w:space="0" w:color="auto"/>
        <w:right w:val="none" w:sz="0" w:space="0" w:color="auto"/>
      </w:divBdr>
      <w:divsChild>
        <w:div w:id="895091717">
          <w:marLeft w:val="-720"/>
          <w:marRight w:val="0"/>
          <w:marTop w:val="0"/>
          <w:marBottom w:val="0"/>
          <w:divBdr>
            <w:top w:val="none" w:sz="0" w:space="0" w:color="auto"/>
            <w:left w:val="none" w:sz="0" w:space="0" w:color="auto"/>
            <w:bottom w:val="none" w:sz="0" w:space="0" w:color="auto"/>
            <w:right w:val="none" w:sz="0" w:space="0" w:color="auto"/>
          </w:divBdr>
        </w:div>
      </w:divsChild>
    </w:div>
    <w:div w:id="862016844">
      <w:bodyDiv w:val="1"/>
      <w:marLeft w:val="0"/>
      <w:marRight w:val="0"/>
      <w:marTop w:val="0"/>
      <w:marBottom w:val="0"/>
      <w:divBdr>
        <w:top w:val="none" w:sz="0" w:space="0" w:color="auto"/>
        <w:left w:val="none" w:sz="0" w:space="0" w:color="auto"/>
        <w:bottom w:val="none" w:sz="0" w:space="0" w:color="auto"/>
        <w:right w:val="none" w:sz="0" w:space="0" w:color="auto"/>
      </w:divBdr>
      <w:divsChild>
        <w:div w:id="513960562">
          <w:marLeft w:val="-720"/>
          <w:marRight w:val="0"/>
          <w:marTop w:val="0"/>
          <w:marBottom w:val="0"/>
          <w:divBdr>
            <w:top w:val="none" w:sz="0" w:space="0" w:color="auto"/>
            <w:left w:val="none" w:sz="0" w:space="0" w:color="auto"/>
            <w:bottom w:val="none" w:sz="0" w:space="0" w:color="auto"/>
            <w:right w:val="none" w:sz="0" w:space="0" w:color="auto"/>
          </w:divBdr>
        </w:div>
      </w:divsChild>
    </w:div>
    <w:div w:id="883954595">
      <w:bodyDiv w:val="1"/>
      <w:marLeft w:val="0"/>
      <w:marRight w:val="0"/>
      <w:marTop w:val="0"/>
      <w:marBottom w:val="0"/>
      <w:divBdr>
        <w:top w:val="none" w:sz="0" w:space="0" w:color="auto"/>
        <w:left w:val="none" w:sz="0" w:space="0" w:color="auto"/>
        <w:bottom w:val="none" w:sz="0" w:space="0" w:color="auto"/>
        <w:right w:val="none" w:sz="0" w:space="0" w:color="auto"/>
      </w:divBdr>
      <w:divsChild>
        <w:div w:id="7873370">
          <w:marLeft w:val="-720"/>
          <w:marRight w:val="0"/>
          <w:marTop w:val="0"/>
          <w:marBottom w:val="0"/>
          <w:divBdr>
            <w:top w:val="none" w:sz="0" w:space="0" w:color="auto"/>
            <w:left w:val="none" w:sz="0" w:space="0" w:color="auto"/>
            <w:bottom w:val="none" w:sz="0" w:space="0" w:color="auto"/>
            <w:right w:val="none" w:sz="0" w:space="0" w:color="auto"/>
          </w:divBdr>
        </w:div>
      </w:divsChild>
    </w:div>
    <w:div w:id="1025863495">
      <w:bodyDiv w:val="1"/>
      <w:marLeft w:val="0"/>
      <w:marRight w:val="0"/>
      <w:marTop w:val="0"/>
      <w:marBottom w:val="0"/>
      <w:divBdr>
        <w:top w:val="none" w:sz="0" w:space="0" w:color="auto"/>
        <w:left w:val="none" w:sz="0" w:space="0" w:color="auto"/>
        <w:bottom w:val="none" w:sz="0" w:space="0" w:color="auto"/>
        <w:right w:val="none" w:sz="0" w:space="0" w:color="auto"/>
      </w:divBdr>
      <w:divsChild>
        <w:div w:id="141503029">
          <w:marLeft w:val="-720"/>
          <w:marRight w:val="0"/>
          <w:marTop w:val="0"/>
          <w:marBottom w:val="0"/>
          <w:divBdr>
            <w:top w:val="none" w:sz="0" w:space="0" w:color="auto"/>
            <w:left w:val="none" w:sz="0" w:space="0" w:color="auto"/>
            <w:bottom w:val="none" w:sz="0" w:space="0" w:color="auto"/>
            <w:right w:val="none" w:sz="0" w:space="0" w:color="auto"/>
          </w:divBdr>
        </w:div>
      </w:divsChild>
    </w:div>
    <w:div w:id="1091118572">
      <w:bodyDiv w:val="1"/>
      <w:marLeft w:val="0"/>
      <w:marRight w:val="0"/>
      <w:marTop w:val="0"/>
      <w:marBottom w:val="0"/>
      <w:divBdr>
        <w:top w:val="none" w:sz="0" w:space="0" w:color="auto"/>
        <w:left w:val="none" w:sz="0" w:space="0" w:color="auto"/>
        <w:bottom w:val="none" w:sz="0" w:space="0" w:color="auto"/>
        <w:right w:val="none" w:sz="0" w:space="0" w:color="auto"/>
      </w:divBdr>
      <w:divsChild>
        <w:div w:id="1673989526">
          <w:marLeft w:val="0"/>
          <w:marRight w:val="0"/>
          <w:marTop w:val="0"/>
          <w:marBottom w:val="0"/>
          <w:divBdr>
            <w:top w:val="none" w:sz="0" w:space="0" w:color="auto"/>
            <w:left w:val="none" w:sz="0" w:space="0" w:color="auto"/>
            <w:bottom w:val="none" w:sz="0" w:space="0" w:color="auto"/>
            <w:right w:val="none" w:sz="0" w:space="0" w:color="auto"/>
          </w:divBdr>
          <w:divsChild>
            <w:div w:id="209073785">
              <w:marLeft w:val="0"/>
              <w:marRight w:val="0"/>
              <w:marTop w:val="0"/>
              <w:marBottom w:val="0"/>
              <w:divBdr>
                <w:top w:val="none" w:sz="0" w:space="0" w:color="auto"/>
                <w:left w:val="none" w:sz="0" w:space="0" w:color="auto"/>
                <w:bottom w:val="none" w:sz="0" w:space="0" w:color="auto"/>
                <w:right w:val="none" w:sz="0" w:space="0" w:color="auto"/>
              </w:divBdr>
              <w:divsChild>
                <w:div w:id="753283246">
                  <w:marLeft w:val="0"/>
                  <w:marRight w:val="0"/>
                  <w:marTop w:val="0"/>
                  <w:marBottom w:val="0"/>
                  <w:divBdr>
                    <w:top w:val="none" w:sz="0" w:space="0" w:color="auto"/>
                    <w:left w:val="none" w:sz="0" w:space="0" w:color="auto"/>
                    <w:bottom w:val="none" w:sz="0" w:space="0" w:color="auto"/>
                    <w:right w:val="none" w:sz="0" w:space="0" w:color="auto"/>
                  </w:divBdr>
                  <w:divsChild>
                    <w:div w:id="593782978">
                      <w:marLeft w:val="0"/>
                      <w:marRight w:val="0"/>
                      <w:marTop w:val="0"/>
                      <w:marBottom w:val="0"/>
                      <w:divBdr>
                        <w:top w:val="none" w:sz="0" w:space="0" w:color="auto"/>
                        <w:left w:val="none" w:sz="0" w:space="0" w:color="auto"/>
                        <w:bottom w:val="none" w:sz="0" w:space="0" w:color="auto"/>
                        <w:right w:val="none" w:sz="0" w:space="0" w:color="auto"/>
                      </w:divBdr>
                    </w:div>
                    <w:div w:id="1969897624">
                      <w:marLeft w:val="0"/>
                      <w:marRight w:val="0"/>
                      <w:marTop w:val="0"/>
                      <w:marBottom w:val="0"/>
                      <w:divBdr>
                        <w:top w:val="none" w:sz="0" w:space="0" w:color="auto"/>
                        <w:left w:val="none" w:sz="0" w:space="0" w:color="auto"/>
                        <w:bottom w:val="none" w:sz="0" w:space="0" w:color="auto"/>
                        <w:right w:val="none" w:sz="0" w:space="0" w:color="auto"/>
                      </w:divBdr>
                    </w:div>
                    <w:div w:id="620459044">
                      <w:marLeft w:val="0"/>
                      <w:marRight w:val="0"/>
                      <w:marTop w:val="0"/>
                      <w:marBottom w:val="0"/>
                      <w:divBdr>
                        <w:top w:val="none" w:sz="0" w:space="0" w:color="auto"/>
                        <w:left w:val="none" w:sz="0" w:space="0" w:color="auto"/>
                        <w:bottom w:val="none" w:sz="0" w:space="0" w:color="auto"/>
                        <w:right w:val="none" w:sz="0" w:space="0" w:color="auto"/>
                      </w:divBdr>
                    </w:div>
                    <w:div w:id="591160168">
                      <w:marLeft w:val="0"/>
                      <w:marRight w:val="0"/>
                      <w:marTop w:val="0"/>
                      <w:marBottom w:val="0"/>
                      <w:divBdr>
                        <w:top w:val="none" w:sz="0" w:space="0" w:color="auto"/>
                        <w:left w:val="none" w:sz="0" w:space="0" w:color="auto"/>
                        <w:bottom w:val="none" w:sz="0" w:space="0" w:color="auto"/>
                        <w:right w:val="none" w:sz="0" w:space="0" w:color="auto"/>
                      </w:divBdr>
                    </w:div>
                    <w:div w:id="1141993398">
                      <w:marLeft w:val="0"/>
                      <w:marRight w:val="0"/>
                      <w:marTop w:val="0"/>
                      <w:marBottom w:val="0"/>
                      <w:divBdr>
                        <w:top w:val="none" w:sz="0" w:space="0" w:color="auto"/>
                        <w:left w:val="none" w:sz="0" w:space="0" w:color="auto"/>
                        <w:bottom w:val="none" w:sz="0" w:space="0" w:color="auto"/>
                        <w:right w:val="none" w:sz="0" w:space="0" w:color="auto"/>
                      </w:divBdr>
                    </w:div>
                    <w:div w:id="921573384">
                      <w:marLeft w:val="0"/>
                      <w:marRight w:val="0"/>
                      <w:marTop w:val="0"/>
                      <w:marBottom w:val="0"/>
                      <w:divBdr>
                        <w:top w:val="none" w:sz="0" w:space="0" w:color="auto"/>
                        <w:left w:val="none" w:sz="0" w:space="0" w:color="auto"/>
                        <w:bottom w:val="none" w:sz="0" w:space="0" w:color="auto"/>
                        <w:right w:val="none" w:sz="0" w:space="0" w:color="auto"/>
                      </w:divBdr>
                    </w:div>
                    <w:div w:id="1987934610">
                      <w:marLeft w:val="0"/>
                      <w:marRight w:val="0"/>
                      <w:marTop w:val="0"/>
                      <w:marBottom w:val="0"/>
                      <w:divBdr>
                        <w:top w:val="none" w:sz="0" w:space="0" w:color="auto"/>
                        <w:left w:val="none" w:sz="0" w:space="0" w:color="auto"/>
                        <w:bottom w:val="none" w:sz="0" w:space="0" w:color="auto"/>
                        <w:right w:val="none" w:sz="0" w:space="0" w:color="auto"/>
                      </w:divBdr>
                    </w:div>
                    <w:div w:id="116682642">
                      <w:marLeft w:val="0"/>
                      <w:marRight w:val="0"/>
                      <w:marTop w:val="0"/>
                      <w:marBottom w:val="0"/>
                      <w:divBdr>
                        <w:top w:val="none" w:sz="0" w:space="0" w:color="auto"/>
                        <w:left w:val="none" w:sz="0" w:space="0" w:color="auto"/>
                        <w:bottom w:val="none" w:sz="0" w:space="0" w:color="auto"/>
                        <w:right w:val="none" w:sz="0" w:space="0" w:color="auto"/>
                      </w:divBdr>
                    </w:div>
                    <w:div w:id="1315917943">
                      <w:marLeft w:val="0"/>
                      <w:marRight w:val="0"/>
                      <w:marTop w:val="0"/>
                      <w:marBottom w:val="0"/>
                      <w:divBdr>
                        <w:top w:val="none" w:sz="0" w:space="0" w:color="auto"/>
                        <w:left w:val="none" w:sz="0" w:space="0" w:color="auto"/>
                        <w:bottom w:val="none" w:sz="0" w:space="0" w:color="auto"/>
                        <w:right w:val="none" w:sz="0" w:space="0" w:color="auto"/>
                      </w:divBdr>
                    </w:div>
                    <w:div w:id="19633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33870">
      <w:bodyDiv w:val="1"/>
      <w:marLeft w:val="0"/>
      <w:marRight w:val="0"/>
      <w:marTop w:val="0"/>
      <w:marBottom w:val="0"/>
      <w:divBdr>
        <w:top w:val="none" w:sz="0" w:space="0" w:color="auto"/>
        <w:left w:val="none" w:sz="0" w:space="0" w:color="auto"/>
        <w:bottom w:val="none" w:sz="0" w:space="0" w:color="auto"/>
        <w:right w:val="none" w:sz="0" w:space="0" w:color="auto"/>
      </w:divBdr>
      <w:divsChild>
        <w:div w:id="1679891423">
          <w:marLeft w:val="-720"/>
          <w:marRight w:val="0"/>
          <w:marTop w:val="0"/>
          <w:marBottom w:val="0"/>
          <w:divBdr>
            <w:top w:val="none" w:sz="0" w:space="0" w:color="auto"/>
            <w:left w:val="none" w:sz="0" w:space="0" w:color="auto"/>
            <w:bottom w:val="none" w:sz="0" w:space="0" w:color="auto"/>
            <w:right w:val="none" w:sz="0" w:space="0" w:color="auto"/>
          </w:divBdr>
        </w:div>
      </w:divsChild>
    </w:div>
    <w:div w:id="1291860246">
      <w:bodyDiv w:val="1"/>
      <w:marLeft w:val="0"/>
      <w:marRight w:val="0"/>
      <w:marTop w:val="0"/>
      <w:marBottom w:val="0"/>
      <w:divBdr>
        <w:top w:val="none" w:sz="0" w:space="0" w:color="auto"/>
        <w:left w:val="none" w:sz="0" w:space="0" w:color="auto"/>
        <w:bottom w:val="none" w:sz="0" w:space="0" w:color="auto"/>
        <w:right w:val="none" w:sz="0" w:space="0" w:color="auto"/>
      </w:divBdr>
    </w:div>
    <w:div w:id="1526754082">
      <w:bodyDiv w:val="1"/>
      <w:marLeft w:val="0"/>
      <w:marRight w:val="0"/>
      <w:marTop w:val="0"/>
      <w:marBottom w:val="0"/>
      <w:divBdr>
        <w:top w:val="none" w:sz="0" w:space="0" w:color="auto"/>
        <w:left w:val="none" w:sz="0" w:space="0" w:color="auto"/>
        <w:bottom w:val="none" w:sz="0" w:space="0" w:color="auto"/>
        <w:right w:val="none" w:sz="0" w:space="0" w:color="auto"/>
      </w:divBdr>
      <w:divsChild>
        <w:div w:id="1087192440">
          <w:marLeft w:val="0"/>
          <w:marRight w:val="0"/>
          <w:marTop w:val="0"/>
          <w:marBottom w:val="0"/>
          <w:divBdr>
            <w:top w:val="none" w:sz="0" w:space="0" w:color="auto"/>
            <w:left w:val="none" w:sz="0" w:space="0" w:color="auto"/>
            <w:bottom w:val="none" w:sz="0" w:space="0" w:color="auto"/>
            <w:right w:val="none" w:sz="0" w:space="0" w:color="auto"/>
          </w:divBdr>
        </w:div>
        <w:div w:id="1360665624">
          <w:marLeft w:val="0"/>
          <w:marRight w:val="0"/>
          <w:marTop w:val="0"/>
          <w:marBottom w:val="0"/>
          <w:divBdr>
            <w:top w:val="none" w:sz="0" w:space="0" w:color="auto"/>
            <w:left w:val="none" w:sz="0" w:space="0" w:color="auto"/>
            <w:bottom w:val="none" w:sz="0" w:space="0" w:color="auto"/>
            <w:right w:val="none" w:sz="0" w:space="0" w:color="auto"/>
          </w:divBdr>
        </w:div>
        <w:div w:id="1151947948">
          <w:marLeft w:val="0"/>
          <w:marRight w:val="0"/>
          <w:marTop w:val="0"/>
          <w:marBottom w:val="0"/>
          <w:divBdr>
            <w:top w:val="none" w:sz="0" w:space="0" w:color="auto"/>
            <w:left w:val="none" w:sz="0" w:space="0" w:color="auto"/>
            <w:bottom w:val="none" w:sz="0" w:space="0" w:color="auto"/>
            <w:right w:val="none" w:sz="0" w:space="0" w:color="auto"/>
          </w:divBdr>
        </w:div>
        <w:div w:id="1549410959">
          <w:marLeft w:val="0"/>
          <w:marRight w:val="0"/>
          <w:marTop w:val="0"/>
          <w:marBottom w:val="0"/>
          <w:divBdr>
            <w:top w:val="none" w:sz="0" w:space="0" w:color="auto"/>
            <w:left w:val="none" w:sz="0" w:space="0" w:color="auto"/>
            <w:bottom w:val="none" w:sz="0" w:space="0" w:color="auto"/>
            <w:right w:val="none" w:sz="0" w:space="0" w:color="auto"/>
          </w:divBdr>
        </w:div>
      </w:divsChild>
    </w:div>
    <w:div w:id="1571191391">
      <w:bodyDiv w:val="1"/>
      <w:marLeft w:val="0"/>
      <w:marRight w:val="0"/>
      <w:marTop w:val="0"/>
      <w:marBottom w:val="0"/>
      <w:divBdr>
        <w:top w:val="none" w:sz="0" w:space="0" w:color="auto"/>
        <w:left w:val="none" w:sz="0" w:space="0" w:color="auto"/>
        <w:bottom w:val="none" w:sz="0" w:space="0" w:color="auto"/>
        <w:right w:val="none" w:sz="0" w:space="0" w:color="auto"/>
      </w:divBdr>
      <w:divsChild>
        <w:div w:id="1578443043">
          <w:marLeft w:val="-720"/>
          <w:marRight w:val="0"/>
          <w:marTop w:val="0"/>
          <w:marBottom w:val="0"/>
          <w:divBdr>
            <w:top w:val="none" w:sz="0" w:space="0" w:color="auto"/>
            <w:left w:val="none" w:sz="0" w:space="0" w:color="auto"/>
            <w:bottom w:val="none" w:sz="0" w:space="0" w:color="auto"/>
            <w:right w:val="none" w:sz="0" w:space="0" w:color="auto"/>
          </w:divBdr>
        </w:div>
      </w:divsChild>
    </w:div>
    <w:div w:id="1694573426">
      <w:bodyDiv w:val="1"/>
      <w:marLeft w:val="0"/>
      <w:marRight w:val="0"/>
      <w:marTop w:val="0"/>
      <w:marBottom w:val="0"/>
      <w:divBdr>
        <w:top w:val="none" w:sz="0" w:space="0" w:color="auto"/>
        <w:left w:val="none" w:sz="0" w:space="0" w:color="auto"/>
        <w:bottom w:val="none" w:sz="0" w:space="0" w:color="auto"/>
        <w:right w:val="none" w:sz="0" w:space="0" w:color="auto"/>
      </w:divBdr>
    </w:div>
    <w:div w:id="170344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doi.org/10.1080/15332985.2026.2623880" TargetMode="External"/><Relationship Id="rId18" Type="http://schemas.openxmlformats.org/officeDocument/2006/relationships/hyperlink" Target="https://doi.org/10.1111/hsc.1381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doi.org/10.1177/13558196221124740" TargetMode="External"/><Relationship Id="rId17" Type="http://schemas.openxmlformats.org/officeDocument/2006/relationships/hyperlink" Target="https://bura.brunel.ac.uk/handle/2438/31378" TargetMode="External"/><Relationship Id="rId2" Type="http://schemas.openxmlformats.org/officeDocument/2006/relationships/styles" Target="styles.xml"/><Relationship Id="rId16" Type="http://schemas.openxmlformats.org/officeDocument/2006/relationships/hyperlink" Target="https://www.england.nhs.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86/s41077-024-00288-1" TargetMode="External"/><Relationship Id="rId5" Type="http://schemas.openxmlformats.org/officeDocument/2006/relationships/footnotes" Target="footnotes.xml"/><Relationship Id="rId15" Type="http://schemas.openxmlformats.org/officeDocument/2006/relationships/hyperlink" Target="https://doi.org/10.1007/s12325-022-02340-w" TargetMode="External"/><Relationship Id="rId10" Type="http://schemas.openxmlformats.org/officeDocument/2006/relationships/hyperlink" Target="https://doi.org/10.1016/j.ekir.2025.11.028" TargetMode="External"/><Relationship Id="rId19" Type="http://schemas.openxmlformats.org/officeDocument/2006/relationships/hyperlink" Target="https://doi.org/10.1037/h0054346" TargetMode="External"/><Relationship Id="rId4" Type="http://schemas.openxmlformats.org/officeDocument/2006/relationships/webSettings" Target="webSettings.xml"/><Relationship Id="rId9" Type="http://schemas.openxmlformats.org/officeDocument/2006/relationships/hyperlink" Target="https://doi.org/10.1186/s12875-022-01855-z" TargetMode="External"/><Relationship Id="rId14" Type="http://schemas.openxmlformats.org/officeDocument/2006/relationships/hyperlink" Target="https://doi.org/10.1136/bmjopen-2022-0673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59241-77F5-4FF3-A763-3F3CF2AF8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2659</Words>
  <Characters>15158</Characters>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2026-09-24T18:42:00Z</dcterms:created>
  <dcterms:modified xsi:type="dcterms:W3CDTF">2026-09-25T01:57:00Z</dcterms:modified>
</cp:coreProperties>
</file>