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F03D4" w14:textId="0976062F" w:rsidR="001130B7" w:rsidRPr="001130B7" w:rsidRDefault="001130B7" w:rsidP="001130B7">
      <w:pPr>
        <w:rPr>
          <w:rFonts w:cstheme="minorHAnsi"/>
          <w:b/>
          <w:bCs/>
          <w:sz w:val="40"/>
          <w:szCs w:val="40"/>
        </w:rPr>
      </w:pPr>
      <w:r w:rsidRPr="001130B7">
        <w:rPr>
          <w:rFonts w:cstheme="minorHAnsi"/>
          <w:b/>
          <w:bCs/>
          <w:sz w:val="40"/>
          <w:szCs w:val="40"/>
        </w:rPr>
        <w:t>MSc Public Health and Soci</w:t>
      </w:r>
      <w:r>
        <w:rPr>
          <w:rFonts w:cstheme="minorHAnsi"/>
          <w:b/>
          <w:bCs/>
          <w:sz w:val="40"/>
          <w:szCs w:val="40"/>
        </w:rPr>
        <w:t xml:space="preserve">al Care </w:t>
      </w:r>
      <w:r w:rsidRPr="001130B7">
        <w:rPr>
          <w:rFonts w:cstheme="minorHAnsi"/>
          <w:b/>
          <w:bCs/>
          <w:sz w:val="40"/>
          <w:szCs w:val="40"/>
        </w:rPr>
        <w:t>in Practice</w:t>
      </w:r>
    </w:p>
    <w:p w14:paraId="36F2BCAD" w14:textId="76401CD0" w:rsidR="001130B7" w:rsidRPr="001130B7" w:rsidRDefault="001130B7" w:rsidP="001130B7">
      <w:pPr>
        <w:rPr>
          <w:rFonts w:cstheme="minorHAnsi"/>
          <w:b/>
          <w:bCs/>
          <w:sz w:val="40"/>
          <w:szCs w:val="40"/>
        </w:rPr>
      </w:pPr>
      <w:r>
        <w:rPr>
          <w:rFonts w:cstheme="minorHAnsi"/>
          <w:b/>
          <w:bCs/>
          <w:sz w:val="40"/>
          <w:szCs w:val="40"/>
        </w:rPr>
        <w:t xml:space="preserve">                             </w:t>
      </w:r>
      <w:r w:rsidRPr="001130B7">
        <w:rPr>
          <w:rFonts w:cstheme="minorHAnsi"/>
          <w:b/>
          <w:bCs/>
          <w:sz w:val="40"/>
          <w:szCs w:val="40"/>
        </w:rPr>
        <w:t>Isaac Zzimbe</w:t>
      </w:r>
    </w:p>
    <w:p w14:paraId="17AF784B" w14:textId="77777777" w:rsidR="001130B7" w:rsidRDefault="001130B7" w:rsidP="001130B7">
      <w:pPr>
        <w:rPr>
          <w:rFonts w:cstheme="minorHAnsi"/>
          <w:b/>
          <w:bCs/>
          <w:sz w:val="40"/>
          <w:szCs w:val="40"/>
        </w:rPr>
      </w:pPr>
      <w:r>
        <w:rPr>
          <w:rFonts w:cstheme="minorHAnsi"/>
          <w:b/>
          <w:bCs/>
          <w:sz w:val="40"/>
          <w:szCs w:val="40"/>
        </w:rPr>
        <w:t xml:space="preserve">                              </w:t>
      </w:r>
    </w:p>
    <w:p w14:paraId="2D732BE6" w14:textId="77777777" w:rsidR="001130B7" w:rsidRDefault="001130B7" w:rsidP="001130B7">
      <w:pPr>
        <w:rPr>
          <w:rFonts w:cstheme="minorHAnsi"/>
          <w:b/>
          <w:bCs/>
          <w:sz w:val="40"/>
          <w:szCs w:val="40"/>
        </w:rPr>
      </w:pPr>
    </w:p>
    <w:p w14:paraId="193CF877" w14:textId="1E8CAAB6" w:rsidR="001130B7" w:rsidRPr="001130B7" w:rsidRDefault="001130B7" w:rsidP="001130B7">
      <w:pPr>
        <w:rPr>
          <w:rFonts w:cstheme="minorHAnsi"/>
          <w:b/>
          <w:bCs/>
          <w:sz w:val="40"/>
          <w:szCs w:val="40"/>
        </w:rPr>
      </w:pPr>
      <w:r>
        <w:rPr>
          <w:rFonts w:cstheme="minorHAnsi"/>
          <w:b/>
          <w:bCs/>
          <w:sz w:val="40"/>
          <w:szCs w:val="40"/>
        </w:rPr>
        <w:t xml:space="preserve">                                  </w:t>
      </w:r>
      <w:r w:rsidRPr="001130B7">
        <w:rPr>
          <w:rFonts w:cstheme="minorHAnsi"/>
          <w:b/>
          <w:bCs/>
          <w:sz w:val="40"/>
          <w:szCs w:val="40"/>
        </w:rPr>
        <w:t>2235243</w:t>
      </w:r>
    </w:p>
    <w:p w14:paraId="5314A8DF" w14:textId="77777777" w:rsidR="001130B7" w:rsidRPr="001130B7" w:rsidRDefault="001130B7" w:rsidP="001130B7">
      <w:pPr>
        <w:rPr>
          <w:rFonts w:cstheme="minorHAnsi"/>
          <w:b/>
          <w:bCs/>
          <w:sz w:val="40"/>
          <w:szCs w:val="40"/>
        </w:rPr>
      </w:pPr>
    </w:p>
    <w:p w14:paraId="5A9F6354" w14:textId="074D63B0" w:rsidR="001130B7" w:rsidRDefault="001130B7" w:rsidP="001130B7">
      <w:pPr>
        <w:rPr>
          <w:rFonts w:cstheme="minorHAnsi"/>
          <w:b/>
          <w:bCs/>
          <w:sz w:val="40"/>
          <w:szCs w:val="40"/>
        </w:rPr>
      </w:pPr>
      <w:r>
        <w:rPr>
          <w:rFonts w:cstheme="minorHAnsi"/>
          <w:b/>
          <w:bCs/>
          <w:sz w:val="40"/>
          <w:szCs w:val="40"/>
        </w:rPr>
        <w:t xml:space="preserve">                    </w:t>
      </w:r>
      <w:r w:rsidRPr="001130B7">
        <w:rPr>
          <w:rFonts w:cstheme="minorHAnsi"/>
          <w:b/>
          <w:bCs/>
          <w:sz w:val="40"/>
          <w:szCs w:val="40"/>
        </w:rPr>
        <w:t xml:space="preserve">Lecturer: </w:t>
      </w:r>
      <w:r>
        <w:rPr>
          <w:rFonts w:cstheme="minorHAnsi"/>
          <w:b/>
          <w:bCs/>
          <w:sz w:val="40"/>
          <w:szCs w:val="40"/>
        </w:rPr>
        <w:t>Diola Bijlhout</w:t>
      </w:r>
    </w:p>
    <w:p w14:paraId="7E98C615" w14:textId="77777777" w:rsidR="001130B7" w:rsidRDefault="001130B7" w:rsidP="001130B7">
      <w:pPr>
        <w:rPr>
          <w:rFonts w:cstheme="minorHAnsi"/>
          <w:b/>
          <w:bCs/>
          <w:sz w:val="40"/>
          <w:szCs w:val="40"/>
        </w:rPr>
      </w:pPr>
    </w:p>
    <w:p w14:paraId="40D1B6E1" w14:textId="65CA7DF2" w:rsidR="001130B7" w:rsidRDefault="001130B7" w:rsidP="001130B7">
      <w:pPr>
        <w:rPr>
          <w:rFonts w:cstheme="minorHAnsi"/>
          <w:b/>
          <w:bCs/>
          <w:sz w:val="40"/>
          <w:szCs w:val="40"/>
        </w:rPr>
      </w:pPr>
      <w:r>
        <w:rPr>
          <w:rFonts w:cstheme="minorHAnsi"/>
          <w:b/>
          <w:bCs/>
          <w:sz w:val="40"/>
          <w:szCs w:val="40"/>
        </w:rPr>
        <w:t>Population Health and Digital Health Promotion.</w:t>
      </w:r>
    </w:p>
    <w:p w14:paraId="766E8AEF" w14:textId="77777777" w:rsidR="001130B7" w:rsidRDefault="001130B7" w:rsidP="001130B7">
      <w:pPr>
        <w:rPr>
          <w:rFonts w:cstheme="minorHAnsi"/>
          <w:b/>
          <w:bCs/>
          <w:sz w:val="40"/>
          <w:szCs w:val="40"/>
        </w:rPr>
      </w:pPr>
    </w:p>
    <w:p w14:paraId="47C738F2" w14:textId="25EB26C3" w:rsidR="001130B7" w:rsidRPr="001130B7" w:rsidRDefault="001130B7" w:rsidP="001130B7">
      <w:pPr>
        <w:rPr>
          <w:rFonts w:cstheme="minorHAnsi"/>
          <w:b/>
          <w:bCs/>
          <w:sz w:val="40"/>
          <w:szCs w:val="40"/>
        </w:rPr>
      </w:pPr>
      <w:r>
        <w:rPr>
          <w:rFonts w:cstheme="minorHAnsi"/>
          <w:b/>
          <w:bCs/>
          <w:sz w:val="40"/>
          <w:szCs w:val="40"/>
        </w:rPr>
        <w:t xml:space="preserve">                               LCHS7007</w:t>
      </w:r>
    </w:p>
    <w:p w14:paraId="710A255F" w14:textId="77777777" w:rsidR="001130B7" w:rsidRPr="001130B7" w:rsidRDefault="001130B7" w:rsidP="001130B7">
      <w:pPr>
        <w:rPr>
          <w:rFonts w:cstheme="minorHAnsi"/>
          <w:b/>
          <w:bCs/>
          <w:sz w:val="40"/>
          <w:szCs w:val="40"/>
        </w:rPr>
      </w:pPr>
    </w:p>
    <w:p w14:paraId="67AC048E" w14:textId="1B1F8434" w:rsidR="001130B7" w:rsidRPr="001130B7" w:rsidRDefault="001130B7" w:rsidP="001130B7">
      <w:pPr>
        <w:rPr>
          <w:rFonts w:cstheme="minorHAnsi"/>
          <w:b/>
          <w:bCs/>
          <w:sz w:val="40"/>
          <w:szCs w:val="40"/>
        </w:rPr>
      </w:pPr>
      <w:r>
        <w:rPr>
          <w:rFonts w:cstheme="minorHAnsi"/>
          <w:b/>
          <w:bCs/>
          <w:sz w:val="40"/>
          <w:szCs w:val="40"/>
        </w:rPr>
        <w:t xml:space="preserve"> </w:t>
      </w:r>
    </w:p>
    <w:p w14:paraId="6E208692" w14:textId="77777777" w:rsidR="001130B7" w:rsidRPr="001130B7" w:rsidRDefault="001130B7" w:rsidP="00C979AC">
      <w:pPr>
        <w:rPr>
          <w:rFonts w:cstheme="minorHAnsi"/>
          <w:b/>
          <w:bCs/>
          <w:sz w:val="40"/>
          <w:szCs w:val="40"/>
        </w:rPr>
      </w:pPr>
    </w:p>
    <w:p w14:paraId="154675D0" w14:textId="77777777" w:rsidR="001130B7" w:rsidRDefault="001130B7" w:rsidP="00C979AC">
      <w:pPr>
        <w:rPr>
          <w:rFonts w:cstheme="minorHAnsi"/>
          <w:b/>
          <w:bCs/>
        </w:rPr>
      </w:pPr>
    </w:p>
    <w:p w14:paraId="01D96527" w14:textId="77777777" w:rsidR="001130B7" w:rsidRDefault="001130B7" w:rsidP="00C979AC">
      <w:pPr>
        <w:rPr>
          <w:rFonts w:cstheme="minorHAnsi"/>
          <w:b/>
          <w:bCs/>
        </w:rPr>
      </w:pPr>
    </w:p>
    <w:p w14:paraId="7F245EDB" w14:textId="77777777" w:rsidR="001130B7" w:rsidRDefault="001130B7" w:rsidP="00C979AC">
      <w:pPr>
        <w:rPr>
          <w:rFonts w:cstheme="minorHAnsi"/>
          <w:b/>
          <w:bCs/>
        </w:rPr>
      </w:pPr>
    </w:p>
    <w:p w14:paraId="1480E3E8" w14:textId="77777777" w:rsidR="001130B7" w:rsidRDefault="001130B7" w:rsidP="00C979AC">
      <w:pPr>
        <w:rPr>
          <w:rFonts w:cstheme="minorHAnsi"/>
          <w:b/>
          <w:bCs/>
        </w:rPr>
      </w:pPr>
    </w:p>
    <w:p w14:paraId="2573B34C" w14:textId="77777777" w:rsidR="001130B7" w:rsidRDefault="001130B7" w:rsidP="00C979AC">
      <w:pPr>
        <w:rPr>
          <w:rFonts w:cstheme="minorHAnsi"/>
          <w:b/>
          <w:bCs/>
        </w:rPr>
      </w:pPr>
    </w:p>
    <w:p w14:paraId="67EB1022" w14:textId="77777777" w:rsidR="001130B7" w:rsidRDefault="001130B7" w:rsidP="00C979AC">
      <w:pPr>
        <w:rPr>
          <w:rFonts w:cstheme="minorHAnsi"/>
          <w:b/>
          <w:bCs/>
        </w:rPr>
      </w:pPr>
    </w:p>
    <w:p w14:paraId="314E50A6" w14:textId="77777777" w:rsidR="001130B7" w:rsidRDefault="001130B7" w:rsidP="00C979AC">
      <w:pPr>
        <w:rPr>
          <w:rFonts w:cstheme="minorHAnsi"/>
          <w:b/>
          <w:bCs/>
        </w:rPr>
      </w:pPr>
    </w:p>
    <w:p w14:paraId="479F6E3F" w14:textId="77777777" w:rsidR="001130B7" w:rsidRDefault="001130B7" w:rsidP="00C979AC">
      <w:pPr>
        <w:rPr>
          <w:rFonts w:cstheme="minorHAnsi"/>
          <w:b/>
          <w:bCs/>
        </w:rPr>
      </w:pPr>
    </w:p>
    <w:p w14:paraId="41146E99" w14:textId="77777777" w:rsidR="001130B7" w:rsidRDefault="001130B7" w:rsidP="00C979AC">
      <w:pPr>
        <w:rPr>
          <w:rFonts w:cstheme="minorHAnsi"/>
          <w:b/>
          <w:bCs/>
        </w:rPr>
      </w:pPr>
    </w:p>
    <w:p w14:paraId="12F0CD52" w14:textId="177ADAE3" w:rsidR="001130B7" w:rsidRDefault="001130B7" w:rsidP="00C979AC">
      <w:pPr>
        <w:rPr>
          <w:rFonts w:cstheme="minorHAnsi"/>
          <w:b/>
          <w:bCs/>
        </w:rPr>
      </w:pPr>
    </w:p>
    <w:p w14:paraId="20D538F2" w14:textId="59FB2615" w:rsidR="00230F98" w:rsidRPr="007B239B" w:rsidRDefault="00230F98" w:rsidP="00C979AC">
      <w:pPr>
        <w:rPr>
          <w:rFonts w:cstheme="minorHAnsi"/>
          <w:b/>
          <w:bCs/>
        </w:rPr>
      </w:pPr>
      <w:r w:rsidRPr="007B239B">
        <w:rPr>
          <w:rFonts w:cstheme="minorHAnsi"/>
          <w:b/>
          <w:bCs/>
        </w:rPr>
        <w:lastRenderedPageBreak/>
        <w:t>Slide 1:</w:t>
      </w:r>
    </w:p>
    <w:p w14:paraId="75DE32C1" w14:textId="70CB4932" w:rsidR="00C979AC" w:rsidRPr="007B239B" w:rsidRDefault="00C979AC" w:rsidP="00C979AC">
      <w:pPr>
        <w:rPr>
          <w:rFonts w:cstheme="minorHAnsi"/>
        </w:rPr>
      </w:pPr>
      <w:r w:rsidRPr="007B239B">
        <w:rPr>
          <w:rFonts w:cstheme="minorHAnsi"/>
        </w:rPr>
        <w:t>Amidst various Integrated Care Systems, the ICP emerges as the most suitable candidate to realize our collaborative vision. It focuses on assessing the health and social care needs of the community and devising a strategic plan to address them.</w:t>
      </w:r>
      <w:r w:rsidR="007B239B" w:rsidRPr="007B239B">
        <w:rPr>
          <w:rFonts w:cstheme="minorHAnsi"/>
        </w:rPr>
        <w:t xml:space="preserve"> (Brown, 2016)</w:t>
      </w:r>
    </w:p>
    <w:p w14:paraId="22673CE5" w14:textId="02ED8267" w:rsidR="00B8665C" w:rsidRPr="007B239B" w:rsidRDefault="00C979AC" w:rsidP="00C979AC">
      <w:pPr>
        <w:rPr>
          <w:rFonts w:cstheme="minorHAnsi"/>
        </w:rPr>
      </w:pPr>
      <w:r w:rsidRPr="007B239B">
        <w:rPr>
          <w:rFonts w:cstheme="minorHAnsi"/>
        </w:rPr>
        <w:t>The ICP thrives on four key pillars that make it a powerful force in enhancing healthcare and social services:</w:t>
      </w:r>
    </w:p>
    <w:p w14:paraId="756EF34E" w14:textId="3C78F60A" w:rsidR="00B8665C" w:rsidRPr="007B239B" w:rsidRDefault="00B8665C" w:rsidP="00C979AC">
      <w:pPr>
        <w:rPr>
          <w:rFonts w:cstheme="minorHAnsi"/>
        </w:rPr>
      </w:pPr>
      <w:r w:rsidRPr="007B239B">
        <w:rPr>
          <w:rFonts w:cstheme="minorHAnsi"/>
        </w:rPr>
        <w:t>Collaboration and Coordination:</w:t>
      </w:r>
    </w:p>
    <w:p w14:paraId="3BB53963" w14:textId="6DFBFC3B" w:rsidR="00C979AC" w:rsidRPr="007B239B" w:rsidRDefault="00B8665C" w:rsidP="00C979AC">
      <w:pPr>
        <w:rPr>
          <w:rFonts w:cstheme="minorHAnsi"/>
        </w:rPr>
      </w:pPr>
      <w:r w:rsidRPr="007B239B">
        <w:rPr>
          <w:rFonts w:cstheme="minorHAnsi"/>
        </w:rPr>
        <w:t>Sullivan and Bybee emphasi</w:t>
      </w:r>
      <w:r w:rsidR="001130B7">
        <w:rPr>
          <w:rFonts w:cstheme="minorHAnsi"/>
        </w:rPr>
        <w:t>z</w:t>
      </w:r>
      <w:r w:rsidRPr="007B239B">
        <w:rPr>
          <w:rFonts w:cstheme="minorHAnsi"/>
        </w:rPr>
        <w:t xml:space="preserve">e how "Collaboration among stakeholders is essential in addressing the complex root causes of domestic violence." </w:t>
      </w:r>
      <w:r w:rsidR="00C979AC" w:rsidRPr="007B239B">
        <w:rPr>
          <w:rFonts w:cstheme="minorHAnsi"/>
        </w:rPr>
        <w:t>By fostering collaboration among healthcare providers, social care agencies, community organizations, and patients, the ICP creates a united front to tackle complex challenges.</w:t>
      </w:r>
    </w:p>
    <w:p w14:paraId="426AF1D4" w14:textId="3F050FFC" w:rsidR="00C979AC" w:rsidRPr="007B239B" w:rsidRDefault="00C979AC" w:rsidP="00C979AC">
      <w:pPr>
        <w:rPr>
          <w:rFonts w:cstheme="minorHAnsi"/>
        </w:rPr>
      </w:pPr>
      <w:r w:rsidRPr="007B239B">
        <w:rPr>
          <w:rFonts w:cstheme="minorHAnsi"/>
        </w:rPr>
        <w:t>Service Integration: Seamlessly integrating health and social services ensures a holistic approach, leading to better outcomes for our community.</w:t>
      </w:r>
    </w:p>
    <w:p w14:paraId="0308DEBE" w14:textId="404309C1" w:rsidR="00C979AC" w:rsidRPr="007B239B" w:rsidRDefault="00C979AC" w:rsidP="00C979AC">
      <w:pPr>
        <w:rPr>
          <w:rFonts w:cstheme="minorHAnsi"/>
        </w:rPr>
      </w:pPr>
      <w:r w:rsidRPr="007B239B">
        <w:rPr>
          <w:rFonts w:cstheme="minorHAnsi"/>
        </w:rPr>
        <w:t>Data and Information Sharing: With comprehensive data sharing and analysis, the ICP gains invaluable insights into the needs and trends, enabling targeted interventions.</w:t>
      </w:r>
    </w:p>
    <w:p w14:paraId="6EA8A591" w14:textId="56E494CD" w:rsidR="00230F98" w:rsidRPr="007B239B" w:rsidRDefault="00C979AC" w:rsidP="00C979AC">
      <w:pPr>
        <w:rPr>
          <w:rFonts w:cstheme="minorHAnsi"/>
        </w:rPr>
      </w:pPr>
      <w:r w:rsidRPr="007B239B">
        <w:rPr>
          <w:rFonts w:cstheme="minorHAnsi"/>
        </w:rPr>
        <w:t>Quality Improvement and Evaluation: Continuous improvement is at the core of the ICP's strategy, ensuring that services evolve and adapt to meet evolving community requirements.</w:t>
      </w:r>
    </w:p>
    <w:p w14:paraId="576F1714" w14:textId="0064E820" w:rsidR="00230F98" w:rsidRPr="007B239B" w:rsidRDefault="00230F98" w:rsidP="00C979AC">
      <w:pPr>
        <w:rPr>
          <w:rFonts w:cstheme="minorHAnsi"/>
          <w:shd w:val="clear" w:color="auto" w:fill="F7F7F8"/>
        </w:rPr>
      </w:pPr>
      <w:r w:rsidRPr="007B239B">
        <w:rPr>
          <w:rFonts w:cstheme="minorHAnsi"/>
          <w:shd w:val="clear" w:color="auto" w:fill="F7F7F8"/>
        </w:rPr>
        <w:t>(World Health Professions Alliance [WHPA], n.d.)</w:t>
      </w:r>
    </w:p>
    <w:p w14:paraId="6E4113B4" w14:textId="67B40BC3" w:rsidR="00230F98" w:rsidRPr="007B239B" w:rsidRDefault="00230F98" w:rsidP="00C979AC">
      <w:pPr>
        <w:rPr>
          <w:rFonts w:cstheme="minorHAnsi"/>
          <w:b/>
          <w:bCs/>
        </w:rPr>
      </w:pPr>
      <w:r w:rsidRPr="007B239B">
        <w:rPr>
          <w:rFonts w:cstheme="minorHAnsi"/>
          <w:b/>
          <w:bCs/>
        </w:rPr>
        <w:t>Slide 2:</w:t>
      </w:r>
    </w:p>
    <w:p w14:paraId="37ED49F8" w14:textId="57C80F59" w:rsidR="007D6265" w:rsidRPr="007B239B" w:rsidRDefault="007D6265" w:rsidP="007D6265">
      <w:pPr>
        <w:rPr>
          <w:rFonts w:cstheme="minorHAnsi"/>
        </w:rPr>
      </w:pPr>
      <w:r w:rsidRPr="007B239B">
        <w:rPr>
          <w:rFonts w:cstheme="minorHAnsi"/>
        </w:rPr>
        <w:t>We will now delve into the power of collaborative approaches to combat domestic violence, drawing invaluable insights from successful initiatives highlighted by Shaw, Rosen, &amp; Rumbold</w:t>
      </w:r>
      <w:r w:rsidR="003C211B" w:rsidRPr="007B239B">
        <w:rPr>
          <w:rFonts w:cstheme="minorHAnsi"/>
        </w:rPr>
        <w:t xml:space="preserve">. </w:t>
      </w:r>
    </w:p>
    <w:p w14:paraId="525D0718" w14:textId="1CC66D05" w:rsidR="007D6265" w:rsidRPr="007B239B" w:rsidRDefault="007D6265" w:rsidP="007D6265">
      <w:pPr>
        <w:rPr>
          <w:rFonts w:cstheme="minorHAnsi"/>
        </w:rPr>
      </w:pPr>
      <w:r w:rsidRPr="007B239B">
        <w:rPr>
          <w:rFonts w:cstheme="minorHAnsi"/>
        </w:rPr>
        <w:t>Let's begin with "Enhanced Coordination." By bringing together diverse stakeholders, such as local authorities, law enforcement, healthcare providers, social services, women's shelters, community organizations, and schools, collaborative efforts foster a united front. This approach allows partners to pool their resources, align strategies, and work cohesively and efficiently in responding to domestic violence.</w:t>
      </w:r>
      <w:r w:rsidR="003C211B" w:rsidRPr="007B239B">
        <w:rPr>
          <w:rFonts w:cstheme="minorHAnsi"/>
        </w:rPr>
        <w:t xml:space="preserve"> </w:t>
      </w:r>
      <w:r w:rsidR="003C211B" w:rsidRPr="007B239B">
        <w:rPr>
          <w:rFonts w:cstheme="minorHAnsi"/>
          <w:shd w:val="clear" w:color="auto" w:fill="F7F7F8"/>
        </w:rPr>
        <w:t>(Shaw, Rosen &amp; Rumbold, 2011)</w:t>
      </w:r>
    </w:p>
    <w:p w14:paraId="61F9493D" w14:textId="62C94A3B" w:rsidR="007D6265" w:rsidRPr="007B239B" w:rsidRDefault="007D6265" w:rsidP="007D6265">
      <w:pPr>
        <w:rPr>
          <w:rFonts w:cstheme="minorHAnsi"/>
        </w:rPr>
      </w:pPr>
      <w:r w:rsidRPr="007B239B">
        <w:rPr>
          <w:rFonts w:cstheme="minorHAnsi"/>
        </w:rPr>
        <w:t>"Holistic Support" plays a pivotal role in empowering domestic violence survivors. Collaborative initiatives enable different organizations to combine their expertise and resources, providing survivors with comprehensive assistance. From legal aid and counselling to shelter, medical care, financial support, and access to educational and vocational opportunities, this collective approach addresses survivors' multifaceted needs.</w:t>
      </w:r>
      <w:r w:rsidR="003C211B" w:rsidRPr="007B239B">
        <w:rPr>
          <w:rFonts w:cstheme="minorHAnsi"/>
        </w:rPr>
        <w:t xml:space="preserve"> </w:t>
      </w:r>
      <w:r w:rsidR="003C211B" w:rsidRPr="007B239B">
        <w:rPr>
          <w:rFonts w:cstheme="minorHAnsi"/>
          <w:shd w:val="clear" w:color="auto" w:fill="F7F7F8"/>
        </w:rPr>
        <w:t>(Shaw, Rosen &amp; Rumbold, 2011)</w:t>
      </w:r>
    </w:p>
    <w:p w14:paraId="220995B7" w14:textId="67C65B38" w:rsidR="007D6265" w:rsidRPr="007B239B" w:rsidRDefault="007D6265" w:rsidP="007D6265">
      <w:pPr>
        <w:rPr>
          <w:rFonts w:cstheme="minorHAnsi"/>
        </w:rPr>
      </w:pPr>
      <w:r w:rsidRPr="007B239B">
        <w:rPr>
          <w:rFonts w:cstheme="minorHAnsi"/>
        </w:rPr>
        <w:t>Next, we explore the significance of "Enhanced Data Sharing and Research." Collaboration fosters the exchange of vital data and information among partners, leading to a more profound understanding of the prevalence and impact of domestic violence within the community. This shared knowledge serves as a foundation for evidence-based practices, policies, and interventions, empowering continuous improvement in addressing domestic violence effectively.</w:t>
      </w:r>
      <w:r w:rsidR="003C211B" w:rsidRPr="007B239B">
        <w:rPr>
          <w:rFonts w:cstheme="minorHAnsi"/>
        </w:rPr>
        <w:t xml:space="preserve"> (Quigg, Hughes &amp; Bellis, 2012)</w:t>
      </w:r>
    </w:p>
    <w:p w14:paraId="2403D52A" w14:textId="2041DE91" w:rsidR="00230F98" w:rsidRPr="007B239B" w:rsidRDefault="007D6265" w:rsidP="00C979AC">
      <w:pPr>
        <w:rPr>
          <w:rFonts w:cstheme="minorHAnsi"/>
          <w:b/>
          <w:bCs/>
        </w:rPr>
      </w:pPr>
      <w:r w:rsidRPr="007B239B">
        <w:rPr>
          <w:rFonts w:cstheme="minorHAnsi"/>
          <w:b/>
          <w:bCs/>
        </w:rPr>
        <w:t>Slide 3:</w:t>
      </w:r>
    </w:p>
    <w:p w14:paraId="6247D041" w14:textId="77777777" w:rsidR="00395DA4" w:rsidRPr="007B239B" w:rsidRDefault="00395DA4" w:rsidP="00395DA4">
      <w:pPr>
        <w:rPr>
          <w:rFonts w:cstheme="minorHAnsi"/>
        </w:rPr>
      </w:pPr>
    </w:p>
    <w:p w14:paraId="44B2C383" w14:textId="38EEFA96" w:rsidR="00395DA4" w:rsidRPr="007B239B" w:rsidRDefault="00395DA4" w:rsidP="00395DA4">
      <w:pPr>
        <w:rPr>
          <w:rFonts w:cstheme="minorHAnsi"/>
        </w:rPr>
      </w:pPr>
      <w:r w:rsidRPr="007B239B">
        <w:rPr>
          <w:rFonts w:cstheme="minorHAnsi"/>
        </w:rPr>
        <w:lastRenderedPageBreak/>
        <w:t>Today, we explore the Three Pillars of Prevention. These essential pillars encompass early intervention, prevention, and long-term recovery, working together to create a comprehensive approach in addressing domestic violence.</w:t>
      </w:r>
    </w:p>
    <w:p w14:paraId="3EFA9666" w14:textId="1B4C8C67" w:rsidR="00395DA4" w:rsidRPr="007B239B" w:rsidRDefault="00395DA4" w:rsidP="00395DA4">
      <w:pPr>
        <w:rPr>
          <w:rFonts w:cstheme="minorHAnsi"/>
        </w:rPr>
      </w:pPr>
      <w:r w:rsidRPr="007B239B">
        <w:rPr>
          <w:rFonts w:cstheme="minorHAnsi"/>
        </w:rPr>
        <w:t>At the core of the Three Pillars of Prevention lies "Early Intervention." This vital pillar enables us to recognize warning signs, assess risk levels, and respond promptly to domestic violence situations. Through early intervention, we aim to prevent further harm and extend immediate support to those in need. (Guy, 2018)</w:t>
      </w:r>
    </w:p>
    <w:p w14:paraId="543451FC" w14:textId="1C8525B1" w:rsidR="00395DA4" w:rsidRPr="007B239B" w:rsidRDefault="00395DA4" w:rsidP="00395DA4">
      <w:pPr>
        <w:rPr>
          <w:rFonts w:cstheme="minorHAnsi"/>
        </w:rPr>
      </w:pPr>
      <w:r w:rsidRPr="007B239B">
        <w:rPr>
          <w:rFonts w:cstheme="minorHAnsi"/>
        </w:rPr>
        <w:t>Next, we emphasize the importance of "Prevention." This pillar addresses the root causes of domestic violence through community education, awareness campaigns, and challenging harmful societal norms. By taking a proactive approach, we work towards stopping domestic violence before it occurs. (Guy, 2018)</w:t>
      </w:r>
    </w:p>
    <w:p w14:paraId="66BF29AD" w14:textId="58E37F3C" w:rsidR="00395DA4" w:rsidRPr="007B239B" w:rsidRDefault="00395DA4" w:rsidP="00395DA4">
      <w:pPr>
        <w:rPr>
          <w:rFonts w:cstheme="minorHAnsi"/>
        </w:rPr>
      </w:pPr>
      <w:r w:rsidRPr="007B239B">
        <w:rPr>
          <w:rFonts w:cstheme="minorHAnsi"/>
        </w:rPr>
        <w:t>"Long-Term Recovery" stands as a fundamental pillar of our integrated services. Survivors of domestic violence require ongoing and comprehensive support to heal from the trauma they have endured. Through counselling, therapy, support groups, and empowerment programs, we empower survivors to rebuild their lives and reclaim their strength. (Guy, 2018)</w:t>
      </w:r>
    </w:p>
    <w:p w14:paraId="2E14F956" w14:textId="76E4C2F5" w:rsidR="007D6265" w:rsidRPr="007B239B" w:rsidRDefault="00395DA4" w:rsidP="00395DA4">
      <w:pPr>
        <w:rPr>
          <w:rFonts w:cstheme="minorHAnsi"/>
        </w:rPr>
      </w:pPr>
      <w:r w:rsidRPr="007B239B">
        <w:rPr>
          <w:rFonts w:cstheme="minorHAnsi"/>
        </w:rPr>
        <w:t>Together, the Three Pillars of Prevention create a unified continuum of care. By seamlessly integrating early intervention, prevention, and long-term recovery, we provide a comprehensive and coordinated approach. This collaborative effort ensures that survivors receive the necessary assistance from multiple service providers, reinforcing our commitment to support those affected by domestic violence.</w:t>
      </w:r>
      <w:r w:rsidR="007B239B" w:rsidRPr="007B239B">
        <w:rPr>
          <w:rFonts w:cstheme="minorHAnsi"/>
        </w:rPr>
        <w:t xml:space="preserve"> </w:t>
      </w:r>
    </w:p>
    <w:p w14:paraId="0FBC2302" w14:textId="029813C2" w:rsidR="00B8665C" w:rsidRPr="007B239B" w:rsidRDefault="00B8665C" w:rsidP="00395DA4">
      <w:pPr>
        <w:rPr>
          <w:rFonts w:cstheme="minorHAnsi"/>
          <w:b/>
          <w:bCs/>
        </w:rPr>
      </w:pPr>
      <w:r w:rsidRPr="007B239B">
        <w:rPr>
          <w:rFonts w:cstheme="minorHAnsi"/>
          <w:b/>
          <w:bCs/>
        </w:rPr>
        <w:t>Slide 4:</w:t>
      </w:r>
    </w:p>
    <w:p w14:paraId="28EFFF7B" w14:textId="2D9C0602" w:rsidR="00B8665C" w:rsidRPr="007B239B" w:rsidRDefault="00B8665C" w:rsidP="00395DA4">
      <w:pPr>
        <w:rPr>
          <w:rFonts w:cstheme="minorHAnsi"/>
        </w:rPr>
      </w:pPr>
      <w:r w:rsidRPr="007B239B">
        <w:rPr>
          <w:rFonts w:cstheme="minorHAnsi"/>
        </w:rPr>
        <w:t>Local Authorities are key drivers of change in addressing domestic violence. Their responsibilities extend beyond funding support; they provide essential leadership and strategic coordination, setting the foundation for a unified approach. Their aims and objectives are multi-faceted. First, they develop and implement policies that tackle domestic violence head-on, emphasizing the safety of survivors and accountability for offenders. Second, they foster collaboration among partner organizations, promoting an integrated and comprehensive response. Lastly, they allocate resources strategically to bolster service provision, prevention efforts, and awareness campaigns, driving positive change in society.</w:t>
      </w:r>
    </w:p>
    <w:p w14:paraId="2C50E2D7" w14:textId="6BFC6335" w:rsidR="00B8665C" w:rsidRPr="007B239B" w:rsidRDefault="00B8665C" w:rsidP="00395DA4">
      <w:pPr>
        <w:rPr>
          <w:rFonts w:cstheme="minorHAnsi"/>
        </w:rPr>
      </w:pPr>
      <w:r w:rsidRPr="007B239B">
        <w:rPr>
          <w:rFonts w:cstheme="minorHAnsi"/>
        </w:rPr>
        <w:t>Law Enforcement Agencies form the frontline responders to domestic violence incidents. Their timely and sensitive actions can significantly impact survivors' well-being and safety. Enhancing training is a top priority for Law Enforcement Agencies, ensuring their personnel possess the skills and empathy needed to handle domestic violence cases with the utmost care. Improved information sharing and coordination with partner organizations lead to better responses and comprehensive support for survivors. Lastly, their focus on promoting perpetrator accountability contributes to a robust criminal justice system response.</w:t>
      </w:r>
    </w:p>
    <w:p w14:paraId="1604F09C" w14:textId="5E3A596B" w:rsidR="00B8665C" w:rsidRPr="007B239B" w:rsidRDefault="00B8665C" w:rsidP="00395DA4">
      <w:pPr>
        <w:rPr>
          <w:rFonts w:cstheme="minorHAnsi"/>
          <w:b/>
          <w:bCs/>
        </w:rPr>
      </w:pPr>
      <w:r w:rsidRPr="007B239B">
        <w:rPr>
          <w:rFonts w:cstheme="minorHAnsi"/>
          <w:b/>
          <w:bCs/>
        </w:rPr>
        <w:t>Slide 5:</w:t>
      </w:r>
    </w:p>
    <w:p w14:paraId="5136377A" w14:textId="3A3443FC" w:rsidR="00B8665C" w:rsidRPr="007B239B" w:rsidRDefault="00B8665C" w:rsidP="00395DA4">
      <w:pPr>
        <w:rPr>
          <w:rFonts w:cstheme="minorHAnsi"/>
        </w:rPr>
      </w:pPr>
      <w:r w:rsidRPr="007B239B">
        <w:rPr>
          <w:rFonts w:cstheme="minorHAnsi"/>
        </w:rPr>
        <w:t xml:space="preserve">Women's Shelters and Support Organizations are pillars of support for survivors of domestic violence. Their responsibilities go beyond providing a safe space; they offer emotional support and practical assistance to help survivors rebuild their lives. Their aims and objectives are centred on survivor well-being. By offering safe and confidential shelter services, they ensure survivors have a secure place to stay during their most vulnerable moments. Through ongoing support, counseling, and empowerment programs, they help survivors on their journey to long-term recovery. </w:t>
      </w:r>
      <w:r w:rsidRPr="007B239B">
        <w:rPr>
          <w:rFonts w:cstheme="minorHAnsi"/>
        </w:rPr>
        <w:lastRenderedPageBreak/>
        <w:t>Collaborating with other partners guarantees a continuous and seamless care system, enabling survivors to move forward with confidence.</w:t>
      </w:r>
    </w:p>
    <w:p w14:paraId="4557CB1F" w14:textId="28E328AC" w:rsidR="00B8665C" w:rsidRPr="007B239B" w:rsidRDefault="00B8665C" w:rsidP="00395DA4">
      <w:pPr>
        <w:rPr>
          <w:rFonts w:cstheme="minorHAnsi"/>
        </w:rPr>
      </w:pPr>
      <w:r w:rsidRPr="007B239B">
        <w:rPr>
          <w:rFonts w:cstheme="minorHAnsi"/>
        </w:rPr>
        <w:t>Schools and Educational Institutions play a crucial role in promoting prevention efforts and supporting children affected by domestic violence. By implementing age-appropriate prevention programs, schools educate students about healthy relationships and consent, creating a foundation for a respectful and empathetic future. Identifying and supporting affected children through counseling, referral services, and safe spaces within educational settings ensure they receive the care and understanding they need. Collaborating with other partners fosters a comprehensive support system, addressing domestic violence's impact on children and their families.</w:t>
      </w:r>
    </w:p>
    <w:p w14:paraId="1A698851" w14:textId="77777777" w:rsidR="003C211B" w:rsidRPr="007B239B" w:rsidRDefault="003C211B" w:rsidP="00395DA4">
      <w:pPr>
        <w:rPr>
          <w:rFonts w:cstheme="minorHAnsi"/>
        </w:rPr>
      </w:pPr>
    </w:p>
    <w:p w14:paraId="1285836B" w14:textId="77777777" w:rsidR="007B239B" w:rsidRDefault="007B239B" w:rsidP="00395DA4">
      <w:pPr>
        <w:rPr>
          <w:rFonts w:cstheme="minorHAnsi"/>
        </w:rPr>
      </w:pPr>
    </w:p>
    <w:p w14:paraId="1142776A" w14:textId="77777777" w:rsidR="007B239B" w:rsidRDefault="007B239B" w:rsidP="00395DA4">
      <w:pPr>
        <w:rPr>
          <w:rFonts w:cstheme="minorHAnsi"/>
        </w:rPr>
      </w:pPr>
    </w:p>
    <w:p w14:paraId="5D568746" w14:textId="7462274F" w:rsidR="003C211B" w:rsidRPr="007B239B" w:rsidRDefault="007B239B" w:rsidP="00395DA4">
      <w:pPr>
        <w:rPr>
          <w:rFonts w:cstheme="minorHAnsi"/>
          <w:b/>
          <w:bCs/>
        </w:rPr>
      </w:pPr>
      <w:r w:rsidRPr="007B239B">
        <w:rPr>
          <w:rFonts w:cstheme="minorHAnsi"/>
          <w:b/>
          <w:bCs/>
        </w:rPr>
        <w:t>2 Added References:</w:t>
      </w:r>
    </w:p>
    <w:p w14:paraId="6099A724" w14:textId="0D1832D1" w:rsidR="007B239B" w:rsidRPr="007B239B" w:rsidRDefault="007B239B" w:rsidP="007B239B">
      <w:pPr>
        <w:rPr>
          <w:rFonts w:cstheme="minorHAnsi"/>
        </w:rPr>
      </w:pPr>
      <w:r w:rsidRPr="007B239B">
        <w:rPr>
          <w:rFonts w:cstheme="minorHAnsi"/>
        </w:rPr>
        <w:t>Shaw, S., Rosen, R., &amp; Rumbold, B. (2011). What is integrated care. London: Nuffield Trust, pp. 1-23.</w:t>
      </w:r>
    </w:p>
    <w:p w14:paraId="6B2E2905" w14:textId="01AE0C3D" w:rsidR="003C211B" w:rsidRPr="007B239B" w:rsidRDefault="007B239B" w:rsidP="007B239B">
      <w:pPr>
        <w:rPr>
          <w:rFonts w:cstheme="minorHAnsi"/>
        </w:rPr>
      </w:pPr>
      <w:r w:rsidRPr="007B239B">
        <w:rPr>
          <w:rFonts w:cstheme="minorHAnsi"/>
        </w:rPr>
        <w:t>World Health Professions Alliance. (n.d.). Interprofessional Collaborative Practice. [online] Available at: https://www.whpa.org/activities/interprofessional-collaborative-practice [Accessed 08 July 2023].</w:t>
      </w:r>
    </w:p>
    <w:sectPr w:rsidR="003C211B" w:rsidRPr="007B2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G2NDEzMTO1MDC3MDFR0lEKTi0uzszPAykwrAUA2X8W1iwAAAA="/>
  </w:docVars>
  <w:rsids>
    <w:rsidRoot w:val="00C979AC"/>
    <w:rsid w:val="001130B7"/>
    <w:rsid w:val="00230F98"/>
    <w:rsid w:val="002D1D03"/>
    <w:rsid w:val="00395DA4"/>
    <w:rsid w:val="003C211B"/>
    <w:rsid w:val="003F3B09"/>
    <w:rsid w:val="007807FC"/>
    <w:rsid w:val="007B239B"/>
    <w:rsid w:val="007D6265"/>
    <w:rsid w:val="00A23FBD"/>
    <w:rsid w:val="00B8665C"/>
    <w:rsid w:val="00C979AC"/>
    <w:rsid w:val="00F65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76DFB"/>
  <w15:chartTrackingRefBased/>
  <w15:docId w15:val="{836E0C9C-C40B-4A20-BEDC-630B84581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936646">
      <w:bodyDiv w:val="1"/>
      <w:marLeft w:val="0"/>
      <w:marRight w:val="0"/>
      <w:marTop w:val="0"/>
      <w:marBottom w:val="0"/>
      <w:divBdr>
        <w:top w:val="none" w:sz="0" w:space="0" w:color="auto"/>
        <w:left w:val="none" w:sz="0" w:space="0" w:color="auto"/>
        <w:bottom w:val="none" w:sz="0" w:space="0" w:color="auto"/>
        <w:right w:val="none" w:sz="0" w:space="0" w:color="auto"/>
      </w:divBdr>
    </w:div>
    <w:div w:id="562106059">
      <w:bodyDiv w:val="1"/>
      <w:marLeft w:val="0"/>
      <w:marRight w:val="0"/>
      <w:marTop w:val="0"/>
      <w:marBottom w:val="0"/>
      <w:divBdr>
        <w:top w:val="none" w:sz="0" w:space="0" w:color="auto"/>
        <w:left w:val="none" w:sz="0" w:space="0" w:color="auto"/>
        <w:bottom w:val="none" w:sz="0" w:space="0" w:color="auto"/>
        <w:right w:val="none" w:sz="0" w:space="0" w:color="auto"/>
      </w:divBdr>
    </w:div>
    <w:div w:id="583420349">
      <w:bodyDiv w:val="1"/>
      <w:marLeft w:val="0"/>
      <w:marRight w:val="0"/>
      <w:marTop w:val="0"/>
      <w:marBottom w:val="0"/>
      <w:divBdr>
        <w:top w:val="none" w:sz="0" w:space="0" w:color="auto"/>
        <w:left w:val="none" w:sz="0" w:space="0" w:color="auto"/>
        <w:bottom w:val="none" w:sz="0" w:space="0" w:color="auto"/>
        <w:right w:val="none" w:sz="0" w:space="0" w:color="auto"/>
      </w:divBdr>
    </w:div>
    <w:div w:id="586304982">
      <w:bodyDiv w:val="1"/>
      <w:marLeft w:val="0"/>
      <w:marRight w:val="0"/>
      <w:marTop w:val="0"/>
      <w:marBottom w:val="0"/>
      <w:divBdr>
        <w:top w:val="none" w:sz="0" w:space="0" w:color="auto"/>
        <w:left w:val="none" w:sz="0" w:space="0" w:color="auto"/>
        <w:bottom w:val="none" w:sz="0" w:space="0" w:color="auto"/>
        <w:right w:val="none" w:sz="0" w:space="0" w:color="auto"/>
      </w:divBdr>
    </w:div>
    <w:div w:id="1776628567">
      <w:bodyDiv w:val="1"/>
      <w:marLeft w:val="0"/>
      <w:marRight w:val="0"/>
      <w:marTop w:val="0"/>
      <w:marBottom w:val="0"/>
      <w:divBdr>
        <w:top w:val="none" w:sz="0" w:space="0" w:color="auto"/>
        <w:left w:val="none" w:sz="0" w:space="0" w:color="auto"/>
        <w:bottom w:val="none" w:sz="0" w:space="0" w:color="auto"/>
        <w:right w:val="none" w:sz="0" w:space="0" w:color="auto"/>
      </w:divBdr>
    </w:div>
    <w:div w:id="1940290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4</Pages>
  <Words>1047</Words>
  <Characters>6790</Characters>
  <Application>Microsoft Office Word</Application>
  <DocSecurity>0</DocSecurity>
  <Lines>101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Abdul-Malik Toure</dc:creator>
  <cp:keywords/>
  <dc:description/>
  <cp:lastModifiedBy>SBC Sudbury</cp:lastModifiedBy>
  <cp:revision>2</cp:revision>
  <dcterms:created xsi:type="dcterms:W3CDTF">2023-07-20T08:10:00Z</dcterms:created>
  <dcterms:modified xsi:type="dcterms:W3CDTF">2023-07-21T06:43:00Z</dcterms:modified>
</cp:coreProperties>
</file>