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25E24A" w14:textId="1822EDC9" w:rsidR="00B45B96" w:rsidRDefault="5E776F63">
      <w:r>
        <w:t>Name: Heshu Ahmed</w:t>
      </w:r>
    </w:p>
    <w:p w14:paraId="7DEE05F3" w14:textId="06040F65" w:rsidR="00B45B96" w:rsidRDefault="5E776F63">
      <w:r>
        <w:t>ID: 2522882</w:t>
      </w:r>
    </w:p>
    <w:p w14:paraId="0CABE3A6" w14:textId="02F5E0C9" w:rsidR="00B45B96" w:rsidRDefault="33C157BB">
      <w:r>
        <w:t>Module: Introduction to Public Health</w:t>
      </w:r>
    </w:p>
    <w:p w14:paraId="2E3A3E8F" w14:textId="6A77827C" w:rsidR="00B45B96" w:rsidRDefault="5E776F63">
      <w:r>
        <w:t>Module code: LCH</w:t>
      </w:r>
      <w:r w:rsidR="05A2EC0C">
        <w:t>S 4008</w:t>
      </w:r>
    </w:p>
    <w:p w14:paraId="23286227" w14:textId="7485D56C" w:rsidR="05A2EC0C" w:rsidRDefault="05A2EC0C">
      <w:r>
        <w:t>Lecturer name:</w:t>
      </w:r>
      <w:r w:rsidR="58E05434">
        <w:t xml:space="preserve"> </w:t>
      </w:r>
      <w:proofErr w:type="spellStart"/>
      <w:r>
        <w:t>Tsiwan</w:t>
      </w:r>
      <w:r w:rsidR="33F9E255">
        <w:t>i</w:t>
      </w:r>
      <w:proofErr w:type="spellEnd"/>
      <w:r w:rsidR="33F9E255">
        <w:t xml:space="preserve"> Khumalo</w:t>
      </w:r>
    </w:p>
    <w:p w14:paraId="6D9AEEC0" w14:textId="3B834A21" w:rsidR="00B45B96" w:rsidRDefault="5E776F63">
      <w:r>
        <w:t>Assignment title:</w:t>
      </w:r>
      <w:r w:rsidR="48FD0377">
        <w:t xml:space="preserve"> Report on a Health Issue</w:t>
      </w:r>
    </w:p>
    <w:p w14:paraId="4A208934" w14:textId="427C086D" w:rsidR="00B45B96" w:rsidRDefault="007B690B">
      <w:r>
        <w:br w:type="page"/>
      </w:r>
    </w:p>
    <w:p w14:paraId="1972D1FA" w14:textId="301E46CA" w:rsidR="00B45B96" w:rsidRDefault="4DFDB2E2" w:rsidP="444E8B72">
      <w:pPr>
        <w:spacing w:line="360" w:lineRule="auto"/>
        <w:rPr>
          <w:rFonts w:ascii="Arial" w:eastAsia="Arial" w:hAnsi="Arial" w:cs="Arial"/>
          <w:b/>
          <w:bCs/>
          <w:sz w:val="22"/>
          <w:szCs w:val="22"/>
        </w:rPr>
      </w:pPr>
      <w:r w:rsidRPr="1FB1DB61">
        <w:rPr>
          <w:rFonts w:ascii="Arial" w:eastAsia="Arial" w:hAnsi="Arial" w:cs="Arial"/>
          <w:b/>
          <w:bCs/>
          <w:sz w:val="22"/>
          <w:szCs w:val="22"/>
        </w:rPr>
        <w:lastRenderedPageBreak/>
        <w:t>Introduction:</w:t>
      </w:r>
    </w:p>
    <w:p w14:paraId="242ED4CB" w14:textId="1101CBB3" w:rsidR="01225F46" w:rsidRDefault="01225F46" w:rsidP="1FB1DB61">
      <w:pPr>
        <w:spacing w:line="360" w:lineRule="auto"/>
        <w:rPr>
          <w:rFonts w:ascii="Arial" w:eastAsia="Arial" w:hAnsi="Arial" w:cs="Arial"/>
          <w:sz w:val="22"/>
          <w:szCs w:val="22"/>
        </w:rPr>
      </w:pPr>
      <w:r w:rsidRPr="1FB1DB61">
        <w:rPr>
          <w:rFonts w:ascii="Arial" w:eastAsia="Arial" w:hAnsi="Arial" w:cs="Arial"/>
          <w:sz w:val="22"/>
          <w:szCs w:val="22"/>
        </w:rPr>
        <w:t>Depression is a common mental health condition that can have a significant impact on a person's thoughts, emotions and daily life. It is more than simply feeling sad, as the symptoms can last for weeks or even months and affect a person's ability to work, study and maintain relationships (World Health Organization, 2025). Common symptoms include persistent low mood, loss of interest in activities, tiredness, difficulty concentrating, changes in sleep or appetite, and feelings of hopelessness or worthlessness. In severe cases, some individuals may experience thoughts of self-harm or suicide (National Institute for Health and Care Excellence (NICE), 2022). Several factors can increase the risk of developing depression, including family history, stressful life events, long-term physical illness, substance misuse and social isolation (Naidoo and Wills, 2016). Globally, around 280 million people live with depression, while in the UK approximately one in six adults experience moderate to severe depressive symptoms, highlighting the scale of this public health issue (World Health Organization, 2025; Office for National Statistics, 2023). This report will discuss the prevalence of depression, how it is measured and monitored, its impact on individuals and the NHS, strategies used to manage the condition, and the health and social care services available to support those affected.</w:t>
      </w:r>
    </w:p>
    <w:p w14:paraId="013FC8E2" w14:textId="20EE718C" w:rsidR="1FB1DB61" w:rsidRDefault="1FB1DB61" w:rsidP="1FB1DB61">
      <w:pPr>
        <w:spacing w:line="360" w:lineRule="auto"/>
        <w:rPr>
          <w:rFonts w:ascii="Arial" w:eastAsia="Arial" w:hAnsi="Arial" w:cs="Arial"/>
          <w:sz w:val="22"/>
          <w:szCs w:val="22"/>
        </w:rPr>
      </w:pPr>
    </w:p>
    <w:p w14:paraId="60E74732" w14:textId="0788CA03" w:rsidR="26AF7258" w:rsidRDefault="26AF7258" w:rsidP="1FB1DB61">
      <w:pPr>
        <w:pStyle w:val="Heading2"/>
        <w:spacing w:before="299" w:after="299" w:line="360" w:lineRule="auto"/>
        <w:rPr>
          <w:rFonts w:ascii="Arial" w:eastAsia="Arial" w:hAnsi="Arial" w:cs="Arial"/>
          <w:b/>
          <w:bCs/>
          <w:sz w:val="22"/>
          <w:szCs w:val="22"/>
        </w:rPr>
      </w:pPr>
      <w:r w:rsidRPr="1FB1DB61">
        <w:rPr>
          <w:rFonts w:ascii="Arial" w:eastAsia="Arial" w:hAnsi="Arial" w:cs="Arial"/>
          <w:b/>
          <w:bCs/>
          <w:sz w:val="22"/>
          <w:szCs w:val="22"/>
        </w:rPr>
        <w:t xml:space="preserve"> Different Approaches Used to Measure and Monitor Depression</w:t>
      </w:r>
      <w:r w:rsidR="3621C844" w:rsidRPr="1FB1DB61">
        <w:rPr>
          <w:rFonts w:ascii="Arial" w:eastAsia="Arial" w:hAnsi="Arial" w:cs="Arial"/>
          <w:b/>
          <w:bCs/>
          <w:sz w:val="22"/>
          <w:szCs w:val="22"/>
        </w:rPr>
        <w:t>:</w:t>
      </w:r>
    </w:p>
    <w:p w14:paraId="20C7F1F9" w14:textId="57466733"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Depression is one of the most common mental health conditions worldwide, making it essential for healthcare professionals to measure and monitor the condition effectively. Collecting accurate information helps identify how common depression is, which groups are most affected and whether existing services are meeting patients' needs. This information also supports the planning of mental health services and public health interventions (Naidoo and Wills, 2016).</w:t>
      </w:r>
    </w:p>
    <w:p w14:paraId="5BF4EFE0" w14:textId="76D56B0C"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One of the main approaches used is </w:t>
      </w:r>
      <w:r w:rsidRPr="1FB1DB61">
        <w:rPr>
          <w:rFonts w:ascii="Arial" w:eastAsia="Arial" w:hAnsi="Arial" w:cs="Arial"/>
          <w:b/>
          <w:bCs/>
          <w:sz w:val="22"/>
          <w:szCs w:val="22"/>
        </w:rPr>
        <w:t>public health surveillance</w:t>
      </w:r>
      <w:r w:rsidRPr="1FB1DB61">
        <w:rPr>
          <w:rFonts w:ascii="Arial" w:eastAsia="Arial" w:hAnsi="Arial" w:cs="Arial"/>
          <w:sz w:val="22"/>
          <w:szCs w:val="22"/>
        </w:rPr>
        <w:t>, which is the continuous collection, analysis and interpretation of health information. In the UK, organisations such as NHS England, NHS Digital and the Office for National Statistics (ONS) collect data on the number of people diagnosed with depression, referrals to mental health services and treatment outcomes. These data help identify trends, monitor health inequalities and guide future healthcare planning (Friis and Sellers, 2021).</w:t>
      </w:r>
    </w:p>
    <w:p w14:paraId="4AF341A7" w14:textId="37DC1DF2"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Another important method is </w:t>
      </w:r>
      <w:r w:rsidRPr="1FB1DB61">
        <w:rPr>
          <w:rFonts w:ascii="Arial" w:eastAsia="Arial" w:hAnsi="Arial" w:cs="Arial"/>
          <w:b/>
          <w:bCs/>
          <w:sz w:val="22"/>
          <w:szCs w:val="22"/>
        </w:rPr>
        <w:t>disease surveillance</w:t>
      </w:r>
      <w:r w:rsidRPr="1FB1DB61">
        <w:rPr>
          <w:rFonts w:ascii="Arial" w:eastAsia="Arial" w:hAnsi="Arial" w:cs="Arial"/>
          <w:sz w:val="22"/>
          <w:szCs w:val="22"/>
        </w:rPr>
        <w:t xml:space="preserve"> through electronic health records. Although depression is not a notifiable disease, GPs, hospitals and community mental health </w:t>
      </w:r>
      <w:r w:rsidRPr="1FB1DB61">
        <w:rPr>
          <w:rFonts w:ascii="Arial" w:eastAsia="Arial" w:hAnsi="Arial" w:cs="Arial"/>
          <w:sz w:val="22"/>
          <w:szCs w:val="22"/>
        </w:rPr>
        <w:lastRenderedPageBreak/>
        <w:t>teams routinely record diagnoses, prescribed medication and follow-up appointments. These records allow healthcare professionals to identify new cases, monitor patients' progress and evaluate whether treatments are effective. The information also helps identify differences in depression rates between age groups, genders and geographical areas, enabling services to respond to local healthcare needs (Boyd and Nihart, 2020).</w:t>
      </w:r>
    </w:p>
    <w:p w14:paraId="0BD2D9FE" w14:textId="0890AA19"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Unlike some physical conditions, there is </w:t>
      </w:r>
      <w:r w:rsidRPr="1FB1DB61">
        <w:rPr>
          <w:rFonts w:ascii="Arial" w:eastAsia="Arial" w:hAnsi="Arial" w:cs="Arial"/>
          <w:b/>
          <w:bCs/>
          <w:sz w:val="22"/>
          <w:szCs w:val="22"/>
        </w:rPr>
        <w:t>no national screening programme</w:t>
      </w:r>
      <w:r w:rsidRPr="1FB1DB61">
        <w:rPr>
          <w:rFonts w:ascii="Arial" w:eastAsia="Arial" w:hAnsi="Arial" w:cs="Arial"/>
          <w:sz w:val="22"/>
          <w:szCs w:val="22"/>
        </w:rPr>
        <w:t xml:space="preserve"> for depression in the UK. Instead, healthcare professionals use validated screening tools when individuals present with symptoms or belong to high-risk groups. One of the most widely used tools is the Patient Health Questionnaire-9 (PHQ-9), which measures symptom severity and monitors progress during treatment (NICE, 2022).</w:t>
      </w:r>
    </w:p>
    <w:p w14:paraId="65449E09" w14:textId="127C9501"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Healthcare professionals also collect information through </w:t>
      </w:r>
      <w:r w:rsidRPr="1FB1DB61">
        <w:rPr>
          <w:rFonts w:ascii="Arial" w:eastAsia="Arial" w:hAnsi="Arial" w:cs="Arial"/>
          <w:b/>
          <w:bCs/>
          <w:sz w:val="22"/>
          <w:szCs w:val="22"/>
        </w:rPr>
        <w:t>national mental health surveys</w:t>
      </w:r>
      <w:r w:rsidRPr="1FB1DB61">
        <w:rPr>
          <w:rFonts w:ascii="Arial" w:eastAsia="Arial" w:hAnsi="Arial" w:cs="Arial"/>
          <w:sz w:val="22"/>
          <w:szCs w:val="22"/>
        </w:rPr>
        <w:t>, such as the Adult Psychiatric Morbidity Survey (APMS). These surveys provide valuable information about the prevalence of depression, associated risk factors and access to services, including people who have not sought medical help. This provides a more accurate picture of depression within the community and supports evidence-based policy and service planning (McManus et al., 2016).</w:t>
      </w:r>
    </w:p>
    <w:p w14:paraId="6EF131DD" w14:textId="5C3A3366" w:rsidR="1FB1DB61" w:rsidRDefault="1FB1DB61" w:rsidP="1FB1DB61">
      <w:pPr>
        <w:spacing w:after="0" w:line="360" w:lineRule="auto"/>
        <w:rPr>
          <w:rFonts w:ascii="Arial" w:eastAsia="Arial" w:hAnsi="Arial" w:cs="Arial"/>
          <w:sz w:val="22"/>
          <w:szCs w:val="22"/>
        </w:rPr>
      </w:pPr>
    </w:p>
    <w:p w14:paraId="368B8244" w14:textId="53CC79F1" w:rsidR="26AF7258" w:rsidRDefault="26AF7258" w:rsidP="1FB1DB61">
      <w:pPr>
        <w:pStyle w:val="Heading2"/>
        <w:spacing w:before="299" w:after="299" w:line="360" w:lineRule="auto"/>
        <w:rPr>
          <w:rFonts w:ascii="Arial" w:eastAsia="Arial" w:hAnsi="Arial" w:cs="Arial"/>
          <w:b/>
          <w:bCs/>
          <w:sz w:val="22"/>
          <w:szCs w:val="22"/>
        </w:rPr>
      </w:pPr>
      <w:r w:rsidRPr="1FB1DB61">
        <w:rPr>
          <w:rFonts w:ascii="Arial" w:eastAsia="Arial" w:hAnsi="Arial" w:cs="Arial"/>
          <w:b/>
          <w:bCs/>
          <w:sz w:val="22"/>
          <w:szCs w:val="22"/>
        </w:rPr>
        <w:t xml:space="preserve"> How is Depression Controlled?</w:t>
      </w:r>
    </w:p>
    <w:p w14:paraId="40892B30" w14:textId="53B438B2"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Although depression cannot always be prevented, many strategies can reduce the risk of developing the condition and improve recovery for those already affected. Prevention focuses on promoting positive mental wellbeing and reducing factors that contribute to poor mental health, including stress, loneliness and unhealthy lifestyles (Naidoo and Wills, 2016).</w:t>
      </w:r>
    </w:p>
    <w:p w14:paraId="352B33B9" w14:textId="405B323E"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Maintaining a healthy lifestyle can reduce the risk of depression. Regular physical activity has been shown to improve mood by increasing the release of endorphins and reducing stress. Eating a balanced diet, getting enough sleep and avoiding smoking and excessive alcohol consumption also contribute to better mental health (Davies and Craig, 2009). Building supportive relationships and participating in community activities can reduce loneliness and strengthen emotional resilience.</w:t>
      </w:r>
    </w:p>
    <w:p w14:paraId="2E7A2677" w14:textId="5166E8BF"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Treatment depends on the severity of the condition. Individuals with mild depression may benefit from guided self-help, counselling or psychological therapies such as Cognitive Behavioural Therapy (CBT). Those with moderate to severe depression are often treated with antidepressant medication, particularly selective serotonin reuptake inhibitors (SSRIs), </w:t>
      </w:r>
      <w:r w:rsidRPr="1FB1DB61">
        <w:rPr>
          <w:rFonts w:ascii="Arial" w:eastAsia="Arial" w:hAnsi="Arial" w:cs="Arial"/>
          <w:sz w:val="22"/>
          <w:szCs w:val="22"/>
        </w:rPr>
        <w:lastRenderedPageBreak/>
        <w:t>together with psychological therapy. Individuals experiencing severe depression or suicidal thoughts may require specialist mental health services or inpatient care to ensure their safety (NICE, 2022).</w:t>
      </w:r>
    </w:p>
    <w:p w14:paraId="5599352E" w14:textId="351D87A0"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Public health policies also contribute to controlling depression. The National Institute for Health and Care Excellence (NICE) recommends a stepped-care approach, ensuring that treatment matches the severity of the individual's symptoms (NICE, 2022). NHS Talking Therapies provides free access to evidence-based psychological treatments, while national campaigns such as </w:t>
      </w:r>
      <w:r w:rsidRPr="1FB1DB61">
        <w:rPr>
          <w:rFonts w:ascii="Arial" w:eastAsia="Arial" w:hAnsi="Arial" w:cs="Arial"/>
          <w:b/>
          <w:bCs/>
          <w:sz w:val="22"/>
          <w:szCs w:val="22"/>
        </w:rPr>
        <w:t>Every Mind Matters</w:t>
      </w:r>
      <w:r w:rsidRPr="1FB1DB61">
        <w:rPr>
          <w:rFonts w:ascii="Arial" w:eastAsia="Arial" w:hAnsi="Arial" w:cs="Arial"/>
          <w:sz w:val="22"/>
          <w:szCs w:val="22"/>
        </w:rPr>
        <w:t xml:space="preserve"> encourage people to recognise symptoms early, seek professional help and adopt healthy lifestyle behaviours. These initiatives improve awareness, reduce stigma and encourage early intervention, leading to better long-term outcomes (Mental Health Foundation, 2024).</w:t>
      </w:r>
    </w:p>
    <w:p w14:paraId="788593AD" w14:textId="138F6314" w:rsidR="1FB1DB61" w:rsidRDefault="1FB1DB61" w:rsidP="1FB1DB61">
      <w:pPr>
        <w:spacing w:after="0" w:line="360" w:lineRule="auto"/>
        <w:rPr>
          <w:rFonts w:ascii="Arial" w:eastAsia="Arial" w:hAnsi="Arial" w:cs="Arial"/>
          <w:sz w:val="22"/>
          <w:szCs w:val="22"/>
        </w:rPr>
      </w:pPr>
    </w:p>
    <w:p w14:paraId="24D21180" w14:textId="21DC1C47" w:rsidR="26AF7258" w:rsidRDefault="26AF7258" w:rsidP="1FB1DB61">
      <w:pPr>
        <w:pStyle w:val="Heading2"/>
        <w:spacing w:before="299" w:after="299" w:line="360" w:lineRule="auto"/>
        <w:rPr>
          <w:rFonts w:ascii="Arial" w:eastAsia="Arial" w:hAnsi="Arial" w:cs="Arial"/>
          <w:b/>
          <w:bCs/>
          <w:sz w:val="22"/>
          <w:szCs w:val="22"/>
        </w:rPr>
      </w:pPr>
      <w:r w:rsidRPr="1FB1DB61">
        <w:rPr>
          <w:rFonts w:ascii="Arial" w:eastAsia="Arial" w:hAnsi="Arial" w:cs="Arial"/>
          <w:b/>
          <w:bCs/>
          <w:sz w:val="22"/>
          <w:szCs w:val="22"/>
        </w:rPr>
        <w:t xml:space="preserve"> Consequences of Depression on People in the Community</w:t>
      </w:r>
      <w:r w:rsidR="6481A443" w:rsidRPr="1FB1DB61">
        <w:rPr>
          <w:rFonts w:ascii="Arial" w:eastAsia="Arial" w:hAnsi="Arial" w:cs="Arial"/>
          <w:b/>
          <w:bCs/>
          <w:sz w:val="22"/>
          <w:szCs w:val="22"/>
        </w:rPr>
        <w:t>:</w:t>
      </w:r>
    </w:p>
    <w:p w14:paraId="70A1100F" w14:textId="7C107987"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Depression affects not only the individual but also their family, community and the wider healthcare system. The condition can have physical, psychological, social and economic consequences that significantly reduce quality of life.</w:t>
      </w:r>
    </w:p>
    <w:p w14:paraId="5DEE44BC" w14:textId="7A498EF2"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Physically, individuals with depression often experience persistent tiredness, changes in appetite, sleep disturbances and reduced energy levels. These symptoms can make it difficult to carry out everyday activities and may increase the risk of developing long-term conditions such as cardiovascular disease and diabetes (Prince et al., 2007).</w:t>
      </w:r>
    </w:p>
    <w:p w14:paraId="280A06E6" w14:textId="57068238"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The psychological effects are often severe. Individuals may experience persistent sadness, feelings of hopelessness, low self-esteem and difficulty concentrating. In some cases, depression can lead to self-harm or suicidal thoughts if appropriate support is not available (World Health Organization, 2025). These symptoms may continue for several months and affect all aspects of daily life.</w:t>
      </w:r>
    </w:p>
    <w:p w14:paraId="526C27C5" w14:textId="7AA28DA0"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Depression also has important social consequences. Many people withdraw from family, friends and community activities because of their symptoms, increasing the risk of loneliness and social isolation. Relationships may become strained as family members take on caring responsibilities, often affecting their own emotional wellbeing (Stuart, 2014). Young people may struggle academically, while adults may experience difficulties maintaining employment.</w:t>
      </w:r>
    </w:p>
    <w:p w14:paraId="326A830C" w14:textId="214D15D6"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lastRenderedPageBreak/>
        <w:t>The economic impact of depression is considerable. Individuals may lose income because they are unable to work or require extended periods of sick leave. Families may experience financial pressures while providing care. The NHS also faces significant costs associated with GP consultations, medication, psychological therapies, crisis intervention and specialist mental health services. Research has shown that depression contributes substantially to healthcare expenditure and reduced workplace productivity, making it a significant public health issue (McCrone et al., 2008).</w:t>
      </w:r>
    </w:p>
    <w:p w14:paraId="57AC76D1" w14:textId="19B38BF6" w:rsidR="1FB1DB61" w:rsidRDefault="1FB1DB61" w:rsidP="1FB1DB61">
      <w:pPr>
        <w:spacing w:after="0" w:line="360" w:lineRule="auto"/>
        <w:rPr>
          <w:rFonts w:ascii="Arial" w:eastAsia="Arial" w:hAnsi="Arial" w:cs="Arial"/>
          <w:sz w:val="22"/>
          <w:szCs w:val="22"/>
        </w:rPr>
      </w:pPr>
    </w:p>
    <w:p w14:paraId="7A019548" w14:textId="6114C47F" w:rsidR="26AF7258" w:rsidRDefault="26AF7258" w:rsidP="1FB1DB61">
      <w:pPr>
        <w:pStyle w:val="Heading2"/>
        <w:spacing w:before="299" w:after="299" w:line="360" w:lineRule="auto"/>
        <w:rPr>
          <w:rFonts w:ascii="Arial" w:eastAsia="Arial" w:hAnsi="Arial" w:cs="Arial"/>
          <w:b/>
          <w:bCs/>
          <w:sz w:val="22"/>
          <w:szCs w:val="22"/>
        </w:rPr>
      </w:pPr>
      <w:r w:rsidRPr="1FB1DB61">
        <w:rPr>
          <w:rFonts w:ascii="Arial" w:eastAsia="Arial" w:hAnsi="Arial" w:cs="Arial"/>
          <w:b/>
          <w:bCs/>
          <w:sz w:val="22"/>
          <w:szCs w:val="22"/>
        </w:rPr>
        <w:t xml:space="preserve"> Health and Social Care Support Services</w:t>
      </w:r>
      <w:r w:rsidR="500E9F94" w:rsidRPr="1FB1DB61">
        <w:rPr>
          <w:rFonts w:ascii="Arial" w:eastAsia="Arial" w:hAnsi="Arial" w:cs="Arial"/>
          <w:b/>
          <w:bCs/>
          <w:sz w:val="22"/>
          <w:szCs w:val="22"/>
        </w:rPr>
        <w:t>:</w:t>
      </w:r>
    </w:p>
    <w:p w14:paraId="1DDDC7F0" w14:textId="1B17DBEB"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People living with depression often require support from a range of health and social care professionals. A multidisciplinary approach ensures that individuals receive comprehensive, person-centred care throughout their recovery.</w:t>
      </w:r>
    </w:p>
    <w:p w14:paraId="0CE5FE4D" w14:textId="7C93E3B3"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General practitioners (GPs) are usually the first healthcare professionals to assess symptoms, diagnose depression and prescribe appropriate medication. They also monitor treatment, provide follow-up appointments and refer patients to specialist mental health services when necessary. Psychiatrists and specialist mental health teams provide assessment and treatment for individuals with more severe or complex mental health needs, including medication management and crisis intervention (Boyd and Nihart, 2020).</w:t>
      </w:r>
    </w:p>
    <w:p w14:paraId="5E0DC70A" w14:textId="5F08A031"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Several allied health professionals contribute to patient care. Clinical psychologists provide evidence-based therapies, including Cognitive Behavioural Therapy (CBT), to help individuals manage negative thoughts and behaviours. Occupational therapists support people in developing daily living skills, returning to work and improving independence. Although dietitians and physiotherapists are not directly involved in treating depression, they can support recovery by promoting healthy eating, physical activity and overall wellbeing where appropriate.</w:t>
      </w:r>
    </w:p>
    <w:p w14:paraId="53498AC8" w14:textId="5A62FDA7"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Social care services also play an important role. Social workers help individuals access suitable housing, financial support, employment services and community resources. Home support services may be available for people whose depression affects their ability to live independently, while community mental health teams coordinate care between health and social care providers.</w:t>
      </w:r>
    </w:p>
    <w:p w14:paraId="547CAA8D" w14:textId="293A9757"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Charitable organisations provide additional support within the community. </w:t>
      </w:r>
      <w:r w:rsidRPr="1FB1DB61">
        <w:rPr>
          <w:rFonts w:ascii="Arial" w:eastAsia="Arial" w:hAnsi="Arial" w:cs="Arial"/>
          <w:b/>
          <w:bCs/>
          <w:sz w:val="22"/>
          <w:szCs w:val="22"/>
        </w:rPr>
        <w:t>Mind</w:t>
      </w:r>
      <w:r w:rsidRPr="1FB1DB61">
        <w:rPr>
          <w:rFonts w:ascii="Arial" w:eastAsia="Arial" w:hAnsi="Arial" w:cs="Arial"/>
          <w:sz w:val="22"/>
          <w:szCs w:val="22"/>
        </w:rPr>
        <w:t xml:space="preserve">, </w:t>
      </w:r>
      <w:r w:rsidRPr="1FB1DB61">
        <w:rPr>
          <w:rFonts w:ascii="Arial" w:eastAsia="Arial" w:hAnsi="Arial" w:cs="Arial"/>
          <w:b/>
          <w:bCs/>
          <w:sz w:val="22"/>
          <w:szCs w:val="22"/>
        </w:rPr>
        <w:t>Rethink Mental Illness</w:t>
      </w:r>
      <w:r w:rsidRPr="1FB1DB61">
        <w:rPr>
          <w:rFonts w:ascii="Arial" w:eastAsia="Arial" w:hAnsi="Arial" w:cs="Arial"/>
          <w:sz w:val="22"/>
          <w:szCs w:val="22"/>
        </w:rPr>
        <w:t xml:space="preserve"> and </w:t>
      </w:r>
      <w:r w:rsidRPr="1FB1DB61">
        <w:rPr>
          <w:rFonts w:ascii="Arial" w:eastAsia="Arial" w:hAnsi="Arial" w:cs="Arial"/>
          <w:b/>
          <w:bCs/>
          <w:sz w:val="22"/>
          <w:szCs w:val="22"/>
        </w:rPr>
        <w:t>Samaritans</w:t>
      </w:r>
      <w:r w:rsidRPr="1FB1DB61">
        <w:rPr>
          <w:rFonts w:ascii="Arial" w:eastAsia="Arial" w:hAnsi="Arial" w:cs="Arial"/>
          <w:sz w:val="22"/>
          <w:szCs w:val="22"/>
        </w:rPr>
        <w:t xml:space="preserve"> offer emotional support, information, peer support groups </w:t>
      </w:r>
      <w:r w:rsidRPr="1FB1DB61">
        <w:rPr>
          <w:rFonts w:ascii="Arial" w:eastAsia="Arial" w:hAnsi="Arial" w:cs="Arial"/>
          <w:sz w:val="22"/>
          <w:szCs w:val="22"/>
        </w:rPr>
        <w:lastRenderedPageBreak/>
        <w:t>and crisis helplines. These organisations help reduce stigma, improve mental health awareness and encourage individuals to seek help early.</w:t>
      </w:r>
    </w:p>
    <w:p w14:paraId="73F14E35" w14:textId="59FFDD2D" w:rsidR="26AF7258" w:rsidRDefault="26AF7258"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Healthcare professionals should adopt a person-centred approach by listening to patients' concerns, involving them in decisions about their care, providing appropriate information, regularly reviewing treatment and working closely with families and other professionals. Effective communication, early intervention and multidisciplinary collaboration are essential for improving recovery and enhancing quality of life for individuals living with depression.</w:t>
      </w:r>
    </w:p>
    <w:p w14:paraId="412C93FB" w14:textId="42C1EB22" w:rsidR="1FB1DB61" w:rsidRDefault="1FB1DB61" w:rsidP="1FB1DB61">
      <w:pPr>
        <w:spacing w:line="360" w:lineRule="auto"/>
        <w:rPr>
          <w:rFonts w:ascii="Arial" w:eastAsia="Arial" w:hAnsi="Arial" w:cs="Arial"/>
          <w:sz w:val="22"/>
          <w:szCs w:val="22"/>
        </w:rPr>
      </w:pPr>
    </w:p>
    <w:p w14:paraId="0C3A1171" w14:textId="0950E1DC" w:rsidR="5DC6E922" w:rsidRDefault="5DC6E922" w:rsidP="1FB1DB61">
      <w:pPr>
        <w:pStyle w:val="Heading2"/>
        <w:spacing w:before="299" w:after="299" w:line="360" w:lineRule="auto"/>
        <w:rPr>
          <w:rFonts w:ascii="Arial" w:eastAsia="Arial" w:hAnsi="Arial" w:cs="Arial"/>
          <w:b/>
          <w:bCs/>
          <w:sz w:val="22"/>
          <w:szCs w:val="22"/>
        </w:rPr>
      </w:pPr>
      <w:r w:rsidRPr="1FB1DB61">
        <w:rPr>
          <w:rFonts w:ascii="Arial" w:eastAsia="Arial" w:hAnsi="Arial" w:cs="Arial"/>
          <w:b/>
          <w:bCs/>
          <w:sz w:val="22"/>
          <w:szCs w:val="22"/>
        </w:rPr>
        <w:t>Conclusion</w:t>
      </w:r>
    </w:p>
    <w:p w14:paraId="1AB84E33" w14:textId="1D6BD712" w:rsidR="5DC6E922" w:rsidRDefault="5DC6E922"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In conclusion, depression is a common mental health condition that affects an individual's emotions, thoughts, behaviour and ability to manage everyday life. It is a significant public health concern due to its high prevalence, long-term effects on wellbeing and the increasing demand it places on healthcare services. Depression is monitored through methods such as public health surveillance, electronic health records, national mental health surveys and assessment tools, which help healthcare professionals understand the impact of the condition and plan appropriate services. The condition can be managed through prevention strategies, early identification, psychological therapies, medication and public health initiatives that promote mental wellbeing. Depression can have serious physical, psychological, social and economic effects on individuals, families and communities. Therefore, effective health and social care support, including NHS services, specialist professionals and community organisations, is essential in helping individuals recover and improve their quality of life.</w:t>
      </w:r>
    </w:p>
    <w:p w14:paraId="2F36BC68" w14:textId="35C59CB6" w:rsidR="1FB1DB61" w:rsidRDefault="1FB1DB61" w:rsidP="1FB1DB61">
      <w:pPr>
        <w:spacing w:line="360" w:lineRule="auto"/>
        <w:rPr>
          <w:rFonts w:ascii="Arial" w:eastAsia="Arial" w:hAnsi="Arial" w:cs="Arial"/>
          <w:sz w:val="22"/>
          <w:szCs w:val="22"/>
        </w:rPr>
      </w:pPr>
    </w:p>
    <w:p w14:paraId="30960DD1" w14:textId="62566577" w:rsidR="00B45B96" w:rsidRDefault="00B45B96" w:rsidP="444E8B72">
      <w:pPr>
        <w:spacing w:line="360" w:lineRule="auto"/>
        <w:rPr>
          <w:rFonts w:ascii="Arial" w:eastAsia="Arial" w:hAnsi="Arial" w:cs="Arial"/>
          <w:sz w:val="22"/>
          <w:szCs w:val="22"/>
        </w:rPr>
      </w:pPr>
    </w:p>
    <w:p w14:paraId="5684A6F6" w14:textId="3D1789E8" w:rsidR="007B690B" w:rsidRDefault="57E0505C" w:rsidP="1FB1DB61">
      <w:pPr>
        <w:pStyle w:val="Heading2"/>
        <w:spacing w:before="299" w:after="299" w:line="360" w:lineRule="auto"/>
        <w:rPr>
          <w:rFonts w:ascii="Arial" w:eastAsia="Arial" w:hAnsi="Arial" w:cs="Arial"/>
          <w:b/>
          <w:bCs/>
          <w:sz w:val="22"/>
          <w:szCs w:val="22"/>
        </w:rPr>
      </w:pPr>
      <w:r w:rsidRPr="1FB1DB61">
        <w:rPr>
          <w:rFonts w:ascii="Arial" w:eastAsia="Arial" w:hAnsi="Arial" w:cs="Arial"/>
          <w:b/>
          <w:bCs/>
          <w:sz w:val="22"/>
          <w:szCs w:val="22"/>
        </w:rPr>
        <w:t>Reference List (Harvard Style)</w:t>
      </w:r>
    </w:p>
    <w:p w14:paraId="3EE53026" w14:textId="48865E18"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Boyd, M.A. and Nihart, M.A. (2020) </w:t>
      </w:r>
      <w:r w:rsidRPr="1FB1DB61">
        <w:rPr>
          <w:rFonts w:ascii="Arial" w:eastAsia="Arial" w:hAnsi="Arial" w:cs="Arial"/>
          <w:i/>
          <w:iCs/>
          <w:sz w:val="22"/>
          <w:szCs w:val="22"/>
        </w:rPr>
        <w:t>Psychiatric Nursing: Contemporary Practice</w:t>
      </w:r>
      <w:r w:rsidRPr="1FB1DB61">
        <w:rPr>
          <w:rFonts w:ascii="Arial" w:eastAsia="Arial" w:hAnsi="Arial" w:cs="Arial"/>
          <w:sz w:val="22"/>
          <w:szCs w:val="22"/>
        </w:rPr>
        <w:t xml:space="preserve">. 7th </w:t>
      </w:r>
      <w:proofErr w:type="spellStart"/>
      <w:r w:rsidRPr="1FB1DB61">
        <w:rPr>
          <w:rFonts w:ascii="Arial" w:eastAsia="Arial" w:hAnsi="Arial" w:cs="Arial"/>
          <w:sz w:val="22"/>
          <w:szCs w:val="22"/>
        </w:rPr>
        <w:t>edn</w:t>
      </w:r>
      <w:proofErr w:type="spellEnd"/>
      <w:r w:rsidRPr="1FB1DB61">
        <w:rPr>
          <w:rFonts w:ascii="Arial" w:eastAsia="Arial" w:hAnsi="Arial" w:cs="Arial"/>
          <w:sz w:val="22"/>
          <w:szCs w:val="22"/>
        </w:rPr>
        <w:t>. Philadelphia: Wolters Kluwer.</w:t>
      </w:r>
    </w:p>
    <w:p w14:paraId="25488377" w14:textId="4BC5CF92"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Davies, S.C. and Craig, T.K.J. (2009) </w:t>
      </w:r>
      <w:r w:rsidRPr="1FB1DB61">
        <w:rPr>
          <w:rFonts w:ascii="Arial" w:eastAsia="Arial" w:hAnsi="Arial" w:cs="Arial"/>
          <w:i/>
          <w:iCs/>
          <w:sz w:val="22"/>
          <w:szCs w:val="22"/>
        </w:rPr>
        <w:t>ABC of Mental Health</w:t>
      </w:r>
      <w:r w:rsidRPr="1FB1DB61">
        <w:rPr>
          <w:rFonts w:ascii="Arial" w:eastAsia="Arial" w:hAnsi="Arial" w:cs="Arial"/>
          <w:sz w:val="22"/>
          <w:szCs w:val="22"/>
        </w:rPr>
        <w:t xml:space="preserve">. 3rd </w:t>
      </w:r>
      <w:proofErr w:type="spellStart"/>
      <w:r w:rsidRPr="1FB1DB61">
        <w:rPr>
          <w:rFonts w:ascii="Arial" w:eastAsia="Arial" w:hAnsi="Arial" w:cs="Arial"/>
          <w:sz w:val="22"/>
          <w:szCs w:val="22"/>
        </w:rPr>
        <w:t>edn</w:t>
      </w:r>
      <w:proofErr w:type="spellEnd"/>
      <w:r w:rsidRPr="1FB1DB61">
        <w:rPr>
          <w:rFonts w:ascii="Arial" w:eastAsia="Arial" w:hAnsi="Arial" w:cs="Arial"/>
          <w:sz w:val="22"/>
          <w:szCs w:val="22"/>
        </w:rPr>
        <w:t>. Oxford: Wiley-Blackwell.</w:t>
      </w:r>
    </w:p>
    <w:p w14:paraId="21D06563" w14:textId="51D08A45"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lastRenderedPageBreak/>
        <w:t xml:space="preserve">Friis, R.H. and Sellers, T.A. (2021) </w:t>
      </w:r>
      <w:r w:rsidRPr="1FB1DB61">
        <w:rPr>
          <w:rFonts w:ascii="Arial" w:eastAsia="Arial" w:hAnsi="Arial" w:cs="Arial"/>
          <w:i/>
          <w:iCs/>
          <w:sz w:val="22"/>
          <w:szCs w:val="22"/>
        </w:rPr>
        <w:t>Epidemiology for Public Health Practice</w:t>
      </w:r>
      <w:r w:rsidRPr="1FB1DB61">
        <w:rPr>
          <w:rFonts w:ascii="Arial" w:eastAsia="Arial" w:hAnsi="Arial" w:cs="Arial"/>
          <w:sz w:val="22"/>
          <w:szCs w:val="22"/>
        </w:rPr>
        <w:t xml:space="preserve">. 6th </w:t>
      </w:r>
      <w:proofErr w:type="spellStart"/>
      <w:r w:rsidRPr="1FB1DB61">
        <w:rPr>
          <w:rFonts w:ascii="Arial" w:eastAsia="Arial" w:hAnsi="Arial" w:cs="Arial"/>
          <w:sz w:val="22"/>
          <w:szCs w:val="22"/>
        </w:rPr>
        <w:t>edn</w:t>
      </w:r>
      <w:proofErr w:type="spellEnd"/>
      <w:r w:rsidRPr="1FB1DB61">
        <w:rPr>
          <w:rFonts w:ascii="Arial" w:eastAsia="Arial" w:hAnsi="Arial" w:cs="Arial"/>
          <w:sz w:val="22"/>
          <w:szCs w:val="22"/>
        </w:rPr>
        <w:t>. Burlington, MA: Jones &amp; Bartlett Learning.</w:t>
      </w:r>
    </w:p>
    <w:p w14:paraId="2C6120C6" w14:textId="47E8BBEF"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McCrone, P., Dhanasiri, S., Patel, A., Knapp, M. and Lawton-Smith, S. (2008) </w:t>
      </w:r>
      <w:r w:rsidRPr="1FB1DB61">
        <w:rPr>
          <w:rFonts w:ascii="Arial" w:eastAsia="Arial" w:hAnsi="Arial" w:cs="Arial"/>
          <w:i/>
          <w:iCs/>
          <w:sz w:val="22"/>
          <w:szCs w:val="22"/>
        </w:rPr>
        <w:t>Paying the Price: The Cost of Mental Health Care in England to 2026</w:t>
      </w:r>
      <w:r w:rsidRPr="1FB1DB61">
        <w:rPr>
          <w:rFonts w:ascii="Arial" w:eastAsia="Arial" w:hAnsi="Arial" w:cs="Arial"/>
          <w:sz w:val="22"/>
          <w:szCs w:val="22"/>
        </w:rPr>
        <w:t>. London: The King's Fund.</w:t>
      </w:r>
    </w:p>
    <w:p w14:paraId="2C1FA267" w14:textId="5E7C5F5A"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McManus, S., Bebbington, P., Jenkins, R. and </w:t>
      </w:r>
      <w:proofErr w:type="spellStart"/>
      <w:r w:rsidRPr="1FB1DB61">
        <w:rPr>
          <w:rFonts w:ascii="Arial" w:eastAsia="Arial" w:hAnsi="Arial" w:cs="Arial"/>
          <w:sz w:val="22"/>
          <w:szCs w:val="22"/>
        </w:rPr>
        <w:t>Brugha</w:t>
      </w:r>
      <w:proofErr w:type="spellEnd"/>
      <w:r w:rsidRPr="1FB1DB61">
        <w:rPr>
          <w:rFonts w:ascii="Arial" w:eastAsia="Arial" w:hAnsi="Arial" w:cs="Arial"/>
          <w:sz w:val="22"/>
          <w:szCs w:val="22"/>
        </w:rPr>
        <w:t xml:space="preserve">, T. (eds.) (2016) </w:t>
      </w:r>
      <w:r w:rsidRPr="1FB1DB61">
        <w:rPr>
          <w:rFonts w:ascii="Arial" w:eastAsia="Arial" w:hAnsi="Arial" w:cs="Arial"/>
          <w:i/>
          <w:iCs/>
          <w:sz w:val="22"/>
          <w:szCs w:val="22"/>
        </w:rPr>
        <w:t>Mental Health and Wellbeing in England: Adult Psychiatric Morbidity Survey 2014</w:t>
      </w:r>
      <w:r w:rsidRPr="1FB1DB61">
        <w:rPr>
          <w:rFonts w:ascii="Arial" w:eastAsia="Arial" w:hAnsi="Arial" w:cs="Arial"/>
          <w:sz w:val="22"/>
          <w:szCs w:val="22"/>
        </w:rPr>
        <w:t>. Leeds: NHS Digital.</w:t>
      </w:r>
    </w:p>
    <w:p w14:paraId="2D9BCB5B" w14:textId="1AD93D1D"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Mental Health Foundation (2024) </w:t>
      </w:r>
      <w:r w:rsidRPr="1FB1DB61">
        <w:rPr>
          <w:rFonts w:ascii="Arial" w:eastAsia="Arial" w:hAnsi="Arial" w:cs="Arial"/>
          <w:i/>
          <w:iCs/>
          <w:sz w:val="22"/>
          <w:szCs w:val="22"/>
        </w:rPr>
        <w:t>Mental Health Statistics: Depression</w:t>
      </w:r>
      <w:r w:rsidRPr="1FB1DB61">
        <w:rPr>
          <w:rFonts w:ascii="Arial" w:eastAsia="Arial" w:hAnsi="Arial" w:cs="Arial"/>
          <w:sz w:val="22"/>
          <w:szCs w:val="22"/>
        </w:rPr>
        <w:t xml:space="preserve">. Available at: </w:t>
      </w:r>
      <w:hyperlink r:id="rId10">
        <w:r w:rsidRPr="1FB1DB61">
          <w:rPr>
            <w:rStyle w:val="Hyperlink"/>
            <w:rFonts w:ascii="Arial" w:eastAsia="Arial" w:hAnsi="Arial" w:cs="Arial"/>
            <w:sz w:val="22"/>
            <w:szCs w:val="22"/>
          </w:rPr>
          <w:t>https://www.mentalhealth.org.uk</w:t>
        </w:r>
      </w:hyperlink>
      <w:r w:rsidRPr="1FB1DB61">
        <w:rPr>
          <w:rFonts w:ascii="Arial" w:eastAsia="Arial" w:hAnsi="Arial" w:cs="Arial"/>
          <w:sz w:val="22"/>
          <w:szCs w:val="22"/>
        </w:rPr>
        <w:t xml:space="preserve"> (Accessed: 10 July 2026).</w:t>
      </w:r>
    </w:p>
    <w:p w14:paraId="46A142D7" w14:textId="7C7D5D10"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Naidoo, J. and Wills, J. (2016) </w:t>
      </w:r>
      <w:r w:rsidRPr="1FB1DB61">
        <w:rPr>
          <w:rFonts w:ascii="Arial" w:eastAsia="Arial" w:hAnsi="Arial" w:cs="Arial"/>
          <w:i/>
          <w:iCs/>
          <w:sz w:val="22"/>
          <w:szCs w:val="22"/>
        </w:rPr>
        <w:t>Foundations for Health Promotion</w:t>
      </w:r>
      <w:r w:rsidRPr="1FB1DB61">
        <w:rPr>
          <w:rFonts w:ascii="Arial" w:eastAsia="Arial" w:hAnsi="Arial" w:cs="Arial"/>
          <w:sz w:val="22"/>
          <w:szCs w:val="22"/>
        </w:rPr>
        <w:t xml:space="preserve">. 4th </w:t>
      </w:r>
      <w:proofErr w:type="spellStart"/>
      <w:r w:rsidRPr="1FB1DB61">
        <w:rPr>
          <w:rFonts w:ascii="Arial" w:eastAsia="Arial" w:hAnsi="Arial" w:cs="Arial"/>
          <w:sz w:val="22"/>
          <w:szCs w:val="22"/>
        </w:rPr>
        <w:t>edn</w:t>
      </w:r>
      <w:proofErr w:type="spellEnd"/>
      <w:r w:rsidRPr="1FB1DB61">
        <w:rPr>
          <w:rFonts w:ascii="Arial" w:eastAsia="Arial" w:hAnsi="Arial" w:cs="Arial"/>
          <w:sz w:val="22"/>
          <w:szCs w:val="22"/>
        </w:rPr>
        <w:t>. London: Elsevier.</w:t>
      </w:r>
    </w:p>
    <w:p w14:paraId="016FFF09" w14:textId="71FC2F98"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National Institute for Health and Care Excellence (NICE) (2022) </w:t>
      </w:r>
      <w:r w:rsidRPr="1FB1DB61">
        <w:rPr>
          <w:rFonts w:ascii="Arial" w:eastAsia="Arial" w:hAnsi="Arial" w:cs="Arial"/>
          <w:i/>
          <w:iCs/>
          <w:sz w:val="22"/>
          <w:szCs w:val="22"/>
        </w:rPr>
        <w:t>Depression in Adults: Treatment and Management (NG222)</w:t>
      </w:r>
      <w:r w:rsidRPr="1FB1DB61">
        <w:rPr>
          <w:rFonts w:ascii="Arial" w:eastAsia="Arial" w:hAnsi="Arial" w:cs="Arial"/>
          <w:sz w:val="22"/>
          <w:szCs w:val="22"/>
        </w:rPr>
        <w:t xml:space="preserve">. London: NICE. Available at: </w:t>
      </w:r>
      <w:hyperlink r:id="rId11">
        <w:r w:rsidRPr="1FB1DB61">
          <w:rPr>
            <w:rStyle w:val="Hyperlink"/>
            <w:rFonts w:ascii="Arial" w:eastAsia="Arial" w:hAnsi="Arial" w:cs="Arial"/>
            <w:sz w:val="22"/>
            <w:szCs w:val="22"/>
          </w:rPr>
          <w:t>https://www.nice.org.uk/guidance/ng222</w:t>
        </w:r>
      </w:hyperlink>
      <w:r w:rsidRPr="1FB1DB61">
        <w:rPr>
          <w:rFonts w:ascii="Arial" w:eastAsia="Arial" w:hAnsi="Arial" w:cs="Arial"/>
          <w:sz w:val="22"/>
          <w:szCs w:val="22"/>
        </w:rPr>
        <w:t xml:space="preserve"> (Accessed: 10 July 2026).</w:t>
      </w:r>
    </w:p>
    <w:p w14:paraId="4306A7D0" w14:textId="4D8857EB"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NHS Digital (2016) </w:t>
      </w:r>
      <w:r w:rsidRPr="1FB1DB61">
        <w:rPr>
          <w:rFonts w:ascii="Arial" w:eastAsia="Arial" w:hAnsi="Arial" w:cs="Arial"/>
          <w:i/>
          <w:iCs/>
          <w:sz w:val="22"/>
          <w:szCs w:val="22"/>
        </w:rPr>
        <w:t>Adult Psychiatric Morbidity Survey: Survey of Mental Health and Wellbeing, England 2014</w:t>
      </w:r>
      <w:r w:rsidRPr="1FB1DB61">
        <w:rPr>
          <w:rFonts w:ascii="Arial" w:eastAsia="Arial" w:hAnsi="Arial" w:cs="Arial"/>
          <w:sz w:val="22"/>
          <w:szCs w:val="22"/>
        </w:rPr>
        <w:t xml:space="preserve">. Leeds: NHS Digital. Available at: </w:t>
      </w:r>
      <w:hyperlink r:id="rId12">
        <w:r w:rsidRPr="1FB1DB61">
          <w:rPr>
            <w:rStyle w:val="Hyperlink"/>
            <w:rFonts w:ascii="Arial" w:eastAsia="Arial" w:hAnsi="Arial" w:cs="Arial"/>
            <w:sz w:val="22"/>
            <w:szCs w:val="22"/>
          </w:rPr>
          <w:t>https://digital.nhs.uk</w:t>
        </w:r>
      </w:hyperlink>
      <w:r w:rsidRPr="1FB1DB61">
        <w:rPr>
          <w:rFonts w:ascii="Arial" w:eastAsia="Arial" w:hAnsi="Arial" w:cs="Arial"/>
          <w:sz w:val="22"/>
          <w:szCs w:val="22"/>
        </w:rPr>
        <w:t xml:space="preserve"> (Accessed: 10 July 2026).</w:t>
      </w:r>
    </w:p>
    <w:p w14:paraId="5AF1BEE3" w14:textId="45FED86A"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NHS England (2024) </w:t>
      </w:r>
      <w:r w:rsidRPr="1FB1DB61">
        <w:rPr>
          <w:rFonts w:ascii="Arial" w:eastAsia="Arial" w:hAnsi="Arial" w:cs="Arial"/>
          <w:i/>
          <w:iCs/>
          <w:sz w:val="22"/>
          <w:szCs w:val="22"/>
        </w:rPr>
        <w:t>NHS Talking Therapies: Annual Statistics</w:t>
      </w:r>
      <w:r w:rsidRPr="1FB1DB61">
        <w:rPr>
          <w:rFonts w:ascii="Arial" w:eastAsia="Arial" w:hAnsi="Arial" w:cs="Arial"/>
          <w:sz w:val="22"/>
          <w:szCs w:val="22"/>
        </w:rPr>
        <w:t xml:space="preserve">. London: NHS England. Available at: </w:t>
      </w:r>
      <w:hyperlink r:id="rId13">
        <w:r w:rsidRPr="1FB1DB61">
          <w:rPr>
            <w:rStyle w:val="Hyperlink"/>
            <w:rFonts w:ascii="Arial" w:eastAsia="Arial" w:hAnsi="Arial" w:cs="Arial"/>
            <w:sz w:val="22"/>
            <w:szCs w:val="22"/>
          </w:rPr>
          <w:t>https://www.england.nhs.uk</w:t>
        </w:r>
      </w:hyperlink>
      <w:r w:rsidRPr="1FB1DB61">
        <w:rPr>
          <w:rFonts w:ascii="Arial" w:eastAsia="Arial" w:hAnsi="Arial" w:cs="Arial"/>
          <w:sz w:val="22"/>
          <w:szCs w:val="22"/>
        </w:rPr>
        <w:t xml:space="preserve"> (Accessed: 10 July 2026).</w:t>
      </w:r>
    </w:p>
    <w:p w14:paraId="572BD542" w14:textId="2EE91D43"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Office for National Statistics (2023) </w:t>
      </w:r>
      <w:r w:rsidRPr="1FB1DB61">
        <w:rPr>
          <w:rFonts w:ascii="Arial" w:eastAsia="Arial" w:hAnsi="Arial" w:cs="Arial"/>
          <w:i/>
          <w:iCs/>
          <w:sz w:val="22"/>
          <w:szCs w:val="22"/>
        </w:rPr>
        <w:t>Measures of Personal Well-being and Depression in the UK</w:t>
      </w:r>
      <w:r w:rsidRPr="1FB1DB61">
        <w:rPr>
          <w:rFonts w:ascii="Arial" w:eastAsia="Arial" w:hAnsi="Arial" w:cs="Arial"/>
          <w:sz w:val="22"/>
          <w:szCs w:val="22"/>
        </w:rPr>
        <w:t xml:space="preserve">. Newport: Office for National Statistics. Available at: </w:t>
      </w:r>
      <w:hyperlink r:id="rId14">
        <w:r w:rsidRPr="1FB1DB61">
          <w:rPr>
            <w:rStyle w:val="Hyperlink"/>
            <w:rFonts w:ascii="Arial" w:eastAsia="Arial" w:hAnsi="Arial" w:cs="Arial"/>
            <w:sz w:val="22"/>
            <w:szCs w:val="22"/>
          </w:rPr>
          <w:t>https://www.ons.gov.uk</w:t>
        </w:r>
      </w:hyperlink>
      <w:r w:rsidRPr="1FB1DB61">
        <w:rPr>
          <w:rFonts w:ascii="Arial" w:eastAsia="Arial" w:hAnsi="Arial" w:cs="Arial"/>
          <w:sz w:val="22"/>
          <w:szCs w:val="22"/>
        </w:rPr>
        <w:t xml:space="preserve"> (Accessed: 10 July 2026).</w:t>
      </w:r>
    </w:p>
    <w:p w14:paraId="11742B5F" w14:textId="0F5E18BD"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Prince, M., Patel, V., Saxena, S., Maj, M., </w:t>
      </w:r>
      <w:proofErr w:type="spellStart"/>
      <w:r w:rsidRPr="1FB1DB61">
        <w:rPr>
          <w:rFonts w:ascii="Arial" w:eastAsia="Arial" w:hAnsi="Arial" w:cs="Arial"/>
          <w:sz w:val="22"/>
          <w:szCs w:val="22"/>
        </w:rPr>
        <w:t>Maselko</w:t>
      </w:r>
      <w:proofErr w:type="spellEnd"/>
      <w:r w:rsidRPr="1FB1DB61">
        <w:rPr>
          <w:rFonts w:ascii="Arial" w:eastAsia="Arial" w:hAnsi="Arial" w:cs="Arial"/>
          <w:sz w:val="22"/>
          <w:szCs w:val="22"/>
        </w:rPr>
        <w:t xml:space="preserve">, J., Phillips, M.R. and Rahman, A. (2007) ‘No health without mental health’, </w:t>
      </w:r>
      <w:r w:rsidRPr="1FB1DB61">
        <w:rPr>
          <w:rFonts w:ascii="Arial" w:eastAsia="Arial" w:hAnsi="Arial" w:cs="Arial"/>
          <w:i/>
          <w:iCs/>
          <w:sz w:val="22"/>
          <w:szCs w:val="22"/>
        </w:rPr>
        <w:t>The Lancet</w:t>
      </w:r>
      <w:r w:rsidRPr="1FB1DB61">
        <w:rPr>
          <w:rFonts w:ascii="Arial" w:eastAsia="Arial" w:hAnsi="Arial" w:cs="Arial"/>
          <w:sz w:val="22"/>
          <w:szCs w:val="22"/>
        </w:rPr>
        <w:t>, 370(9590), pp. 859–877.</w:t>
      </w:r>
    </w:p>
    <w:p w14:paraId="52ACFF27" w14:textId="457599E4"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 xml:space="preserve">Stuart, G.W. (2014) </w:t>
      </w:r>
      <w:r w:rsidRPr="1FB1DB61">
        <w:rPr>
          <w:rFonts w:ascii="Arial" w:eastAsia="Arial" w:hAnsi="Arial" w:cs="Arial"/>
          <w:i/>
          <w:iCs/>
          <w:sz w:val="22"/>
          <w:szCs w:val="22"/>
        </w:rPr>
        <w:t>Principles and Practice of Psychiatric Nursing</w:t>
      </w:r>
      <w:r w:rsidRPr="1FB1DB61">
        <w:rPr>
          <w:rFonts w:ascii="Arial" w:eastAsia="Arial" w:hAnsi="Arial" w:cs="Arial"/>
          <w:sz w:val="22"/>
          <w:szCs w:val="22"/>
        </w:rPr>
        <w:t xml:space="preserve">. 10th </w:t>
      </w:r>
      <w:proofErr w:type="spellStart"/>
      <w:r w:rsidRPr="1FB1DB61">
        <w:rPr>
          <w:rFonts w:ascii="Arial" w:eastAsia="Arial" w:hAnsi="Arial" w:cs="Arial"/>
          <w:sz w:val="22"/>
          <w:szCs w:val="22"/>
        </w:rPr>
        <w:t>edn</w:t>
      </w:r>
      <w:proofErr w:type="spellEnd"/>
      <w:r w:rsidRPr="1FB1DB61">
        <w:rPr>
          <w:rFonts w:ascii="Arial" w:eastAsia="Arial" w:hAnsi="Arial" w:cs="Arial"/>
          <w:sz w:val="22"/>
          <w:szCs w:val="22"/>
        </w:rPr>
        <w:t>. St Louis: Elsevier.</w:t>
      </w:r>
    </w:p>
    <w:p w14:paraId="7B4D05C5" w14:textId="0E1F2BF9"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t>Thornicroft, G., Chatterji, S., Evans-Lacko, S., Gruber, M., Sampson, N., Aguilar-Gaxiola, S., Al-</w:t>
      </w:r>
      <w:proofErr w:type="spellStart"/>
      <w:r w:rsidRPr="1FB1DB61">
        <w:rPr>
          <w:rFonts w:ascii="Arial" w:eastAsia="Arial" w:hAnsi="Arial" w:cs="Arial"/>
          <w:sz w:val="22"/>
          <w:szCs w:val="22"/>
        </w:rPr>
        <w:t>Hamzawi</w:t>
      </w:r>
      <w:proofErr w:type="spellEnd"/>
      <w:r w:rsidRPr="1FB1DB61">
        <w:rPr>
          <w:rFonts w:ascii="Arial" w:eastAsia="Arial" w:hAnsi="Arial" w:cs="Arial"/>
          <w:sz w:val="22"/>
          <w:szCs w:val="22"/>
        </w:rPr>
        <w:t xml:space="preserve">, A., Alonso, J., Andrade, L., Borges, G. and </w:t>
      </w:r>
      <w:proofErr w:type="spellStart"/>
      <w:r w:rsidRPr="1FB1DB61">
        <w:rPr>
          <w:rFonts w:ascii="Arial" w:eastAsia="Arial" w:hAnsi="Arial" w:cs="Arial"/>
          <w:sz w:val="22"/>
          <w:szCs w:val="22"/>
        </w:rPr>
        <w:t>Bruffaerts</w:t>
      </w:r>
      <w:proofErr w:type="spellEnd"/>
      <w:r w:rsidRPr="1FB1DB61">
        <w:rPr>
          <w:rFonts w:ascii="Arial" w:eastAsia="Arial" w:hAnsi="Arial" w:cs="Arial"/>
          <w:sz w:val="22"/>
          <w:szCs w:val="22"/>
        </w:rPr>
        <w:t xml:space="preserve">, R. (2017) ‘Undertreatment and treatment gaps for mental disorders worldwide’, </w:t>
      </w:r>
      <w:r w:rsidRPr="1FB1DB61">
        <w:rPr>
          <w:rFonts w:ascii="Arial" w:eastAsia="Arial" w:hAnsi="Arial" w:cs="Arial"/>
          <w:i/>
          <w:iCs/>
          <w:sz w:val="22"/>
          <w:szCs w:val="22"/>
        </w:rPr>
        <w:t>The Lancet Psychiatry</w:t>
      </w:r>
      <w:r w:rsidRPr="1FB1DB61">
        <w:rPr>
          <w:rFonts w:ascii="Arial" w:eastAsia="Arial" w:hAnsi="Arial" w:cs="Arial"/>
          <w:sz w:val="22"/>
          <w:szCs w:val="22"/>
        </w:rPr>
        <w:t>, 4(6), pp. 389–397.</w:t>
      </w:r>
    </w:p>
    <w:p w14:paraId="17FD573D" w14:textId="08C7E634" w:rsidR="007B690B" w:rsidRDefault="57E0505C" w:rsidP="1FB1DB61">
      <w:pPr>
        <w:spacing w:before="240" w:after="240" w:line="360" w:lineRule="auto"/>
        <w:rPr>
          <w:rFonts w:ascii="Arial" w:eastAsia="Arial" w:hAnsi="Arial" w:cs="Arial"/>
          <w:sz w:val="22"/>
          <w:szCs w:val="22"/>
        </w:rPr>
      </w:pPr>
      <w:r w:rsidRPr="1FB1DB61">
        <w:rPr>
          <w:rFonts w:ascii="Arial" w:eastAsia="Arial" w:hAnsi="Arial" w:cs="Arial"/>
          <w:sz w:val="22"/>
          <w:szCs w:val="22"/>
        </w:rPr>
        <w:lastRenderedPageBreak/>
        <w:t xml:space="preserve">World Health Organization (2025) </w:t>
      </w:r>
      <w:r w:rsidRPr="1FB1DB61">
        <w:rPr>
          <w:rFonts w:ascii="Arial" w:eastAsia="Arial" w:hAnsi="Arial" w:cs="Arial"/>
          <w:i/>
          <w:iCs/>
          <w:sz w:val="22"/>
          <w:szCs w:val="22"/>
        </w:rPr>
        <w:t>Depressive Disorder (Depression)</w:t>
      </w:r>
      <w:r w:rsidRPr="1FB1DB61">
        <w:rPr>
          <w:rFonts w:ascii="Arial" w:eastAsia="Arial" w:hAnsi="Arial" w:cs="Arial"/>
          <w:sz w:val="22"/>
          <w:szCs w:val="22"/>
        </w:rPr>
        <w:t xml:space="preserve">. Available at: </w:t>
      </w:r>
      <w:hyperlink r:id="rId15">
        <w:r w:rsidRPr="1FB1DB61">
          <w:rPr>
            <w:rStyle w:val="Hyperlink"/>
            <w:rFonts w:ascii="Arial" w:eastAsia="Arial" w:hAnsi="Arial" w:cs="Arial"/>
            <w:sz w:val="22"/>
            <w:szCs w:val="22"/>
          </w:rPr>
          <w:t>https://www.who.int/news-room/fact-sheets/detail/depression</w:t>
        </w:r>
      </w:hyperlink>
      <w:r w:rsidRPr="1FB1DB61">
        <w:rPr>
          <w:rFonts w:ascii="Arial" w:eastAsia="Arial" w:hAnsi="Arial" w:cs="Arial"/>
          <w:sz w:val="22"/>
          <w:szCs w:val="22"/>
        </w:rPr>
        <w:t xml:space="preserve"> (Accessed: 10 July 2026).</w:t>
      </w:r>
    </w:p>
    <w:p w14:paraId="7D55BCA4" w14:textId="3682D477" w:rsidR="007B690B" w:rsidRDefault="007B690B" w:rsidP="444E8B72">
      <w:pPr>
        <w:spacing w:line="360" w:lineRule="auto"/>
        <w:rPr>
          <w:rFonts w:ascii="Arial" w:eastAsia="Arial" w:hAnsi="Arial" w:cs="Arial"/>
          <w:sz w:val="22"/>
          <w:szCs w:val="22"/>
        </w:rPr>
      </w:pPr>
    </w:p>
    <w:p w14:paraId="04440775" w14:textId="77777777" w:rsidR="007B690B" w:rsidRDefault="007B690B" w:rsidP="444E8B72">
      <w:pPr>
        <w:spacing w:line="360" w:lineRule="auto"/>
        <w:rPr>
          <w:rFonts w:ascii="Arial" w:eastAsia="Arial" w:hAnsi="Arial" w:cs="Arial"/>
          <w:sz w:val="22"/>
          <w:szCs w:val="22"/>
        </w:rPr>
      </w:pPr>
    </w:p>
    <w:p w14:paraId="3ED4ADBA" w14:textId="77777777" w:rsidR="007B690B" w:rsidRDefault="007B690B" w:rsidP="1FB1DB61">
      <w:pPr>
        <w:spacing w:line="360" w:lineRule="auto"/>
        <w:rPr>
          <w:rFonts w:ascii="Arial" w:eastAsia="Arial" w:hAnsi="Arial" w:cs="Arial"/>
          <w:sz w:val="22"/>
          <w:szCs w:val="22"/>
        </w:rPr>
      </w:pPr>
    </w:p>
    <w:p w14:paraId="6CBCDE39" w14:textId="77777777" w:rsidR="007B690B" w:rsidRDefault="007B690B" w:rsidP="1FB1DB61">
      <w:pPr>
        <w:spacing w:line="360" w:lineRule="auto"/>
        <w:rPr>
          <w:rFonts w:ascii="Arial" w:eastAsia="Arial" w:hAnsi="Arial" w:cs="Arial"/>
          <w:sz w:val="22"/>
          <w:szCs w:val="22"/>
        </w:rPr>
      </w:pPr>
    </w:p>
    <w:p w14:paraId="16112138" w14:textId="77777777" w:rsidR="007B690B" w:rsidRDefault="007B690B" w:rsidP="1FB1DB61">
      <w:pPr>
        <w:spacing w:line="360" w:lineRule="auto"/>
        <w:rPr>
          <w:rFonts w:ascii="Arial" w:eastAsia="Arial" w:hAnsi="Arial" w:cs="Arial"/>
          <w:sz w:val="22"/>
          <w:szCs w:val="22"/>
        </w:rPr>
      </w:pPr>
    </w:p>
    <w:p w14:paraId="2CE418E2" w14:textId="77777777" w:rsidR="007B690B" w:rsidRDefault="007B690B" w:rsidP="1FB1DB61">
      <w:pPr>
        <w:spacing w:line="360" w:lineRule="auto"/>
        <w:rPr>
          <w:rFonts w:ascii="Arial" w:eastAsia="Arial" w:hAnsi="Arial" w:cs="Arial"/>
          <w:sz w:val="22"/>
          <w:szCs w:val="22"/>
        </w:rPr>
      </w:pPr>
    </w:p>
    <w:p w14:paraId="7422C4C0" w14:textId="77777777" w:rsidR="007B690B" w:rsidRDefault="007B690B" w:rsidP="1FB1DB61">
      <w:pPr>
        <w:spacing w:line="360" w:lineRule="auto"/>
        <w:rPr>
          <w:rFonts w:ascii="Arial" w:eastAsia="Arial" w:hAnsi="Arial" w:cs="Arial"/>
          <w:sz w:val="22"/>
          <w:szCs w:val="22"/>
        </w:rPr>
      </w:pPr>
    </w:p>
    <w:p w14:paraId="40B60D52" w14:textId="77777777" w:rsidR="007B690B" w:rsidRDefault="007B690B" w:rsidP="1FB1DB61">
      <w:pPr>
        <w:spacing w:line="360" w:lineRule="auto"/>
        <w:rPr>
          <w:rFonts w:ascii="Arial" w:eastAsia="Arial" w:hAnsi="Arial" w:cs="Arial"/>
          <w:sz w:val="22"/>
          <w:szCs w:val="22"/>
        </w:rPr>
      </w:pPr>
    </w:p>
    <w:p w14:paraId="2AE5E80C" w14:textId="021AD44D" w:rsidR="00894CAF" w:rsidRPr="00894CAF" w:rsidRDefault="00894CAF" w:rsidP="1FB1DB61">
      <w:pPr>
        <w:spacing w:line="360" w:lineRule="auto"/>
        <w:rPr>
          <w:rFonts w:ascii="Arial" w:eastAsia="Arial" w:hAnsi="Arial" w:cs="Arial"/>
          <w:sz w:val="22"/>
          <w:szCs w:val="22"/>
        </w:rPr>
      </w:pPr>
    </w:p>
    <w:p w14:paraId="6A0ACBE2" w14:textId="77777777" w:rsidR="00894CAF" w:rsidRPr="007B690B" w:rsidRDefault="00894CAF" w:rsidP="1FB1DB61">
      <w:pPr>
        <w:spacing w:line="360" w:lineRule="auto"/>
        <w:rPr>
          <w:rFonts w:ascii="Arial" w:eastAsia="Arial" w:hAnsi="Arial" w:cs="Arial"/>
          <w:sz w:val="22"/>
          <w:szCs w:val="22"/>
        </w:rPr>
      </w:pPr>
    </w:p>
    <w:p w14:paraId="5FF05FA5" w14:textId="77777777" w:rsidR="007B690B" w:rsidRDefault="007B690B" w:rsidP="1FB1DB61">
      <w:pPr>
        <w:spacing w:line="360" w:lineRule="auto"/>
        <w:rPr>
          <w:rFonts w:ascii="Arial" w:eastAsia="Arial" w:hAnsi="Arial" w:cs="Arial"/>
        </w:rPr>
      </w:pPr>
    </w:p>
    <w:sectPr w:rsidR="007B690B">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4787D3" w14:textId="77777777" w:rsidR="002F7C10" w:rsidRDefault="002F7C10">
      <w:pPr>
        <w:spacing w:after="0" w:line="240" w:lineRule="auto"/>
      </w:pPr>
      <w:r>
        <w:separator/>
      </w:r>
    </w:p>
  </w:endnote>
  <w:endnote w:type="continuationSeparator" w:id="0">
    <w:p w14:paraId="12200D2E" w14:textId="77777777" w:rsidR="002F7C10" w:rsidRDefault="002F7C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44E8B72" w14:paraId="12755ADB" w14:textId="77777777" w:rsidTr="444E8B72">
      <w:trPr>
        <w:trHeight w:val="300"/>
      </w:trPr>
      <w:tc>
        <w:tcPr>
          <w:tcW w:w="3005" w:type="dxa"/>
        </w:tcPr>
        <w:p w14:paraId="6C24FC51" w14:textId="4876225E" w:rsidR="444E8B72" w:rsidRDefault="444E8B72" w:rsidP="444E8B72">
          <w:pPr>
            <w:pStyle w:val="Header"/>
            <w:ind w:left="-115"/>
          </w:pPr>
        </w:p>
      </w:tc>
      <w:tc>
        <w:tcPr>
          <w:tcW w:w="3005" w:type="dxa"/>
        </w:tcPr>
        <w:p w14:paraId="322E91AB" w14:textId="6AA33173" w:rsidR="444E8B72" w:rsidRDefault="444E8B72" w:rsidP="444E8B72">
          <w:pPr>
            <w:pStyle w:val="Header"/>
            <w:jc w:val="center"/>
          </w:pPr>
          <w:r>
            <w:fldChar w:fldCharType="begin"/>
          </w:r>
          <w:r>
            <w:instrText>PAGE</w:instrText>
          </w:r>
          <w:r>
            <w:fldChar w:fldCharType="separate"/>
          </w:r>
          <w:r w:rsidR="00082036">
            <w:rPr>
              <w:noProof/>
            </w:rPr>
            <w:t>1</w:t>
          </w:r>
          <w:r>
            <w:fldChar w:fldCharType="end"/>
          </w:r>
        </w:p>
      </w:tc>
      <w:tc>
        <w:tcPr>
          <w:tcW w:w="3005" w:type="dxa"/>
        </w:tcPr>
        <w:p w14:paraId="1824DC58" w14:textId="60EA2DD6" w:rsidR="444E8B72" w:rsidRDefault="444E8B72" w:rsidP="444E8B72">
          <w:pPr>
            <w:pStyle w:val="Header"/>
            <w:ind w:right="-115"/>
            <w:jc w:val="right"/>
          </w:pPr>
        </w:p>
      </w:tc>
    </w:tr>
  </w:tbl>
  <w:p w14:paraId="06703D0A" w14:textId="4E0B7325" w:rsidR="444E8B72" w:rsidRDefault="444E8B72" w:rsidP="444E8B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D96A23" w14:textId="77777777" w:rsidR="002F7C10" w:rsidRDefault="002F7C10">
      <w:pPr>
        <w:spacing w:after="0" w:line="240" w:lineRule="auto"/>
      </w:pPr>
      <w:r>
        <w:separator/>
      </w:r>
    </w:p>
  </w:footnote>
  <w:footnote w:type="continuationSeparator" w:id="0">
    <w:p w14:paraId="10FC2520" w14:textId="77777777" w:rsidR="002F7C10" w:rsidRDefault="002F7C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444E8B72" w14:paraId="23756F87" w14:textId="77777777" w:rsidTr="444E8B72">
      <w:trPr>
        <w:trHeight w:val="300"/>
      </w:trPr>
      <w:tc>
        <w:tcPr>
          <w:tcW w:w="3005" w:type="dxa"/>
        </w:tcPr>
        <w:p w14:paraId="1C11B42A" w14:textId="510A5AEF" w:rsidR="444E8B72" w:rsidRDefault="444E8B72" w:rsidP="444E8B72">
          <w:pPr>
            <w:pStyle w:val="Header"/>
            <w:ind w:left="-115"/>
          </w:pPr>
        </w:p>
      </w:tc>
      <w:tc>
        <w:tcPr>
          <w:tcW w:w="3005" w:type="dxa"/>
        </w:tcPr>
        <w:p w14:paraId="08AFD7FA" w14:textId="6FE983B6" w:rsidR="444E8B72" w:rsidRDefault="444E8B72" w:rsidP="444E8B72">
          <w:pPr>
            <w:pStyle w:val="Header"/>
            <w:jc w:val="center"/>
          </w:pPr>
        </w:p>
      </w:tc>
      <w:tc>
        <w:tcPr>
          <w:tcW w:w="3005" w:type="dxa"/>
        </w:tcPr>
        <w:p w14:paraId="514C1525" w14:textId="4FD01FE5" w:rsidR="444E8B72" w:rsidRDefault="444E8B72" w:rsidP="444E8B72">
          <w:pPr>
            <w:pStyle w:val="Header"/>
            <w:ind w:right="-115"/>
            <w:jc w:val="right"/>
          </w:pPr>
        </w:p>
      </w:tc>
    </w:tr>
  </w:tbl>
  <w:p w14:paraId="55A9F288" w14:textId="31283191" w:rsidR="444E8B72" w:rsidRDefault="444E8B72" w:rsidP="444E8B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1DD9C"/>
    <w:multiLevelType w:val="hybridMultilevel"/>
    <w:tmpl w:val="FFFFFFFF"/>
    <w:lvl w:ilvl="0" w:tplc="02E0A954">
      <w:start w:val="1"/>
      <w:numFmt w:val="bullet"/>
      <w:lvlText w:val=""/>
      <w:lvlJc w:val="left"/>
      <w:pPr>
        <w:ind w:left="720" w:hanging="360"/>
      </w:pPr>
      <w:rPr>
        <w:rFonts w:ascii="Symbol" w:hAnsi="Symbol" w:hint="default"/>
      </w:rPr>
    </w:lvl>
    <w:lvl w:ilvl="1" w:tplc="7E3E73A8">
      <w:start w:val="1"/>
      <w:numFmt w:val="bullet"/>
      <w:lvlText w:val="o"/>
      <w:lvlJc w:val="left"/>
      <w:pPr>
        <w:ind w:left="1440" w:hanging="360"/>
      </w:pPr>
      <w:rPr>
        <w:rFonts w:ascii="Courier New" w:hAnsi="Courier New" w:hint="default"/>
      </w:rPr>
    </w:lvl>
    <w:lvl w:ilvl="2" w:tplc="606A15BE">
      <w:start w:val="1"/>
      <w:numFmt w:val="bullet"/>
      <w:lvlText w:val=""/>
      <w:lvlJc w:val="left"/>
      <w:pPr>
        <w:ind w:left="2160" w:hanging="360"/>
      </w:pPr>
      <w:rPr>
        <w:rFonts w:ascii="Wingdings" w:hAnsi="Wingdings" w:hint="default"/>
      </w:rPr>
    </w:lvl>
    <w:lvl w:ilvl="3" w:tplc="75DE40F8">
      <w:start w:val="1"/>
      <w:numFmt w:val="bullet"/>
      <w:lvlText w:val=""/>
      <w:lvlJc w:val="left"/>
      <w:pPr>
        <w:ind w:left="2880" w:hanging="360"/>
      </w:pPr>
      <w:rPr>
        <w:rFonts w:ascii="Symbol" w:hAnsi="Symbol" w:hint="default"/>
      </w:rPr>
    </w:lvl>
    <w:lvl w:ilvl="4" w:tplc="B5168BEC">
      <w:start w:val="1"/>
      <w:numFmt w:val="bullet"/>
      <w:lvlText w:val="o"/>
      <w:lvlJc w:val="left"/>
      <w:pPr>
        <w:ind w:left="3600" w:hanging="360"/>
      </w:pPr>
      <w:rPr>
        <w:rFonts w:ascii="Courier New" w:hAnsi="Courier New" w:hint="default"/>
      </w:rPr>
    </w:lvl>
    <w:lvl w:ilvl="5" w:tplc="58E01A4C">
      <w:start w:val="1"/>
      <w:numFmt w:val="bullet"/>
      <w:lvlText w:val=""/>
      <w:lvlJc w:val="left"/>
      <w:pPr>
        <w:ind w:left="4320" w:hanging="360"/>
      </w:pPr>
      <w:rPr>
        <w:rFonts w:ascii="Wingdings" w:hAnsi="Wingdings" w:hint="default"/>
      </w:rPr>
    </w:lvl>
    <w:lvl w:ilvl="6" w:tplc="5A18BC94">
      <w:start w:val="1"/>
      <w:numFmt w:val="bullet"/>
      <w:lvlText w:val=""/>
      <w:lvlJc w:val="left"/>
      <w:pPr>
        <w:ind w:left="5040" w:hanging="360"/>
      </w:pPr>
      <w:rPr>
        <w:rFonts w:ascii="Symbol" w:hAnsi="Symbol" w:hint="default"/>
      </w:rPr>
    </w:lvl>
    <w:lvl w:ilvl="7" w:tplc="04D4B71A">
      <w:start w:val="1"/>
      <w:numFmt w:val="bullet"/>
      <w:lvlText w:val="o"/>
      <w:lvlJc w:val="left"/>
      <w:pPr>
        <w:ind w:left="5760" w:hanging="360"/>
      </w:pPr>
      <w:rPr>
        <w:rFonts w:ascii="Courier New" w:hAnsi="Courier New" w:hint="default"/>
      </w:rPr>
    </w:lvl>
    <w:lvl w:ilvl="8" w:tplc="F9D86458">
      <w:start w:val="1"/>
      <w:numFmt w:val="bullet"/>
      <w:lvlText w:val=""/>
      <w:lvlJc w:val="left"/>
      <w:pPr>
        <w:ind w:left="6480" w:hanging="360"/>
      </w:pPr>
      <w:rPr>
        <w:rFonts w:ascii="Wingdings" w:hAnsi="Wingdings" w:hint="default"/>
      </w:rPr>
    </w:lvl>
  </w:abstractNum>
  <w:num w:numId="1" w16cid:durableId="18307108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690B"/>
    <w:rsid w:val="00032973"/>
    <w:rsid w:val="00082036"/>
    <w:rsid w:val="00161579"/>
    <w:rsid w:val="001A3FD4"/>
    <w:rsid w:val="002F7C10"/>
    <w:rsid w:val="00393F6D"/>
    <w:rsid w:val="00402DEC"/>
    <w:rsid w:val="0046571B"/>
    <w:rsid w:val="00472590"/>
    <w:rsid w:val="004D30E8"/>
    <w:rsid w:val="004F13A1"/>
    <w:rsid w:val="00565695"/>
    <w:rsid w:val="007B690B"/>
    <w:rsid w:val="00894CAF"/>
    <w:rsid w:val="00983FF2"/>
    <w:rsid w:val="00B45B96"/>
    <w:rsid w:val="00C5185B"/>
    <w:rsid w:val="00C744AF"/>
    <w:rsid w:val="00C83D1E"/>
    <w:rsid w:val="00C9544E"/>
    <w:rsid w:val="00CF6110"/>
    <w:rsid w:val="00D12195"/>
    <w:rsid w:val="00F86DF1"/>
    <w:rsid w:val="01225F46"/>
    <w:rsid w:val="0267ED83"/>
    <w:rsid w:val="026C7692"/>
    <w:rsid w:val="03DC4F1E"/>
    <w:rsid w:val="05A2EC0C"/>
    <w:rsid w:val="07EE9E19"/>
    <w:rsid w:val="09BF37E1"/>
    <w:rsid w:val="0BD4A09E"/>
    <w:rsid w:val="0BDAD964"/>
    <w:rsid w:val="0BDCD12C"/>
    <w:rsid w:val="0CDC80A0"/>
    <w:rsid w:val="0EA41D05"/>
    <w:rsid w:val="0FB4780C"/>
    <w:rsid w:val="149E8AF2"/>
    <w:rsid w:val="15C69A11"/>
    <w:rsid w:val="1B7E5B9F"/>
    <w:rsid w:val="1D352F72"/>
    <w:rsid w:val="1EBB6E66"/>
    <w:rsid w:val="1ED2BE76"/>
    <w:rsid w:val="1F530EF7"/>
    <w:rsid w:val="1F682A9E"/>
    <w:rsid w:val="1FB1DB61"/>
    <w:rsid w:val="1FB26531"/>
    <w:rsid w:val="210985D7"/>
    <w:rsid w:val="26AF7258"/>
    <w:rsid w:val="2A1FDC25"/>
    <w:rsid w:val="2DBFC8DA"/>
    <w:rsid w:val="3302DC10"/>
    <w:rsid w:val="33C157BB"/>
    <w:rsid w:val="33F9E255"/>
    <w:rsid w:val="341F6AB9"/>
    <w:rsid w:val="34B624D2"/>
    <w:rsid w:val="34F390CA"/>
    <w:rsid w:val="35734C1F"/>
    <w:rsid w:val="3621C844"/>
    <w:rsid w:val="3AEC192A"/>
    <w:rsid w:val="443F0C0D"/>
    <w:rsid w:val="444E8B72"/>
    <w:rsid w:val="447557E5"/>
    <w:rsid w:val="46BD7142"/>
    <w:rsid w:val="472CE660"/>
    <w:rsid w:val="489A3BFA"/>
    <w:rsid w:val="48D47A91"/>
    <w:rsid w:val="48FD0377"/>
    <w:rsid w:val="4DFDB2E2"/>
    <w:rsid w:val="500E9F94"/>
    <w:rsid w:val="50B1418F"/>
    <w:rsid w:val="548AF6A2"/>
    <w:rsid w:val="572A2BCC"/>
    <w:rsid w:val="57D2D4A7"/>
    <w:rsid w:val="57E0505C"/>
    <w:rsid w:val="58E05434"/>
    <w:rsid w:val="592D86C5"/>
    <w:rsid w:val="5DC6E922"/>
    <w:rsid w:val="5E776F63"/>
    <w:rsid w:val="5F5F171C"/>
    <w:rsid w:val="6221E9F1"/>
    <w:rsid w:val="629B7525"/>
    <w:rsid w:val="6481A443"/>
    <w:rsid w:val="67BE4E0C"/>
    <w:rsid w:val="6812B83A"/>
    <w:rsid w:val="6926593A"/>
    <w:rsid w:val="69B0A069"/>
    <w:rsid w:val="6BA85FCC"/>
    <w:rsid w:val="6BCA103D"/>
    <w:rsid w:val="6D753639"/>
    <w:rsid w:val="6F10B127"/>
    <w:rsid w:val="71518F9F"/>
    <w:rsid w:val="77C291FB"/>
    <w:rsid w:val="7922E713"/>
    <w:rsid w:val="79332126"/>
    <w:rsid w:val="7D16E8CD"/>
    <w:rsid w:val="7DEFFE88"/>
    <w:rsid w:val="7ED6C57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5DAC1"/>
  <w15:chartTrackingRefBased/>
  <w15:docId w15:val="{93CBCE3F-535C-4170-9072-7F6E3BFE0F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69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69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69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69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69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69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69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69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69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69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69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69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69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69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69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69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69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690B"/>
    <w:rPr>
      <w:rFonts w:eastAsiaTheme="majorEastAsia" w:cstheme="majorBidi"/>
      <w:color w:val="272727" w:themeColor="text1" w:themeTint="D8"/>
    </w:rPr>
  </w:style>
  <w:style w:type="paragraph" w:styleId="Title">
    <w:name w:val="Title"/>
    <w:basedOn w:val="Normal"/>
    <w:next w:val="Normal"/>
    <w:link w:val="TitleChar"/>
    <w:uiPriority w:val="10"/>
    <w:qFormat/>
    <w:rsid w:val="007B69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69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69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69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690B"/>
    <w:pPr>
      <w:spacing w:before="160"/>
      <w:jc w:val="center"/>
    </w:pPr>
    <w:rPr>
      <w:i/>
      <w:iCs/>
      <w:color w:val="404040" w:themeColor="text1" w:themeTint="BF"/>
    </w:rPr>
  </w:style>
  <w:style w:type="character" w:customStyle="1" w:styleId="QuoteChar">
    <w:name w:val="Quote Char"/>
    <w:basedOn w:val="DefaultParagraphFont"/>
    <w:link w:val="Quote"/>
    <w:uiPriority w:val="29"/>
    <w:rsid w:val="007B690B"/>
    <w:rPr>
      <w:i/>
      <w:iCs/>
      <w:color w:val="404040" w:themeColor="text1" w:themeTint="BF"/>
    </w:rPr>
  </w:style>
  <w:style w:type="paragraph" w:styleId="ListParagraph">
    <w:name w:val="List Paragraph"/>
    <w:basedOn w:val="Normal"/>
    <w:uiPriority w:val="34"/>
    <w:qFormat/>
    <w:rsid w:val="007B690B"/>
    <w:pPr>
      <w:ind w:left="720"/>
      <w:contextualSpacing/>
    </w:pPr>
  </w:style>
  <w:style w:type="character" w:styleId="IntenseEmphasis">
    <w:name w:val="Intense Emphasis"/>
    <w:basedOn w:val="DefaultParagraphFont"/>
    <w:uiPriority w:val="21"/>
    <w:qFormat/>
    <w:rsid w:val="007B690B"/>
    <w:rPr>
      <w:i/>
      <w:iCs/>
      <w:color w:val="0F4761" w:themeColor="accent1" w:themeShade="BF"/>
    </w:rPr>
  </w:style>
  <w:style w:type="paragraph" w:styleId="IntenseQuote">
    <w:name w:val="Intense Quote"/>
    <w:basedOn w:val="Normal"/>
    <w:next w:val="Normal"/>
    <w:link w:val="IntenseQuoteChar"/>
    <w:uiPriority w:val="30"/>
    <w:qFormat/>
    <w:rsid w:val="007B69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690B"/>
    <w:rPr>
      <w:i/>
      <w:iCs/>
      <w:color w:val="0F4761" w:themeColor="accent1" w:themeShade="BF"/>
    </w:rPr>
  </w:style>
  <w:style w:type="character" w:styleId="IntenseReference">
    <w:name w:val="Intense Reference"/>
    <w:basedOn w:val="DefaultParagraphFont"/>
    <w:uiPriority w:val="32"/>
    <w:qFormat/>
    <w:rsid w:val="007B690B"/>
    <w:rPr>
      <w:b/>
      <w:bCs/>
      <w:smallCaps/>
      <w:color w:val="0F4761" w:themeColor="accent1" w:themeShade="BF"/>
      <w:spacing w:val="5"/>
    </w:rPr>
  </w:style>
  <w:style w:type="character" w:styleId="Hyperlink">
    <w:name w:val="Hyperlink"/>
    <w:basedOn w:val="DefaultParagraphFont"/>
    <w:uiPriority w:val="99"/>
    <w:unhideWhenUsed/>
    <w:rsid w:val="007B690B"/>
    <w:rPr>
      <w:color w:val="467886" w:themeColor="hyperlink"/>
      <w:u w:val="single"/>
    </w:rPr>
  </w:style>
  <w:style w:type="character" w:styleId="UnresolvedMention">
    <w:name w:val="Unresolved Mention"/>
    <w:basedOn w:val="DefaultParagraphFont"/>
    <w:uiPriority w:val="99"/>
    <w:semiHidden/>
    <w:unhideWhenUsed/>
    <w:rsid w:val="007B690B"/>
    <w:rPr>
      <w:color w:val="605E5C"/>
      <w:shd w:val="clear" w:color="auto" w:fill="E1DFDD"/>
    </w:rPr>
  </w:style>
  <w:style w:type="paragraph" w:styleId="Header">
    <w:name w:val="header"/>
    <w:basedOn w:val="Normal"/>
    <w:uiPriority w:val="99"/>
    <w:unhideWhenUsed/>
    <w:rsid w:val="444E8B72"/>
    <w:pPr>
      <w:tabs>
        <w:tab w:val="center" w:pos="4680"/>
        <w:tab w:val="right" w:pos="9360"/>
      </w:tabs>
      <w:spacing w:after="0" w:line="240" w:lineRule="auto"/>
    </w:pPr>
  </w:style>
  <w:style w:type="paragraph" w:styleId="Footer">
    <w:name w:val="footer"/>
    <w:basedOn w:val="Normal"/>
    <w:uiPriority w:val="99"/>
    <w:unhideWhenUsed/>
    <w:rsid w:val="444E8B72"/>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ngland.nhs.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igital.nhs.uk/"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ice.org.uk/guidance/ng222" TargetMode="External"/><Relationship Id="rId5" Type="http://schemas.openxmlformats.org/officeDocument/2006/relationships/styles" Target="styles.xml"/><Relationship Id="rId15" Type="http://schemas.openxmlformats.org/officeDocument/2006/relationships/hyperlink" Target="https://www.who.int/news-room/fact-sheets/detail/depression" TargetMode="External"/><Relationship Id="rId10" Type="http://schemas.openxmlformats.org/officeDocument/2006/relationships/hyperlink" Target="https://www.mentalhealth.org.uk/"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e40d94fe3775ac3f17f80143c73747f0">
  <xsd:schema xmlns:xsd="http://www.w3.org/2001/XMLSchema" xmlns:xs="http://www.w3.org/2001/XMLSchema" xmlns:p="http://schemas.microsoft.com/office/2006/metadata/properties" xmlns:ns3="21f98238-5914-40fc-b2db-49ce196065c9" targetNamespace="http://schemas.microsoft.com/office/2006/metadata/properties" ma:root="true" ma:fieldsID="127f38d6a99df68c79e1248c68e648b2"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0D46FFA-74F8-426A-AFCA-2440D6BCB6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4674FC6-64B4-42F9-BE93-6B4E776F32AE}">
  <ds:schemaRefs>
    <ds:schemaRef ds:uri="http://schemas.microsoft.com/office/2006/metadata/properties"/>
    <ds:schemaRef ds:uri="http://schemas.microsoft.com/office/infopath/2007/PartnerControls"/>
    <ds:schemaRef ds:uri="21f98238-5914-40fc-b2db-49ce196065c9"/>
  </ds:schemaRefs>
</ds:datastoreItem>
</file>

<file path=customXml/itemProps3.xml><?xml version="1.0" encoding="utf-8"?>
<ds:datastoreItem xmlns:ds="http://schemas.openxmlformats.org/officeDocument/2006/customXml" ds:itemID="{03B467B5-9962-4782-99CE-EB9C219F339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2174</Words>
  <Characters>12396</Characters>
  <Application>Microsoft Office Word</Application>
  <DocSecurity>0</DocSecurity>
  <Lines>103</Lines>
  <Paragraphs>29</Paragraphs>
  <ScaleCrop>false</ScaleCrop>
  <Company/>
  <LinksUpToDate>false</LinksUpToDate>
  <CharactersWithSpaces>14541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Heshu Ahmed (2522882)</dc:creator>
  <cp:keywords/>
  <dc:description/>
  <cp:lastModifiedBy>Heshu Ahmed (2522882)</cp:lastModifiedBy>
  <cp:revision>2</cp:revision>
  <dcterms:created xsi:type="dcterms:W3CDTF">2026-07-11T19:47:00Z</dcterms:created>
  <dcterms:modified xsi:type="dcterms:W3CDTF">2026-07-11T19:47:00Z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