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F1FEA85" w:rsidP="4D27A931" w:rsidRDefault="0F1FEA85" w14:paraId="453B7818" w14:textId="19CFD9F6">
      <w:pPr>
        <w:spacing w:line="360" w:lineRule="exact"/>
        <w:jc w:val="both"/>
        <w:rPr>
          <w:rFonts w:ascii="Times New Roman" w:hAnsi="Times New Roman" w:eastAsia="Times New Roman" w:cs="Times New Roman"/>
          <w:b w:val="1"/>
          <w:bCs w:val="1"/>
          <w:noProof w:val="0"/>
          <w:color w:val="000000" w:themeColor="text1" w:themeTint="FF" w:themeShade="FF"/>
          <w:sz w:val="24"/>
          <w:szCs w:val="24"/>
          <w:lang w:val="en-GB"/>
        </w:rPr>
      </w:pPr>
      <w:r w:rsidRPr="4D27A931" w:rsidR="4D27A931">
        <w:rPr>
          <w:rFonts w:ascii="Times New Roman" w:hAnsi="Times New Roman" w:eastAsia="Times New Roman" w:cs="Times New Roman"/>
          <w:b w:val="1"/>
          <w:bCs w:val="1"/>
          <w:noProof w:val="0"/>
          <w:color w:val="000000" w:themeColor="text1" w:themeTint="FF" w:themeShade="FF"/>
          <w:sz w:val="24"/>
          <w:szCs w:val="24"/>
          <w:u w:val="single"/>
          <w:lang w:val="en-GB"/>
        </w:rPr>
        <w:t>Part 1</w:t>
      </w:r>
      <w:r w:rsidRPr="4D27A931" w:rsidR="4D27A931">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0F1FEA85" w:rsidP="0F1C4422" w:rsidRDefault="0F1FEA85" w14:paraId="52725AE1" w14:textId="4F9682F4">
      <w:pPr>
        <w:pStyle w:val="Normal"/>
        <w:spacing w:line="360" w:lineRule="exact"/>
        <w:jc w:val="both"/>
        <w:rPr>
          <w:rFonts w:ascii="Times New Roman" w:hAnsi="Times New Roman" w:eastAsia="Times New Roman" w:cs="Times New Roman"/>
          <w:i w:val="1"/>
          <w:iCs w:val="1"/>
          <w:noProof w:val="0"/>
          <w:color w:val="000000" w:themeColor="text1" w:themeTint="FF" w:themeShade="FF"/>
          <w:sz w:val="24"/>
          <w:szCs w:val="24"/>
          <w:lang w:val="en-GB"/>
        </w:rPr>
      </w:pPr>
      <w:r w:rsidRPr="0F1C4422" w:rsidR="0F1C4422">
        <w:rPr>
          <w:rFonts w:ascii="Times New Roman" w:hAnsi="Times New Roman" w:eastAsia="Times New Roman" w:cs="Times New Roman"/>
          <w:i w:val="1"/>
          <w:iCs w:val="1"/>
          <w:noProof w:val="0"/>
          <w:color w:val="000000" w:themeColor="text1" w:themeTint="FF" w:themeShade="FF"/>
          <w:sz w:val="24"/>
          <w:szCs w:val="24"/>
          <w:lang w:val="en-GB"/>
        </w:rPr>
        <w:t>Re-write a passage of text in appropriate academic language.  Correct the referencing errors in both the body of the text and the reference list.</w:t>
      </w:r>
    </w:p>
    <w:p w:rsidR="4D27A931" w:rsidP="4D27A931" w:rsidRDefault="4D27A931" w14:paraId="61C31F44" w14:textId="1C09367E">
      <w:pPr>
        <w:pStyle w:val="Normal"/>
        <w:spacing w:line="360" w:lineRule="exact"/>
        <w:jc w:val="both"/>
        <w:rPr>
          <w:rFonts w:ascii="Times New Roman" w:hAnsi="Times New Roman" w:eastAsia="Times New Roman" w:cs="Times New Roman"/>
          <w:noProof w:val="0"/>
          <w:color w:val="000000" w:themeColor="text1" w:themeTint="FF" w:themeShade="FF"/>
          <w:sz w:val="24"/>
          <w:szCs w:val="24"/>
          <w:lang w:val="en-GB"/>
        </w:rPr>
      </w:pPr>
    </w:p>
    <w:p w:rsidR="0F1FEA85" w:rsidP="4D27A931" w:rsidRDefault="0F1FEA85" w14:paraId="762DF770" w14:textId="6F39461C">
      <w:pPr>
        <w:spacing w:line="360" w:lineRule="exact"/>
        <w:jc w:val="both"/>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 xml:space="preserve">Academics frequently discuss what the true meaning of </w:t>
      </w:r>
      <w:r w:rsidRPr="4D27A931" w:rsidR="4D27A931">
        <w:rPr>
          <w:rFonts w:ascii="Times New Roman" w:hAnsi="Times New Roman" w:eastAsia="Times New Roman" w:cs="Times New Roman"/>
          <w:noProof w:val="0"/>
          <w:color w:val="000000" w:themeColor="text1" w:themeTint="FF" w:themeShade="FF"/>
          <w:sz w:val="24"/>
          <w:szCs w:val="24"/>
          <w:lang w:val="en-GB"/>
        </w:rPr>
        <w:t>‘Poverty’ is</w:t>
      </w:r>
      <w:r w:rsidRPr="4D27A931" w:rsidR="4D27A931">
        <w:rPr>
          <w:rFonts w:ascii="Times New Roman" w:hAnsi="Times New Roman" w:eastAsia="Times New Roman" w:cs="Times New Roman"/>
          <w:noProof w:val="0"/>
          <w:color w:val="000000" w:themeColor="text1" w:themeTint="FF" w:themeShade="FF"/>
          <w:sz w:val="24"/>
          <w:szCs w:val="24"/>
          <w:lang w:val="en-GB"/>
        </w:rPr>
        <w:t>.  Not everyone agrees what poverty is and many academics try and explore what it is.</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  Nonetheless, </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the reality of it, is different from what is written about it, where these people in society </w:t>
      </w:r>
      <w:r w:rsidRPr="4D27A931" w:rsidR="4D27A931">
        <w:rPr>
          <w:rFonts w:ascii="Times New Roman" w:hAnsi="Times New Roman" w:eastAsia="Times New Roman" w:cs="Times New Roman"/>
          <w:noProof w:val="0"/>
          <w:color w:val="000000" w:themeColor="text1" w:themeTint="FF" w:themeShade="FF"/>
          <w:sz w:val="24"/>
          <w:szCs w:val="24"/>
          <w:lang w:val="en-GB"/>
        </w:rPr>
        <w:t>haven't</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 got enough to live on.</w:t>
      </w:r>
    </w:p>
    <w:p w:rsidR="0F1FEA85" w:rsidP="0F1C4422" w:rsidRDefault="0F1FEA85" w14:paraId="42612EDB" w14:textId="5E4C74E1">
      <w:pPr>
        <w:spacing w:line="360" w:lineRule="exact"/>
        <w:jc w:val="both"/>
        <w:rPr>
          <w:rFonts w:ascii="Times New Roman" w:hAnsi="Times New Roman" w:eastAsia="Times New Roman" w:cs="Times New Roman"/>
          <w:noProof w:val="0"/>
          <w:color w:val="000000" w:themeColor="text1" w:themeTint="FF" w:themeShade="FF"/>
          <w:sz w:val="24"/>
          <w:szCs w:val="24"/>
          <w:lang w:val="en-GB"/>
        </w:rPr>
      </w:pPr>
      <w:r w:rsidRPr="0F1C4422" w:rsidR="0F1C4422">
        <w:rPr>
          <w:rFonts w:ascii="Times New Roman" w:hAnsi="Times New Roman" w:eastAsia="Times New Roman" w:cs="Times New Roman"/>
          <w:noProof w:val="0"/>
          <w:color w:val="000000" w:themeColor="text1" w:themeTint="FF" w:themeShade="FF"/>
          <w:sz w:val="24"/>
          <w:szCs w:val="24"/>
          <w:lang w:val="en-GB"/>
        </w:rPr>
        <w:t>Lister (2004) suggests that how society talk about and define poverty are often different and academics need to write a better set of definitions. A concept is ‘in essence… about the meanings of poverty—both to those who experience it and to different groups in society’ (Lister, p. 4).  The question of whether poverty is about limited access, or about surviving in the modern world, is a just an academic question. A definition is a statement that explains the meaning of a phrase or a word  in detail and to understand the concept of what is meant by being extremely poor and how this is a lot different from having wealth and affluence; for example, if the concept is the insufficiency of belongings or property, this lack could be defend in many different ways. The Government measures poverty to improve definitions so that they can fully understand how bad poverty is.  In practice, many policy makers have written about what they think poverty is and how to calculate it with figures. But they could have achieved this by understanding the finer points.</w:t>
      </w:r>
    </w:p>
    <w:p w:rsidR="0F1FEA85" w:rsidP="0F1FEA85" w:rsidRDefault="0F1FEA85" w14:paraId="40982B16" w14:textId="434B1322">
      <w:pPr>
        <w:spacing w:line="360" w:lineRule="exact"/>
        <w:jc w:val="both"/>
      </w:pPr>
      <w:r w:rsidRPr="0F1C4422" w:rsidR="0F1C4422">
        <w:rPr>
          <w:rFonts w:ascii="Times New Roman" w:hAnsi="Times New Roman" w:eastAsia="Times New Roman" w:cs="Times New Roman"/>
          <w:noProof w:val="0"/>
          <w:color w:val="000000" w:themeColor="text1" w:themeTint="FF" w:themeShade="FF"/>
          <w:sz w:val="24"/>
          <w:szCs w:val="24"/>
          <w:lang w:val="en-GB"/>
        </w:rPr>
        <w:t xml:space="preserve">Booth (1987) ‘survey of London in the 1880s’ was the first time anyone had tried to get data on how bad poverty was in the United Kingdom. Booth identified that there was a line we couldn’t cross and called this the ‘line of poverty’, he saw poverty as the point of income where an individual couldn’t survive: </w:t>
      </w:r>
    </w:p>
    <w:p w:rsidR="0F1FEA85" w:rsidP="4D27A931" w:rsidRDefault="0F1FEA85" w14:paraId="51B0041D" w14:textId="6C1B0643">
      <w:pPr>
        <w:jc w:val="both"/>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w:t>
      </w:r>
      <w:r w:rsidRPr="4D27A931" w:rsidR="4D27A931">
        <w:rPr>
          <w:rFonts w:ascii="Times New Roman" w:hAnsi="Times New Roman" w:eastAsia="Times New Roman" w:cs="Times New Roman"/>
          <w:noProof w:val="0"/>
          <w:color w:val="000000" w:themeColor="text1" w:themeTint="FF" w:themeShade="FF"/>
          <w:sz w:val="24"/>
          <w:szCs w:val="24"/>
          <w:lang w:val="en-GB"/>
        </w:rPr>
        <w:t>By the word poor I mean to describe those who have a fairly regular though bare income, such as 18 shillings to 2 shillings per week for a moderate family, and by ‘very poor’ those who fall below this standard, whether from chronic irregularity of work, sickness or a large number of young children</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 </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(Booth </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talking </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to the Royal Statistical Society in 1887; quoted by </w:t>
      </w:r>
      <w:proofErr w:type="spellStart"/>
      <w:r w:rsidRPr="4D27A931" w:rsidR="4D27A931">
        <w:rPr>
          <w:rFonts w:ascii="Times New Roman" w:hAnsi="Times New Roman" w:eastAsia="Times New Roman" w:cs="Times New Roman"/>
          <w:noProof w:val="0"/>
          <w:color w:val="000000" w:themeColor="text1" w:themeTint="FF" w:themeShade="FF"/>
          <w:sz w:val="24"/>
          <w:szCs w:val="24"/>
          <w:lang w:val="en-GB"/>
        </w:rPr>
        <w:t>Glennerster</w:t>
      </w:r>
      <w:proofErr w:type="spellEnd"/>
      <w:r w:rsidRPr="4D27A931" w:rsidR="4D27A931">
        <w:rPr>
          <w:rFonts w:ascii="Times New Roman" w:hAnsi="Times New Roman" w:eastAsia="Times New Roman" w:cs="Times New Roman"/>
          <w:noProof w:val="0"/>
          <w:color w:val="000000" w:themeColor="text1" w:themeTint="FF" w:themeShade="FF"/>
          <w:sz w:val="24"/>
          <w:szCs w:val="24"/>
          <w:lang w:val="en-GB"/>
        </w:rPr>
        <w:t xml:space="preserve"> 2004).</w:t>
      </w:r>
    </w:p>
    <w:p w:rsidR="0F1FEA85" w:rsidP="0F1FEA85" w:rsidRDefault="0F1FEA85" w14:paraId="09C0A875" w14:textId="56D36B18">
      <w:pPr>
        <w:spacing w:line="360" w:lineRule="exact"/>
        <w:jc w:val="both"/>
      </w:pPr>
      <w:r w:rsidRPr="0F1C4422" w:rsidR="0F1C4422">
        <w:rPr>
          <w:rFonts w:ascii="Times New Roman" w:hAnsi="Times New Roman" w:eastAsia="Times New Roman" w:cs="Times New Roman"/>
          <w:noProof w:val="0"/>
          <w:color w:val="000000" w:themeColor="text1" w:themeTint="FF" w:themeShade="FF"/>
          <w:sz w:val="24"/>
          <w:szCs w:val="24"/>
          <w:lang w:val="en-GB"/>
        </w:rPr>
        <w:t>As Gillie (1996) outlines, the definition of poverty was completed in a way to get people to understand what he meant, Booth (1987) used this in his research to inform the public what he defined as poor.; the research focused on the concept of what poor was defined as and about how everyone in the School Board employees had surveyed people who visited each household.  Gillie (1996) explored that one of the main issues was the amount of people occupying a small house and about servants, and how much money they got from their employer. Whatever, this work just looked at income and living standards in houses, how bad properties where.  Instead of jobs, children’s health and attending school, while Booth’s focused on his belief that lack of income was the main problem that made people poor and not having the necessary resources.  Booth also blamed the addiction of ‘drink and thrift lessness' as a problem for only a few. Booth (1897). pp. 147–148.</w:t>
      </w:r>
    </w:p>
    <w:p w:rsidR="0F1FEA85" w:rsidP="0F1C4422" w:rsidRDefault="0F1FEA85" w14:paraId="43D4DBB9" w14:textId="341680F7">
      <w:pPr>
        <w:spacing w:line="360" w:lineRule="exact"/>
        <w:jc w:val="both"/>
        <w:rPr>
          <w:rFonts w:ascii="Times New Roman" w:hAnsi="Times New Roman" w:eastAsia="Times New Roman" w:cs="Times New Roman"/>
          <w:noProof w:val="0"/>
          <w:color w:val="000000" w:themeColor="text1" w:themeTint="FF" w:themeShade="FF"/>
          <w:sz w:val="24"/>
          <w:szCs w:val="24"/>
          <w:lang w:val="en-GB"/>
        </w:rPr>
      </w:pPr>
      <w:r w:rsidRPr="0F1C4422" w:rsidR="0F1C4422">
        <w:rPr>
          <w:rFonts w:ascii="Times New Roman" w:hAnsi="Times New Roman" w:eastAsia="Times New Roman" w:cs="Times New Roman"/>
          <w:noProof w:val="0"/>
          <w:color w:val="000000" w:themeColor="text1" w:themeTint="FF" w:themeShade="FF"/>
          <w:sz w:val="24"/>
          <w:szCs w:val="24"/>
          <w:lang w:val="en-GB"/>
        </w:rPr>
        <w:t xml:space="preserve">Rowntree (1901) completed the same ‘visual identification’ to present his 1899 study of York. </w:t>
      </w:r>
      <w:proofErr w:type="spellStart"/>
      <w:r w:rsidRPr="0F1C4422" w:rsidR="0F1C4422">
        <w:rPr>
          <w:rFonts w:ascii="Times New Roman" w:hAnsi="Times New Roman" w:eastAsia="Times New Roman" w:cs="Times New Roman"/>
          <w:noProof w:val="0"/>
          <w:color w:val="000000" w:themeColor="text1" w:themeTint="FF" w:themeShade="FF"/>
          <w:sz w:val="24"/>
          <w:szCs w:val="24"/>
          <w:lang w:val="en-GB"/>
        </w:rPr>
        <w:t>Veit</w:t>
      </w:r>
      <w:proofErr w:type="spellEnd"/>
      <w:r w:rsidRPr="0F1C4422" w:rsidR="0F1C4422">
        <w:rPr>
          <w:rFonts w:ascii="Times New Roman" w:hAnsi="Times New Roman" w:eastAsia="Times New Roman" w:cs="Times New Roman"/>
          <w:noProof w:val="0"/>
          <w:color w:val="000000" w:themeColor="text1" w:themeTint="FF" w:themeShade="FF"/>
          <w:sz w:val="24"/>
          <w:szCs w:val="24"/>
          <w:lang w:val="en-GB"/>
        </w:rPr>
        <w:t xml:space="preserve">-Wilson (1986). Pp. 69- 99. Whether families were ‘living in obvious want and squalor’ (Rowntree, p. 114). Lack of income was not a focus for this assessment, as </w:t>
      </w:r>
      <w:proofErr w:type="spellStart"/>
      <w:r w:rsidRPr="0F1C4422" w:rsidR="0F1C4422">
        <w:rPr>
          <w:rFonts w:ascii="Times New Roman" w:hAnsi="Times New Roman" w:eastAsia="Times New Roman" w:cs="Times New Roman"/>
          <w:noProof w:val="0"/>
          <w:color w:val="000000" w:themeColor="text1" w:themeTint="FF" w:themeShade="FF"/>
          <w:sz w:val="24"/>
          <w:szCs w:val="24"/>
          <w:lang w:val="en-GB"/>
        </w:rPr>
        <w:t>Veit</w:t>
      </w:r>
      <w:proofErr w:type="spellEnd"/>
      <w:r w:rsidRPr="0F1C4422" w:rsidR="0F1C4422">
        <w:rPr>
          <w:rFonts w:ascii="Times New Roman" w:hAnsi="Times New Roman" w:eastAsia="Times New Roman" w:cs="Times New Roman"/>
          <w:noProof w:val="0"/>
          <w:color w:val="000000" w:themeColor="text1" w:themeTint="FF" w:themeShade="FF"/>
          <w:sz w:val="24"/>
          <w:szCs w:val="24"/>
          <w:lang w:val="en-GB"/>
        </w:rPr>
        <w:t>-Wilson focused on. As Booth’s, Rowntree’s money based poverty line was developed after the survey, mainly to see the difference between families in ‘primary’ and ‘secondary’ poverty —those who could not afford ‘necessities’ with their income, and those who could, due to them not spending money on useful or otherwise such items. Rowntree’s (1901) was one of the first such attempts at definition,  he looked at the ‘primary’ and the concept of the amount of money needed to live: families were poor if their money was not enough to allow them to purchase what they needed to maintain physical efficiency. This ‘subsistence standard’ approach became widely used afterwards, first by Academic’s and then by the government. Abel-Smith and Townsend, (1965). Rowntree’s (1901) second survey, in 1936 developed the elements in understanding the necessities needed to include other needs, such as radio, newspapers and presents for children, but the underlying concept of poverty was insufficient material resources to meet a person’s needs (however defend) remained.</w:t>
      </w:r>
      <w:proofErr w:type="spellStart"/>
      <w:proofErr w:type="spellEnd"/>
      <w:proofErr w:type="spellStart"/>
      <w:proofErr w:type="spellEnd"/>
    </w:p>
    <w:p w:rsidR="0F1FEA85" w:rsidP="0F1FEA85" w:rsidRDefault="0F1FEA85" w14:paraId="0F35A69E" w14:textId="76CF4DEA">
      <w:pPr>
        <w:spacing w:line="360" w:lineRule="exact"/>
        <w:jc w:val="both"/>
      </w:pPr>
      <w:r w:rsidRPr="0F1C4422" w:rsidR="0F1C4422">
        <w:rPr>
          <w:rFonts w:ascii="Times New Roman" w:hAnsi="Times New Roman" w:eastAsia="Times New Roman" w:cs="Times New Roman"/>
          <w:noProof w:val="0"/>
          <w:color w:val="000000" w:themeColor="text1" w:themeTint="FF" w:themeShade="FF"/>
          <w:sz w:val="24"/>
          <w:szCs w:val="24"/>
          <w:lang w:val="en-GB"/>
        </w:rPr>
        <w:t xml:space="preserve">After Booth (1902) and Rowntree (1901) this concept of poverty appears to have become so widely accepted that many researchers have refined this field of study.  Abel-Smith and Townsend (1965) work opts to use National Assistance rates as the national poverty line and includes a discussion of whether money earned and then spent gives a more accurate measure of standard of living. Niemietz (2011) built an extended critique of the UK’s official approach to poverty measurement, and the relative income measure, but does not question the debate that poverty is about stuff. </w:t>
      </w:r>
    </w:p>
    <w:p w:rsidR="0F1FEA85" w:rsidP="0F1C4422" w:rsidRDefault="0F1FEA85" w14:paraId="77433A2E" w14:textId="00DB2ECA">
      <w:pPr>
        <w:spacing w:line="360" w:lineRule="exact"/>
        <w:jc w:val="both"/>
        <w:rPr>
          <w:rFonts w:ascii="Times New Roman" w:hAnsi="Times New Roman" w:eastAsia="Times New Roman" w:cs="Times New Roman"/>
          <w:noProof w:val="0"/>
          <w:color w:val="000000" w:themeColor="text1" w:themeTint="FF" w:themeShade="FF"/>
          <w:sz w:val="24"/>
          <w:szCs w:val="24"/>
          <w:lang w:val="en-GB"/>
        </w:rPr>
      </w:pPr>
      <w:r w:rsidRPr="0F1C4422" w:rsidR="0F1C4422">
        <w:rPr>
          <w:rFonts w:ascii="Times New Roman" w:hAnsi="Times New Roman" w:eastAsia="Times New Roman" w:cs="Times New Roman"/>
          <w:noProof w:val="0"/>
          <w:color w:val="000000" w:themeColor="text1" w:themeTint="FF" w:themeShade="FF"/>
          <w:sz w:val="24"/>
          <w:szCs w:val="24"/>
          <w:lang w:val="en-GB"/>
        </w:rPr>
        <w:t xml:space="preserve">Townsend (1979) made an influential contribution in exploring an explicitly relative approach to thinking about needs, and called for a wider concept of ‘resources’ to replace ‘income’, defining individuals and families living in poverty </w:t>
      </w:r>
    </w:p>
    <w:p w:rsidR="0F1FEA85" w:rsidP="4D27A931" w:rsidRDefault="0F1FEA85" w14:paraId="2AD7715A" w14:textId="6169B03B">
      <w:pPr>
        <w:jc w:val="both"/>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‘when they lack the resources to obtain the types of diet, participate in the activities and have the living conditions and amenities which are customary… in the societies to which they belong’ (Townsend, 1979).</w:t>
      </w:r>
    </w:p>
    <w:p w:rsidR="0F1FEA85" w:rsidP="0F1C4422" w:rsidRDefault="0F1FEA85" w14:paraId="5C21F529" w14:textId="4F6264FB">
      <w:pPr>
        <w:spacing w:line="360" w:lineRule="exact"/>
        <w:jc w:val="both"/>
        <w:rPr>
          <w:rFonts w:ascii="Times New Roman" w:hAnsi="Times New Roman" w:eastAsia="Times New Roman" w:cs="Times New Roman"/>
          <w:noProof w:val="0"/>
          <w:color w:val="000000" w:themeColor="text1" w:themeTint="FF" w:themeShade="FF"/>
          <w:sz w:val="24"/>
          <w:szCs w:val="24"/>
          <w:lang w:val="en-GB"/>
        </w:rPr>
      </w:pPr>
      <w:r w:rsidRPr="0F1C4422" w:rsidR="0F1C4422">
        <w:rPr>
          <w:rFonts w:ascii="Times New Roman" w:hAnsi="Times New Roman" w:eastAsia="Times New Roman" w:cs="Times New Roman"/>
          <w:noProof w:val="0"/>
          <w:color w:val="000000" w:themeColor="text1" w:themeTint="FF" w:themeShade="FF"/>
          <w:sz w:val="24"/>
          <w:szCs w:val="24"/>
          <w:lang w:val="en-GB"/>
        </w:rPr>
        <w:t>Townsend (1979) developed what he lists under the heading of ‘resources’, include income, assets and home production. Where ‘the value of public social services’, including health and education, hinting at a multidimensional approach, but this is not developed in his 1979 publication.  In his later work he distinguishes clearly between concepts of poverty and (‘as important’) wider deprivation, including isolation, social deprivation, discrimination, and a lack of opportunities for education and employment, arguing that poverty (a lack of resources) is one of the factors that can lead to deprivation: “[Deprivation] turns on the level of conditions or activities experienced, [poverty] on the incomes and other resources directly available” (Townsend 1987, pp. 139–140).</w:t>
      </w:r>
    </w:p>
    <w:p w:rsidR="0F1FEA85" w:rsidP="0F1FEA85" w:rsidRDefault="0F1FEA85" w14:paraId="4AAD355B" w14:textId="5FE85710">
      <w:pPr>
        <w:spacing w:line="360" w:lineRule="exact"/>
        <w:jc w:val="both"/>
      </w:pPr>
      <w:r w:rsidRPr="4D27A931" w:rsidR="4D27A931">
        <w:rPr>
          <w:rFonts w:ascii="Times New Roman" w:hAnsi="Times New Roman" w:eastAsia="Times New Roman" w:cs="Times New Roman"/>
          <w:noProof w:val="0"/>
          <w:color w:val="000000" w:themeColor="text1" w:themeTint="FF" w:themeShade="FF"/>
          <w:sz w:val="24"/>
          <w:szCs w:val="24"/>
          <w:lang w:val="en-GB"/>
        </w:rPr>
        <w:t xml:space="preserve"> </w:t>
      </w:r>
    </w:p>
    <w:p w:rsidR="0F1FEA85" w:rsidP="4D27A931" w:rsidRDefault="0F1FEA85" w14:paraId="4C687860" w14:textId="7E26724A">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598604FA" w14:textId="5CD2853F">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3981C1A2" w14:textId="2C01A014">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0F6DFA83" w14:textId="6B96B3A5">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317EFB94" w14:textId="5790BC72">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2707886A" w14:textId="7FC0DACC">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3B9C6E02" w14:textId="618BA1BD">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39300679" w14:textId="49980C9F">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761E8833" w14:textId="705A8C6E">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4A1FC7C8" w14:textId="4368D52E">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48FF7582" w14:textId="315B8955">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34C0E336" w14:textId="643B8DB6">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4D27A931" w:rsidRDefault="0F1FEA85" w14:paraId="353F9600" w14:textId="21D1D580">
      <w:pPr>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C4422" w:rsidP="0F1C4422" w:rsidRDefault="0F1C4422" w14:paraId="23B8947D" w14:textId="70588B0B">
      <w:pPr>
        <w:pStyle w:val="Normal"/>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C4422" w:rsidP="0F1C4422" w:rsidRDefault="0F1C4422" w14:paraId="35766445" w14:textId="121605BF">
      <w:pPr>
        <w:pStyle w:val="Normal"/>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C4422" w:rsidP="0F1C4422" w:rsidRDefault="0F1C4422" w14:paraId="1B77AC4F" w14:textId="15422185">
      <w:pPr>
        <w:pStyle w:val="Normal"/>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C4422" w:rsidP="0F1C4422" w:rsidRDefault="0F1C4422" w14:paraId="0595F160" w14:textId="04D5C2D9">
      <w:pPr>
        <w:pStyle w:val="Normal"/>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C4422" w:rsidP="0F1C4422" w:rsidRDefault="0F1C4422" w14:paraId="5A6D418A" w14:textId="2708BAFE">
      <w:pPr>
        <w:pStyle w:val="Normal"/>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C4422" w:rsidP="0F1C4422" w:rsidRDefault="0F1C4422" w14:paraId="54B5C596" w14:textId="00FE3780">
      <w:pPr>
        <w:pStyle w:val="Normal"/>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C4422" w:rsidP="0F1C4422" w:rsidRDefault="0F1C4422" w14:paraId="0390348B" w14:textId="6AA08E89">
      <w:pPr>
        <w:pStyle w:val="Normal"/>
        <w:spacing w:line="360" w:lineRule="exact"/>
        <w:jc w:val="both"/>
        <w:rPr>
          <w:rFonts w:ascii="Times New Roman" w:hAnsi="Times New Roman" w:eastAsia="Times New Roman" w:cs="Times New Roman"/>
          <w:b w:val="1"/>
          <w:bCs w:val="1"/>
          <w:noProof w:val="0"/>
          <w:color w:val="000000" w:themeColor="text1" w:themeTint="FF" w:themeShade="FF"/>
          <w:sz w:val="24"/>
          <w:szCs w:val="24"/>
          <w:u w:val="single"/>
          <w:lang w:val="en-GB"/>
        </w:rPr>
      </w:pPr>
    </w:p>
    <w:p w:rsidR="0F1FEA85" w:rsidP="0F1C4422" w:rsidRDefault="0F1FEA85" w14:paraId="289355B9" w14:textId="237A6083">
      <w:pPr>
        <w:pStyle w:val="Normal"/>
        <w:spacing w:line="360" w:lineRule="exact"/>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0F1C4422" w:rsidR="0F1C4422">
        <w:rPr>
          <w:rFonts w:ascii="Times New Roman" w:hAnsi="Times New Roman" w:eastAsia="Times New Roman" w:cs="Times New Roman"/>
          <w:b w:val="0"/>
          <w:bCs w:val="0"/>
          <w:noProof w:val="0"/>
          <w:color w:val="000000" w:themeColor="text1" w:themeTint="FF" w:themeShade="FF"/>
          <w:sz w:val="24"/>
          <w:szCs w:val="24"/>
          <w:u w:val="single"/>
          <w:lang w:val="en-GB"/>
        </w:rPr>
        <w:t>Reference List:</w:t>
      </w:r>
    </w:p>
    <w:p w:rsidR="0F1FEA85" w:rsidP="4D27A931" w:rsidRDefault="0F1FEA85" w14:paraId="7AC85B1A" w14:textId="185575D7">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 xml:space="preserve"> </w:t>
      </w:r>
    </w:p>
    <w:p w:rsidR="0F1FEA85" w:rsidP="4D27A931" w:rsidRDefault="0F1FEA85" w14:paraId="101D92A6" w14:textId="40EC2802">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Abel-Smith, B., &amp; Townsend, P. (1965). ‘The Poor and the Poorest</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 </w:t>
      </w:r>
      <w:r w:rsidRPr="4D27A931" w:rsidR="4D27A931">
        <w:rPr>
          <w:rFonts w:ascii="Times New Roman" w:hAnsi="Times New Roman" w:eastAsia="Times New Roman" w:cs="Times New Roman"/>
          <w:noProof w:val="0"/>
          <w:color w:val="000000" w:themeColor="text1" w:themeTint="FF" w:themeShade="FF"/>
          <w:sz w:val="24"/>
          <w:szCs w:val="24"/>
          <w:lang w:val="en-GB"/>
        </w:rPr>
        <w:t>London: G Bell and Sons Ltd.</w:t>
      </w:r>
    </w:p>
    <w:p w:rsidR="0F1FEA85" w:rsidP="4D27A931" w:rsidRDefault="0F1FEA85" w14:paraId="40DC2287" w14:textId="33FF5E10">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proofErr w:type="spellStart"/>
      <w:r w:rsidRPr="4D27A931" w:rsidR="4D27A931">
        <w:rPr>
          <w:rFonts w:ascii="Times New Roman" w:hAnsi="Times New Roman" w:eastAsia="Times New Roman" w:cs="Times New Roman"/>
          <w:noProof w:val="0"/>
          <w:color w:val="000000" w:themeColor="text1" w:themeTint="FF" w:themeShade="FF"/>
          <w:sz w:val="24"/>
          <w:szCs w:val="24"/>
          <w:lang w:val="en-GB"/>
        </w:rPr>
        <w:t>Alcock</w:t>
      </w:r>
      <w:proofErr w:type="spellEnd"/>
      <w:r w:rsidRPr="4D27A931" w:rsidR="4D27A931">
        <w:rPr>
          <w:rFonts w:ascii="Times New Roman" w:hAnsi="Times New Roman" w:eastAsia="Times New Roman" w:cs="Times New Roman"/>
          <w:noProof w:val="0"/>
          <w:color w:val="000000" w:themeColor="text1" w:themeTint="FF" w:themeShade="FF"/>
          <w:sz w:val="24"/>
          <w:szCs w:val="24"/>
          <w:lang w:val="en-GB"/>
        </w:rPr>
        <w:t xml:space="preserve">, P. (2006). </w:t>
      </w:r>
      <w:r w:rsidRPr="4D27A931" w:rsidR="4D27A931">
        <w:rPr>
          <w:rFonts w:ascii="Times New Roman" w:hAnsi="Times New Roman" w:eastAsia="Times New Roman" w:cs="Times New Roman"/>
          <w:i w:val="1"/>
          <w:iCs w:val="1"/>
          <w:noProof w:val="0"/>
          <w:color w:val="000000" w:themeColor="text1" w:themeTint="FF" w:themeShade="FF"/>
          <w:sz w:val="24"/>
          <w:szCs w:val="24"/>
          <w:lang w:val="en-GB"/>
        </w:rPr>
        <w:t>Understanding Poverty</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 </w:t>
      </w:r>
      <w:r w:rsidRPr="4D27A931" w:rsidR="4D27A931">
        <w:rPr>
          <w:rFonts w:ascii="Times New Roman" w:hAnsi="Times New Roman" w:eastAsia="Times New Roman" w:cs="Times New Roman"/>
          <w:noProof w:val="0"/>
          <w:color w:val="000000" w:themeColor="text1" w:themeTint="FF" w:themeShade="FF"/>
          <w:sz w:val="24"/>
          <w:szCs w:val="24"/>
          <w:lang w:val="en-GB"/>
        </w:rPr>
        <w:t>3</w:t>
      </w:r>
      <w:r w:rsidRPr="4D27A931" w:rsidR="4D27A931">
        <w:rPr>
          <w:rFonts w:ascii="Times New Roman" w:hAnsi="Times New Roman" w:eastAsia="Times New Roman" w:cs="Times New Roman"/>
          <w:noProof w:val="0"/>
          <w:color w:val="000000" w:themeColor="text1" w:themeTint="FF" w:themeShade="FF"/>
          <w:sz w:val="24"/>
          <w:szCs w:val="24"/>
          <w:vertAlign w:val="superscript"/>
          <w:lang w:val="en-GB"/>
        </w:rPr>
        <w:t>rd</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 </w:t>
      </w:r>
      <w:r w:rsidRPr="4D27A931" w:rsidR="4D27A931">
        <w:rPr>
          <w:rFonts w:ascii="Times New Roman" w:hAnsi="Times New Roman" w:eastAsia="Times New Roman" w:cs="Times New Roman"/>
          <w:noProof w:val="0"/>
          <w:color w:val="000000" w:themeColor="text1" w:themeTint="FF" w:themeShade="FF"/>
          <w:sz w:val="24"/>
          <w:szCs w:val="24"/>
          <w:lang w:val="en-GB"/>
        </w:rPr>
        <w:t>edn</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 </w:t>
      </w:r>
      <w:r w:rsidRPr="4D27A931" w:rsidR="4D27A931">
        <w:rPr>
          <w:rFonts w:ascii="Times New Roman" w:hAnsi="Times New Roman" w:eastAsia="Times New Roman" w:cs="Times New Roman"/>
          <w:noProof w:val="0"/>
          <w:color w:val="000000" w:themeColor="text1" w:themeTint="FF" w:themeShade="FF"/>
          <w:sz w:val="24"/>
          <w:szCs w:val="24"/>
          <w:lang w:val="en-GB"/>
        </w:rPr>
        <w:t>Basingstoke: Palgrave Macmillan.</w:t>
      </w:r>
    </w:p>
    <w:p w:rsidR="0F1FEA85" w:rsidP="4D27A931" w:rsidRDefault="0F1FEA85" w14:paraId="4C303490" w14:textId="7BFDEA2D">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Booth, C. (1</w:t>
      </w:r>
      <w:r w:rsidRPr="4D27A931" w:rsidR="4D27A931">
        <w:rPr>
          <w:rFonts w:ascii="Times New Roman" w:hAnsi="Times New Roman" w:eastAsia="Times New Roman" w:cs="Times New Roman"/>
          <w:noProof w:val="0"/>
          <w:color w:val="000000" w:themeColor="text1" w:themeTint="FF" w:themeShade="FF"/>
          <w:sz w:val="24"/>
          <w:szCs w:val="24"/>
          <w:lang w:val="en-GB"/>
        </w:rPr>
        <w:t>902</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 </w:t>
      </w:r>
      <w:r w:rsidRPr="4D27A931" w:rsidR="4D27A931">
        <w:rPr>
          <w:rFonts w:ascii="Times New Roman" w:hAnsi="Times New Roman" w:eastAsia="Times New Roman" w:cs="Times New Roman"/>
          <w:i w:val="1"/>
          <w:iCs w:val="1"/>
          <w:noProof w:val="0"/>
          <w:color w:val="000000" w:themeColor="text1" w:themeTint="FF" w:themeShade="FF"/>
          <w:sz w:val="24"/>
          <w:szCs w:val="24"/>
          <w:lang w:val="en-GB"/>
        </w:rPr>
        <w:t>Life and Labour of the People in London, Ix: Comparisons, Survey and Conclusions</w:t>
      </w:r>
      <w:r w:rsidRPr="4D27A931" w:rsidR="4D27A931">
        <w:rPr>
          <w:rFonts w:ascii="Times New Roman" w:hAnsi="Times New Roman" w:eastAsia="Times New Roman" w:cs="Times New Roman"/>
          <w:noProof w:val="0"/>
          <w:color w:val="000000" w:themeColor="text1" w:themeTint="FF" w:themeShade="FF"/>
          <w:sz w:val="24"/>
          <w:szCs w:val="24"/>
          <w:lang w:val="en-GB"/>
        </w:rPr>
        <w:t>. Macmillan and Company. London.</w:t>
      </w:r>
    </w:p>
    <w:p w:rsidR="0F1FEA85" w:rsidP="4D27A931" w:rsidRDefault="0F1FEA85" w14:paraId="21A335CE" w14:textId="7D8387AF">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Gillie, A. (1996). ‘The Origin of the Poverty Line’, The Economic History Review, 49(4), pp. 715–730.</w:t>
      </w:r>
    </w:p>
    <w:p w:rsidR="0F1FEA85" w:rsidP="4D27A931" w:rsidRDefault="0F1FEA85" w14:paraId="0A044A7F" w14:textId="1C82CD5A">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 xml:space="preserve">H. </w:t>
      </w:r>
      <w:proofErr w:type="spellStart"/>
      <w:r w:rsidRPr="4D27A931" w:rsidR="4D27A931">
        <w:rPr>
          <w:rFonts w:ascii="Times New Roman" w:hAnsi="Times New Roman" w:eastAsia="Times New Roman" w:cs="Times New Roman"/>
          <w:noProof w:val="0"/>
          <w:color w:val="000000" w:themeColor="text1" w:themeTint="FF" w:themeShade="FF"/>
          <w:sz w:val="24"/>
          <w:szCs w:val="24"/>
          <w:lang w:val="en-GB"/>
        </w:rPr>
        <w:t>Glennerster</w:t>
      </w:r>
      <w:proofErr w:type="spellEnd"/>
      <w:r w:rsidRPr="4D27A931" w:rsidR="4D27A931">
        <w:rPr>
          <w:rFonts w:ascii="Times New Roman" w:hAnsi="Times New Roman" w:eastAsia="Times New Roman" w:cs="Times New Roman"/>
          <w:noProof w:val="0"/>
          <w:color w:val="000000" w:themeColor="text1" w:themeTint="FF" w:themeShade="FF"/>
          <w:sz w:val="24"/>
          <w:szCs w:val="24"/>
          <w:lang w:val="en-GB"/>
        </w:rPr>
        <w:t xml:space="preserve">, J. Hills, D. Piachaud, &amp; J. Webb, (2004) </w:t>
      </w:r>
      <w:r w:rsidRPr="4D27A931" w:rsidR="4D27A931">
        <w:rPr>
          <w:rFonts w:ascii="Times New Roman" w:hAnsi="Times New Roman" w:eastAsia="Times New Roman" w:cs="Times New Roman"/>
          <w:i w:val="1"/>
          <w:iCs w:val="1"/>
          <w:noProof w:val="0"/>
          <w:color w:val="000000" w:themeColor="text1" w:themeTint="FF" w:themeShade="FF"/>
          <w:sz w:val="24"/>
          <w:szCs w:val="24"/>
          <w:lang w:val="en-GB"/>
        </w:rPr>
        <w:t>One Hundred Years of Poverty and Policy</w:t>
      </w:r>
      <w:r w:rsidRPr="4D27A931" w:rsidR="4D27A931">
        <w:rPr>
          <w:rFonts w:ascii="Times New Roman" w:hAnsi="Times New Roman" w:eastAsia="Times New Roman" w:cs="Times New Roman"/>
          <w:noProof w:val="0"/>
          <w:color w:val="000000" w:themeColor="text1" w:themeTint="FF" w:themeShade="FF"/>
          <w:sz w:val="24"/>
          <w:szCs w:val="24"/>
          <w:lang w:val="en-GB"/>
        </w:rPr>
        <w:t>. York: Joseph Rowntree Foundation.</w:t>
      </w:r>
    </w:p>
    <w:p w:rsidR="0F1FEA85" w:rsidP="4D27A931" w:rsidRDefault="0F1FEA85" w14:paraId="2B29EF61" w14:textId="4F226401">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 xml:space="preserve">Hills, J. (2004). </w:t>
      </w:r>
      <w:r w:rsidRPr="4D27A931" w:rsidR="4D27A931">
        <w:rPr>
          <w:rFonts w:ascii="Times New Roman" w:hAnsi="Times New Roman" w:eastAsia="Times New Roman" w:cs="Times New Roman"/>
          <w:i w:val="1"/>
          <w:iCs w:val="1"/>
          <w:noProof w:val="0"/>
          <w:color w:val="000000" w:themeColor="text1" w:themeTint="FF" w:themeShade="FF"/>
          <w:sz w:val="24"/>
          <w:szCs w:val="24"/>
          <w:lang w:val="en-GB"/>
        </w:rPr>
        <w:t>Inequality and the State</w:t>
      </w:r>
      <w:r w:rsidRPr="4D27A931" w:rsidR="4D27A931">
        <w:rPr>
          <w:rFonts w:ascii="Times New Roman" w:hAnsi="Times New Roman" w:eastAsia="Times New Roman" w:cs="Times New Roman"/>
          <w:noProof w:val="0"/>
          <w:color w:val="000000" w:themeColor="text1" w:themeTint="FF" w:themeShade="FF"/>
          <w:sz w:val="24"/>
          <w:szCs w:val="24"/>
          <w:lang w:val="en-GB"/>
        </w:rPr>
        <w:t>; Oxford University Press. Oxford.</w:t>
      </w:r>
    </w:p>
    <w:p w:rsidR="0F1FEA85" w:rsidP="4D27A931" w:rsidRDefault="0F1FEA85" w14:paraId="31F085FB" w14:textId="7D02092C">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 xml:space="preserve">Lister, R. (2004). </w:t>
      </w:r>
      <w:r w:rsidRPr="4D27A931" w:rsidR="4D27A931">
        <w:rPr>
          <w:rFonts w:ascii="Times New Roman" w:hAnsi="Times New Roman" w:eastAsia="Times New Roman" w:cs="Times New Roman"/>
          <w:i w:val="1"/>
          <w:iCs w:val="1"/>
          <w:noProof w:val="0"/>
          <w:color w:val="000000" w:themeColor="text1" w:themeTint="FF" w:themeShade="FF"/>
          <w:sz w:val="24"/>
          <w:szCs w:val="24"/>
          <w:lang w:val="en-GB"/>
        </w:rPr>
        <w:t>Poverty</w:t>
      </w:r>
      <w:r w:rsidRPr="4D27A931" w:rsidR="4D27A931">
        <w:rPr>
          <w:rFonts w:ascii="Times New Roman" w:hAnsi="Times New Roman" w:eastAsia="Times New Roman" w:cs="Times New Roman"/>
          <w:noProof w:val="0"/>
          <w:color w:val="000000" w:themeColor="text1" w:themeTint="FF" w:themeShade="FF"/>
          <w:sz w:val="24"/>
          <w:szCs w:val="24"/>
          <w:lang w:val="en-GB"/>
        </w:rPr>
        <w:t xml:space="preserve">. Cambridge: Polity Press. </w:t>
      </w:r>
    </w:p>
    <w:p w:rsidR="0F1FEA85" w:rsidP="4D27A931" w:rsidRDefault="0F1FEA85" w14:paraId="5ED74F85" w14:textId="0BFE5113">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Niemietz, K. (2011). ‘A New Understanding of Poverty’; London: The Institute of Economic Affairs.</w:t>
      </w:r>
    </w:p>
    <w:p w:rsidR="0F1FEA85" w:rsidP="4D27A931" w:rsidRDefault="0F1FEA85" w14:paraId="5C56E24C" w14:textId="5D0F76BD">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 xml:space="preserve">Rowntree, B. S. (1901). </w:t>
      </w:r>
      <w:r w:rsidRPr="4D27A931" w:rsidR="4D27A931">
        <w:rPr>
          <w:rFonts w:ascii="Times New Roman" w:hAnsi="Times New Roman" w:eastAsia="Times New Roman" w:cs="Times New Roman"/>
          <w:i w:val="1"/>
          <w:iCs w:val="1"/>
          <w:noProof w:val="0"/>
          <w:color w:val="000000" w:themeColor="text1" w:themeTint="FF" w:themeShade="FF"/>
          <w:sz w:val="24"/>
          <w:szCs w:val="24"/>
          <w:lang w:val="en-GB"/>
        </w:rPr>
        <w:t>Poverty: A Study of Town Life</w:t>
      </w:r>
      <w:r w:rsidRPr="4D27A931" w:rsidR="4D27A931">
        <w:rPr>
          <w:rFonts w:ascii="Times New Roman" w:hAnsi="Times New Roman" w:eastAsia="Times New Roman" w:cs="Times New Roman"/>
          <w:noProof w:val="0"/>
          <w:color w:val="000000" w:themeColor="text1" w:themeTint="FF" w:themeShade="FF"/>
          <w:sz w:val="24"/>
          <w:szCs w:val="24"/>
          <w:lang w:val="en-GB"/>
        </w:rPr>
        <w:t>. London: Macmillan.</w:t>
      </w:r>
    </w:p>
    <w:p w:rsidR="0F1FEA85" w:rsidP="4D27A931" w:rsidRDefault="0F1FEA85" w14:paraId="77FBC492" w14:textId="1FACE841">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 xml:space="preserve">Townsend, P. (1979). </w:t>
      </w:r>
      <w:r w:rsidRPr="4D27A931" w:rsidR="4D27A931">
        <w:rPr>
          <w:rFonts w:ascii="Times New Roman" w:hAnsi="Times New Roman" w:eastAsia="Times New Roman" w:cs="Times New Roman"/>
          <w:i w:val="1"/>
          <w:iCs w:val="1"/>
          <w:noProof w:val="0"/>
          <w:color w:val="000000" w:themeColor="text1" w:themeTint="FF" w:themeShade="FF"/>
          <w:sz w:val="24"/>
          <w:szCs w:val="24"/>
          <w:lang w:val="en-GB"/>
        </w:rPr>
        <w:t>Poverty in the United Kingdom</w:t>
      </w:r>
      <w:r w:rsidRPr="4D27A931" w:rsidR="4D27A931">
        <w:rPr>
          <w:rFonts w:ascii="Times New Roman" w:hAnsi="Times New Roman" w:eastAsia="Times New Roman" w:cs="Times New Roman"/>
          <w:noProof w:val="0"/>
          <w:color w:val="000000" w:themeColor="text1" w:themeTint="FF" w:themeShade="FF"/>
          <w:sz w:val="24"/>
          <w:szCs w:val="24"/>
          <w:lang w:val="en-GB"/>
        </w:rPr>
        <w:t>. Berkeley: University of California Press.</w:t>
      </w:r>
    </w:p>
    <w:p w:rsidR="0F1FEA85" w:rsidP="4D27A931" w:rsidRDefault="0F1FEA85" w14:paraId="7EEF433B" w14:textId="241764A8">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r w:rsidRPr="4D27A931" w:rsidR="4D27A931">
        <w:rPr>
          <w:rFonts w:ascii="Times New Roman" w:hAnsi="Times New Roman" w:eastAsia="Times New Roman" w:cs="Times New Roman"/>
          <w:noProof w:val="0"/>
          <w:color w:val="000000" w:themeColor="text1" w:themeTint="FF" w:themeShade="FF"/>
          <w:sz w:val="24"/>
          <w:szCs w:val="24"/>
          <w:lang w:val="en-GB"/>
        </w:rPr>
        <w:t xml:space="preserve">Townsend, P. (1987). </w:t>
      </w:r>
      <w:r w:rsidRPr="4D27A931" w:rsidR="4D27A931">
        <w:rPr>
          <w:rFonts w:ascii="Times New Roman" w:hAnsi="Times New Roman" w:eastAsia="Times New Roman" w:cs="Times New Roman"/>
          <w:i w:val="1"/>
          <w:iCs w:val="1"/>
          <w:noProof w:val="0"/>
          <w:color w:val="000000" w:themeColor="text1" w:themeTint="FF" w:themeShade="FF"/>
          <w:sz w:val="24"/>
          <w:szCs w:val="24"/>
          <w:lang w:val="en-GB"/>
        </w:rPr>
        <w:t>Deprivation</w:t>
      </w:r>
      <w:r w:rsidRPr="4D27A931" w:rsidR="4D27A931">
        <w:rPr>
          <w:rFonts w:ascii="Times New Roman" w:hAnsi="Times New Roman" w:eastAsia="Times New Roman" w:cs="Times New Roman"/>
          <w:noProof w:val="0"/>
          <w:color w:val="000000" w:themeColor="text1" w:themeTint="FF" w:themeShade="FF"/>
          <w:sz w:val="24"/>
          <w:szCs w:val="24"/>
          <w:lang w:val="en-GB"/>
        </w:rPr>
        <w:t>, Journal of Social Policy, 15(2), pp. 125–146.</w:t>
      </w:r>
    </w:p>
    <w:p w:rsidR="0F1FEA85" w:rsidP="0F1C4422" w:rsidRDefault="0F1FEA85" w14:paraId="6DA80B48" w14:textId="7DCB1E81">
      <w:pPr>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proofErr w:type="spellStart"/>
      <w:r w:rsidRPr="0F1C4422" w:rsidR="0F1C4422">
        <w:rPr>
          <w:rFonts w:ascii="Times New Roman" w:hAnsi="Times New Roman" w:eastAsia="Times New Roman" w:cs="Times New Roman"/>
          <w:noProof w:val="0"/>
          <w:color w:val="000000" w:themeColor="text1" w:themeTint="FF" w:themeShade="FF"/>
          <w:sz w:val="24"/>
          <w:szCs w:val="24"/>
          <w:lang w:val="en-GB"/>
        </w:rPr>
        <w:t>Veit</w:t>
      </w:r>
      <w:proofErr w:type="spellEnd"/>
      <w:r w:rsidRPr="0F1C4422" w:rsidR="0F1C4422">
        <w:rPr>
          <w:rFonts w:ascii="Times New Roman" w:hAnsi="Times New Roman" w:eastAsia="Times New Roman" w:cs="Times New Roman"/>
          <w:noProof w:val="0"/>
          <w:color w:val="000000" w:themeColor="text1" w:themeTint="FF" w:themeShade="FF"/>
          <w:sz w:val="24"/>
          <w:szCs w:val="24"/>
          <w:lang w:val="en-GB"/>
        </w:rPr>
        <w:t>-Wilson, J. (1986). ‘Paradigms of Poverty: A Rehabilitation of B S Rowntree’, Journal of Social Policy, 15(1), pp. 69–99.</w:t>
      </w:r>
    </w:p>
    <w:p w:rsidR="0F1C4422" w:rsidP="0F1C4422" w:rsidRDefault="0F1C4422" w14:paraId="3904BFFC" w14:textId="11234264">
      <w:pPr>
        <w:pStyle w:val="Normal"/>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p>
    <w:p w:rsidR="0F1C4422" w:rsidP="0F1C4422" w:rsidRDefault="0F1C4422" w14:paraId="16053B60" w14:textId="54E8DE5C">
      <w:pPr>
        <w:pStyle w:val="Normal"/>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p>
    <w:p w:rsidR="0F1C4422" w:rsidP="0F1C4422" w:rsidRDefault="0F1C4422" w14:paraId="74CA32CA" w14:textId="7EDD661B">
      <w:pPr>
        <w:pStyle w:val="Normal"/>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p>
    <w:p w:rsidR="0F1C4422" w:rsidP="0F1C4422" w:rsidRDefault="0F1C4422" w14:paraId="6F4B1857" w14:textId="0247E52E">
      <w:pPr>
        <w:pStyle w:val="Normal"/>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p>
    <w:p w:rsidR="0F1C4422" w:rsidP="0F1C4422" w:rsidRDefault="0F1C4422" w14:paraId="2BEFF458" w14:textId="6538783B">
      <w:pPr>
        <w:spacing w:after="160" w:line="360" w:lineRule="auto"/>
        <w:jc w:val="both"/>
        <w:rPr>
          <w:rFonts w:ascii="Times New Roman" w:hAnsi="Times New Roman" w:eastAsia="Times New Roman" w:cs="Times New Roman"/>
          <w:b w:val="1"/>
          <w:bCs w:val="1"/>
          <w:noProof w:val="0"/>
          <w:sz w:val="24"/>
          <w:szCs w:val="24"/>
          <w:u w:val="single"/>
          <w:lang w:val="en-US"/>
        </w:rPr>
      </w:pPr>
    </w:p>
    <w:p w:rsidR="0F1C4422" w:rsidP="0F1C4422" w:rsidRDefault="0F1C4422" w14:paraId="3DF7EF9F" w14:textId="2929B7EB">
      <w:pPr>
        <w:spacing w:after="160" w:line="360" w:lineRule="auto"/>
        <w:jc w:val="both"/>
        <w:rPr>
          <w:rFonts w:ascii="Times New Roman" w:hAnsi="Times New Roman" w:eastAsia="Times New Roman" w:cs="Times New Roman"/>
          <w:b w:val="1"/>
          <w:bCs w:val="1"/>
          <w:noProof w:val="0"/>
          <w:sz w:val="24"/>
          <w:szCs w:val="24"/>
          <w:u w:val="single"/>
          <w:lang w:val="en-US"/>
        </w:rPr>
      </w:pPr>
    </w:p>
    <w:p w:rsidR="0F1C4422" w:rsidP="0F1C4422" w:rsidRDefault="0F1C4422" w14:paraId="3E01188E" w14:textId="2F95F7EE">
      <w:pPr>
        <w:spacing w:after="160" w:line="360" w:lineRule="auto"/>
        <w:jc w:val="both"/>
        <w:rPr>
          <w:rFonts w:ascii="Times New Roman" w:hAnsi="Times New Roman" w:eastAsia="Times New Roman" w:cs="Times New Roman"/>
          <w:noProof w:val="0"/>
          <w:sz w:val="24"/>
          <w:szCs w:val="24"/>
          <w:lang w:val="en-GB"/>
        </w:rPr>
      </w:pPr>
      <w:r w:rsidRPr="0F1C4422" w:rsidR="0F1C4422">
        <w:rPr>
          <w:rFonts w:ascii="Times New Roman" w:hAnsi="Times New Roman" w:eastAsia="Times New Roman" w:cs="Times New Roman"/>
          <w:b w:val="1"/>
          <w:bCs w:val="1"/>
          <w:noProof w:val="0"/>
          <w:sz w:val="24"/>
          <w:szCs w:val="24"/>
          <w:u w:val="single"/>
          <w:lang w:val="en-US"/>
        </w:rPr>
        <w:t>Part 2</w:t>
      </w:r>
    </w:p>
    <w:p w:rsidR="0F1C4422" w:rsidP="0F1C4422" w:rsidRDefault="0F1C4422" w14:paraId="7BBD92DC" w14:textId="71476388">
      <w:pPr>
        <w:spacing w:after="160" w:line="360" w:lineRule="auto"/>
        <w:jc w:val="both"/>
        <w:rPr>
          <w:rFonts w:ascii="Times New Roman" w:hAnsi="Times New Roman" w:eastAsia="Times New Roman" w:cs="Times New Roman"/>
          <w:noProof w:val="0"/>
          <w:sz w:val="24"/>
          <w:szCs w:val="24"/>
          <w:lang w:val="en-US"/>
        </w:rPr>
      </w:pPr>
      <w:r w:rsidRPr="0F1C4422" w:rsidR="0F1C4422">
        <w:rPr>
          <w:rFonts w:ascii="Times New Roman" w:hAnsi="Times New Roman" w:eastAsia="Times New Roman" w:cs="Times New Roman"/>
          <w:i w:val="1"/>
          <w:iCs w:val="1"/>
          <w:noProof w:val="0"/>
          <w:sz w:val="24"/>
          <w:szCs w:val="24"/>
          <w:lang w:val="en-US"/>
        </w:rPr>
        <w:t>Use the academic article provided to write a 500 words academic piece, correctly referenced and in an appropriate academic style.</w:t>
      </w:r>
    </w:p>
    <w:p w:rsidR="0F1C4422" w:rsidP="0F1C4422" w:rsidRDefault="0F1C4422" w14:paraId="7C1EA8B0" w14:textId="3E49102E">
      <w:pPr>
        <w:spacing w:after="160" w:line="360" w:lineRule="auto"/>
        <w:jc w:val="both"/>
        <w:rPr>
          <w:rFonts w:ascii="Times New Roman" w:hAnsi="Times New Roman" w:eastAsia="Times New Roman" w:cs="Times New Roman"/>
          <w:noProof w:val="0"/>
          <w:sz w:val="24"/>
          <w:szCs w:val="24"/>
          <w:lang w:val="en-US"/>
        </w:rPr>
      </w:pPr>
    </w:p>
    <w:p w:rsidR="0F1C4422" w:rsidP="0F1C4422" w:rsidRDefault="0F1C4422" w14:paraId="32F55664" w14:textId="537411EB">
      <w:pPr>
        <w:spacing w:after="160" w:line="360" w:lineRule="auto"/>
        <w:jc w:val="both"/>
        <w:rPr>
          <w:rFonts w:ascii="Times New Roman" w:hAnsi="Times New Roman" w:eastAsia="Times New Roman" w:cs="Times New Roman"/>
          <w:noProof w:val="0"/>
          <w:sz w:val="24"/>
          <w:szCs w:val="24"/>
          <w:lang w:val="en-US"/>
        </w:rPr>
      </w:pPr>
      <w:r w:rsidRPr="0F1C4422" w:rsidR="0F1C4422">
        <w:rPr>
          <w:rFonts w:ascii="Times New Roman" w:hAnsi="Times New Roman" w:eastAsia="Times New Roman" w:cs="Times New Roman"/>
          <w:noProof w:val="0"/>
          <w:sz w:val="24"/>
          <w:szCs w:val="24"/>
          <w:lang w:val="en-US"/>
        </w:rPr>
        <w:t>After the United Kingdom’s decision to leave the European Union, news headlines voiced their concerns about ‘Millennials’ “fury” over baby boomers’ vote for Brexit’ (Boult, 2016) and ‘Family rifts over Brexit.  (Higgs &amp; Gilleard, 2010:1439) discussed that to facilitate a strong welfare system, it could only be sustained through the cutbacks in the educational, employment and social rights of the younger generations.  This led to family's inter-generational conflict, due to the fact that the younger members of the families blaming their parents and grandparents for jeopardizing their futures.  (Moore, 2016) indicated this was because the majority of the over 50’s voted to leave the EU, when three-quarters of the under 25’s voted to remain.</w:t>
      </w:r>
    </w:p>
    <w:p w:rsidR="0F1C4422" w:rsidP="0F1C4422" w:rsidRDefault="0F1C4422" w14:paraId="311C7563" w14:textId="2DB89A72">
      <w:pPr>
        <w:spacing w:after="160" w:line="360" w:lineRule="auto"/>
        <w:jc w:val="both"/>
        <w:rPr>
          <w:rFonts w:ascii="Times New Roman" w:hAnsi="Times New Roman" w:eastAsia="Times New Roman" w:cs="Times New Roman"/>
          <w:noProof w:val="0"/>
          <w:sz w:val="24"/>
          <w:szCs w:val="24"/>
          <w:lang w:val="en-US"/>
        </w:rPr>
      </w:pPr>
      <w:r w:rsidRPr="0F1C4422" w:rsidR="0F1C4422">
        <w:rPr>
          <w:rFonts w:ascii="Times New Roman" w:hAnsi="Times New Roman" w:eastAsia="Times New Roman" w:cs="Times New Roman"/>
          <w:noProof w:val="0"/>
          <w:sz w:val="24"/>
          <w:szCs w:val="24"/>
          <w:lang w:val="en-US"/>
        </w:rPr>
        <w:t xml:space="preserve">Mannheim (1952) outlined the idea of the concept of generation, could be divided into three interlinked premises.  Firstly Mannheim (1952) classed a generation as a </w:t>
      </w:r>
      <w:r w:rsidRPr="0F1C4422" w:rsidR="0F1C4422">
        <w:rPr>
          <w:rFonts w:ascii="Times New Roman" w:hAnsi="Times New Roman" w:eastAsia="Times New Roman" w:cs="Times New Roman"/>
          <w:i w:val="1"/>
          <w:iCs w:val="1"/>
          <w:noProof w:val="0"/>
          <w:sz w:val="24"/>
          <w:szCs w:val="24"/>
          <w:lang w:val="en-US"/>
        </w:rPr>
        <w:t>location</w:t>
      </w:r>
      <w:r w:rsidRPr="0F1C4422" w:rsidR="0F1C4422">
        <w:rPr>
          <w:rFonts w:ascii="Times New Roman" w:hAnsi="Times New Roman" w:eastAsia="Times New Roman" w:cs="Times New Roman"/>
          <w:noProof w:val="0"/>
          <w:sz w:val="24"/>
          <w:szCs w:val="24"/>
          <w:lang w:val="en-US"/>
        </w:rPr>
        <w:t xml:space="preserve"> within the historical process, defined by time and space, where the generation requires that people share similar institutional and structural experiences at equivalent points in their young life-course. Second, a generation is an </w:t>
      </w:r>
      <w:r w:rsidRPr="0F1C4422" w:rsidR="0F1C4422">
        <w:rPr>
          <w:rFonts w:ascii="Times New Roman" w:hAnsi="Times New Roman" w:eastAsia="Times New Roman" w:cs="Times New Roman"/>
          <w:i w:val="1"/>
          <w:iCs w:val="1"/>
          <w:noProof w:val="0"/>
          <w:sz w:val="24"/>
          <w:szCs w:val="24"/>
          <w:lang w:val="en-US"/>
        </w:rPr>
        <w:t>actuality</w:t>
      </w:r>
      <w:r w:rsidRPr="0F1C4422" w:rsidR="0F1C4422">
        <w:rPr>
          <w:rFonts w:ascii="Times New Roman" w:hAnsi="Times New Roman" w:eastAsia="Times New Roman" w:cs="Times New Roman"/>
          <w:noProof w:val="0"/>
          <w:sz w:val="24"/>
          <w:szCs w:val="24"/>
          <w:lang w:val="en-US"/>
        </w:rPr>
        <w:t xml:space="preserve"> in which the sharing of social conditions resulting in the sharing a similar worldview, ultimately leading to revolution or political action.  Then thirdly a </w:t>
      </w:r>
      <w:r w:rsidRPr="0F1C4422" w:rsidR="0F1C4422">
        <w:rPr>
          <w:rFonts w:ascii="Times New Roman" w:hAnsi="Times New Roman" w:eastAsia="Times New Roman" w:cs="Times New Roman"/>
          <w:i w:val="1"/>
          <w:iCs w:val="1"/>
          <w:noProof w:val="0"/>
          <w:sz w:val="24"/>
          <w:szCs w:val="24"/>
          <w:lang w:val="en-US"/>
        </w:rPr>
        <w:t xml:space="preserve">generational unit </w:t>
      </w:r>
      <w:r w:rsidRPr="0F1C4422" w:rsidR="0F1C4422">
        <w:rPr>
          <w:rFonts w:ascii="Times New Roman" w:hAnsi="Times New Roman" w:eastAsia="Times New Roman" w:cs="Times New Roman"/>
          <w:noProof w:val="0"/>
          <w:sz w:val="24"/>
          <w:szCs w:val="24"/>
          <w:lang w:val="en-US"/>
        </w:rPr>
        <w:t>which included ethnicity, class and gender.</w:t>
      </w:r>
    </w:p>
    <w:p w:rsidR="0F1C4422" w:rsidP="0F1C4422" w:rsidRDefault="0F1C4422" w14:paraId="40651919" w14:textId="7032D191">
      <w:pPr>
        <w:spacing w:after="160" w:line="360" w:lineRule="auto"/>
        <w:jc w:val="both"/>
        <w:rPr>
          <w:rFonts w:ascii="Times New Roman" w:hAnsi="Times New Roman" w:eastAsia="Times New Roman" w:cs="Times New Roman"/>
          <w:noProof w:val="0"/>
          <w:sz w:val="24"/>
          <w:szCs w:val="24"/>
          <w:lang w:val="en-US"/>
        </w:rPr>
      </w:pPr>
      <w:r w:rsidRPr="0F1C4422" w:rsidR="0F1C4422">
        <w:rPr>
          <w:rFonts w:ascii="Times New Roman" w:hAnsi="Times New Roman" w:eastAsia="Times New Roman" w:cs="Times New Roman"/>
          <w:noProof w:val="0"/>
          <w:sz w:val="24"/>
          <w:szCs w:val="24"/>
          <w:lang w:val="en-US"/>
        </w:rPr>
        <w:t>The two generations that have been researched mostly about are the ‘Baby Boomers’ who are referred to the people born in 1945-1965 (Willetts, 2010) who argued due to the large population size this was the most powerful generation over the last century due to the strong post-war welfare state, which contextualized their upbringing and provided them with an important safety net.  Then the ‘Millennials’ born between 1982-2000 (Howe and Strauss, 2000) who outlined that due to the fact that they have grown up in the time of privatization, increasing economic inequalities and the erosion of the public services they also enjoyed the benefits of higher education management and digital revolution.</w:t>
      </w:r>
    </w:p>
    <w:p w:rsidR="0F1C4422" w:rsidP="0F1C4422" w:rsidRDefault="0F1C4422" w14:paraId="6485036A" w14:textId="49504820">
      <w:pPr>
        <w:spacing w:after="160" w:line="360" w:lineRule="auto"/>
        <w:jc w:val="both"/>
        <w:rPr>
          <w:rFonts w:ascii="Times New Roman" w:hAnsi="Times New Roman" w:eastAsia="Times New Roman" w:cs="Times New Roman"/>
          <w:noProof w:val="0"/>
          <w:sz w:val="24"/>
          <w:szCs w:val="24"/>
          <w:lang w:val="en-US"/>
        </w:rPr>
      </w:pPr>
      <w:r w:rsidRPr="0F1C4422" w:rsidR="0F1C4422">
        <w:rPr>
          <w:rFonts w:ascii="Times New Roman" w:hAnsi="Times New Roman" w:eastAsia="Times New Roman" w:cs="Times New Roman"/>
          <w:noProof w:val="0"/>
          <w:sz w:val="24"/>
          <w:szCs w:val="24"/>
          <w:lang w:val="en-US"/>
        </w:rPr>
        <w:t>Mannheim (1952) suggested that a generation not only requires to be born in the same time period but also had to have lived similar institutions and social conditions during their youth. Willetts (2010) claimed that Baby Boomers where spending their kid's inheritance but Moore (2015) suggested that many children (adult) felt that they weren't entitled to their parents' wealth and didn't few it as their inheritance.  They wanted their parents to grow old comfortable and with no worries.</w:t>
      </w:r>
    </w:p>
    <w:p w:rsidR="0F1C4422" w:rsidP="0F1C4422" w:rsidRDefault="0F1C4422" w14:paraId="4D54F261" w14:textId="5C350E5F">
      <w:pPr>
        <w:spacing w:after="160" w:line="360" w:lineRule="auto"/>
        <w:jc w:val="both"/>
        <w:rPr>
          <w:rFonts w:ascii="Times New Roman" w:hAnsi="Times New Roman" w:eastAsia="Times New Roman" w:cs="Times New Roman"/>
          <w:noProof w:val="0"/>
          <w:sz w:val="24"/>
          <w:szCs w:val="24"/>
          <w:lang w:val="en-US"/>
        </w:rPr>
      </w:pPr>
      <w:r w:rsidRPr="0F1C4422" w:rsidR="0F1C4422">
        <w:rPr>
          <w:rFonts w:ascii="Times New Roman" w:hAnsi="Times New Roman" w:eastAsia="Times New Roman" w:cs="Times New Roman"/>
          <w:noProof w:val="0"/>
          <w:sz w:val="24"/>
          <w:szCs w:val="24"/>
          <w:lang w:val="en-US"/>
        </w:rPr>
        <w:t>These days the Millennials face many more challenges to gaining well paid employment, stable and secure affordable housing in comparison with their Baby Boomer parents, where this class of people could have been unfairly demonized and where most likely believed they were doing what they thought was in the best interest for their families, but blaming the Baby Boomer generation could be a way of diverting the attention away from neoliberal agendas and scrutinizing governments, which has led to a generation who feel politically detached.  While exploring inter-generational inequalities enabled an understanding of how different generations of people react and interact with the changing market conditions.</w:t>
      </w:r>
    </w:p>
    <w:p w:rsidR="0F1C4422" w:rsidP="0F1C4422" w:rsidRDefault="0F1C4422" w14:paraId="4A9A19F9" w14:textId="04E5813D">
      <w:pPr>
        <w:pStyle w:val="Normal"/>
        <w:spacing w:line="360" w:lineRule="exact"/>
        <w:ind w:left="720" w:hanging="720"/>
        <w:rPr>
          <w:rFonts w:ascii="Times New Roman" w:hAnsi="Times New Roman" w:eastAsia="Times New Roman" w:cs="Times New Roman"/>
          <w:noProof w:val="0"/>
          <w:color w:val="000000" w:themeColor="text1" w:themeTint="FF" w:themeShade="FF"/>
          <w:sz w:val="24"/>
          <w:szCs w:val="24"/>
          <w:lang w:val="en-GB"/>
        </w:rPr>
      </w:pPr>
    </w:p>
    <w:p w:rsidR="0F1FEA85" w:rsidP="0F1FEA85" w:rsidRDefault="0F1FEA85" w14:paraId="640DD57A" w14:textId="2E1D64F1">
      <w:pPr>
        <w:spacing w:line="257" w:lineRule="exact"/>
      </w:pPr>
      <w:r>
        <w:br/>
      </w:r>
    </w:p>
    <w:p w:rsidR="0F1C4422" w:rsidP="0F1C4422" w:rsidRDefault="0F1C4422" w14:paraId="244CE2B3" w14:textId="71F56B2E">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090914E4" w14:textId="2F1DC2E1">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55328BCA" w14:textId="36C0A626">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1558E8EF" w14:textId="40284BB9">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6B9C2715" w14:textId="07EB5AA1">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3430778D" w14:textId="3B883D60">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72B169E5" w14:textId="0FEC4923">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57CB10FB" w14:textId="3910188E">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34A93300" w14:textId="7E593F42">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21953CEA" w14:textId="61A37D3E">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6947D07B" w14:textId="7D06B924">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36A8EC49" w14:textId="54225E9D">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216754C2" w14:textId="5CA9D115">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5BF54E6D" w14:textId="5E57D8C8">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63CB0EE5" w14:textId="145DE366">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FEA85" w:rsidP="0F1C4422" w:rsidRDefault="0F1FEA85" w14:paraId="1E951733" w14:textId="3D3262CD">
      <w:pPr>
        <w:spacing w:line="257" w:lineRule="exact"/>
        <w:rPr>
          <w:rFonts w:ascii="Times New Roman" w:hAnsi="Times New Roman" w:eastAsia="Times New Roman" w:cs="Times New Roman"/>
          <w:noProof w:val="0"/>
          <w:color w:val="000000" w:themeColor="text1" w:themeTint="FF" w:themeShade="FF"/>
          <w:sz w:val="24"/>
          <w:szCs w:val="24"/>
          <w:u w:val="single"/>
          <w:lang w:val="en-GB"/>
        </w:rPr>
      </w:pPr>
      <w:r w:rsidRPr="0F1C4422" w:rsidR="0F1C4422">
        <w:rPr>
          <w:rFonts w:ascii="Times New Roman" w:hAnsi="Times New Roman" w:eastAsia="Times New Roman" w:cs="Times New Roman"/>
          <w:noProof w:val="0"/>
          <w:color w:val="000000" w:themeColor="text1" w:themeTint="FF" w:themeShade="FF"/>
          <w:sz w:val="24"/>
          <w:szCs w:val="24"/>
          <w:u w:val="single"/>
          <w:lang w:val="en-GB"/>
        </w:rPr>
        <w:t>Reference List:</w:t>
      </w:r>
    </w:p>
    <w:p w:rsidR="0F1C4422" w:rsidP="0F1C4422" w:rsidRDefault="0F1C4422" w14:paraId="7EB900DC" w14:textId="1694EF04">
      <w:pPr>
        <w:pStyle w:val="Normal"/>
        <w:spacing w:line="257" w:lineRule="exact"/>
        <w:rPr>
          <w:rFonts w:ascii="Times New Roman" w:hAnsi="Times New Roman" w:eastAsia="Times New Roman" w:cs="Times New Roman"/>
          <w:noProof w:val="0"/>
          <w:color w:val="000000" w:themeColor="text1" w:themeTint="FF" w:themeShade="FF"/>
          <w:sz w:val="24"/>
          <w:szCs w:val="24"/>
          <w:u w:val="single"/>
          <w:lang w:val="en-GB"/>
        </w:rPr>
      </w:pPr>
    </w:p>
    <w:p w:rsidR="0F1C4422" w:rsidP="0F1C4422" w:rsidRDefault="0F1C4422" w14:paraId="3589DA55" w14:textId="4926A373">
      <w:pPr>
        <w:pStyle w:val="Normal"/>
        <w:spacing w:line="257" w:lineRule="exact"/>
        <w:rPr>
          <w:rFonts w:ascii="Times New Roman" w:hAnsi="Times New Roman" w:eastAsia="Times New Roman" w:cs="Times New Roman"/>
          <w:b w:val="0"/>
          <w:bCs w:val="0"/>
          <w:noProof w:val="0"/>
          <w:color w:val="000000" w:themeColor="text1" w:themeTint="FF" w:themeShade="FF"/>
          <w:sz w:val="24"/>
          <w:szCs w:val="24"/>
          <w:u w:val="none"/>
          <w:lang w:val="en-GB"/>
        </w:rPr>
      </w:pP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Boult A (2016) Millennials’ ‘fury’ over baby boomers’ vote for Brexit. </w:t>
      </w:r>
      <w:r w:rsidRPr="0F1C4422" w:rsidR="0F1C4422">
        <w:rPr>
          <w:rFonts w:ascii="Times New Roman" w:hAnsi="Times New Roman" w:eastAsia="Times New Roman" w:cs="Times New Roman"/>
          <w:b w:val="0"/>
          <w:bCs w:val="0"/>
          <w:i w:val="1"/>
          <w:iCs w:val="1"/>
          <w:noProof w:val="0"/>
          <w:color w:val="000000" w:themeColor="text1" w:themeTint="FF" w:themeShade="FF"/>
          <w:sz w:val="24"/>
          <w:szCs w:val="24"/>
          <w:u w:val="none"/>
          <w:lang w:val="en-GB"/>
        </w:rPr>
        <w:t>The Telegraph</w:t>
      </w: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 24 June. Available at: </w:t>
      </w:r>
      <w:hyperlink r:id="R37722bad8ffb44fd">
        <w:r w:rsidRPr="0F1C4422" w:rsidR="0F1C4422">
          <w:rPr>
            <w:rStyle w:val="Hyperlink"/>
            <w:rFonts w:ascii="Times New Roman" w:hAnsi="Times New Roman" w:eastAsia="Times New Roman" w:cs="Times New Roman"/>
            <w:b w:val="0"/>
            <w:bCs w:val="0"/>
            <w:noProof w:val="0"/>
            <w:color w:val="000000" w:themeColor="text1" w:themeTint="FF" w:themeShade="FF"/>
            <w:sz w:val="24"/>
            <w:szCs w:val="24"/>
            <w:u w:val="none"/>
            <w:lang w:val="en-GB"/>
          </w:rPr>
          <w:t>http://www.telegraph.co.uk/new/2016/06/24/millennials-fury-over-baby-moomers-vote-for-brexit/</w:t>
        </w:r>
      </w:hyperlink>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 (accessed 30</w:t>
      </w:r>
      <w:r w:rsidRPr="0F1C4422" w:rsidR="0F1C4422">
        <w:rPr>
          <w:rFonts w:ascii="Times New Roman" w:hAnsi="Times New Roman" w:eastAsia="Times New Roman" w:cs="Times New Roman"/>
          <w:b w:val="0"/>
          <w:bCs w:val="0"/>
          <w:noProof w:val="0"/>
          <w:color w:val="000000" w:themeColor="text1" w:themeTint="FF" w:themeShade="FF"/>
          <w:sz w:val="24"/>
          <w:szCs w:val="24"/>
          <w:u w:val="none"/>
          <w:vertAlign w:val="superscript"/>
          <w:lang w:val="en-GB"/>
        </w:rPr>
        <w:t>th</w:t>
      </w: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 June 2016).</w:t>
      </w:r>
    </w:p>
    <w:p w:rsidR="0F1C4422" w:rsidP="0F1C4422" w:rsidRDefault="0F1C4422" w14:paraId="4E00CF1E" w14:textId="7F44CB4C">
      <w:pPr>
        <w:pStyle w:val="Normal"/>
        <w:spacing w:line="257" w:lineRule="exact"/>
        <w:rPr>
          <w:rFonts w:ascii="Times New Roman" w:hAnsi="Times New Roman" w:eastAsia="Times New Roman" w:cs="Times New Roman"/>
          <w:b w:val="0"/>
          <w:bCs w:val="0"/>
          <w:noProof w:val="0"/>
          <w:color w:val="000000" w:themeColor="text1" w:themeTint="FF" w:themeShade="FF"/>
          <w:sz w:val="24"/>
          <w:szCs w:val="24"/>
          <w:u w:val="none"/>
          <w:lang w:val="en-GB"/>
        </w:rPr>
      </w:pP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Higgs P and Gilleard C (2010) Generational conflict, consumption and the ageing welfare state in the United Kingdom.  </w:t>
      </w:r>
      <w:r w:rsidRPr="0F1C4422" w:rsidR="0F1C4422">
        <w:rPr>
          <w:rFonts w:ascii="Times New Roman" w:hAnsi="Times New Roman" w:eastAsia="Times New Roman" w:cs="Times New Roman"/>
          <w:b w:val="0"/>
          <w:bCs w:val="0"/>
          <w:i w:val="1"/>
          <w:iCs w:val="1"/>
          <w:noProof w:val="0"/>
          <w:color w:val="000000" w:themeColor="text1" w:themeTint="FF" w:themeShade="FF"/>
          <w:sz w:val="24"/>
          <w:szCs w:val="24"/>
          <w:u w:val="none"/>
          <w:lang w:val="en-GB"/>
        </w:rPr>
        <w:t>Ageing and Society</w:t>
      </w: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 30(8): 1439-1451.</w:t>
      </w:r>
    </w:p>
    <w:p w:rsidR="0F1C4422" w:rsidP="0F1C4422" w:rsidRDefault="0F1C4422" w14:paraId="4A1138FF" w14:textId="2D3E5775">
      <w:pPr>
        <w:pStyle w:val="Normal"/>
        <w:spacing w:line="257" w:lineRule="exact"/>
        <w:rPr>
          <w:rFonts w:ascii="Times New Roman" w:hAnsi="Times New Roman" w:eastAsia="Times New Roman" w:cs="Times New Roman"/>
          <w:b w:val="0"/>
          <w:bCs w:val="0"/>
          <w:noProof w:val="0"/>
          <w:color w:val="000000" w:themeColor="text1" w:themeTint="FF" w:themeShade="FF"/>
          <w:sz w:val="24"/>
          <w:szCs w:val="24"/>
          <w:u w:val="none"/>
          <w:lang w:val="en-GB"/>
        </w:rPr>
      </w:pP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Howe N and Strauss W (2000) </w:t>
      </w:r>
      <w:r w:rsidRPr="0F1C4422" w:rsidR="0F1C4422">
        <w:rPr>
          <w:rFonts w:ascii="Times New Roman" w:hAnsi="Times New Roman" w:eastAsia="Times New Roman" w:cs="Times New Roman"/>
          <w:b w:val="0"/>
          <w:bCs w:val="0"/>
          <w:i w:val="1"/>
          <w:iCs w:val="1"/>
          <w:noProof w:val="0"/>
          <w:color w:val="000000" w:themeColor="text1" w:themeTint="FF" w:themeShade="FF"/>
          <w:sz w:val="24"/>
          <w:szCs w:val="24"/>
          <w:u w:val="none"/>
          <w:lang w:val="en-GB"/>
        </w:rPr>
        <w:t>Millennials Raising: The Next Great Generation</w:t>
      </w: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New York: Vintage Books.</w:t>
      </w:r>
    </w:p>
    <w:p w:rsidR="0F1C4422" w:rsidP="0F1C4422" w:rsidRDefault="0F1C4422" w14:paraId="4A8A6810" w14:textId="00AB9E09">
      <w:pPr>
        <w:pStyle w:val="Normal"/>
        <w:spacing w:line="257" w:lineRule="exact"/>
        <w:rPr>
          <w:rFonts w:ascii="Times New Roman" w:hAnsi="Times New Roman" w:eastAsia="Times New Roman" w:cs="Times New Roman"/>
          <w:b w:val="0"/>
          <w:bCs w:val="0"/>
          <w:noProof w:val="0"/>
          <w:color w:val="000000" w:themeColor="text1" w:themeTint="FF" w:themeShade="FF"/>
          <w:sz w:val="24"/>
          <w:szCs w:val="24"/>
          <w:u w:val="none"/>
          <w:lang w:val="en-GB"/>
        </w:rPr>
      </w:pP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Mannheim K (1952) </w:t>
      </w:r>
      <w:r w:rsidRPr="0F1C4422" w:rsidR="0F1C4422">
        <w:rPr>
          <w:rFonts w:ascii="Times New Roman" w:hAnsi="Times New Roman" w:eastAsia="Times New Roman" w:cs="Times New Roman"/>
          <w:b w:val="0"/>
          <w:bCs w:val="0"/>
          <w:i w:val="1"/>
          <w:iCs w:val="1"/>
          <w:noProof w:val="0"/>
          <w:color w:val="000000" w:themeColor="text1" w:themeTint="FF" w:themeShade="FF"/>
          <w:sz w:val="24"/>
          <w:szCs w:val="24"/>
          <w:u w:val="none"/>
          <w:lang w:val="en-GB"/>
        </w:rPr>
        <w:t>Essays on the Sociology of Knowledge</w:t>
      </w: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London: Routledge and Keegan Paul.</w:t>
      </w:r>
    </w:p>
    <w:p w:rsidR="0F1C4422" w:rsidP="0F1C4422" w:rsidRDefault="0F1C4422" w14:paraId="18BE9F97" w14:textId="05817E97">
      <w:pPr>
        <w:pStyle w:val="Normal"/>
        <w:spacing w:line="257" w:lineRule="exact"/>
        <w:rPr>
          <w:rFonts w:ascii="Times New Roman" w:hAnsi="Times New Roman" w:eastAsia="Times New Roman" w:cs="Times New Roman"/>
          <w:b w:val="0"/>
          <w:bCs w:val="0"/>
          <w:noProof w:val="0"/>
          <w:color w:val="000000" w:themeColor="text1" w:themeTint="FF" w:themeShade="FF"/>
          <w:sz w:val="24"/>
          <w:szCs w:val="24"/>
          <w:u w:val="none"/>
          <w:lang w:val="en-GB"/>
        </w:rPr>
      </w:pP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Moore P (2016) </w:t>
      </w:r>
      <w:r w:rsidRPr="0F1C4422" w:rsidR="0F1C4422">
        <w:rPr>
          <w:rFonts w:ascii="Times New Roman" w:hAnsi="Times New Roman" w:eastAsia="Times New Roman" w:cs="Times New Roman"/>
          <w:b w:val="0"/>
          <w:bCs w:val="0"/>
          <w:i w:val="1"/>
          <w:iCs w:val="1"/>
          <w:noProof w:val="0"/>
          <w:color w:val="000000" w:themeColor="text1" w:themeTint="FF" w:themeShade="FF"/>
          <w:sz w:val="24"/>
          <w:szCs w:val="24"/>
          <w:u w:val="none"/>
          <w:lang w:val="en-GB"/>
        </w:rPr>
        <w:t>How Britain Voted</w:t>
      </w: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  Available at: </w:t>
      </w:r>
      <w:hyperlink r:id="R1c444ca647ca4e2b">
        <w:r w:rsidRPr="0F1C4422" w:rsidR="0F1C4422">
          <w:rPr>
            <w:rStyle w:val="Hyperlink"/>
            <w:rFonts w:ascii="Times New Roman" w:hAnsi="Times New Roman" w:eastAsia="Times New Roman" w:cs="Times New Roman"/>
            <w:b w:val="0"/>
            <w:bCs w:val="0"/>
            <w:noProof w:val="0"/>
            <w:color w:val="000000" w:themeColor="text1" w:themeTint="FF" w:themeShade="FF"/>
            <w:sz w:val="24"/>
            <w:szCs w:val="24"/>
            <w:u w:val="none"/>
            <w:lang w:val="en-GB"/>
          </w:rPr>
          <w:t>https://yougov.co.uk/news/2016/06/27/how-britain-voted/</w:t>
        </w:r>
      </w:hyperlink>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 (accessed 30</w:t>
      </w:r>
      <w:r w:rsidRPr="0F1C4422" w:rsidR="0F1C4422">
        <w:rPr>
          <w:rFonts w:ascii="Times New Roman" w:hAnsi="Times New Roman" w:eastAsia="Times New Roman" w:cs="Times New Roman"/>
          <w:b w:val="0"/>
          <w:bCs w:val="0"/>
          <w:noProof w:val="0"/>
          <w:color w:val="000000" w:themeColor="text1" w:themeTint="FF" w:themeShade="FF"/>
          <w:sz w:val="24"/>
          <w:szCs w:val="24"/>
          <w:u w:val="none"/>
          <w:vertAlign w:val="superscript"/>
          <w:lang w:val="en-GB"/>
        </w:rPr>
        <w:t>th</w:t>
      </w: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 June 2016).</w:t>
      </w:r>
    </w:p>
    <w:p w:rsidR="0F1C4422" w:rsidP="0F1C4422" w:rsidRDefault="0F1C4422" w14:paraId="35047FD7" w14:textId="53878B5C">
      <w:pPr>
        <w:pStyle w:val="Normal"/>
        <w:spacing w:line="257" w:lineRule="exact"/>
        <w:rPr>
          <w:rFonts w:ascii="Times New Roman" w:hAnsi="Times New Roman" w:eastAsia="Times New Roman" w:cs="Times New Roman"/>
          <w:b w:val="0"/>
          <w:bCs w:val="0"/>
          <w:noProof w:val="0"/>
          <w:color w:val="000000" w:themeColor="text1" w:themeTint="FF" w:themeShade="FF"/>
          <w:sz w:val="24"/>
          <w:szCs w:val="24"/>
          <w:u w:val="none"/>
          <w:lang w:val="en-GB"/>
        </w:rPr>
      </w:pP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Moore T, McKee K and Soaita A (2015) </w:t>
      </w:r>
      <w:r w:rsidRPr="0F1C4422" w:rsidR="0F1C4422">
        <w:rPr>
          <w:rFonts w:ascii="Times New Roman" w:hAnsi="Times New Roman" w:eastAsia="Times New Roman" w:cs="Times New Roman"/>
          <w:b w:val="0"/>
          <w:bCs w:val="0"/>
          <w:i w:val="1"/>
          <w:iCs w:val="1"/>
          <w:noProof w:val="0"/>
          <w:color w:val="000000" w:themeColor="text1" w:themeTint="FF" w:themeShade="FF"/>
          <w:sz w:val="24"/>
          <w:szCs w:val="24"/>
          <w:u w:val="none"/>
          <w:lang w:val="en-GB"/>
        </w:rPr>
        <w:t xml:space="preserve">The pursuit of homeownership and the importance of family support. </w:t>
      </w: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 Paper presented at Housing Studies Association conference, University of York. April 2015.  (Full text not currently available online.)</w:t>
      </w:r>
    </w:p>
    <w:p w:rsidR="0F1C4422" w:rsidP="0F1C4422" w:rsidRDefault="0F1C4422" w14:paraId="6A98E7EB" w14:textId="6F0B1151">
      <w:pPr>
        <w:pStyle w:val="Normal"/>
        <w:spacing w:line="257" w:lineRule="exac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0F1C4422" w:rsidR="0F1C4422">
        <w:rPr>
          <w:rFonts w:ascii="Times New Roman" w:hAnsi="Times New Roman" w:eastAsia="Times New Roman" w:cs="Times New Roman"/>
          <w:b w:val="0"/>
          <w:bCs w:val="0"/>
          <w:noProof w:val="0"/>
          <w:color w:val="000000" w:themeColor="text1" w:themeTint="FF" w:themeShade="FF"/>
          <w:sz w:val="24"/>
          <w:szCs w:val="24"/>
          <w:u w:val="none"/>
          <w:lang w:val="en-GB"/>
        </w:rPr>
        <w:t xml:space="preserve">Willetts D (2010) The Pinch: </w:t>
      </w:r>
      <w:r w:rsidRPr="0F1C4422" w:rsidR="0F1C4422">
        <w:rPr>
          <w:rFonts w:ascii="Times New Roman" w:hAnsi="Times New Roman" w:eastAsia="Times New Roman" w:cs="Times New Roman"/>
          <w:b w:val="0"/>
          <w:bCs w:val="0"/>
          <w:i w:val="1"/>
          <w:iCs w:val="1"/>
          <w:noProof w:val="0"/>
          <w:color w:val="000000" w:themeColor="text1" w:themeTint="FF" w:themeShade="FF"/>
          <w:sz w:val="24"/>
          <w:szCs w:val="24"/>
          <w:u w:val="none"/>
          <w:lang w:val="en-GB"/>
        </w:rPr>
        <w:t xml:space="preserve">How the Baby Boomers Took Their Children’s Future – And Why They Should Give </w:t>
      </w:r>
      <w:proofErr w:type="gramStart"/>
      <w:r w:rsidRPr="0F1C4422" w:rsidR="0F1C4422">
        <w:rPr>
          <w:rFonts w:ascii="Times New Roman" w:hAnsi="Times New Roman" w:eastAsia="Times New Roman" w:cs="Times New Roman"/>
          <w:b w:val="0"/>
          <w:bCs w:val="0"/>
          <w:i w:val="1"/>
          <w:iCs w:val="1"/>
          <w:noProof w:val="0"/>
          <w:color w:val="000000" w:themeColor="text1" w:themeTint="FF" w:themeShade="FF"/>
          <w:sz w:val="24"/>
          <w:szCs w:val="24"/>
          <w:u w:val="none"/>
          <w:lang w:val="en-GB"/>
        </w:rPr>
        <w:t>it</w:t>
      </w:r>
      <w:proofErr w:type="gramEnd"/>
      <w:r w:rsidRPr="0F1C4422" w:rsidR="0F1C4422">
        <w:rPr>
          <w:rFonts w:ascii="Times New Roman" w:hAnsi="Times New Roman" w:eastAsia="Times New Roman" w:cs="Times New Roman"/>
          <w:b w:val="0"/>
          <w:bCs w:val="0"/>
          <w:i w:val="1"/>
          <w:iCs w:val="1"/>
          <w:noProof w:val="0"/>
          <w:color w:val="000000" w:themeColor="text1" w:themeTint="FF" w:themeShade="FF"/>
          <w:sz w:val="24"/>
          <w:szCs w:val="24"/>
          <w:u w:val="none"/>
          <w:lang w:val="en-GB"/>
        </w:rPr>
        <w:t xml:space="preserve"> Back.  </w:t>
      </w:r>
      <w:r w:rsidRPr="0F1C4422" w:rsidR="0F1C4422">
        <w:rPr>
          <w:rFonts w:ascii="Times New Roman" w:hAnsi="Times New Roman" w:eastAsia="Times New Roman" w:cs="Times New Roman"/>
          <w:b w:val="0"/>
          <w:bCs w:val="0"/>
          <w:i w:val="0"/>
          <w:iCs w:val="0"/>
          <w:noProof w:val="0"/>
          <w:color w:val="000000" w:themeColor="text1" w:themeTint="FF" w:themeShade="FF"/>
          <w:sz w:val="24"/>
          <w:szCs w:val="24"/>
          <w:u w:val="none"/>
          <w:lang w:val="en-GB"/>
        </w:rPr>
        <w:t>London: Atlantic Books.</w:t>
      </w:r>
    </w:p>
    <w:p w:rsidR="356867F6" w:rsidP="356867F6" w:rsidRDefault="356867F6" w14:paraId="438328C1" w14:textId="7E710433">
      <w:pPr>
        <w:pStyle w:val="Normal"/>
        <w:spacing w:line="360" w:lineRule="auto"/>
        <w:jc w:val="both"/>
      </w:pPr>
    </w:p>
    <w:sectPr>
      <w:pgSz w:w="12240" w:h="15840" w:orient="portrait"/>
      <w:pgMar w:top="1440" w:right="1440" w:bottom="1440" w:left="1440" w:header="720" w:footer="720" w:gutter="0"/>
      <w:cols w:space="720"/>
      <w:docGrid w:linePitch="360"/>
      <w:headerReference w:type="default" r:id="R694f526f30e5416a"/>
      <w:footerReference w:type="default" r:id="Rbb3a25e9928c48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27A931" w:rsidTr="4D27A931" w14:paraId="73D16A49">
      <w:tc>
        <w:tcPr>
          <w:tcW w:w="3120" w:type="dxa"/>
          <w:tcMar/>
        </w:tcPr>
        <w:p w:rsidR="4D27A931" w:rsidP="4D27A931" w:rsidRDefault="4D27A931" w14:paraId="3FBDA1FF" w14:textId="1EB13EF9">
          <w:pPr>
            <w:pStyle w:val="Header"/>
            <w:bidi w:val="0"/>
            <w:ind w:left="-115"/>
            <w:jc w:val="left"/>
          </w:pPr>
        </w:p>
      </w:tc>
      <w:tc>
        <w:tcPr>
          <w:tcW w:w="3120" w:type="dxa"/>
          <w:tcMar/>
        </w:tcPr>
        <w:p w:rsidR="4D27A931" w:rsidP="4D27A931" w:rsidRDefault="4D27A931" w14:paraId="430DE86E" w14:textId="393F1BB0">
          <w:pPr>
            <w:pStyle w:val="Header"/>
            <w:bidi w:val="0"/>
            <w:jc w:val="center"/>
          </w:pPr>
        </w:p>
      </w:tc>
      <w:tc>
        <w:tcPr>
          <w:tcW w:w="3120" w:type="dxa"/>
          <w:tcMar/>
        </w:tcPr>
        <w:p w:rsidR="4D27A931" w:rsidP="4D27A931" w:rsidRDefault="4D27A931" w14:paraId="5BE9D31B" w14:textId="22683E44">
          <w:pPr>
            <w:pStyle w:val="Header"/>
            <w:bidi w:val="0"/>
            <w:ind w:right="-115"/>
            <w:jc w:val="right"/>
          </w:pPr>
          <w:r>
            <w:fldChar w:fldCharType="begin"/>
          </w:r>
          <w:r>
            <w:instrText xml:space="preserve">PAGE</w:instrText>
          </w:r>
          <w:r>
            <w:fldChar w:fldCharType="end"/>
          </w:r>
        </w:p>
      </w:tc>
    </w:tr>
  </w:tbl>
  <w:p w:rsidR="4D27A931" w:rsidP="4D27A931" w:rsidRDefault="4D27A931" w14:paraId="020542DD" w14:textId="10CF360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27A931" w:rsidTr="4D27A931" w14:paraId="168E7B1E">
      <w:tc>
        <w:tcPr>
          <w:tcW w:w="3120" w:type="dxa"/>
          <w:tcMar/>
        </w:tcPr>
        <w:p w:rsidR="4D27A931" w:rsidP="4D27A931" w:rsidRDefault="4D27A931" w14:paraId="35F5DA54" w14:textId="6F47E5E3">
          <w:pPr>
            <w:pStyle w:val="Header"/>
            <w:bidi w:val="0"/>
            <w:ind w:left="-115"/>
            <w:jc w:val="left"/>
          </w:pPr>
        </w:p>
      </w:tc>
      <w:tc>
        <w:tcPr>
          <w:tcW w:w="3120" w:type="dxa"/>
          <w:tcMar/>
        </w:tcPr>
        <w:p w:rsidR="4D27A931" w:rsidP="4D27A931" w:rsidRDefault="4D27A931" w14:paraId="20F0D580" w14:textId="17B72F01">
          <w:pPr>
            <w:pStyle w:val="Header"/>
            <w:bidi w:val="0"/>
            <w:jc w:val="center"/>
          </w:pPr>
          <w:r w:rsidR="4D27A931">
            <w:rPr/>
            <w:t>ECGE40001Q</w:t>
          </w:r>
        </w:p>
        <w:p w:rsidR="4D27A931" w:rsidP="4D27A931" w:rsidRDefault="4D27A931" w14:paraId="44F31517" w14:textId="55770162">
          <w:pPr>
            <w:pStyle w:val="Header"/>
            <w:bidi w:val="0"/>
            <w:jc w:val="center"/>
          </w:pPr>
          <w:r w:rsidR="4D27A931">
            <w:rPr/>
            <w:t>Assignment 1</w:t>
          </w:r>
        </w:p>
        <w:p w:rsidR="4D27A931" w:rsidP="4D27A931" w:rsidRDefault="4D27A931" w14:paraId="70832C24" w14:textId="18C6DD0D">
          <w:pPr>
            <w:pStyle w:val="Header"/>
            <w:bidi w:val="0"/>
            <w:jc w:val="center"/>
          </w:pPr>
          <w:r w:rsidR="4D27A931">
            <w:rPr/>
            <w:t>1908889</w:t>
          </w:r>
        </w:p>
      </w:tc>
      <w:tc>
        <w:tcPr>
          <w:tcW w:w="3120" w:type="dxa"/>
          <w:tcMar/>
        </w:tcPr>
        <w:p w:rsidR="4D27A931" w:rsidP="4D27A931" w:rsidRDefault="4D27A931" w14:paraId="14C059C8" w14:textId="519A1E79">
          <w:pPr>
            <w:pStyle w:val="Header"/>
            <w:bidi w:val="0"/>
            <w:ind w:right="-115"/>
            <w:jc w:val="right"/>
          </w:pPr>
        </w:p>
      </w:tc>
    </w:tr>
  </w:tbl>
  <w:p w:rsidR="4D27A931" w:rsidP="4D27A931" w:rsidRDefault="4D27A931" w14:paraId="1D60C534" w14:textId="4952A4F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8629B31"/>
  <w15:docId w15:val="{6d3b8d0c-8521-4502-928e-15e98ab1290b}"/>
  <w:rsids>
    <w:rsidRoot w:val="48629B31"/>
    <w:rsid w:val="0F1C4422"/>
    <w:rsid w:val="0F1FEA85"/>
    <w:rsid w:val="356867F6"/>
    <w:rsid w:val="40910E3A"/>
    <w:rsid w:val="48629B31"/>
    <w:rsid w:val="4D27A93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94f526f30e5416a" /><Relationship Type="http://schemas.openxmlformats.org/officeDocument/2006/relationships/footer" Target="/word/footer.xml" Id="Rbb3a25e9928c484b" /><Relationship Type="http://schemas.openxmlformats.org/officeDocument/2006/relationships/hyperlink" Target="http://www.telegraph.co.uk/new/2016/06/24/millennials-fury-over-baby-moomers-vote-for-brexit/" TargetMode="External" Id="R37722bad8ffb44fd" /><Relationship Type="http://schemas.openxmlformats.org/officeDocument/2006/relationships/hyperlink" Target="https://yougov.co.uk/news/2016/06/27/how-britain-voted/" TargetMode="External" Id="R1c444ca647ca4e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2019-11-28T10:17:11.9046458Z</dcterms:created>
  <dcterms:modified xsi:type="dcterms:W3CDTF">2019-12-12T22:12:52.5714799Z</dcterms:modified>
  <dc:creator>Rebecca Allender (1908889)</dc:creator>
  <lastModifiedBy>Rebecca Allender (1908889)</lastModifiedBy>
</coreProperties>
</file>