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D36025A" w14:textId="6529B5BF" w:rsidR="00D4371D" w:rsidRDefault="4D3F3428" w:rsidP="42857245">
      <w:pPr>
        <w:jc w:val="center"/>
        <w:rPr>
          <w:rFonts w:ascii="Times New Roman" w:eastAsia="Times New Roman" w:hAnsi="Times New Roman" w:cs="Times New Roman"/>
          <w:sz w:val="32"/>
          <w:szCs w:val="32"/>
        </w:rPr>
      </w:pPr>
      <w:r w:rsidRPr="42857245">
        <w:rPr>
          <w:rFonts w:ascii="Times New Roman" w:eastAsia="Times New Roman" w:hAnsi="Times New Roman" w:cs="Times New Roman"/>
          <w:sz w:val="32"/>
          <w:szCs w:val="32"/>
        </w:rPr>
        <w:t>C</w:t>
      </w:r>
      <w:r w:rsidR="73B684EB" w:rsidRPr="42857245">
        <w:rPr>
          <w:rFonts w:ascii="Times New Roman" w:eastAsia="Times New Roman" w:hAnsi="Times New Roman" w:cs="Times New Roman"/>
          <w:sz w:val="32"/>
          <w:szCs w:val="32"/>
        </w:rPr>
        <w:t xml:space="preserve">onsent &amp; it’s role in </w:t>
      </w:r>
    </w:p>
    <w:p w14:paraId="21BEB89C" w14:textId="333831C5" w:rsidR="00D4371D" w:rsidRDefault="73B684EB" w:rsidP="246B89CB">
      <w:pPr>
        <w:jc w:val="center"/>
        <w:rPr>
          <w:rFonts w:ascii="Times New Roman" w:eastAsia="Times New Roman" w:hAnsi="Times New Roman" w:cs="Times New Roman"/>
          <w:sz w:val="32"/>
          <w:szCs w:val="32"/>
        </w:rPr>
      </w:pPr>
      <w:r w:rsidRPr="246B89CB">
        <w:rPr>
          <w:rFonts w:ascii="Times New Roman" w:eastAsia="Times New Roman" w:hAnsi="Times New Roman" w:cs="Times New Roman"/>
          <w:sz w:val="32"/>
          <w:szCs w:val="32"/>
        </w:rPr>
        <w:t xml:space="preserve">cases involving </w:t>
      </w:r>
      <w:proofErr w:type="gramStart"/>
      <w:r w:rsidRPr="246B89CB">
        <w:rPr>
          <w:rFonts w:ascii="Times New Roman" w:eastAsia="Times New Roman" w:hAnsi="Times New Roman" w:cs="Times New Roman"/>
          <w:sz w:val="32"/>
          <w:szCs w:val="32"/>
        </w:rPr>
        <w:t>Battery</w:t>
      </w:r>
      <w:proofErr w:type="gramEnd"/>
    </w:p>
    <w:p w14:paraId="3B1CAB85" w14:textId="25959447" w:rsidR="00D4371D" w:rsidRDefault="00D4371D" w:rsidP="246B89CB">
      <w:pPr>
        <w:rPr>
          <w:rFonts w:ascii="Times New Roman" w:eastAsia="Times New Roman" w:hAnsi="Times New Roman" w:cs="Times New Roman"/>
          <w:sz w:val="32"/>
          <w:szCs w:val="32"/>
        </w:rPr>
      </w:pPr>
    </w:p>
    <w:p w14:paraId="2C078E63" w14:textId="5ACAC03F" w:rsidR="00D4371D" w:rsidRDefault="27D86348" w:rsidP="246B89CB">
      <w:pPr>
        <w:jc w:val="center"/>
        <w:rPr>
          <w:rFonts w:ascii="Times New Roman" w:eastAsia="Times New Roman" w:hAnsi="Times New Roman" w:cs="Times New Roman"/>
          <w:sz w:val="32"/>
          <w:szCs w:val="32"/>
        </w:rPr>
      </w:pPr>
      <w:r w:rsidRPr="246B89CB">
        <w:rPr>
          <w:rFonts w:ascii="Times New Roman" w:eastAsia="Times New Roman" w:hAnsi="Times New Roman" w:cs="Times New Roman"/>
          <w:sz w:val="32"/>
          <w:szCs w:val="32"/>
        </w:rPr>
        <w:t>Introduction</w:t>
      </w:r>
      <w:r w:rsidR="73B684EB" w:rsidRPr="246B89CB">
        <w:rPr>
          <w:rFonts w:ascii="Times New Roman" w:eastAsia="Times New Roman" w:hAnsi="Times New Roman" w:cs="Times New Roman"/>
          <w:sz w:val="32"/>
          <w:szCs w:val="32"/>
        </w:rPr>
        <w:t xml:space="preserve"> </w:t>
      </w:r>
    </w:p>
    <w:p w14:paraId="324C3C7C" w14:textId="397E168D" w:rsidR="044B69A5" w:rsidRDefault="044B69A5" w:rsidP="246B89CB">
      <w:pPr>
        <w:rPr>
          <w:rFonts w:ascii="Times New Roman" w:eastAsia="Times New Roman" w:hAnsi="Times New Roman" w:cs="Times New Roman"/>
          <w:sz w:val="32"/>
          <w:szCs w:val="32"/>
        </w:rPr>
      </w:pPr>
    </w:p>
    <w:p w14:paraId="7CE1A7FC" w14:textId="79B69747" w:rsidR="438FDB06" w:rsidRDefault="3072D6D4" w:rsidP="0CF7C817">
      <w:pPr>
        <w:rPr>
          <w:rFonts w:ascii="Times New Roman" w:eastAsia="Times New Roman" w:hAnsi="Times New Roman" w:cs="Times New Roman"/>
          <w:sz w:val="24"/>
          <w:szCs w:val="24"/>
        </w:rPr>
      </w:pPr>
      <w:r w:rsidRPr="0CF7C817">
        <w:rPr>
          <w:rFonts w:ascii="Times New Roman" w:eastAsia="Times New Roman" w:hAnsi="Times New Roman" w:cs="Times New Roman"/>
          <w:sz w:val="24"/>
          <w:szCs w:val="24"/>
        </w:rPr>
        <w:t xml:space="preserve">This essay we will be looking at Consent and </w:t>
      </w:r>
      <w:r w:rsidR="22FD8135" w:rsidRPr="0CF7C817">
        <w:rPr>
          <w:rFonts w:ascii="Times New Roman" w:eastAsia="Times New Roman" w:hAnsi="Times New Roman" w:cs="Times New Roman"/>
          <w:sz w:val="24"/>
          <w:szCs w:val="24"/>
        </w:rPr>
        <w:t>Battery and</w:t>
      </w:r>
      <w:r w:rsidRPr="0CF7C81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7D021804" w:rsidRPr="0CF7C817">
        <w:rPr>
          <w:rFonts w:ascii="Times New Roman" w:eastAsia="Times New Roman" w:hAnsi="Times New Roman" w:cs="Times New Roman"/>
          <w:sz w:val="24"/>
          <w:szCs w:val="24"/>
        </w:rPr>
        <w:t xml:space="preserve">the Actus Reus and the </w:t>
      </w:r>
      <w:proofErr w:type="spellStart"/>
      <w:r w:rsidR="7D021804" w:rsidRPr="0CF7C817">
        <w:rPr>
          <w:rFonts w:ascii="Times New Roman" w:eastAsia="Times New Roman" w:hAnsi="Times New Roman" w:cs="Times New Roman"/>
          <w:sz w:val="24"/>
          <w:szCs w:val="24"/>
        </w:rPr>
        <w:t>Mens</w:t>
      </w:r>
      <w:proofErr w:type="spellEnd"/>
      <w:r w:rsidR="7D021804" w:rsidRPr="0CF7C817">
        <w:rPr>
          <w:rFonts w:ascii="Times New Roman" w:eastAsia="Times New Roman" w:hAnsi="Times New Roman" w:cs="Times New Roman"/>
          <w:sz w:val="24"/>
          <w:szCs w:val="24"/>
        </w:rPr>
        <w:t xml:space="preserve"> Rea</w:t>
      </w:r>
      <w:r w:rsidR="22E4C963" w:rsidRPr="0CF7C817">
        <w:rPr>
          <w:rFonts w:ascii="Times New Roman" w:eastAsia="Times New Roman" w:hAnsi="Times New Roman" w:cs="Times New Roman"/>
          <w:sz w:val="24"/>
          <w:szCs w:val="24"/>
        </w:rPr>
        <w:t xml:space="preserve"> behind those </w:t>
      </w:r>
      <w:proofErr w:type="spellStart"/>
      <w:r w:rsidR="22E4C963" w:rsidRPr="0CF7C817">
        <w:rPr>
          <w:rFonts w:ascii="Times New Roman" w:eastAsia="Times New Roman" w:hAnsi="Times New Roman" w:cs="Times New Roman"/>
          <w:sz w:val="24"/>
          <w:szCs w:val="24"/>
        </w:rPr>
        <w:t>actions</w:t>
      </w:r>
      <w:r w:rsidR="7D021804" w:rsidRPr="0CF7C817">
        <w:rPr>
          <w:rFonts w:ascii="Times New Roman" w:eastAsia="Times New Roman" w:hAnsi="Times New Roman" w:cs="Times New Roman"/>
          <w:sz w:val="24"/>
          <w:szCs w:val="24"/>
        </w:rPr>
        <w:t>.</w:t>
      </w:r>
      <w:r w:rsidR="5EE1B211" w:rsidRPr="0CF7C817">
        <w:rPr>
          <w:rFonts w:ascii="Times New Roman" w:eastAsia="Times New Roman" w:hAnsi="Times New Roman" w:cs="Times New Roman"/>
          <w:sz w:val="24"/>
          <w:szCs w:val="24"/>
        </w:rPr>
        <w:t>Assault</w:t>
      </w:r>
      <w:proofErr w:type="spellEnd"/>
      <w:r w:rsidR="5EE1B211" w:rsidRPr="0CF7C817">
        <w:rPr>
          <w:rFonts w:ascii="Times New Roman" w:eastAsia="Times New Roman" w:hAnsi="Times New Roman" w:cs="Times New Roman"/>
          <w:sz w:val="24"/>
          <w:szCs w:val="24"/>
        </w:rPr>
        <w:t xml:space="preserve"> and Battery used to be two different distinct crimes as once described by common law, (now stated as statutory offences)</w:t>
      </w:r>
      <w:r w:rsidR="1D869743" w:rsidRPr="0CF7C817">
        <w:rPr>
          <w:rFonts w:ascii="Times New Roman" w:eastAsia="Times New Roman" w:hAnsi="Times New Roman" w:cs="Times New Roman"/>
          <w:sz w:val="24"/>
          <w:szCs w:val="24"/>
        </w:rPr>
        <w:t xml:space="preserve"> is acknowledged by s39 of the Criminal Justice Act 1998.</w:t>
      </w:r>
      <w:r w:rsidR="76238D64" w:rsidRPr="0CF7C817">
        <w:rPr>
          <w:rFonts w:ascii="Times New Roman" w:eastAsia="Times New Roman" w:hAnsi="Times New Roman" w:cs="Times New Roman"/>
          <w:sz w:val="24"/>
          <w:szCs w:val="24"/>
        </w:rPr>
        <w:t xml:space="preserve">Common assault and battery are summary offences and if a person is found guilty of either of them, are liable </w:t>
      </w:r>
      <w:r w:rsidR="19FD4971" w:rsidRPr="0CF7C817">
        <w:rPr>
          <w:rFonts w:ascii="Times New Roman" w:eastAsia="Times New Roman" w:hAnsi="Times New Roman" w:cs="Times New Roman"/>
          <w:sz w:val="24"/>
          <w:szCs w:val="24"/>
        </w:rPr>
        <w:t>to an infinite amount of fine, which can lead to an imprisonment</w:t>
      </w:r>
      <w:r w:rsidR="141AE52F" w:rsidRPr="0CF7C817">
        <w:rPr>
          <w:rFonts w:ascii="Times New Roman" w:eastAsia="Times New Roman" w:hAnsi="Times New Roman" w:cs="Times New Roman"/>
          <w:sz w:val="24"/>
          <w:szCs w:val="24"/>
        </w:rPr>
        <w:t xml:space="preserve"> term and or </w:t>
      </w:r>
      <w:r w:rsidR="3281A7B5" w:rsidRPr="0CF7C817">
        <w:rPr>
          <w:rFonts w:ascii="Times New Roman" w:eastAsia="Times New Roman" w:hAnsi="Times New Roman" w:cs="Times New Roman"/>
          <w:sz w:val="24"/>
          <w:szCs w:val="24"/>
        </w:rPr>
        <w:t xml:space="preserve">both. </w:t>
      </w:r>
      <w:r w:rsidR="2FBB84F2" w:rsidRPr="0CF7C817">
        <w:rPr>
          <w:rFonts w:ascii="Arial" w:eastAsia="Arial" w:hAnsi="Arial" w:cs="Arial"/>
          <w:color w:val="222222"/>
          <w:sz w:val="19"/>
          <w:szCs w:val="19"/>
        </w:rPr>
        <w:t xml:space="preserve">Beale Jr, J.H., 1894. Consent in the Criminal Law. </w:t>
      </w:r>
      <w:r w:rsidR="2FBB84F2" w:rsidRPr="0CF7C817">
        <w:rPr>
          <w:rFonts w:ascii="Arial" w:eastAsia="Arial" w:hAnsi="Arial" w:cs="Arial"/>
          <w:i/>
          <w:iCs/>
          <w:color w:val="222222"/>
          <w:sz w:val="19"/>
          <w:szCs w:val="19"/>
        </w:rPr>
        <w:t>Harv. L. Rev.</w:t>
      </w:r>
      <w:r w:rsidR="2FBB84F2" w:rsidRPr="0CF7C817">
        <w:rPr>
          <w:rFonts w:ascii="Arial" w:eastAsia="Arial" w:hAnsi="Arial" w:cs="Arial"/>
          <w:color w:val="222222"/>
          <w:sz w:val="19"/>
          <w:szCs w:val="19"/>
        </w:rPr>
        <w:t xml:space="preserve">, </w:t>
      </w:r>
      <w:r w:rsidR="2FBB84F2" w:rsidRPr="0CF7C817">
        <w:rPr>
          <w:rFonts w:ascii="Arial" w:eastAsia="Arial" w:hAnsi="Arial" w:cs="Arial"/>
          <w:i/>
          <w:iCs/>
          <w:color w:val="222222"/>
          <w:sz w:val="19"/>
          <w:szCs w:val="19"/>
        </w:rPr>
        <w:t>8</w:t>
      </w:r>
      <w:r w:rsidR="2FBB84F2" w:rsidRPr="0CF7C817">
        <w:rPr>
          <w:rFonts w:ascii="Arial" w:eastAsia="Arial" w:hAnsi="Arial" w:cs="Arial"/>
          <w:color w:val="222222"/>
          <w:sz w:val="19"/>
          <w:szCs w:val="19"/>
        </w:rPr>
        <w:t>, p.317.</w:t>
      </w:r>
    </w:p>
    <w:p w14:paraId="564EEEFE" w14:textId="2132B373" w:rsidR="438FDB06" w:rsidRDefault="6964B6C3" w:rsidP="02A8969A">
      <w:pPr>
        <w:rPr>
          <w:rFonts w:ascii="Times New Roman" w:eastAsia="Times New Roman" w:hAnsi="Times New Roman" w:cs="Times New Roman"/>
          <w:sz w:val="24"/>
          <w:szCs w:val="24"/>
        </w:rPr>
      </w:pPr>
      <w:r w:rsidRPr="02A8969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2D76072F" w:rsidRPr="02A8969A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</w:p>
    <w:p w14:paraId="58F1D2E0" w14:textId="21682DA7" w:rsidR="438FDB06" w:rsidRDefault="26CA7639" w:rsidP="02A8969A">
      <w:pPr>
        <w:rPr>
          <w:rFonts w:ascii="Times New Roman" w:eastAsia="Times New Roman" w:hAnsi="Times New Roman" w:cs="Times New Roman"/>
          <w:color w:val="222222"/>
          <w:sz w:val="19"/>
          <w:szCs w:val="19"/>
        </w:rPr>
      </w:pPr>
      <w:r w:rsidRPr="02A8969A">
        <w:rPr>
          <w:rFonts w:ascii="Times New Roman" w:eastAsia="Times New Roman" w:hAnsi="Times New Roman" w:cs="Times New Roman"/>
          <w:sz w:val="24"/>
          <w:szCs w:val="24"/>
        </w:rPr>
        <w:t>An assault is the conduct in which the defendant has</w:t>
      </w:r>
      <w:r w:rsidR="6234F3AB" w:rsidRPr="02A8969A">
        <w:rPr>
          <w:rFonts w:ascii="Times New Roman" w:eastAsia="Times New Roman" w:hAnsi="Times New Roman" w:cs="Times New Roman"/>
          <w:sz w:val="24"/>
          <w:szCs w:val="24"/>
        </w:rPr>
        <w:t>,</w:t>
      </w:r>
      <w:r w:rsidRPr="02A8969A">
        <w:rPr>
          <w:rFonts w:ascii="Times New Roman" w:eastAsia="Times New Roman" w:hAnsi="Times New Roman" w:cs="Times New Roman"/>
          <w:sz w:val="24"/>
          <w:szCs w:val="24"/>
        </w:rPr>
        <w:t xml:space="preserve"> purposefully or recklessly </w:t>
      </w:r>
      <w:r w:rsidR="656F5B6A" w:rsidRPr="02A8969A">
        <w:rPr>
          <w:rFonts w:ascii="Times New Roman" w:eastAsia="Times New Roman" w:hAnsi="Times New Roman" w:cs="Times New Roman"/>
          <w:sz w:val="24"/>
          <w:szCs w:val="24"/>
        </w:rPr>
        <w:t xml:space="preserve">causes the victim to sustain straight away any attack which is </w:t>
      </w:r>
      <w:r w:rsidR="0EC9E30C" w:rsidRPr="02A8969A">
        <w:rPr>
          <w:rFonts w:ascii="Times New Roman" w:eastAsia="Times New Roman" w:hAnsi="Times New Roman" w:cs="Times New Roman"/>
          <w:sz w:val="24"/>
          <w:szCs w:val="24"/>
        </w:rPr>
        <w:t xml:space="preserve">any </w:t>
      </w:r>
      <w:r w:rsidR="656F5B6A" w:rsidRPr="02A8969A">
        <w:rPr>
          <w:rFonts w:ascii="Times New Roman" w:eastAsia="Times New Roman" w:hAnsi="Times New Roman" w:cs="Times New Roman"/>
          <w:sz w:val="24"/>
          <w:szCs w:val="24"/>
        </w:rPr>
        <w:t>unlawful personal vi</w:t>
      </w:r>
      <w:r w:rsidR="1164AF92" w:rsidRPr="02A8969A">
        <w:rPr>
          <w:rFonts w:ascii="Times New Roman" w:eastAsia="Times New Roman" w:hAnsi="Times New Roman" w:cs="Times New Roman"/>
          <w:sz w:val="24"/>
          <w:szCs w:val="24"/>
        </w:rPr>
        <w:t>olence.</w:t>
      </w:r>
      <w:r w:rsidR="500994C3" w:rsidRPr="02A8969A">
        <w:rPr>
          <w:rFonts w:ascii="Times New Roman" w:eastAsia="Times New Roman" w:hAnsi="Times New Roman" w:cs="Times New Roman"/>
          <w:sz w:val="24"/>
          <w:szCs w:val="24"/>
        </w:rPr>
        <w:t xml:space="preserve"> A battery is any </w:t>
      </w:r>
      <w:r w:rsidR="62B925CD" w:rsidRPr="02A8969A">
        <w:rPr>
          <w:rFonts w:ascii="Times New Roman" w:eastAsia="Times New Roman" w:hAnsi="Times New Roman" w:cs="Times New Roman"/>
          <w:sz w:val="24"/>
          <w:szCs w:val="24"/>
        </w:rPr>
        <w:t>conduct in which</w:t>
      </w:r>
      <w:r w:rsidR="500994C3" w:rsidRPr="02A8969A">
        <w:rPr>
          <w:rFonts w:ascii="Times New Roman" w:eastAsia="Times New Roman" w:hAnsi="Times New Roman" w:cs="Times New Roman"/>
          <w:sz w:val="24"/>
          <w:szCs w:val="24"/>
        </w:rPr>
        <w:t xml:space="preserve"> the defendant</w:t>
      </w:r>
      <w:r w:rsidR="73E350CF" w:rsidRPr="02A8969A">
        <w:rPr>
          <w:rFonts w:ascii="Times New Roman" w:eastAsia="Times New Roman" w:hAnsi="Times New Roman" w:cs="Times New Roman"/>
          <w:sz w:val="24"/>
          <w:szCs w:val="24"/>
        </w:rPr>
        <w:t xml:space="preserve"> again purposefully or recklessly cause</w:t>
      </w:r>
      <w:r w:rsidR="7A49E733" w:rsidRPr="02A8969A">
        <w:rPr>
          <w:rFonts w:ascii="Times New Roman" w:eastAsia="Times New Roman" w:hAnsi="Times New Roman" w:cs="Times New Roman"/>
          <w:sz w:val="24"/>
          <w:szCs w:val="24"/>
        </w:rPr>
        <w:t>s any unlawful attack upon the victim.</w:t>
      </w:r>
      <w:r w:rsidR="500994C3" w:rsidRPr="02A8969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24060782" w:rsidRPr="02A8969A">
        <w:rPr>
          <w:rFonts w:ascii="Times New Roman" w:eastAsia="Times New Roman" w:hAnsi="Times New Roman" w:cs="Times New Roman"/>
          <w:sz w:val="24"/>
          <w:szCs w:val="24"/>
        </w:rPr>
        <w:t xml:space="preserve">However, violence constitutes any unlawful touching of any form regardless of how small, according to </w:t>
      </w:r>
      <w:r w:rsidR="18413EFE" w:rsidRPr="02A8969A">
        <w:rPr>
          <w:rFonts w:ascii="Times New Roman" w:eastAsia="Times New Roman" w:hAnsi="Times New Roman" w:cs="Times New Roman"/>
          <w:sz w:val="24"/>
          <w:szCs w:val="24"/>
        </w:rPr>
        <w:t xml:space="preserve">Blackstone. There cannot be a line drawn by the law between the different variations of violence. </w:t>
      </w:r>
      <w:r w:rsidR="7DFA47FA" w:rsidRPr="02A8969A">
        <w:rPr>
          <w:rFonts w:ascii="Times New Roman" w:eastAsia="Times New Roman" w:hAnsi="Times New Roman" w:cs="Times New Roman"/>
          <w:sz w:val="24"/>
          <w:szCs w:val="24"/>
        </w:rPr>
        <w:t xml:space="preserve">Therefore, it prohibits the higher and lowest stages of it. </w:t>
      </w:r>
      <w:bookmarkStart w:id="0" w:name="_Int_DmaXAtlK"/>
      <w:r w:rsidR="7DFA47FA" w:rsidRPr="02A8969A">
        <w:rPr>
          <w:rFonts w:ascii="Times New Roman" w:eastAsia="Times New Roman" w:hAnsi="Times New Roman" w:cs="Times New Roman"/>
          <w:sz w:val="24"/>
          <w:szCs w:val="24"/>
        </w:rPr>
        <w:t>Every person be it man or women w</w:t>
      </w:r>
      <w:r w:rsidR="158B0961" w:rsidRPr="02A8969A">
        <w:rPr>
          <w:rFonts w:ascii="Times New Roman" w:eastAsia="Times New Roman" w:hAnsi="Times New Roman" w:cs="Times New Roman"/>
          <w:sz w:val="24"/>
          <w:szCs w:val="24"/>
        </w:rPr>
        <w:t>ho is scared.</w:t>
      </w:r>
      <w:bookmarkEnd w:id="0"/>
      <w:r w:rsidR="158B0961" w:rsidRPr="02A8969A">
        <w:rPr>
          <w:rFonts w:ascii="Times New Roman" w:eastAsia="Times New Roman" w:hAnsi="Times New Roman" w:cs="Times New Roman"/>
          <w:sz w:val="24"/>
          <w:szCs w:val="24"/>
        </w:rPr>
        <w:t xml:space="preserve"> No-one has a right to meddle with your </w:t>
      </w:r>
      <w:r w:rsidR="3964C56D" w:rsidRPr="02A8969A">
        <w:rPr>
          <w:rFonts w:ascii="Times New Roman" w:eastAsia="Times New Roman" w:hAnsi="Times New Roman" w:cs="Times New Roman"/>
          <w:sz w:val="24"/>
          <w:szCs w:val="24"/>
        </w:rPr>
        <w:t xml:space="preserve">safety regardless of how small it is. It reflects on the </w:t>
      </w:r>
      <w:r w:rsidR="2948E403" w:rsidRPr="02A8969A">
        <w:rPr>
          <w:rFonts w:ascii="Times New Roman" w:eastAsia="Times New Roman" w:hAnsi="Times New Roman" w:cs="Times New Roman"/>
          <w:sz w:val="24"/>
          <w:szCs w:val="24"/>
        </w:rPr>
        <w:t>fact</w:t>
      </w:r>
      <w:r w:rsidR="3964C56D" w:rsidRPr="02A8969A">
        <w:rPr>
          <w:rFonts w:ascii="Times New Roman" w:eastAsia="Times New Roman" w:hAnsi="Times New Roman" w:cs="Times New Roman"/>
          <w:sz w:val="24"/>
          <w:szCs w:val="24"/>
        </w:rPr>
        <w:t xml:space="preserve"> that these offences against any person </w:t>
      </w:r>
      <w:r w:rsidR="286BE2F1" w:rsidRPr="02A8969A">
        <w:rPr>
          <w:rFonts w:ascii="Times New Roman" w:eastAsia="Times New Roman" w:hAnsi="Times New Roman" w:cs="Times New Roman"/>
          <w:sz w:val="24"/>
          <w:szCs w:val="24"/>
        </w:rPr>
        <w:t>protect</w:t>
      </w:r>
      <w:r w:rsidR="5A9684F6" w:rsidRPr="02A8969A">
        <w:rPr>
          <w:rFonts w:ascii="Times New Roman" w:eastAsia="Times New Roman" w:hAnsi="Times New Roman" w:cs="Times New Roman"/>
          <w:sz w:val="24"/>
          <w:szCs w:val="24"/>
        </w:rPr>
        <w:t xml:space="preserve"> any individual's personal autonomy, this wou</w:t>
      </w:r>
      <w:r w:rsidR="7227465C" w:rsidRPr="02A8969A">
        <w:rPr>
          <w:rFonts w:ascii="Times New Roman" w:eastAsia="Times New Roman" w:hAnsi="Times New Roman" w:cs="Times New Roman"/>
          <w:sz w:val="24"/>
          <w:szCs w:val="24"/>
        </w:rPr>
        <w:t xml:space="preserve">ld be achieved by handing out the </w:t>
      </w:r>
      <w:r w:rsidR="1EA459C0" w:rsidRPr="02A8969A">
        <w:rPr>
          <w:rFonts w:ascii="Times New Roman" w:eastAsia="Times New Roman" w:hAnsi="Times New Roman" w:cs="Times New Roman"/>
          <w:sz w:val="24"/>
          <w:szCs w:val="24"/>
        </w:rPr>
        <w:t>slightest</w:t>
      </w:r>
      <w:r w:rsidR="7227465C" w:rsidRPr="02A8969A">
        <w:rPr>
          <w:rFonts w:ascii="Times New Roman" w:eastAsia="Times New Roman" w:hAnsi="Times New Roman" w:cs="Times New Roman"/>
          <w:sz w:val="24"/>
          <w:szCs w:val="24"/>
        </w:rPr>
        <w:t xml:space="preserve"> punishment to any criminal for any unjustified </w:t>
      </w:r>
      <w:r w:rsidR="5DC2B39B" w:rsidRPr="02A8969A">
        <w:rPr>
          <w:rFonts w:ascii="Times New Roman" w:eastAsia="Times New Roman" w:hAnsi="Times New Roman" w:cs="Times New Roman"/>
          <w:sz w:val="24"/>
          <w:szCs w:val="24"/>
        </w:rPr>
        <w:t>infringement</w:t>
      </w:r>
      <w:r w:rsidR="7227465C" w:rsidRPr="02A8969A">
        <w:rPr>
          <w:rFonts w:ascii="Times New Roman" w:eastAsia="Times New Roman" w:hAnsi="Times New Roman" w:cs="Times New Roman"/>
          <w:sz w:val="24"/>
          <w:szCs w:val="24"/>
        </w:rPr>
        <w:t>.</w:t>
      </w:r>
      <w:r w:rsidR="30CC2B8E" w:rsidRPr="02A8969A">
        <w:rPr>
          <w:rFonts w:ascii="Times New Roman" w:eastAsia="Times New Roman" w:hAnsi="Times New Roman" w:cs="Times New Roman"/>
          <w:sz w:val="24"/>
          <w:szCs w:val="24"/>
        </w:rPr>
        <w:t xml:space="preserve"> This protection is supported and offered by the ECHR, in Art 8 (respect for private life</w:t>
      </w:r>
      <w:r w:rsidR="690A7A5B" w:rsidRPr="02A8969A">
        <w:rPr>
          <w:rFonts w:ascii="Times New Roman" w:eastAsia="Times New Roman" w:hAnsi="Times New Roman" w:cs="Times New Roman"/>
          <w:sz w:val="24"/>
          <w:szCs w:val="24"/>
        </w:rPr>
        <w:t xml:space="preserve">). The other side to autonomy in this context- </w:t>
      </w:r>
      <w:r w:rsidR="75D7A723" w:rsidRPr="02A8969A">
        <w:rPr>
          <w:rFonts w:ascii="Times New Roman" w:eastAsia="Times New Roman" w:hAnsi="Times New Roman" w:cs="Times New Roman"/>
          <w:sz w:val="24"/>
          <w:szCs w:val="24"/>
        </w:rPr>
        <w:t xml:space="preserve">this </w:t>
      </w:r>
      <w:proofErr w:type="spellStart"/>
      <w:r w:rsidR="75D7A723" w:rsidRPr="02A8969A">
        <w:rPr>
          <w:rFonts w:ascii="Times New Roman" w:eastAsia="Times New Roman" w:hAnsi="Times New Roman" w:cs="Times New Roman"/>
          <w:sz w:val="24"/>
          <w:szCs w:val="24"/>
        </w:rPr>
        <w:t>alledged</w:t>
      </w:r>
      <w:proofErr w:type="spellEnd"/>
      <w:r w:rsidR="75D7A723" w:rsidRPr="02A8969A">
        <w:rPr>
          <w:rFonts w:ascii="Times New Roman" w:eastAsia="Times New Roman" w:hAnsi="Times New Roman" w:cs="Times New Roman"/>
          <w:sz w:val="24"/>
          <w:szCs w:val="24"/>
        </w:rPr>
        <w:t xml:space="preserve"> freedom to do what you like with your own body, is not well respected in the current s</w:t>
      </w:r>
      <w:r w:rsidR="19B16330" w:rsidRPr="02A8969A">
        <w:rPr>
          <w:rFonts w:ascii="Times New Roman" w:eastAsia="Times New Roman" w:hAnsi="Times New Roman" w:cs="Times New Roman"/>
          <w:sz w:val="24"/>
          <w:szCs w:val="24"/>
        </w:rPr>
        <w:t>tructure of the law</w:t>
      </w:r>
      <w:r w:rsidR="59BE5867" w:rsidRPr="02A8969A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r w:rsidR="59BE5867" w:rsidRPr="02A8969A">
        <w:rPr>
          <w:rFonts w:ascii="Times New Roman" w:eastAsia="Times New Roman" w:hAnsi="Times New Roman" w:cs="Times New Roman"/>
          <w:color w:val="222222"/>
          <w:sz w:val="19"/>
          <w:szCs w:val="19"/>
        </w:rPr>
        <w:t>Beale, 1894).</w:t>
      </w:r>
    </w:p>
    <w:p w14:paraId="4D5B9BDA" w14:textId="530D03D1" w:rsidR="438FDB06" w:rsidRDefault="438FDB06" w:rsidP="02A8969A">
      <w:pPr>
        <w:rPr>
          <w:rFonts w:ascii="Times New Roman" w:eastAsia="Times New Roman" w:hAnsi="Times New Roman" w:cs="Times New Roman"/>
          <w:sz w:val="24"/>
          <w:szCs w:val="24"/>
        </w:rPr>
      </w:pPr>
      <w:r w:rsidRPr="02A8969A">
        <w:rPr>
          <w:rFonts w:ascii="Times New Roman" w:eastAsia="Times New Roman" w:hAnsi="Times New Roman" w:cs="Times New Roman"/>
          <w:sz w:val="24"/>
          <w:szCs w:val="24"/>
        </w:rPr>
        <w:t xml:space="preserve">Lord Lane CJ described </w:t>
      </w:r>
      <w:r w:rsidR="2F3FBC98" w:rsidRPr="02A8969A">
        <w:rPr>
          <w:rFonts w:ascii="Times New Roman" w:eastAsia="Times New Roman" w:hAnsi="Times New Roman" w:cs="Times New Roman"/>
          <w:sz w:val="24"/>
          <w:szCs w:val="24"/>
        </w:rPr>
        <w:t>battery</w:t>
      </w:r>
      <w:r w:rsidRPr="02A8969A">
        <w:rPr>
          <w:rFonts w:ascii="Times New Roman" w:eastAsia="Times New Roman" w:hAnsi="Times New Roman" w:cs="Times New Roman"/>
          <w:sz w:val="24"/>
          <w:szCs w:val="24"/>
        </w:rPr>
        <w:t xml:space="preserve"> in </w:t>
      </w:r>
      <w:proofErr w:type="gramStart"/>
      <w:r w:rsidR="089B569C" w:rsidRPr="02A8969A">
        <w:rPr>
          <w:rFonts w:ascii="Times New Roman" w:eastAsia="Times New Roman" w:hAnsi="Times New Roman" w:cs="Times New Roman"/>
          <w:sz w:val="24"/>
          <w:szCs w:val="24"/>
        </w:rPr>
        <w:t>great</w:t>
      </w:r>
      <w:r w:rsidRPr="02A8969A">
        <w:rPr>
          <w:rFonts w:ascii="Times New Roman" w:eastAsia="Times New Roman" w:hAnsi="Times New Roman" w:cs="Times New Roman"/>
          <w:sz w:val="24"/>
          <w:szCs w:val="24"/>
        </w:rPr>
        <w:t xml:space="preserve"> detail</w:t>
      </w:r>
      <w:proofErr w:type="gramEnd"/>
      <w:r w:rsidRPr="02A8969A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7CCBDFA4" w:rsidRPr="02A8969A">
        <w:rPr>
          <w:rFonts w:ascii="Times New Roman" w:eastAsia="Times New Roman" w:hAnsi="Times New Roman" w:cs="Times New Roman"/>
          <w:sz w:val="24"/>
          <w:szCs w:val="24"/>
        </w:rPr>
        <w:t>To touch</w:t>
      </w:r>
      <w:r w:rsidR="5A51A11C" w:rsidRPr="02A8969A">
        <w:rPr>
          <w:rFonts w:ascii="Times New Roman" w:eastAsia="Times New Roman" w:hAnsi="Times New Roman" w:cs="Times New Roman"/>
          <w:sz w:val="24"/>
          <w:szCs w:val="24"/>
        </w:rPr>
        <w:t xml:space="preserve"> someone regardless of where you are in the world, without the consent of that or any person but also without a reasonable lawful exc</w:t>
      </w:r>
      <w:r w:rsidR="128FEFEA" w:rsidRPr="02A8969A">
        <w:rPr>
          <w:rFonts w:ascii="Times New Roman" w:eastAsia="Times New Roman" w:hAnsi="Times New Roman" w:cs="Times New Roman"/>
          <w:sz w:val="24"/>
          <w:szCs w:val="24"/>
        </w:rPr>
        <w:t xml:space="preserve">use. The act does </w:t>
      </w:r>
      <w:r w:rsidR="0EF73E8D" w:rsidRPr="02A8969A">
        <w:rPr>
          <w:rFonts w:ascii="Times New Roman" w:eastAsia="Times New Roman" w:hAnsi="Times New Roman" w:cs="Times New Roman"/>
          <w:sz w:val="24"/>
          <w:szCs w:val="24"/>
        </w:rPr>
        <w:t xml:space="preserve">not </w:t>
      </w:r>
      <w:proofErr w:type="spellStart"/>
      <w:r w:rsidR="0EF73E8D" w:rsidRPr="02A8969A">
        <w:rPr>
          <w:rFonts w:ascii="Times New Roman" w:eastAsia="Times New Roman" w:hAnsi="Times New Roman" w:cs="Times New Roman"/>
          <w:sz w:val="24"/>
          <w:szCs w:val="24"/>
        </w:rPr>
        <w:t>needt</w:t>
      </w:r>
      <w:proofErr w:type="spellEnd"/>
      <w:r w:rsidR="0EF73E8D" w:rsidRPr="02A8969A">
        <w:rPr>
          <w:rFonts w:ascii="Times New Roman" w:eastAsia="Times New Roman" w:hAnsi="Times New Roman" w:cs="Times New Roman"/>
          <w:sz w:val="24"/>
          <w:szCs w:val="24"/>
        </w:rPr>
        <w:t xml:space="preserve"> to</w:t>
      </w:r>
      <w:r w:rsidR="128FEFEA" w:rsidRPr="02A8969A">
        <w:rPr>
          <w:rFonts w:ascii="Times New Roman" w:eastAsia="Times New Roman" w:hAnsi="Times New Roman" w:cs="Times New Roman"/>
          <w:sz w:val="24"/>
          <w:szCs w:val="24"/>
        </w:rPr>
        <w:t xml:space="preserve"> be hostile nor rude or aggressive, </w:t>
      </w:r>
      <w:r w:rsidR="28C54BB7" w:rsidRPr="02A8969A">
        <w:rPr>
          <w:rFonts w:ascii="Times New Roman" w:eastAsia="Times New Roman" w:hAnsi="Times New Roman" w:cs="Times New Roman"/>
          <w:sz w:val="24"/>
          <w:szCs w:val="24"/>
        </w:rPr>
        <w:t>as some cases point out.</w:t>
      </w:r>
    </w:p>
    <w:p w14:paraId="1151FFBA" w14:textId="493EFE81" w:rsidR="438FDB06" w:rsidRDefault="438FDB06" w:rsidP="0CF7C817">
      <w:pPr>
        <w:rPr>
          <w:rFonts w:ascii="Times New Roman" w:eastAsia="Times New Roman" w:hAnsi="Times New Roman" w:cs="Times New Roman"/>
          <w:color w:val="3A3A3A"/>
          <w:sz w:val="24"/>
          <w:szCs w:val="24"/>
        </w:rPr>
      </w:pPr>
      <w:r w:rsidRPr="0CF7C81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3E46625" w:rsidRPr="0CF7C817">
        <w:rPr>
          <w:rFonts w:ascii="Times New Roman" w:eastAsia="Times New Roman" w:hAnsi="Times New Roman" w:cs="Times New Roman"/>
          <w:sz w:val="24"/>
          <w:szCs w:val="24"/>
        </w:rPr>
        <w:t xml:space="preserve">According to </w:t>
      </w:r>
      <w:r w:rsidR="173A6A73" w:rsidRPr="0CF7C817">
        <w:rPr>
          <w:rFonts w:ascii="Times New Roman" w:eastAsia="Times New Roman" w:hAnsi="Times New Roman" w:cs="Times New Roman"/>
          <w:sz w:val="24"/>
          <w:szCs w:val="24"/>
        </w:rPr>
        <w:t>R v Brown (1993</w:t>
      </w:r>
      <w:proofErr w:type="gramStart"/>
      <w:r w:rsidR="173A6A73" w:rsidRPr="0CF7C817">
        <w:rPr>
          <w:rFonts w:ascii="Times New Roman" w:eastAsia="Times New Roman" w:hAnsi="Times New Roman" w:cs="Times New Roman"/>
          <w:sz w:val="24"/>
          <w:szCs w:val="24"/>
        </w:rPr>
        <w:t>)</w:t>
      </w:r>
      <w:r w:rsidR="2F106C9D" w:rsidRPr="0CF7C81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3E46625" w:rsidRPr="0CF7C817">
        <w:rPr>
          <w:rFonts w:ascii="Times New Roman" w:eastAsia="Times New Roman" w:hAnsi="Times New Roman" w:cs="Times New Roman"/>
          <w:sz w:val="24"/>
          <w:szCs w:val="24"/>
        </w:rPr>
        <w:t>,</w:t>
      </w:r>
      <w:proofErr w:type="gramEnd"/>
      <w:r w:rsidR="63E46625" w:rsidRPr="0CF7C81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4336D8BE" w:rsidRPr="0CF7C817">
        <w:rPr>
          <w:rFonts w:ascii="Times New Roman" w:eastAsia="Times New Roman" w:hAnsi="Times New Roman" w:cs="Times New Roman"/>
          <w:sz w:val="24"/>
          <w:szCs w:val="24"/>
        </w:rPr>
        <w:t>the vast majority of the House of Lords seem to think that any form of hostility is a</w:t>
      </w:r>
      <w:r w:rsidR="4E7E9F7E" w:rsidRPr="0CF7C817">
        <w:rPr>
          <w:rFonts w:ascii="Times New Roman" w:eastAsia="Times New Roman" w:hAnsi="Times New Roman" w:cs="Times New Roman"/>
          <w:sz w:val="24"/>
          <w:szCs w:val="24"/>
        </w:rPr>
        <w:t xml:space="preserve">n act of assault. However how their lordships interpret “hostile” in a way that </w:t>
      </w:r>
      <w:r w:rsidR="08B11CFE" w:rsidRPr="0CF7C817">
        <w:rPr>
          <w:rFonts w:ascii="Times New Roman" w:eastAsia="Times New Roman" w:hAnsi="Times New Roman" w:cs="Times New Roman"/>
          <w:sz w:val="24"/>
          <w:szCs w:val="24"/>
        </w:rPr>
        <w:t>deprives</w:t>
      </w:r>
      <w:r w:rsidR="4E7E9F7E" w:rsidRPr="0CF7C817">
        <w:rPr>
          <w:rFonts w:ascii="Times New Roman" w:eastAsia="Times New Roman" w:hAnsi="Times New Roman" w:cs="Times New Roman"/>
          <w:sz w:val="24"/>
          <w:szCs w:val="24"/>
        </w:rPr>
        <w:t xml:space="preserve"> the word of </w:t>
      </w:r>
      <w:r w:rsidR="3D3AF85B" w:rsidRPr="0CF7C817">
        <w:rPr>
          <w:rFonts w:ascii="Times New Roman" w:eastAsia="Times New Roman" w:hAnsi="Times New Roman" w:cs="Times New Roman"/>
          <w:sz w:val="24"/>
          <w:szCs w:val="24"/>
        </w:rPr>
        <w:t>any meaning.</w:t>
      </w:r>
      <w:r w:rsidR="51AACE23" w:rsidRPr="0CF7C81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72DC8DAC" w:rsidRPr="0CF7C817">
        <w:rPr>
          <w:rFonts w:ascii="Times New Roman" w:eastAsia="Times New Roman" w:hAnsi="Times New Roman" w:cs="Times New Roman"/>
          <w:sz w:val="24"/>
          <w:szCs w:val="24"/>
        </w:rPr>
        <w:t xml:space="preserve">These concerned cases of a sadomasochistic act acted out by a group of men on one another. </w:t>
      </w:r>
      <w:proofErr w:type="gramStart"/>
      <w:r w:rsidR="72DC8DAC" w:rsidRPr="0CF7C817">
        <w:rPr>
          <w:rFonts w:ascii="Times New Roman" w:eastAsia="Times New Roman" w:hAnsi="Times New Roman" w:cs="Times New Roman"/>
          <w:sz w:val="24"/>
          <w:szCs w:val="24"/>
        </w:rPr>
        <w:t>All of</w:t>
      </w:r>
      <w:proofErr w:type="gramEnd"/>
      <w:r w:rsidR="72DC8DAC" w:rsidRPr="0CF7C817">
        <w:rPr>
          <w:rFonts w:ascii="Times New Roman" w:eastAsia="Times New Roman" w:hAnsi="Times New Roman" w:cs="Times New Roman"/>
          <w:sz w:val="24"/>
          <w:szCs w:val="24"/>
        </w:rPr>
        <w:t xml:space="preserve"> the acts that were performed were for their own mutual </w:t>
      </w:r>
      <w:r w:rsidR="555B2EEA" w:rsidRPr="0CF7C817">
        <w:rPr>
          <w:rFonts w:ascii="Times New Roman" w:eastAsia="Times New Roman" w:hAnsi="Times New Roman" w:cs="Times New Roman"/>
          <w:sz w:val="24"/>
          <w:szCs w:val="24"/>
        </w:rPr>
        <w:t>gratification</w:t>
      </w:r>
      <w:r w:rsidR="72DC8DAC" w:rsidRPr="0CF7C817">
        <w:rPr>
          <w:rFonts w:ascii="Times New Roman" w:eastAsia="Times New Roman" w:hAnsi="Times New Roman" w:cs="Times New Roman"/>
          <w:sz w:val="24"/>
          <w:szCs w:val="24"/>
        </w:rPr>
        <w:t>.</w:t>
      </w:r>
      <w:r w:rsidR="71523F9A" w:rsidRPr="0CF7C81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21F48070" w:rsidRPr="0CF7C817">
        <w:rPr>
          <w:rFonts w:ascii="Source Sans Pro" w:eastAsia="Source Sans Pro" w:hAnsi="Source Sans Pro" w:cs="Source Sans Pro"/>
          <w:color w:val="3A3A3A"/>
        </w:rPr>
        <w:t xml:space="preserve">Simpson. (2016). Why has the Concept of Consent Proven So Difficult to Clarify? </w:t>
      </w:r>
      <w:r w:rsidR="21F48070" w:rsidRPr="0CF7C817">
        <w:rPr>
          <w:rFonts w:ascii="Source Sans Pro" w:eastAsia="Source Sans Pro" w:hAnsi="Source Sans Pro" w:cs="Source Sans Pro"/>
          <w:i/>
          <w:iCs/>
          <w:color w:val="3A3A3A"/>
        </w:rPr>
        <w:t>Journal of Criminal Law (Hertford)</w:t>
      </w:r>
      <w:r w:rsidR="21F48070" w:rsidRPr="0CF7C817">
        <w:rPr>
          <w:rFonts w:ascii="Source Sans Pro" w:eastAsia="Source Sans Pro" w:hAnsi="Source Sans Pro" w:cs="Source Sans Pro"/>
          <w:color w:val="3A3A3A"/>
        </w:rPr>
        <w:t xml:space="preserve">, </w:t>
      </w:r>
      <w:r w:rsidR="21F48070" w:rsidRPr="0CF7C817">
        <w:rPr>
          <w:rFonts w:ascii="Source Sans Pro" w:eastAsia="Source Sans Pro" w:hAnsi="Source Sans Pro" w:cs="Source Sans Pro"/>
          <w:i/>
          <w:iCs/>
          <w:color w:val="3A3A3A"/>
        </w:rPr>
        <w:t>80</w:t>
      </w:r>
      <w:r w:rsidR="21F48070" w:rsidRPr="0CF7C817">
        <w:rPr>
          <w:rFonts w:ascii="Source Sans Pro" w:eastAsia="Source Sans Pro" w:hAnsi="Source Sans Pro" w:cs="Source Sans Pro"/>
          <w:color w:val="3A3A3A"/>
        </w:rPr>
        <w:t xml:space="preserve">(2), 97–123. </w:t>
      </w:r>
      <w:hyperlink r:id="rId5">
        <w:r w:rsidR="21F48070" w:rsidRPr="0CF7C817">
          <w:rPr>
            <w:rStyle w:val="Hyperlink"/>
            <w:rFonts w:ascii="Source Sans Pro" w:eastAsia="Source Sans Pro" w:hAnsi="Source Sans Pro" w:cs="Source Sans Pro"/>
          </w:rPr>
          <w:t>https://doi.org/10.1177/0022018316639104</w:t>
        </w:r>
      </w:hyperlink>
    </w:p>
    <w:p w14:paraId="18B724F2" w14:textId="69679A6A" w:rsidR="438FDB06" w:rsidRDefault="3D3AF85B" w:rsidP="0CF7C817">
      <w:pPr>
        <w:rPr>
          <w:rFonts w:ascii="Times New Roman" w:eastAsia="Times New Roman" w:hAnsi="Times New Roman" w:cs="Times New Roman"/>
          <w:color w:val="3A3A3A"/>
          <w:sz w:val="24"/>
          <w:szCs w:val="24"/>
        </w:rPr>
      </w:pPr>
      <w:r w:rsidRPr="0CF7C81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011DE556" w14:textId="166E0D92" w:rsidR="438FDB06" w:rsidRDefault="438FDB06" w:rsidP="02A8969A">
      <w:pPr>
        <w:rPr>
          <w:rFonts w:ascii="Times New Roman" w:eastAsia="Times New Roman" w:hAnsi="Times New Roman" w:cs="Times New Roman"/>
          <w:color w:val="3A3A3A"/>
          <w:sz w:val="24"/>
          <w:szCs w:val="24"/>
        </w:rPr>
      </w:pPr>
    </w:p>
    <w:p w14:paraId="5FFFDB3D" w14:textId="033CFF0E" w:rsidR="438FDB06" w:rsidRDefault="438FDB06" w:rsidP="02A8969A">
      <w:pPr>
        <w:rPr>
          <w:rFonts w:ascii="Times New Roman" w:eastAsia="Times New Roman" w:hAnsi="Times New Roman" w:cs="Times New Roman"/>
          <w:color w:val="3A3A3A"/>
          <w:sz w:val="24"/>
          <w:szCs w:val="24"/>
        </w:rPr>
      </w:pPr>
    </w:p>
    <w:p w14:paraId="23FCF15E" w14:textId="0B8E288D" w:rsidR="438FDB06" w:rsidRDefault="438FDB06" w:rsidP="02A8969A">
      <w:pPr>
        <w:rPr>
          <w:rFonts w:ascii="Times New Roman" w:eastAsia="Times New Roman" w:hAnsi="Times New Roman" w:cs="Times New Roman"/>
          <w:color w:val="3A3A3A"/>
          <w:sz w:val="24"/>
          <w:szCs w:val="24"/>
        </w:rPr>
      </w:pPr>
    </w:p>
    <w:p w14:paraId="00A3FBC6" w14:textId="6A3C93CC" w:rsidR="438FDB06" w:rsidRDefault="6D569EA8" w:rsidP="0CF7C817">
      <w:pPr>
        <w:rPr>
          <w:rFonts w:ascii="Times New Roman" w:eastAsia="Times New Roman" w:hAnsi="Times New Roman" w:cs="Times New Roman"/>
          <w:color w:val="3A3A3A"/>
          <w:sz w:val="24"/>
          <w:szCs w:val="24"/>
        </w:rPr>
      </w:pPr>
      <w:r w:rsidRPr="0CF7C817">
        <w:rPr>
          <w:rFonts w:ascii="Times New Roman" w:eastAsia="Times New Roman" w:hAnsi="Times New Roman" w:cs="Times New Roman"/>
          <w:color w:val="3A3A3A"/>
          <w:sz w:val="24"/>
          <w:szCs w:val="24"/>
        </w:rPr>
        <w:t>The idea of consent is the ground blo</w:t>
      </w:r>
      <w:r w:rsidR="3EA40C28" w:rsidRPr="0CF7C817">
        <w:rPr>
          <w:rFonts w:ascii="Times New Roman" w:eastAsia="Times New Roman" w:hAnsi="Times New Roman" w:cs="Times New Roman"/>
          <w:color w:val="3A3A3A"/>
          <w:sz w:val="24"/>
          <w:szCs w:val="24"/>
        </w:rPr>
        <w:t>c</w:t>
      </w:r>
      <w:r w:rsidRPr="0CF7C817">
        <w:rPr>
          <w:rFonts w:ascii="Times New Roman" w:eastAsia="Times New Roman" w:hAnsi="Times New Roman" w:cs="Times New Roman"/>
          <w:color w:val="3A3A3A"/>
          <w:sz w:val="24"/>
          <w:szCs w:val="24"/>
        </w:rPr>
        <w:t>ks for all other various crimes of all different natures. It pla</w:t>
      </w:r>
      <w:r w:rsidR="4CA91141" w:rsidRPr="0CF7C817">
        <w:rPr>
          <w:rFonts w:ascii="Times New Roman" w:eastAsia="Times New Roman" w:hAnsi="Times New Roman" w:cs="Times New Roman"/>
          <w:color w:val="3A3A3A"/>
          <w:sz w:val="24"/>
          <w:szCs w:val="24"/>
        </w:rPr>
        <w:t xml:space="preserve">ys a pivotal role in the crime of rape under the Sexual Offences Act 2003 and non-fatal offences under the Offences Against </w:t>
      </w:r>
      <w:r w:rsidR="59763E09" w:rsidRPr="0CF7C817">
        <w:rPr>
          <w:rFonts w:ascii="Times New Roman" w:eastAsia="Times New Roman" w:hAnsi="Times New Roman" w:cs="Times New Roman"/>
          <w:color w:val="3A3A3A"/>
          <w:sz w:val="24"/>
          <w:szCs w:val="24"/>
        </w:rPr>
        <w:t>the Person Act 1861. It was this former Act that the idea of consent was given its very first statutory definition un</w:t>
      </w:r>
      <w:r w:rsidR="38C8B0A2" w:rsidRPr="0CF7C817">
        <w:rPr>
          <w:rFonts w:ascii="Times New Roman" w:eastAsia="Times New Roman" w:hAnsi="Times New Roman" w:cs="Times New Roman"/>
          <w:color w:val="3A3A3A"/>
          <w:sz w:val="24"/>
          <w:szCs w:val="24"/>
        </w:rPr>
        <w:t xml:space="preserve">der ss. 74, 75 also 76, respectively. </w:t>
      </w:r>
      <w:r w:rsidR="56C0086C" w:rsidRPr="0CF7C817">
        <w:rPr>
          <w:rFonts w:ascii="Times New Roman" w:eastAsia="Times New Roman" w:hAnsi="Times New Roman" w:cs="Times New Roman"/>
          <w:color w:val="3A3A3A"/>
          <w:sz w:val="24"/>
          <w:szCs w:val="24"/>
        </w:rPr>
        <w:t>This article with be delving into the history of consent within the vast array of sexual offences</w:t>
      </w:r>
      <w:r w:rsidR="1B4751E0" w:rsidRPr="0CF7C817">
        <w:rPr>
          <w:rFonts w:ascii="Times New Roman" w:eastAsia="Times New Roman" w:hAnsi="Times New Roman" w:cs="Times New Roman"/>
          <w:color w:val="3A3A3A"/>
          <w:sz w:val="24"/>
          <w:szCs w:val="24"/>
        </w:rPr>
        <w:t>.</w:t>
      </w:r>
      <w:r w:rsidR="2A3F7967" w:rsidRPr="0CF7C817">
        <w:rPr>
          <w:rFonts w:ascii="Times New Roman" w:eastAsia="Times New Roman" w:hAnsi="Times New Roman" w:cs="Times New Roman"/>
          <w:color w:val="3A3A3A"/>
          <w:sz w:val="24"/>
          <w:szCs w:val="24"/>
        </w:rPr>
        <w:t xml:space="preserve"> The issues around the definition and the application, lack of </w:t>
      </w:r>
      <w:r w:rsidR="627DC834" w:rsidRPr="0CF7C817">
        <w:rPr>
          <w:rFonts w:ascii="Times New Roman" w:eastAsia="Times New Roman" w:hAnsi="Times New Roman" w:cs="Times New Roman"/>
          <w:color w:val="3A3A3A"/>
          <w:sz w:val="24"/>
          <w:szCs w:val="24"/>
        </w:rPr>
        <w:t>consistency</w:t>
      </w:r>
      <w:r w:rsidR="2A3F7967" w:rsidRPr="0CF7C817">
        <w:rPr>
          <w:rFonts w:ascii="Times New Roman" w:eastAsia="Times New Roman" w:hAnsi="Times New Roman" w:cs="Times New Roman"/>
          <w:color w:val="3A3A3A"/>
          <w:sz w:val="24"/>
          <w:szCs w:val="24"/>
        </w:rPr>
        <w:t xml:space="preserve"> within criminal </w:t>
      </w:r>
      <w:proofErr w:type="gramStart"/>
      <w:r w:rsidR="2A3F7967" w:rsidRPr="0CF7C817">
        <w:rPr>
          <w:rFonts w:ascii="Times New Roman" w:eastAsia="Times New Roman" w:hAnsi="Times New Roman" w:cs="Times New Roman"/>
          <w:color w:val="3A3A3A"/>
          <w:sz w:val="24"/>
          <w:szCs w:val="24"/>
        </w:rPr>
        <w:t>law as a whole</w:t>
      </w:r>
      <w:proofErr w:type="gramEnd"/>
      <w:r w:rsidR="2D5BCECC" w:rsidRPr="0CF7C817">
        <w:rPr>
          <w:rFonts w:ascii="Times New Roman" w:eastAsia="Times New Roman" w:hAnsi="Times New Roman" w:cs="Times New Roman"/>
          <w:color w:val="3A3A3A"/>
          <w:sz w:val="24"/>
          <w:szCs w:val="24"/>
        </w:rPr>
        <w:t>.</w:t>
      </w:r>
      <w:r w:rsidR="0FF88264" w:rsidRPr="0CF7C817">
        <w:rPr>
          <w:rFonts w:ascii="Times New Roman" w:eastAsia="Times New Roman" w:hAnsi="Times New Roman" w:cs="Times New Roman"/>
          <w:color w:val="3A3A3A"/>
          <w:sz w:val="24"/>
          <w:szCs w:val="24"/>
        </w:rPr>
        <w:t xml:space="preserve"> It is said that each of the factors discussed have led to the consensus that significant clarity has n</w:t>
      </w:r>
      <w:r w:rsidR="2122AD66" w:rsidRPr="0CF7C817">
        <w:rPr>
          <w:rFonts w:ascii="Times New Roman" w:eastAsia="Times New Roman" w:hAnsi="Times New Roman" w:cs="Times New Roman"/>
          <w:color w:val="3A3A3A"/>
          <w:sz w:val="24"/>
          <w:szCs w:val="24"/>
        </w:rPr>
        <w:t>ot been embraced or achieved by the installation of a statutory definition.</w:t>
      </w:r>
      <w:r w:rsidR="0FF88264" w:rsidRPr="0CF7C817">
        <w:rPr>
          <w:rFonts w:ascii="Times New Roman" w:eastAsia="Times New Roman" w:hAnsi="Times New Roman" w:cs="Times New Roman"/>
          <w:color w:val="3A3A3A"/>
          <w:sz w:val="24"/>
          <w:szCs w:val="24"/>
        </w:rPr>
        <w:t xml:space="preserve"> </w:t>
      </w:r>
      <w:r w:rsidR="5E4ED403" w:rsidRPr="0CF7C817">
        <w:rPr>
          <w:rFonts w:ascii="Source Sans Pro" w:eastAsia="Source Sans Pro" w:hAnsi="Source Sans Pro" w:cs="Source Sans Pro"/>
          <w:color w:val="3A3A3A"/>
        </w:rPr>
        <w:t xml:space="preserve">Ormerod, Laird, K., Smith, J. C. (John C., &amp; Ormerod, D. C. (David </w:t>
      </w:r>
      <w:proofErr w:type="gramStart"/>
      <w:r w:rsidR="5E4ED403" w:rsidRPr="0CF7C817">
        <w:rPr>
          <w:rFonts w:ascii="Source Sans Pro" w:eastAsia="Source Sans Pro" w:hAnsi="Source Sans Pro" w:cs="Source Sans Pro"/>
          <w:color w:val="3A3A3A"/>
        </w:rPr>
        <w:t>C. .</w:t>
      </w:r>
      <w:proofErr w:type="gramEnd"/>
      <w:r w:rsidR="5E4ED403" w:rsidRPr="0CF7C817">
        <w:rPr>
          <w:rFonts w:ascii="Source Sans Pro" w:eastAsia="Source Sans Pro" w:hAnsi="Source Sans Pro" w:cs="Source Sans Pro"/>
          <w:color w:val="3A3A3A"/>
        </w:rPr>
        <w:t xml:space="preserve"> (2021). </w:t>
      </w:r>
      <w:r w:rsidR="5E4ED403" w:rsidRPr="0CF7C817">
        <w:rPr>
          <w:rFonts w:ascii="Source Sans Pro" w:eastAsia="Source Sans Pro" w:hAnsi="Source Sans Pro" w:cs="Source Sans Pro"/>
          <w:i/>
          <w:iCs/>
          <w:color w:val="3A3A3A"/>
        </w:rPr>
        <w:t>Smith, Hogan, and Ormerod’s criminal law</w:t>
      </w:r>
      <w:r w:rsidR="5E4ED403" w:rsidRPr="0CF7C817">
        <w:rPr>
          <w:rFonts w:ascii="Source Sans Pro" w:eastAsia="Source Sans Pro" w:hAnsi="Source Sans Pro" w:cs="Source Sans Pro"/>
          <w:color w:val="3A3A3A"/>
        </w:rPr>
        <w:t xml:space="preserve"> (Sixteenth edition). Oxford University Press.</w:t>
      </w:r>
      <w:r w:rsidR="04A62741" w:rsidRPr="0CF7C817">
        <w:rPr>
          <w:rFonts w:ascii="Source Sans Pro" w:eastAsia="Source Sans Pro" w:hAnsi="Source Sans Pro" w:cs="Source Sans Pro"/>
          <w:color w:val="3A3A3A"/>
        </w:rPr>
        <w:t xml:space="preserve"> </w:t>
      </w:r>
    </w:p>
    <w:p w14:paraId="48AC6C43" w14:textId="00CC64EF" w:rsidR="438FDB06" w:rsidRDefault="438FDB06" w:rsidP="0CF7C817">
      <w:pPr>
        <w:rPr>
          <w:rFonts w:ascii="Source Sans Pro" w:eastAsia="Source Sans Pro" w:hAnsi="Source Sans Pro" w:cs="Source Sans Pro"/>
          <w:color w:val="3A3A3A"/>
        </w:rPr>
      </w:pPr>
    </w:p>
    <w:p w14:paraId="30504A1F" w14:textId="5EF95384" w:rsidR="438FDB06" w:rsidRDefault="20CFBDF3" w:rsidP="0CF7C817">
      <w:pPr>
        <w:rPr>
          <w:rFonts w:ascii="Source Sans Pro" w:eastAsia="Source Sans Pro" w:hAnsi="Source Sans Pro" w:cs="Source Sans Pro"/>
          <w:color w:val="3A3A3A"/>
        </w:rPr>
      </w:pPr>
      <w:r w:rsidRPr="0CF7C817">
        <w:rPr>
          <w:rFonts w:ascii="Source Sans Pro" w:eastAsia="Source Sans Pro" w:hAnsi="Source Sans Pro" w:cs="Source Sans Pro"/>
          <w:color w:val="3A3A3A"/>
        </w:rPr>
        <w:t>“Sexual wrongdoing is a fundamental violation of a person’s personal autonomy, bodily integrity, and security. V</w:t>
      </w:r>
      <w:r w:rsidR="30532058" w:rsidRPr="0CF7C817">
        <w:rPr>
          <w:rFonts w:ascii="Source Sans Pro" w:eastAsia="Source Sans Pro" w:hAnsi="Source Sans Pro" w:cs="Source Sans Pro"/>
          <w:color w:val="3A3A3A"/>
        </w:rPr>
        <w:t xml:space="preserve">ictims often already vulnerable, are further denied the right </w:t>
      </w:r>
      <w:r w:rsidR="1DA38F4E" w:rsidRPr="0CF7C817">
        <w:rPr>
          <w:rFonts w:ascii="Source Sans Pro" w:eastAsia="Source Sans Pro" w:hAnsi="Source Sans Pro" w:cs="Source Sans Pro"/>
          <w:color w:val="3A3A3A"/>
        </w:rPr>
        <w:t>to self-determination, sexual autonomy, and human dignity.</w:t>
      </w:r>
      <w:r w:rsidR="6B47A4C2" w:rsidRPr="0CF7C817">
        <w:rPr>
          <w:rFonts w:ascii="Source Sans Pro" w:eastAsia="Source Sans Pro" w:hAnsi="Source Sans Pro" w:cs="Source Sans Pro"/>
          <w:color w:val="3A3A3A"/>
        </w:rPr>
        <w:t>”</w:t>
      </w:r>
      <w:r w:rsidR="260C8056" w:rsidRPr="0CF7C817">
        <w:rPr>
          <w:rFonts w:ascii="Source Sans Pro" w:eastAsia="Source Sans Pro" w:hAnsi="Source Sans Pro" w:cs="Source Sans Pro"/>
          <w:color w:val="3A3A3A"/>
        </w:rPr>
        <w:t xml:space="preserve"> </w:t>
      </w:r>
      <w:proofErr w:type="spellStart"/>
      <w:r w:rsidR="260C8056" w:rsidRPr="0CF7C817">
        <w:rPr>
          <w:rFonts w:ascii="Arial" w:eastAsia="Arial" w:hAnsi="Arial" w:cs="Arial"/>
          <w:color w:val="222222"/>
          <w:sz w:val="19"/>
          <w:szCs w:val="19"/>
        </w:rPr>
        <w:t>Adjin-Tettey</w:t>
      </w:r>
      <w:proofErr w:type="spellEnd"/>
      <w:r w:rsidR="260C8056" w:rsidRPr="0CF7C817">
        <w:rPr>
          <w:rFonts w:ascii="Arial" w:eastAsia="Arial" w:hAnsi="Arial" w:cs="Arial"/>
          <w:color w:val="222222"/>
          <w:sz w:val="19"/>
          <w:szCs w:val="19"/>
        </w:rPr>
        <w:t xml:space="preserve">, E., 2006. Protecting the dignity and autonomy of women: Rethinking the place of constructive consent in the tort of sexual battery. </w:t>
      </w:r>
      <w:r w:rsidR="260C8056" w:rsidRPr="0CF7C817">
        <w:rPr>
          <w:rFonts w:ascii="Arial" w:eastAsia="Arial" w:hAnsi="Arial" w:cs="Arial"/>
          <w:i/>
          <w:iCs/>
          <w:color w:val="222222"/>
          <w:sz w:val="19"/>
          <w:szCs w:val="19"/>
        </w:rPr>
        <w:t>UBCL Rev.</w:t>
      </w:r>
      <w:r w:rsidR="260C8056" w:rsidRPr="0CF7C817">
        <w:rPr>
          <w:rFonts w:ascii="Arial" w:eastAsia="Arial" w:hAnsi="Arial" w:cs="Arial"/>
          <w:color w:val="222222"/>
          <w:sz w:val="19"/>
          <w:szCs w:val="19"/>
        </w:rPr>
        <w:t xml:space="preserve">, </w:t>
      </w:r>
      <w:r w:rsidR="260C8056" w:rsidRPr="0CF7C817">
        <w:rPr>
          <w:rFonts w:ascii="Arial" w:eastAsia="Arial" w:hAnsi="Arial" w:cs="Arial"/>
          <w:i/>
          <w:iCs/>
          <w:color w:val="222222"/>
          <w:sz w:val="19"/>
          <w:szCs w:val="19"/>
        </w:rPr>
        <w:t>39</w:t>
      </w:r>
      <w:r w:rsidR="260C8056" w:rsidRPr="0CF7C817">
        <w:rPr>
          <w:rFonts w:ascii="Arial" w:eastAsia="Arial" w:hAnsi="Arial" w:cs="Arial"/>
          <w:color w:val="222222"/>
          <w:sz w:val="19"/>
          <w:szCs w:val="19"/>
        </w:rPr>
        <w:t>, p.3.</w:t>
      </w:r>
    </w:p>
    <w:p w14:paraId="68510BBB" w14:textId="692B7B34" w:rsidR="438FDB06" w:rsidRDefault="438FDB06" w:rsidP="0CF7C817">
      <w:pPr>
        <w:rPr>
          <w:rFonts w:ascii="Source Sans Pro" w:eastAsia="Source Sans Pro" w:hAnsi="Source Sans Pro" w:cs="Source Sans Pro"/>
          <w:color w:val="3A3A3A"/>
        </w:rPr>
      </w:pPr>
    </w:p>
    <w:p w14:paraId="33537B84" w14:textId="0725D9BB" w:rsidR="438FDB06" w:rsidRDefault="438FDB06" w:rsidP="0CF7C817">
      <w:pPr>
        <w:rPr>
          <w:rFonts w:ascii="Source Sans Pro" w:eastAsia="Source Sans Pro" w:hAnsi="Source Sans Pro" w:cs="Source Sans Pro"/>
          <w:color w:val="3A3A3A"/>
        </w:rPr>
      </w:pPr>
    </w:p>
    <w:p w14:paraId="67DAE170" w14:textId="5EBE0EE6" w:rsidR="438FDB06" w:rsidRDefault="6B47A4C2" w:rsidP="0CF7C817">
      <w:pPr>
        <w:rPr>
          <w:rFonts w:ascii="Source Sans Pro" w:eastAsia="Source Sans Pro" w:hAnsi="Source Sans Pro" w:cs="Source Sans Pro"/>
          <w:color w:val="3A3A3A"/>
        </w:rPr>
      </w:pPr>
      <w:r w:rsidRPr="0CF7C817">
        <w:rPr>
          <w:rFonts w:ascii="Source Sans Pro" w:eastAsia="Source Sans Pro" w:hAnsi="Source Sans Pro" w:cs="Source Sans Pro"/>
          <w:color w:val="3A3A3A"/>
        </w:rPr>
        <w:t xml:space="preserve">From the many professional and legal bodies there is a consensus regarding the clinical </w:t>
      </w:r>
      <w:r w:rsidR="61B4DFB9" w:rsidRPr="0CF7C817">
        <w:rPr>
          <w:rFonts w:ascii="Source Sans Pro" w:eastAsia="Source Sans Pro" w:hAnsi="Source Sans Pro" w:cs="Source Sans Pro"/>
          <w:color w:val="3A3A3A"/>
        </w:rPr>
        <w:t xml:space="preserve">duty to gather an informed </w:t>
      </w:r>
      <w:r w:rsidR="7E85B96B" w:rsidRPr="0CF7C817">
        <w:rPr>
          <w:rFonts w:ascii="Source Sans Pro" w:eastAsia="Source Sans Pro" w:hAnsi="Source Sans Pro" w:cs="Source Sans Pro"/>
          <w:color w:val="3A3A3A"/>
        </w:rPr>
        <w:t>way of consent from patients in their care before adminis</w:t>
      </w:r>
      <w:r w:rsidR="6BD62861" w:rsidRPr="0CF7C817">
        <w:rPr>
          <w:rFonts w:ascii="Source Sans Pro" w:eastAsia="Source Sans Pro" w:hAnsi="Source Sans Pro" w:cs="Source Sans Pro"/>
          <w:color w:val="3A3A3A"/>
        </w:rPr>
        <w:t>trating treatment. T</w:t>
      </w:r>
      <w:r w:rsidR="608E61A1" w:rsidRPr="0CF7C817">
        <w:rPr>
          <w:rFonts w:ascii="Source Sans Pro" w:eastAsia="Source Sans Pro" w:hAnsi="Source Sans Pro" w:cs="Source Sans Pro"/>
          <w:color w:val="3A3A3A"/>
        </w:rPr>
        <w:t xml:space="preserve">his reflects the </w:t>
      </w:r>
      <w:r w:rsidR="09578724" w:rsidRPr="0CF7C817">
        <w:rPr>
          <w:rFonts w:ascii="Source Sans Pro" w:eastAsia="Source Sans Pro" w:hAnsi="Source Sans Pro" w:cs="Source Sans Pro"/>
          <w:color w:val="3A3A3A"/>
        </w:rPr>
        <w:t xml:space="preserve">cultural </w:t>
      </w:r>
      <w:r w:rsidR="055EF2EF" w:rsidRPr="0CF7C817">
        <w:rPr>
          <w:rFonts w:ascii="Source Sans Pro" w:eastAsia="Source Sans Pro" w:hAnsi="Source Sans Pro" w:cs="Source Sans Pro"/>
          <w:color w:val="3A3A3A"/>
        </w:rPr>
        <w:t xml:space="preserve">values about the fundamental importance of individual autonomy. </w:t>
      </w:r>
      <w:r w:rsidR="7E85B96B" w:rsidRPr="0CF7C817">
        <w:rPr>
          <w:rFonts w:ascii="Source Sans Pro" w:eastAsia="Source Sans Pro" w:hAnsi="Source Sans Pro" w:cs="Source Sans Pro"/>
          <w:color w:val="3A3A3A"/>
        </w:rPr>
        <w:t xml:space="preserve"> </w:t>
      </w:r>
      <w:r w:rsidR="46BA0DBD" w:rsidRPr="0CF7C817">
        <w:rPr>
          <w:rFonts w:ascii="Source Sans Pro" w:eastAsia="Source Sans Pro" w:hAnsi="Source Sans Pro" w:cs="Source Sans Pro"/>
          <w:color w:val="3A3A3A"/>
        </w:rPr>
        <w:t xml:space="preserve">Research shows that patients without the proper mental capacity to make an informed decision and or show no understanding of </w:t>
      </w:r>
      <w:r w:rsidR="340A7CB3" w:rsidRPr="0CF7C817">
        <w:rPr>
          <w:rFonts w:ascii="Source Sans Pro" w:eastAsia="Source Sans Pro" w:hAnsi="Source Sans Pro" w:cs="Source Sans Pro"/>
          <w:color w:val="3A3A3A"/>
        </w:rPr>
        <w:t>what</w:t>
      </w:r>
      <w:r w:rsidR="46BA0DBD" w:rsidRPr="0CF7C817">
        <w:rPr>
          <w:rFonts w:ascii="Source Sans Pro" w:eastAsia="Source Sans Pro" w:hAnsi="Source Sans Pro" w:cs="Source Sans Pro"/>
          <w:color w:val="3A3A3A"/>
        </w:rPr>
        <w:t xml:space="preserve"> they are consenting to</w:t>
      </w:r>
      <w:r w:rsidR="145E2332" w:rsidRPr="0CF7C817">
        <w:rPr>
          <w:rFonts w:ascii="Source Sans Pro" w:eastAsia="Source Sans Pro" w:hAnsi="Source Sans Pro" w:cs="Source Sans Pro"/>
          <w:color w:val="3A3A3A"/>
        </w:rPr>
        <w:t xml:space="preserve"> show no interest in their treatment.</w:t>
      </w:r>
      <w:r w:rsidR="46BA0DBD" w:rsidRPr="0CF7C817">
        <w:rPr>
          <w:rFonts w:ascii="Source Sans Pro" w:eastAsia="Source Sans Pro" w:hAnsi="Source Sans Pro" w:cs="Source Sans Pro"/>
          <w:color w:val="3A3A3A"/>
        </w:rPr>
        <w:t xml:space="preserve"> </w:t>
      </w:r>
      <w:r w:rsidRPr="0CF7C817">
        <w:rPr>
          <w:rFonts w:ascii="Source Sans Pro" w:eastAsia="Source Sans Pro" w:hAnsi="Source Sans Pro" w:cs="Source Sans Pro"/>
          <w:color w:val="3A3A3A"/>
        </w:rPr>
        <w:t xml:space="preserve"> </w:t>
      </w:r>
      <w:proofErr w:type="spellStart"/>
      <w:r w:rsidR="28C2B5F3" w:rsidRPr="0CF7C817">
        <w:rPr>
          <w:rFonts w:ascii="Arial" w:eastAsia="Arial" w:hAnsi="Arial" w:cs="Arial"/>
          <w:color w:val="222222"/>
          <w:sz w:val="19"/>
          <w:szCs w:val="19"/>
        </w:rPr>
        <w:t>Adjin-Tettey</w:t>
      </w:r>
      <w:proofErr w:type="spellEnd"/>
      <w:r w:rsidR="28C2B5F3" w:rsidRPr="0CF7C817">
        <w:rPr>
          <w:rFonts w:ascii="Arial" w:eastAsia="Arial" w:hAnsi="Arial" w:cs="Arial"/>
          <w:color w:val="222222"/>
          <w:sz w:val="19"/>
          <w:szCs w:val="19"/>
        </w:rPr>
        <w:t xml:space="preserve">, E., 2006. Protecting the dignity and autonomy of women: Rethinking the place of constructive consent in the tort of sexual battery. </w:t>
      </w:r>
      <w:r w:rsidR="28C2B5F3" w:rsidRPr="0CF7C817">
        <w:rPr>
          <w:rFonts w:ascii="Arial" w:eastAsia="Arial" w:hAnsi="Arial" w:cs="Arial"/>
          <w:i/>
          <w:iCs/>
          <w:color w:val="222222"/>
          <w:sz w:val="19"/>
          <w:szCs w:val="19"/>
        </w:rPr>
        <w:t>UBCL Rev.</w:t>
      </w:r>
      <w:r w:rsidR="28C2B5F3" w:rsidRPr="0CF7C817">
        <w:rPr>
          <w:rFonts w:ascii="Arial" w:eastAsia="Arial" w:hAnsi="Arial" w:cs="Arial"/>
          <w:color w:val="222222"/>
          <w:sz w:val="19"/>
          <w:szCs w:val="19"/>
        </w:rPr>
        <w:t xml:space="preserve">, </w:t>
      </w:r>
      <w:r w:rsidR="28C2B5F3" w:rsidRPr="0CF7C817">
        <w:rPr>
          <w:rFonts w:ascii="Arial" w:eastAsia="Arial" w:hAnsi="Arial" w:cs="Arial"/>
          <w:i/>
          <w:iCs/>
          <w:color w:val="222222"/>
          <w:sz w:val="19"/>
          <w:szCs w:val="19"/>
        </w:rPr>
        <w:t>39</w:t>
      </w:r>
      <w:r w:rsidR="28C2B5F3" w:rsidRPr="0CF7C817">
        <w:rPr>
          <w:rFonts w:ascii="Arial" w:eastAsia="Arial" w:hAnsi="Arial" w:cs="Arial"/>
          <w:color w:val="222222"/>
          <w:sz w:val="19"/>
          <w:szCs w:val="19"/>
        </w:rPr>
        <w:t>, p.3.</w:t>
      </w:r>
    </w:p>
    <w:p w14:paraId="4881C1C3" w14:textId="4FB567B6" w:rsidR="438FDB06" w:rsidRDefault="438FDB06" w:rsidP="0CF7C817">
      <w:pPr>
        <w:rPr>
          <w:rFonts w:ascii="Source Sans Pro" w:eastAsia="Source Sans Pro" w:hAnsi="Source Sans Pro" w:cs="Source Sans Pro"/>
          <w:color w:val="3A3A3A"/>
        </w:rPr>
      </w:pPr>
    </w:p>
    <w:p w14:paraId="3CB6439E" w14:textId="602F9EA8" w:rsidR="438FDB06" w:rsidRDefault="73A0CF8A" w:rsidP="0CF7C817">
      <w:pPr>
        <w:rPr>
          <w:rFonts w:ascii="Source Sans Pro" w:eastAsia="Source Sans Pro" w:hAnsi="Source Sans Pro" w:cs="Source Sans Pro"/>
          <w:color w:val="3A3A3A"/>
        </w:rPr>
      </w:pPr>
      <w:r w:rsidRPr="0CF7C817">
        <w:rPr>
          <w:rFonts w:ascii="Source Sans Pro" w:eastAsia="Source Sans Pro" w:hAnsi="Source Sans Pro" w:cs="Source Sans Pro"/>
          <w:color w:val="3A3A3A"/>
        </w:rPr>
        <w:t>The offences pertaining to battery and assault within common law are the very basic foundations in Englis</w:t>
      </w:r>
      <w:r w:rsidR="28B2EFB3" w:rsidRPr="0CF7C817">
        <w:rPr>
          <w:rFonts w:ascii="Source Sans Pro" w:eastAsia="Source Sans Pro" w:hAnsi="Source Sans Pro" w:cs="Source Sans Pro"/>
          <w:color w:val="3A3A3A"/>
        </w:rPr>
        <w:t>h criminal law. Like the many common law offences, they are extremely old</w:t>
      </w:r>
      <w:r w:rsidR="0781302A" w:rsidRPr="0CF7C817">
        <w:rPr>
          <w:rFonts w:ascii="Source Sans Pro" w:eastAsia="Source Sans Pro" w:hAnsi="Source Sans Pro" w:cs="Source Sans Pro"/>
          <w:color w:val="3A3A3A"/>
        </w:rPr>
        <w:t xml:space="preserve">. In historical terms battery could be defined as the oldest offence </w:t>
      </w:r>
      <w:proofErr w:type="gramStart"/>
      <w:r w:rsidR="6FF06EC3" w:rsidRPr="0CF7C817">
        <w:rPr>
          <w:rFonts w:ascii="Source Sans Pro" w:eastAsia="Source Sans Pro" w:hAnsi="Source Sans Pro" w:cs="Source Sans Pro"/>
          <w:color w:val="3A3A3A"/>
        </w:rPr>
        <w:t>due to the fact that</w:t>
      </w:r>
      <w:proofErr w:type="gramEnd"/>
      <w:r w:rsidR="6FF06EC3" w:rsidRPr="0CF7C817">
        <w:rPr>
          <w:rFonts w:ascii="Source Sans Pro" w:eastAsia="Source Sans Pro" w:hAnsi="Source Sans Pro" w:cs="Source Sans Pro"/>
          <w:color w:val="3A3A3A"/>
        </w:rPr>
        <w:t>, Anglo-Saxon law saw ‘wounding’ - with a vast array of fine and penal</w:t>
      </w:r>
      <w:r w:rsidR="0A3765C7" w:rsidRPr="0CF7C817">
        <w:rPr>
          <w:rFonts w:ascii="Source Sans Pro" w:eastAsia="Source Sans Pro" w:hAnsi="Source Sans Pro" w:cs="Source Sans Pro"/>
          <w:color w:val="3A3A3A"/>
        </w:rPr>
        <w:t xml:space="preserve">ties imposed depending on the nature and full extent of the injury inflicted. Assault on the other hand could belong to a </w:t>
      </w:r>
      <w:r w:rsidR="2AE4F32E" w:rsidRPr="0CF7C817">
        <w:rPr>
          <w:rFonts w:ascii="Source Sans Pro" w:eastAsia="Source Sans Pro" w:hAnsi="Source Sans Pro" w:cs="Source Sans Pro"/>
          <w:color w:val="3A3A3A"/>
        </w:rPr>
        <w:t xml:space="preserve">politer age and does not seem to have become a criminal offence </w:t>
      </w:r>
      <w:proofErr w:type="gramStart"/>
      <w:r w:rsidR="2AE4F32E" w:rsidRPr="0CF7C817">
        <w:rPr>
          <w:rFonts w:ascii="Source Sans Pro" w:eastAsia="Source Sans Pro" w:hAnsi="Source Sans Pro" w:cs="Source Sans Pro"/>
          <w:color w:val="3A3A3A"/>
        </w:rPr>
        <w:t xml:space="preserve">in itself </w:t>
      </w:r>
      <w:r w:rsidR="3A685593" w:rsidRPr="0CF7C817">
        <w:rPr>
          <w:rFonts w:ascii="Source Sans Pro" w:eastAsia="Source Sans Pro" w:hAnsi="Source Sans Pro" w:cs="Source Sans Pro"/>
          <w:color w:val="3A3A3A"/>
        </w:rPr>
        <w:t>until</w:t>
      </w:r>
      <w:proofErr w:type="gramEnd"/>
      <w:r w:rsidR="3A685593" w:rsidRPr="0CF7C817">
        <w:rPr>
          <w:rFonts w:ascii="Source Sans Pro" w:eastAsia="Source Sans Pro" w:hAnsi="Source Sans Pro" w:cs="Source Sans Pro"/>
          <w:color w:val="3A3A3A"/>
        </w:rPr>
        <w:t xml:space="preserve"> (possibly)</w:t>
      </w:r>
      <w:r w:rsidR="2AE4F32E" w:rsidRPr="0CF7C817">
        <w:rPr>
          <w:rFonts w:ascii="Source Sans Pro" w:eastAsia="Source Sans Pro" w:hAnsi="Source Sans Pro" w:cs="Source Sans Pro"/>
          <w:color w:val="3A3A3A"/>
        </w:rPr>
        <w:t xml:space="preserve"> the</w:t>
      </w:r>
      <w:r w:rsidR="5B15E2FA" w:rsidRPr="0CF7C817">
        <w:rPr>
          <w:rFonts w:ascii="Source Sans Pro" w:eastAsia="Source Sans Pro" w:hAnsi="Source Sans Pro" w:cs="Source Sans Pro"/>
          <w:color w:val="3A3A3A"/>
        </w:rPr>
        <w:t xml:space="preserve"> 14</w:t>
      </w:r>
      <w:r w:rsidR="5B15E2FA" w:rsidRPr="0CF7C817">
        <w:rPr>
          <w:rFonts w:ascii="Source Sans Pro" w:eastAsia="Source Sans Pro" w:hAnsi="Source Sans Pro" w:cs="Source Sans Pro"/>
          <w:color w:val="3A3A3A"/>
          <w:vertAlign w:val="superscript"/>
        </w:rPr>
        <w:t>th</w:t>
      </w:r>
      <w:r w:rsidR="5B15E2FA" w:rsidRPr="0CF7C817">
        <w:rPr>
          <w:rFonts w:ascii="Source Sans Pro" w:eastAsia="Source Sans Pro" w:hAnsi="Source Sans Pro" w:cs="Source Sans Pro"/>
          <w:color w:val="3A3A3A"/>
        </w:rPr>
        <w:t xml:space="preserve"> century. In respect of assault &amp; battery.</w:t>
      </w:r>
      <w:r w:rsidR="486651F0" w:rsidRPr="0CF7C817">
        <w:rPr>
          <w:rFonts w:ascii="Source Sans Pro" w:eastAsia="Source Sans Pro" w:hAnsi="Source Sans Pro" w:cs="Source Sans Pro"/>
          <w:color w:val="3A3A3A"/>
        </w:rPr>
        <w:t xml:space="preserve"> </w:t>
      </w:r>
      <w:r w:rsidR="486651F0" w:rsidRPr="0CF7C817">
        <w:rPr>
          <w:rFonts w:ascii="Arial" w:eastAsia="Arial" w:hAnsi="Arial" w:cs="Arial"/>
          <w:color w:val="222222"/>
          <w:sz w:val="19"/>
          <w:szCs w:val="19"/>
        </w:rPr>
        <w:t xml:space="preserve">McBain, G., </w:t>
      </w:r>
      <w:proofErr w:type="spellStart"/>
      <w:r w:rsidR="486651F0" w:rsidRPr="0CF7C817">
        <w:rPr>
          <w:rFonts w:ascii="Arial" w:eastAsia="Arial" w:hAnsi="Arial" w:cs="Arial"/>
          <w:color w:val="222222"/>
          <w:sz w:val="19"/>
          <w:szCs w:val="19"/>
        </w:rPr>
        <w:t>Modernising</w:t>
      </w:r>
      <w:proofErr w:type="spellEnd"/>
      <w:r w:rsidR="486651F0" w:rsidRPr="0CF7C817">
        <w:rPr>
          <w:rFonts w:ascii="Arial" w:eastAsia="Arial" w:hAnsi="Arial" w:cs="Arial"/>
          <w:color w:val="222222"/>
          <w:sz w:val="19"/>
          <w:szCs w:val="19"/>
        </w:rPr>
        <w:t xml:space="preserve"> the Common Law Offences of Assault and Battery.</w:t>
      </w:r>
      <w:r w:rsidR="545D9B31" w:rsidRPr="0CF7C817">
        <w:rPr>
          <w:rFonts w:ascii="Source Sans Pro" w:eastAsia="Source Sans Pro" w:hAnsi="Source Sans Pro" w:cs="Source Sans Pro"/>
          <w:color w:val="3A3A3A"/>
        </w:rPr>
        <w:t xml:space="preserve"> </w:t>
      </w:r>
      <w:r w:rsidR="2AE4F32E" w:rsidRPr="0CF7C817">
        <w:rPr>
          <w:rFonts w:ascii="Source Sans Pro" w:eastAsia="Source Sans Pro" w:hAnsi="Source Sans Pro" w:cs="Source Sans Pro"/>
          <w:color w:val="3A3A3A"/>
        </w:rPr>
        <w:t xml:space="preserve">  </w:t>
      </w:r>
      <w:r w:rsidR="6FF06EC3" w:rsidRPr="0CF7C817">
        <w:rPr>
          <w:rFonts w:ascii="Source Sans Pro" w:eastAsia="Source Sans Pro" w:hAnsi="Source Sans Pro" w:cs="Source Sans Pro"/>
          <w:color w:val="3A3A3A"/>
        </w:rPr>
        <w:t xml:space="preserve"> </w:t>
      </w:r>
      <w:r w:rsidR="0781302A" w:rsidRPr="0CF7C817">
        <w:rPr>
          <w:rFonts w:ascii="Source Sans Pro" w:eastAsia="Source Sans Pro" w:hAnsi="Source Sans Pro" w:cs="Source Sans Pro"/>
          <w:color w:val="3A3A3A"/>
        </w:rPr>
        <w:t xml:space="preserve"> </w:t>
      </w:r>
    </w:p>
    <w:p w14:paraId="0D17B358" w14:textId="557C0D61" w:rsidR="438FDB06" w:rsidRDefault="438FDB06" w:rsidP="0CF7C817">
      <w:pPr>
        <w:rPr>
          <w:rFonts w:ascii="Source Sans Pro" w:eastAsia="Source Sans Pro" w:hAnsi="Source Sans Pro" w:cs="Source Sans Pro"/>
          <w:color w:val="3A3A3A"/>
        </w:rPr>
      </w:pPr>
    </w:p>
    <w:p w14:paraId="7443E4F1" w14:textId="319D3505" w:rsidR="438FDB06" w:rsidRDefault="438FDB06" w:rsidP="0CF7C817">
      <w:pPr>
        <w:rPr>
          <w:rFonts w:ascii="Source Sans Pro" w:eastAsia="Source Sans Pro" w:hAnsi="Source Sans Pro" w:cs="Source Sans Pro"/>
          <w:color w:val="3A3A3A"/>
        </w:rPr>
      </w:pPr>
    </w:p>
    <w:p w14:paraId="4F3AF34E" w14:textId="71A4CA30" w:rsidR="438FDB06" w:rsidRDefault="438FDB06" w:rsidP="0CF7C817">
      <w:pPr>
        <w:rPr>
          <w:rFonts w:ascii="Source Sans Pro" w:eastAsia="Source Sans Pro" w:hAnsi="Source Sans Pro" w:cs="Source Sans Pro"/>
          <w:color w:val="3A3A3A"/>
        </w:rPr>
      </w:pPr>
    </w:p>
    <w:p w14:paraId="02EBF6B5" w14:textId="10B48F72" w:rsidR="438FDB06" w:rsidRDefault="438FDB06" w:rsidP="0CF7C817">
      <w:pPr>
        <w:rPr>
          <w:rFonts w:ascii="Source Sans Pro" w:eastAsia="Source Sans Pro" w:hAnsi="Source Sans Pro" w:cs="Source Sans Pro"/>
          <w:color w:val="3A3A3A"/>
        </w:rPr>
      </w:pPr>
    </w:p>
    <w:p w14:paraId="3BA3C2E5" w14:textId="050A7287" w:rsidR="438FDB06" w:rsidRDefault="438FDB06" w:rsidP="0CF7C817">
      <w:pPr>
        <w:rPr>
          <w:rFonts w:ascii="Source Sans Pro" w:eastAsia="Source Sans Pro" w:hAnsi="Source Sans Pro" w:cs="Source Sans Pro"/>
          <w:color w:val="3A3A3A"/>
        </w:rPr>
      </w:pPr>
    </w:p>
    <w:p w14:paraId="3D95BA98" w14:textId="290D1448" w:rsidR="438FDB06" w:rsidRDefault="438FDB06" w:rsidP="0CF7C817">
      <w:pPr>
        <w:rPr>
          <w:rFonts w:ascii="Source Sans Pro" w:eastAsia="Source Sans Pro" w:hAnsi="Source Sans Pro" w:cs="Source Sans Pro"/>
          <w:color w:val="3A3A3A"/>
        </w:rPr>
      </w:pPr>
    </w:p>
    <w:p w14:paraId="4ACD56EA" w14:textId="5A10AB29" w:rsidR="438FDB06" w:rsidRDefault="13851881" w:rsidP="0CF7C817">
      <w:pPr>
        <w:rPr>
          <w:rFonts w:ascii="Source Sans Pro" w:eastAsia="Source Sans Pro" w:hAnsi="Source Sans Pro" w:cs="Source Sans Pro"/>
          <w:color w:val="3A3A3A"/>
        </w:rPr>
      </w:pPr>
      <w:r w:rsidRPr="0CF7C817">
        <w:rPr>
          <w:rFonts w:ascii="Source Sans Pro" w:eastAsia="Source Sans Pro" w:hAnsi="Source Sans Pro" w:cs="Source Sans Pro"/>
          <w:color w:val="3A3A3A"/>
        </w:rPr>
        <w:t>Picture the scene</w:t>
      </w:r>
      <w:r w:rsidR="43B6084D" w:rsidRPr="0CF7C817">
        <w:rPr>
          <w:rFonts w:ascii="Source Sans Pro" w:eastAsia="Source Sans Pro" w:hAnsi="Source Sans Pro" w:cs="Source Sans Pro"/>
          <w:color w:val="3A3A3A"/>
        </w:rPr>
        <w:t>,</w:t>
      </w:r>
      <w:r w:rsidRPr="0CF7C817">
        <w:rPr>
          <w:rFonts w:ascii="Source Sans Pro" w:eastAsia="Source Sans Pro" w:hAnsi="Source Sans Pro" w:cs="Source Sans Pro"/>
          <w:color w:val="3A3A3A"/>
        </w:rPr>
        <w:t xml:space="preserve"> it is the 30</w:t>
      </w:r>
      <w:r w:rsidRPr="0CF7C817">
        <w:rPr>
          <w:rFonts w:ascii="Source Sans Pro" w:eastAsia="Source Sans Pro" w:hAnsi="Source Sans Pro" w:cs="Source Sans Pro"/>
          <w:color w:val="3A3A3A"/>
          <w:vertAlign w:val="superscript"/>
        </w:rPr>
        <w:t>th</w:t>
      </w:r>
      <w:r w:rsidRPr="0CF7C817">
        <w:rPr>
          <w:rFonts w:ascii="Source Sans Pro" w:eastAsia="Source Sans Pro" w:hAnsi="Source Sans Pro" w:cs="Source Sans Pro"/>
          <w:color w:val="3A3A3A"/>
        </w:rPr>
        <w:t xml:space="preserve"> </w:t>
      </w:r>
      <w:proofErr w:type="gramStart"/>
      <w:r w:rsidRPr="0CF7C817">
        <w:rPr>
          <w:rFonts w:ascii="Source Sans Pro" w:eastAsia="Source Sans Pro" w:hAnsi="Source Sans Pro" w:cs="Source Sans Pro"/>
          <w:color w:val="3A3A3A"/>
        </w:rPr>
        <w:t>of  April</w:t>
      </w:r>
      <w:proofErr w:type="gramEnd"/>
      <w:r w:rsidRPr="0CF7C817">
        <w:rPr>
          <w:rFonts w:ascii="Source Sans Pro" w:eastAsia="Source Sans Pro" w:hAnsi="Source Sans Pro" w:cs="Source Sans Pro"/>
          <w:color w:val="3A3A3A"/>
        </w:rPr>
        <w:t xml:space="preserve"> 2004 you have just </w:t>
      </w:r>
      <w:r w:rsidR="16001E79" w:rsidRPr="0CF7C817">
        <w:rPr>
          <w:rFonts w:ascii="Source Sans Pro" w:eastAsia="Source Sans Pro" w:hAnsi="Source Sans Pro" w:cs="Source Sans Pro"/>
          <w:color w:val="3A3A3A"/>
        </w:rPr>
        <w:t>a</w:t>
      </w:r>
      <w:r w:rsidRPr="0CF7C817">
        <w:rPr>
          <w:rFonts w:ascii="Source Sans Pro" w:eastAsia="Source Sans Pro" w:hAnsi="Source Sans Pro" w:cs="Source Sans Pro"/>
          <w:color w:val="3A3A3A"/>
        </w:rPr>
        <w:t>woken at 00:01 it is now 1</w:t>
      </w:r>
      <w:r w:rsidRPr="0CF7C817">
        <w:rPr>
          <w:rFonts w:ascii="Source Sans Pro" w:eastAsia="Source Sans Pro" w:hAnsi="Source Sans Pro" w:cs="Source Sans Pro"/>
          <w:color w:val="3A3A3A"/>
          <w:vertAlign w:val="superscript"/>
        </w:rPr>
        <w:t>st</w:t>
      </w:r>
      <w:r w:rsidRPr="0CF7C817">
        <w:rPr>
          <w:rFonts w:ascii="Source Sans Pro" w:eastAsia="Source Sans Pro" w:hAnsi="Source Sans Pro" w:cs="Source Sans Pro"/>
          <w:color w:val="3A3A3A"/>
        </w:rPr>
        <w:t xml:space="preserve"> of May 2004 </w:t>
      </w:r>
      <w:r w:rsidR="3432A5E8" w:rsidRPr="0CF7C817">
        <w:rPr>
          <w:rFonts w:ascii="Source Sans Pro" w:eastAsia="Source Sans Pro" w:hAnsi="Source Sans Pro" w:cs="Source Sans Pro"/>
          <w:color w:val="3A3A3A"/>
        </w:rPr>
        <w:t>and the Sexual offences Act 2003 has just come into force</w:t>
      </w:r>
      <w:r w:rsidR="163B4E1E" w:rsidRPr="0CF7C817">
        <w:rPr>
          <w:rFonts w:ascii="Source Sans Pro" w:eastAsia="Source Sans Pro" w:hAnsi="Source Sans Pro" w:cs="Source Sans Pro"/>
          <w:color w:val="3A3A3A"/>
        </w:rPr>
        <w:t>.</w:t>
      </w:r>
      <w:r w:rsidR="3432A5E8" w:rsidRPr="0CF7C817">
        <w:rPr>
          <w:rFonts w:ascii="Source Sans Pro" w:eastAsia="Source Sans Pro" w:hAnsi="Source Sans Pro" w:cs="Source Sans Pro"/>
          <w:color w:val="3A3A3A"/>
        </w:rPr>
        <w:t xml:space="preserve"> </w:t>
      </w:r>
      <w:r w:rsidR="028B4578" w:rsidRPr="0CF7C817">
        <w:rPr>
          <w:rFonts w:ascii="Source Sans Pro" w:eastAsia="Source Sans Pro" w:hAnsi="Source Sans Pro" w:cs="Source Sans Pro"/>
          <w:color w:val="3A3A3A"/>
        </w:rPr>
        <w:t>T</w:t>
      </w:r>
      <w:r w:rsidR="7E29FAB4" w:rsidRPr="0CF7C817">
        <w:rPr>
          <w:rFonts w:ascii="Source Sans Pro" w:eastAsia="Source Sans Pro" w:hAnsi="Source Sans Pro" w:cs="Source Sans Pro"/>
          <w:color w:val="3A3A3A"/>
        </w:rPr>
        <w:t>he police forces of the UK no longer</w:t>
      </w:r>
      <w:r w:rsidR="0C9F2302" w:rsidRPr="0CF7C817">
        <w:rPr>
          <w:rFonts w:ascii="Source Sans Pro" w:eastAsia="Source Sans Pro" w:hAnsi="Source Sans Pro" w:cs="Source Sans Pro"/>
          <w:color w:val="3A3A3A"/>
        </w:rPr>
        <w:t xml:space="preserve"> </w:t>
      </w:r>
      <w:proofErr w:type="spellStart"/>
      <w:r w:rsidR="0C9F2302" w:rsidRPr="0CF7C817">
        <w:rPr>
          <w:rFonts w:ascii="Source Sans Pro" w:eastAsia="Source Sans Pro" w:hAnsi="Source Sans Pro" w:cs="Source Sans Pro"/>
          <w:color w:val="3A3A3A"/>
        </w:rPr>
        <w:t>recognise</w:t>
      </w:r>
      <w:proofErr w:type="spellEnd"/>
      <w:r w:rsidR="0C9F2302" w:rsidRPr="0CF7C817">
        <w:rPr>
          <w:rFonts w:ascii="Source Sans Pro" w:eastAsia="Source Sans Pro" w:hAnsi="Source Sans Pro" w:cs="Source Sans Pro"/>
          <w:color w:val="3A3A3A"/>
        </w:rPr>
        <w:t xml:space="preserve"> the Sexual Offences Act 1956. </w:t>
      </w:r>
      <w:r w:rsidR="63DF6392" w:rsidRPr="0CF7C817">
        <w:rPr>
          <w:rFonts w:ascii="Source Sans Pro" w:eastAsia="Source Sans Pro" w:hAnsi="Source Sans Pro" w:cs="Source Sans Pro"/>
          <w:color w:val="3A3A3A"/>
        </w:rPr>
        <w:t>Detrimentally changing the effects</w:t>
      </w:r>
      <w:r w:rsidR="0C9F2302" w:rsidRPr="0CF7C817">
        <w:rPr>
          <w:rFonts w:ascii="Source Sans Pro" w:eastAsia="Source Sans Pro" w:hAnsi="Source Sans Pro" w:cs="Source Sans Pro"/>
          <w:color w:val="3A3A3A"/>
        </w:rPr>
        <w:t xml:space="preserve"> of the law regarding sexual offences in England &amp; Wales. </w:t>
      </w:r>
      <w:r w:rsidR="2BA114C5" w:rsidRPr="0CF7C817">
        <w:rPr>
          <w:rFonts w:ascii="Source Sans Pro" w:eastAsia="Source Sans Pro" w:hAnsi="Source Sans Pro" w:cs="Source Sans Pro"/>
          <w:color w:val="3A3A3A"/>
        </w:rPr>
        <w:t xml:space="preserve">Possibly the most major changes were those regarding consent. There were three major changes in the </w:t>
      </w:r>
      <w:r w:rsidR="399F1122" w:rsidRPr="0CF7C817">
        <w:rPr>
          <w:rFonts w:ascii="Source Sans Pro" w:eastAsia="Source Sans Pro" w:hAnsi="Source Sans Pro" w:cs="Source Sans Pro"/>
          <w:color w:val="3A3A3A"/>
        </w:rPr>
        <w:t>respect</w:t>
      </w:r>
      <w:r w:rsidR="2BA114C5" w:rsidRPr="0CF7C817">
        <w:rPr>
          <w:rFonts w:ascii="Source Sans Pro" w:eastAsia="Source Sans Pro" w:hAnsi="Source Sans Pro" w:cs="Source Sans Pro"/>
          <w:color w:val="3A3A3A"/>
        </w:rPr>
        <w:t xml:space="preserve"> of </w:t>
      </w:r>
      <w:r w:rsidR="35FCE0A2" w:rsidRPr="0CF7C817">
        <w:rPr>
          <w:rFonts w:ascii="Source Sans Pro" w:eastAsia="Source Sans Pro" w:hAnsi="Source Sans Pro" w:cs="Source Sans Pro"/>
          <w:color w:val="3A3A3A"/>
        </w:rPr>
        <w:t xml:space="preserve">consent. The provisions </w:t>
      </w:r>
      <w:r w:rsidR="0DA9BCFB" w:rsidRPr="0CF7C817">
        <w:rPr>
          <w:rFonts w:ascii="Source Sans Pro" w:eastAsia="Source Sans Pro" w:hAnsi="Source Sans Pro" w:cs="Source Sans Pro"/>
          <w:color w:val="3A3A3A"/>
        </w:rPr>
        <w:t xml:space="preserve">of statutory definition, the effect of deception of C on the validity of C’s consent and what role </w:t>
      </w:r>
      <w:r w:rsidR="7AFA2BF0" w:rsidRPr="0CF7C817">
        <w:rPr>
          <w:rFonts w:ascii="Source Sans Pro" w:eastAsia="Source Sans Pro" w:hAnsi="Source Sans Pro" w:cs="Source Sans Pro"/>
          <w:color w:val="3A3A3A"/>
        </w:rPr>
        <w:t xml:space="preserve">did the D believe at the time of C’s consent. </w:t>
      </w:r>
      <w:proofErr w:type="spellStart"/>
      <w:r w:rsidR="7AFA2BF0" w:rsidRPr="0CF7C817">
        <w:rPr>
          <w:rFonts w:ascii="Arial" w:eastAsia="Arial" w:hAnsi="Arial" w:cs="Arial"/>
          <w:color w:val="222222"/>
          <w:sz w:val="19"/>
          <w:szCs w:val="19"/>
        </w:rPr>
        <w:t>Sjölin</w:t>
      </w:r>
      <w:proofErr w:type="spellEnd"/>
      <w:r w:rsidR="7AFA2BF0" w:rsidRPr="0CF7C817">
        <w:rPr>
          <w:rFonts w:ascii="Arial" w:eastAsia="Arial" w:hAnsi="Arial" w:cs="Arial"/>
          <w:color w:val="222222"/>
          <w:sz w:val="19"/>
          <w:szCs w:val="19"/>
        </w:rPr>
        <w:t xml:space="preserve">, C., 2015. Ten years on: consent under the Sexual Offences Act 2003. </w:t>
      </w:r>
      <w:r w:rsidR="7AFA2BF0" w:rsidRPr="0CF7C817">
        <w:rPr>
          <w:rFonts w:ascii="Arial" w:eastAsia="Arial" w:hAnsi="Arial" w:cs="Arial"/>
          <w:i/>
          <w:iCs/>
          <w:color w:val="222222"/>
          <w:sz w:val="19"/>
          <w:szCs w:val="19"/>
        </w:rPr>
        <w:t>The Journal of Criminal Law</w:t>
      </w:r>
      <w:r w:rsidR="7AFA2BF0" w:rsidRPr="0CF7C817">
        <w:rPr>
          <w:rFonts w:ascii="Arial" w:eastAsia="Arial" w:hAnsi="Arial" w:cs="Arial"/>
          <w:color w:val="222222"/>
          <w:sz w:val="19"/>
          <w:szCs w:val="19"/>
        </w:rPr>
        <w:t xml:space="preserve">, </w:t>
      </w:r>
      <w:r w:rsidR="7AFA2BF0" w:rsidRPr="0CF7C817">
        <w:rPr>
          <w:rFonts w:ascii="Arial" w:eastAsia="Arial" w:hAnsi="Arial" w:cs="Arial"/>
          <w:i/>
          <w:iCs/>
          <w:color w:val="222222"/>
          <w:sz w:val="19"/>
          <w:szCs w:val="19"/>
        </w:rPr>
        <w:t>79</w:t>
      </w:r>
      <w:r w:rsidR="7AFA2BF0" w:rsidRPr="0CF7C817">
        <w:rPr>
          <w:rFonts w:ascii="Arial" w:eastAsia="Arial" w:hAnsi="Arial" w:cs="Arial"/>
          <w:color w:val="222222"/>
          <w:sz w:val="19"/>
          <w:szCs w:val="19"/>
        </w:rPr>
        <w:t>(1), pp.20-35.</w:t>
      </w:r>
      <w:r w:rsidR="7AFA2BF0" w:rsidRPr="0CF7C817">
        <w:rPr>
          <w:rFonts w:ascii="Source Sans Pro" w:eastAsia="Source Sans Pro" w:hAnsi="Source Sans Pro" w:cs="Source Sans Pro"/>
          <w:color w:val="3A3A3A"/>
        </w:rPr>
        <w:t xml:space="preserve"> </w:t>
      </w:r>
    </w:p>
    <w:p w14:paraId="458290AC" w14:textId="29A857E5" w:rsidR="438FDB06" w:rsidRDefault="438FDB06" w:rsidP="0CF7C817">
      <w:pPr>
        <w:rPr>
          <w:rFonts w:ascii="Times New Roman" w:eastAsia="Times New Roman" w:hAnsi="Times New Roman" w:cs="Times New Roman"/>
          <w:color w:val="3A3A3A"/>
          <w:sz w:val="24"/>
          <w:szCs w:val="24"/>
        </w:rPr>
      </w:pPr>
    </w:p>
    <w:p w14:paraId="70FC61C6" w14:textId="4A2B78BD" w:rsidR="438FDB06" w:rsidRDefault="438FDB06" w:rsidP="02A8969A">
      <w:pPr>
        <w:rPr>
          <w:rFonts w:ascii="Times New Roman" w:eastAsia="Times New Roman" w:hAnsi="Times New Roman" w:cs="Times New Roman"/>
          <w:color w:val="3A3A3A"/>
          <w:sz w:val="24"/>
          <w:szCs w:val="24"/>
        </w:rPr>
      </w:pPr>
    </w:p>
    <w:p w14:paraId="753F8EF0" w14:textId="7229D918" w:rsidR="02A8969A" w:rsidRDefault="02A8969A" w:rsidP="02A8969A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6F464558" w14:textId="2D7D7C99" w:rsidR="02A8969A" w:rsidRDefault="02A8969A" w:rsidP="02A8969A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0DFE7411" w14:textId="0E62BF18" w:rsidR="02A8969A" w:rsidRDefault="02A8969A" w:rsidP="02A8969A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479195BF" w14:textId="3BEA03C1" w:rsidR="0CF7C817" w:rsidRDefault="0CF7C817" w:rsidP="0CF7C817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5C00BC3C" w14:textId="267F44F5" w:rsidR="528A16D2" w:rsidRDefault="528A16D2" w:rsidP="02A8969A">
      <w:pPr>
        <w:rPr>
          <w:rFonts w:ascii="Times New Roman" w:eastAsia="Times New Roman" w:hAnsi="Times New Roman" w:cs="Times New Roman"/>
          <w:sz w:val="24"/>
          <w:szCs w:val="24"/>
        </w:rPr>
      </w:pPr>
      <w:r w:rsidRPr="02A8969A">
        <w:rPr>
          <w:rFonts w:ascii="Times New Roman" w:eastAsia="Times New Roman" w:hAnsi="Times New Roman" w:cs="Times New Roman"/>
          <w:sz w:val="24"/>
          <w:szCs w:val="24"/>
        </w:rPr>
        <w:t xml:space="preserve">Case List </w:t>
      </w:r>
    </w:p>
    <w:p w14:paraId="4ABFBBFD" w14:textId="259CA5E1" w:rsidR="528A16D2" w:rsidRDefault="528A16D2" w:rsidP="02A8969A">
      <w:pPr>
        <w:rPr>
          <w:rFonts w:ascii="Times New Roman" w:eastAsia="Times New Roman" w:hAnsi="Times New Roman" w:cs="Times New Roman"/>
          <w:sz w:val="24"/>
          <w:szCs w:val="24"/>
        </w:rPr>
      </w:pPr>
      <w:r w:rsidRPr="02A8969A">
        <w:rPr>
          <w:rFonts w:ascii="Times New Roman" w:eastAsia="Times New Roman" w:hAnsi="Times New Roman" w:cs="Times New Roman"/>
          <w:sz w:val="24"/>
          <w:szCs w:val="24"/>
        </w:rPr>
        <w:t>R v Brown (1993) 2 WLR 556</w:t>
      </w:r>
    </w:p>
    <w:p w14:paraId="506E8D7B" w14:textId="3D62BA76" w:rsidR="02A8969A" w:rsidRDefault="02A8969A" w:rsidP="02A8969A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20BCF1D6" w14:textId="7C2DC075" w:rsidR="58366D93" w:rsidRDefault="58366D93" w:rsidP="02A8969A">
      <w:pPr>
        <w:rPr>
          <w:rFonts w:ascii="Times New Roman" w:eastAsia="Times New Roman" w:hAnsi="Times New Roman" w:cs="Times New Roman"/>
          <w:sz w:val="24"/>
          <w:szCs w:val="24"/>
        </w:rPr>
      </w:pPr>
      <w:r w:rsidRPr="02A8969A">
        <w:rPr>
          <w:rFonts w:ascii="Times New Roman" w:eastAsia="Times New Roman" w:hAnsi="Times New Roman" w:cs="Times New Roman"/>
          <w:sz w:val="24"/>
          <w:szCs w:val="24"/>
        </w:rPr>
        <w:t>Reference List</w:t>
      </w:r>
    </w:p>
    <w:p w14:paraId="33CE9BF5" w14:textId="463BAA28" w:rsidR="58366D93" w:rsidRDefault="58366D93" w:rsidP="02A8969A">
      <w:r w:rsidRPr="02A8969A">
        <w:rPr>
          <w:rFonts w:ascii="Arial" w:eastAsia="Arial" w:hAnsi="Arial" w:cs="Arial"/>
          <w:color w:val="222222"/>
          <w:sz w:val="19"/>
          <w:szCs w:val="19"/>
        </w:rPr>
        <w:t xml:space="preserve">Beale Jr, J.H., 1894. Consent in the Criminal Law. </w:t>
      </w:r>
      <w:r w:rsidRPr="02A8969A">
        <w:rPr>
          <w:rFonts w:ascii="Arial" w:eastAsia="Arial" w:hAnsi="Arial" w:cs="Arial"/>
          <w:i/>
          <w:iCs/>
          <w:color w:val="222222"/>
          <w:sz w:val="19"/>
          <w:szCs w:val="19"/>
        </w:rPr>
        <w:t>Harv. L. Rev.</w:t>
      </w:r>
      <w:r w:rsidRPr="02A8969A">
        <w:rPr>
          <w:rFonts w:ascii="Arial" w:eastAsia="Arial" w:hAnsi="Arial" w:cs="Arial"/>
          <w:color w:val="222222"/>
          <w:sz w:val="19"/>
          <w:szCs w:val="19"/>
        </w:rPr>
        <w:t xml:space="preserve">, </w:t>
      </w:r>
      <w:r w:rsidRPr="02A8969A">
        <w:rPr>
          <w:rFonts w:ascii="Arial" w:eastAsia="Arial" w:hAnsi="Arial" w:cs="Arial"/>
          <w:i/>
          <w:iCs/>
          <w:color w:val="222222"/>
          <w:sz w:val="19"/>
          <w:szCs w:val="19"/>
        </w:rPr>
        <w:t>8</w:t>
      </w:r>
      <w:r w:rsidRPr="02A8969A">
        <w:rPr>
          <w:rFonts w:ascii="Arial" w:eastAsia="Arial" w:hAnsi="Arial" w:cs="Arial"/>
          <w:color w:val="222222"/>
          <w:sz w:val="19"/>
          <w:szCs w:val="19"/>
        </w:rPr>
        <w:t>, p.317.</w:t>
      </w:r>
    </w:p>
    <w:p w14:paraId="28655CD1" w14:textId="79D7D901" w:rsidR="17D264EC" w:rsidRDefault="17D264EC" w:rsidP="02A8969A">
      <w:r w:rsidRPr="02A8969A">
        <w:rPr>
          <w:rFonts w:ascii="Source Sans Pro" w:eastAsia="Source Sans Pro" w:hAnsi="Source Sans Pro" w:cs="Source Sans Pro"/>
          <w:color w:val="3A3A3A"/>
        </w:rPr>
        <w:t xml:space="preserve">Ormerod, Laird, K., Smith, J. C. (John C., &amp; Ormerod, D. C. (David </w:t>
      </w:r>
      <w:proofErr w:type="gramStart"/>
      <w:r w:rsidRPr="02A8969A">
        <w:rPr>
          <w:rFonts w:ascii="Source Sans Pro" w:eastAsia="Source Sans Pro" w:hAnsi="Source Sans Pro" w:cs="Source Sans Pro"/>
          <w:color w:val="3A3A3A"/>
        </w:rPr>
        <w:t>C. .</w:t>
      </w:r>
      <w:proofErr w:type="gramEnd"/>
      <w:r w:rsidRPr="02A8969A">
        <w:rPr>
          <w:rFonts w:ascii="Source Sans Pro" w:eastAsia="Source Sans Pro" w:hAnsi="Source Sans Pro" w:cs="Source Sans Pro"/>
          <w:color w:val="3A3A3A"/>
        </w:rPr>
        <w:t xml:space="preserve"> (2021). </w:t>
      </w:r>
      <w:r w:rsidRPr="02A8969A">
        <w:rPr>
          <w:rFonts w:ascii="Source Sans Pro" w:eastAsia="Source Sans Pro" w:hAnsi="Source Sans Pro" w:cs="Source Sans Pro"/>
          <w:i/>
          <w:iCs/>
          <w:color w:val="3A3A3A"/>
        </w:rPr>
        <w:t>Smith, Hogan, and Ormerod’s criminal law</w:t>
      </w:r>
      <w:r w:rsidRPr="02A8969A">
        <w:rPr>
          <w:rFonts w:ascii="Source Sans Pro" w:eastAsia="Source Sans Pro" w:hAnsi="Source Sans Pro" w:cs="Source Sans Pro"/>
          <w:color w:val="3A3A3A"/>
        </w:rPr>
        <w:t xml:space="preserve"> (Sixteenth edition). Oxford University Press.</w:t>
      </w:r>
    </w:p>
    <w:p w14:paraId="465062B1" w14:textId="665368A2" w:rsidR="6E49C116" w:rsidRDefault="6E49C116" w:rsidP="02A8969A">
      <w:r w:rsidRPr="0CF7C817">
        <w:rPr>
          <w:rFonts w:ascii="Source Sans Pro" w:eastAsia="Source Sans Pro" w:hAnsi="Source Sans Pro" w:cs="Source Sans Pro"/>
          <w:color w:val="3A3A3A"/>
        </w:rPr>
        <w:t xml:space="preserve">Simpson. (2016). Why has the Concept of Consent Proven So Difficult to Clarify? </w:t>
      </w:r>
      <w:r w:rsidRPr="0CF7C817">
        <w:rPr>
          <w:rFonts w:ascii="Source Sans Pro" w:eastAsia="Source Sans Pro" w:hAnsi="Source Sans Pro" w:cs="Source Sans Pro"/>
          <w:i/>
          <w:iCs/>
          <w:color w:val="3A3A3A"/>
        </w:rPr>
        <w:t>Journal of Criminal Law</w:t>
      </w:r>
      <w:r w:rsidR="68685CBF" w:rsidRPr="0CF7C817">
        <w:rPr>
          <w:rFonts w:ascii="Arial" w:eastAsia="Arial" w:hAnsi="Arial" w:cs="Arial"/>
          <w:color w:val="222222"/>
          <w:sz w:val="19"/>
          <w:szCs w:val="19"/>
        </w:rPr>
        <w:t xml:space="preserve"> </w:t>
      </w:r>
      <w:proofErr w:type="spellStart"/>
      <w:r w:rsidR="68685CBF" w:rsidRPr="0CF7C817">
        <w:rPr>
          <w:rFonts w:ascii="Arial" w:eastAsia="Arial" w:hAnsi="Arial" w:cs="Arial"/>
          <w:color w:val="222222"/>
          <w:sz w:val="19"/>
          <w:szCs w:val="19"/>
        </w:rPr>
        <w:t>Doyal</w:t>
      </w:r>
      <w:proofErr w:type="spellEnd"/>
      <w:r w:rsidR="68685CBF" w:rsidRPr="0CF7C817">
        <w:rPr>
          <w:rFonts w:ascii="Arial" w:eastAsia="Arial" w:hAnsi="Arial" w:cs="Arial"/>
          <w:color w:val="222222"/>
          <w:sz w:val="19"/>
          <w:szCs w:val="19"/>
        </w:rPr>
        <w:t xml:space="preserve">, L., 2001. Informed consent: moral necessity or </w:t>
      </w:r>
      <w:proofErr w:type="gramStart"/>
      <w:r w:rsidR="68685CBF" w:rsidRPr="0CF7C817">
        <w:rPr>
          <w:rFonts w:ascii="Arial" w:eastAsia="Arial" w:hAnsi="Arial" w:cs="Arial"/>
          <w:color w:val="222222"/>
          <w:sz w:val="19"/>
          <w:szCs w:val="19"/>
        </w:rPr>
        <w:t>illusion?.</w:t>
      </w:r>
      <w:proofErr w:type="gramEnd"/>
      <w:r w:rsidR="68685CBF" w:rsidRPr="0CF7C817">
        <w:rPr>
          <w:rFonts w:ascii="Arial" w:eastAsia="Arial" w:hAnsi="Arial" w:cs="Arial"/>
          <w:color w:val="222222"/>
          <w:sz w:val="19"/>
          <w:szCs w:val="19"/>
        </w:rPr>
        <w:t xml:space="preserve"> </w:t>
      </w:r>
      <w:r w:rsidR="68685CBF" w:rsidRPr="0CF7C817">
        <w:rPr>
          <w:rFonts w:ascii="Arial" w:eastAsia="Arial" w:hAnsi="Arial" w:cs="Arial"/>
          <w:i/>
          <w:iCs/>
          <w:color w:val="222222"/>
          <w:sz w:val="19"/>
          <w:szCs w:val="19"/>
        </w:rPr>
        <w:t>BMJ Quality &amp; Safety</w:t>
      </w:r>
      <w:r w:rsidR="68685CBF" w:rsidRPr="0CF7C817">
        <w:rPr>
          <w:rFonts w:ascii="Arial" w:eastAsia="Arial" w:hAnsi="Arial" w:cs="Arial"/>
          <w:color w:val="222222"/>
          <w:sz w:val="19"/>
          <w:szCs w:val="19"/>
        </w:rPr>
        <w:t xml:space="preserve">, </w:t>
      </w:r>
      <w:r w:rsidR="68685CBF" w:rsidRPr="0CF7C817">
        <w:rPr>
          <w:rFonts w:ascii="Arial" w:eastAsia="Arial" w:hAnsi="Arial" w:cs="Arial"/>
          <w:i/>
          <w:iCs/>
          <w:color w:val="222222"/>
          <w:sz w:val="19"/>
          <w:szCs w:val="19"/>
        </w:rPr>
        <w:t>10</w:t>
      </w:r>
      <w:r w:rsidR="68685CBF" w:rsidRPr="0CF7C817">
        <w:rPr>
          <w:rFonts w:ascii="Arial" w:eastAsia="Arial" w:hAnsi="Arial" w:cs="Arial"/>
          <w:color w:val="222222"/>
          <w:sz w:val="19"/>
          <w:szCs w:val="19"/>
        </w:rPr>
        <w:t xml:space="preserve">(suppl 1), </w:t>
      </w:r>
      <w:proofErr w:type="gramStart"/>
      <w:r w:rsidR="68685CBF" w:rsidRPr="0CF7C817">
        <w:rPr>
          <w:rFonts w:ascii="Arial" w:eastAsia="Arial" w:hAnsi="Arial" w:cs="Arial"/>
          <w:color w:val="222222"/>
          <w:sz w:val="19"/>
          <w:szCs w:val="19"/>
        </w:rPr>
        <w:t>pp.i</w:t>
      </w:r>
      <w:proofErr w:type="gramEnd"/>
      <w:r w:rsidR="68685CBF" w:rsidRPr="0CF7C817">
        <w:rPr>
          <w:rFonts w:ascii="Arial" w:eastAsia="Arial" w:hAnsi="Arial" w:cs="Arial"/>
          <w:color w:val="222222"/>
          <w:sz w:val="19"/>
          <w:szCs w:val="19"/>
        </w:rPr>
        <w:t>29-i33.</w:t>
      </w:r>
      <w:r w:rsidRPr="0CF7C817">
        <w:rPr>
          <w:rFonts w:ascii="Source Sans Pro" w:eastAsia="Source Sans Pro" w:hAnsi="Source Sans Pro" w:cs="Source Sans Pro"/>
          <w:i/>
          <w:iCs/>
          <w:color w:val="3A3A3A"/>
        </w:rPr>
        <w:t xml:space="preserve"> (Hertford)</w:t>
      </w:r>
      <w:r w:rsidRPr="0CF7C817">
        <w:rPr>
          <w:rFonts w:ascii="Source Sans Pro" w:eastAsia="Source Sans Pro" w:hAnsi="Source Sans Pro" w:cs="Source Sans Pro"/>
          <w:color w:val="3A3A3A"/>
        </w:rPr>
        <w:t xml:space="preserve">, </w:t>
      </w:r>
      <w:r w:rsidRPr="0CF7C817">
        <w:rPr>
          <w:rFonts w:ascii="Source Sans Pro" w:eastAsia="Source Sans Pro" w:hAnsi="Source Sans Pro" w:cs="Source Sans Pro"/>
          <w:i/>
          <w:iCs/>
          <w:color w:val="3A3A3A"/>
        </w:rPr>
        <w:t>80</w:t>
      </w:r>
      <w:r w:rsidRPr="0CF7C817">
        <w:rPr>
          <w:rFonts w:ascii="Source Sans Pro" w:eastAsia="Source Sans Pro" w:hAnsi="Source Sans Pro" w:cs="Source Sans Pro"/>
          <w:color w:val="3A3A3A"/>
        </w:rPr>
        <w:t xml:space="preserve">(2), 97–123. </w:t>
      </w:r>
      <w:hyperlink r:id="rId6">
        <w:r w:rsidRPr="0CF7C817">
          <w:rPr>
            <w:rStyle w:val="Hyperlink"/>
            <w:rFonts w:ascii="Source Sans Pro" w:eastAsia="Source Sans Pro" w:hAnsi="Source Sans Pro" w:cs="Source Sans Pro"/>
          </w:rPr>
          <w:t>https://doi.org/10.1177/0022018316639104</w:t>
        </w:r>
      </w:hyperlink>
    </w:p>
    <w:p w14:paraId="091A3210" w14:textId="788FF0CF" w:rsidR="02A8969A" w:rsidRDefault="74846461" w:rsidP="02A8969A">
      <w:pPr>
        <w:rPr>
          <w:rFonts w:ascii="Source Sans Pro" w:eastAsia="Source Sans Pro" w:hAnsi="Source Sans Pro" w:cs="Source Sans Pro"/>
          <w:color w:val="3A3A3A"/>
        </w:rPr>
      </w:pPr>
      <w:proofErr w:type="spellStart"/>
      <w:r w:rsidRPr="0CF7C817">
        <w:rPr>
          <w:rFonts w:ascii="Arial" w:eastAsia="Arial" w:hAnsi="Arial" w:cs="Arial"/>
          <w:color w:val="222222"/>
          <w:sz w:val="19"/>
          <w:szCs w:val="19"/>
        </w:rPr>
        <w:t>Adjin-Tettey</w:t>
      </w:r>
      <w:proofErr w:type="spellEnd"/>
      <w:r w:rsidRPr="0CF7C817">
        <w:rPr>
          <w:rFonts w:ascii="Arial" w:eastAsia="Arial" w:hAnsi="Arial" w:cs="Arial"/>
          <w:color w:val="222222"/>
          <w:sz w:val="19"/>
          <w:szCs w:val="19"/>
        </w:rPr>
        <w:t xml:space="preserve">, E., 2006. Protecting the dignity and autonomy of women: Rethinking the place of constructive consent in the tort of sexual battery. </w:t>
      </w:r>
      <w:r w:rsidRPr="0CF7C817">
        <w:rPr>
          <w:rFonts w:ascii="Arial" w:eastAsia="Arial" w:hAnsi="Arial" w:cs="Arial"/>
          <w:i/>
          <w:iCs/>
          <w:color w:val="222222"/>
          <w:sz w:val="19"/>
          <w:szCs w:val="19"/>
        </w:rPr>
        <w:t>UBCL Rev.</w:t>
      </w:r>
      <w:r w:rsidRPr="0CF7C817">
        <w:rPr>
          <w:rFonts w:ascii="Arial" w:eastAsia="Arial" w:hAnsi="Arial" w:cs="Arial"/>
          <w:color w:val="222222"/>
          <w:sz w:val="19"/>
          <w:szCs w:val="19"/>
        </w:rPr>
        <w:t xml:space="preserve">, </w:t>
      </w:r>
      <w:r w:rsidRPr="0CF7C817">
        <w:rPr>
          <w:rFonts w:ascii="Arial" w:eastAsia="Arial" w:hAnsi="Arial" w:cs="Arial"/>
          <w:i/>
          <w:iCs/>
          <w:color w:val="222222"/>
          <w:sz w:val="19"/>
          <w:szCs w:val="19"/>
        </w:rPr>
        <w:t>39</w:t>
      </w:r>
      <w:r w:rsidRPr="0CF7C817">
        <w:rPr>
          <w:rFonts w:ascii="Arial" w:eastAsia="Arial" w:hAnsi="Arial" w:cs="Arial"/>
          <w:color w:val="222222"/>
          <w:sz w:val="19"/>
          <w:szCs w:val="19"/>
        </w:rPr>
        <w:t>, p.3.</w:t>
      </w:r>
    </w:p>
    <w:p w14:paraId="5E7E94BB" w14:textId="0EBC0D3C" w:rsidR="246B89CB" w:rsidRDefault="504FE411" w:rsidP="0CF7C817">
      <w:pPr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CF7C817">
        <w:rPr>
          <w:rFonts w:ascii="Arial" w:eastAsia="Arial" w:hAnsi="Arial" w:cs="Arial"/>
          <w:color w:val="222222"/>
          <w:sz w:val="19"/>
          <w:szCs w:val="19"/>
        </w:rPr>
        <w:t>Doyal</w:t>
      </w:r>
      <w:proofErr w:type="spellEnd"/>
      <w:r w:rsidRPr="0CF7C817">
        <w:rPr>
          <w:rFonts w:ascii="Arial" w:eastAsia="Arial" w:hAnsi="Arial" w:cs="Arial"/>
          <w:color w:val="222222"/>
          <w:sz w:val="19"/>
          <w:szCs w:val="19"/>
        </w:rPr>
        <w:t xml:space="preserve">, L., 2001. Informed consent: moral necessity or </w:t>
      </w:r>
      <w:proofErr w:type="gramStart"/>
      <w:r w:rsidRPr="0CF7C817">
        <w:rPr>
          <w:rFonts w:ascii="Arial" w:eastAsia="Arial" w:hAnsi="Arial" w:cs="Arial"/>
          <w:color w:val="222222"/>
          <w:sz w:val="19"/>
          <w:szCs w:val="19"/>
        </w:rPr>
        <w:t>illusion?.</w:t>
      </w:r>
      <w:proofErr w:type="gramEnd"/>
      <w:r w:rsidRPr="0CF7C817">
        <w:rPr>
          <w:rFonts w:ascii="Arial" w:eastAsia="Arial" w:hAnsi="Arial" w:cs="Arial"/>
          <w:color w:val="222222"/>
          <w:sz w:val="19"/>
          <w:szCs w:val="19"/>
        </w:rPr>
        <w:t xml:space="preserve"> </w:t>
      </w:r>
      <w:r w:rsidRPr="0CF7C817">
        <w:rPr>
          <w:rFonts w:ascii="Arial" w:eastAsia="Arial" w:hAnsi="Arial" w:cs="Arial"/>
          <w:i/>
          <w:iCs/>
          <w:color w:val="222222"/>
          <w:sz w:val="19"/>
          <w:szCs w:val="19"/>
        </w:rPr>
        <w:t>BMJ Quality &amp; Safety</w:t>
      </w:r>
      <w:r w:rsidRPr="0CF7C817">
        <w:rPr>
          <w:rFonts w:ascii="Arial" w:eastAsia="Arial" w:hAnsi="Arial" w:cs="Arial"/>
          <w:color w:val="222222"/>
          <w:sz w:val="19"/>
          <w:szCs w:val="19"/>
        </w:rPr>
        <w:t xml:space="preserve">, </w:t>
      </w:r>
      <w:r w:rsidRPr="0CF7C817">
        <w:rPr>
          <w:rFonts w:ascii="Arial" w:eastAsia="Arial" w:hAnsi="Arial" w:cs="Arial"/>
          <w:i/>
          <w:iCs/>
          <w:color w:val="222222"/>
          <w:sz w:val="19"/>
          <w:szCs w:val="19"/>
        </w:rPr>
        <w:t>10</w:t>
      </w:r>
      <w:r w:rsidRPr="0CF7C817">
        <w:rPr>
          <w:rFonts w:ascii="Arial" w:eastAsia="Arial" w:hAnsi="Arial" w:cs="Arial"/>
          <w:color w:val="222222"/>
          <w:sz w:val="19"/>
          <w:szCs w:val="19"/>
        </w:rPr>
        <w:t xml:space="preserve">(suppl 1), </w:t>
      </w:r>
      <w:proofErr w:type="gramStart"/>
      <w:r w:rsidRPr="0CF7C817">
        <w:rPr>
          <w:rFonts w:ascii="Arial" w:eastAsia="Arial" w:hAnsi="Arial" w:cs="Arial"/>
          <w:color w:val="222222"/>
          <w:sz w:val="19"/>
          <w:szCs w:val="19"/>
        </w:rPr>
        <w:t>pp.i</w:t>
      </w:r>
      <w:proofErr w:type="gramEnd"/>
      <w:r w:rsidRPr="0CF7C817">
        <w:rPr>
          <w:rFonts w:ascii="Arial" w:eastAsia="Arial" w:hAnsi="Arial" w:cs="Arial"/>
          <w:color w:val="222222"/>
          <w:sz w:val="19"/>
          <w:szCs w:val="19"/>
        </w:rPr>
        <w:t>29-i33.</w:t>
      </w:r>
    </w:p>
    <w:p w14:paraId="43124105" w14:textId="2F396763" w:rsidR="1149458D" w:rsidRDefault="1149458D" w:rsidP="0CF7C817">
      <w:r w:rsidRPr="0CF7C817">
        <w:rPr>
          <w:rFonts w:ascii="Arial" w:eastAsia="Arial" w:hAnsi="Arial" w:cs="Arial"/>
          <w:color w:val="222222"/>
          <w:sz w:val="19"/>
          <w:szCs w:val="19"/>
        </w:rPr>
        <w:t xml:space="preserve">McBain, G., </w:t>
      </w:r>
      <w:proofErr w:type="spellStart"/>
      <w:r w:rsidRPr="0CF7C817">
        <w:rPr>
          <w:rFonts w:ascii="Arial" w:eastAsia="Arial" w:hAnsi="Arial" w:cs="Arial"/>
          <w:color w:val="222222"/>
          <w:sz w:val="19"/>
          <w:szCs w:val="19"/>
        </w:rPr>
        <w:t>Modernising</w:t>
      </w:r>
      <w:proofErr w:type="spellEnd"/>
      <w:r w:rsidRPr="0CF7C817">
        <w:rPr>
          <w:rFonts w:ascii="Arial" w:eastAsia="Arial" w:hAnsi="Arial" w:cs="Arial"/>
          <w:color w:val="222222"/>
          <w:sz w:val="19"/>
          <w:szCs w:val="19"/>
        </w:rPr>
        <w:t xml:space="preserve"> the Common Law Offences of Assault and Battery.</w:t>
      </w:r>
    </w:p>
    <w:p w14:paraId="0BBBE916" w14:textId="4A154C46" w:rsidR="63696A8A" w:rsidRDefault="63696A8A" w:rsidP="0CF7C817">
      <w:proofErr w:type="spellStart"/>
      <w:r w:rsidRPr="0CF7C817">
        <w:rPr>
          <w:rFonts w:ascii="Arial" w:eastAsia="Arial" w:hAnsi="Arial" w:cs="Arial"/>
          <w:color w:val="222222"/>
          <w:sz w:val="19"/>
          <w:szCs w:val="19"/>
        </w:rPr>
        <w:t>Sjölin</w:t>
      </w:r>
      <w:proofErr w:type="spellEnd"/>
      <w:r w:rsidRPr="0CF7C817">
        <w:rPr>
          <w:rFonts w:ascii="Arial" w:eastAsia="Arial" w:hAnsi="Arial" w:cs="Arial"/>
          <w:color w:val="222222"/>
          <w:sz w:val="19"/>
          <w:szCs w:val="19"/>
        </w:rPr>
        <w:t xml:space="preserve">, C., 2015. Ten years on: consent under the Sexual Offences Act 2003. </w:t>
      </w:r>
      <w:r w:rsidRPr="0CF7C817">
        <w:rPr>
          <w:rFonts w:ascii="Arial" w:eastAsia="Arial" w:hAnsi="Arial" w:cs="Arial"/>
          <w:i/>
          <w:iCs/>
          <w:color w:val="222222"/>
          <w:sz w:val="19"/>
          <w:szCs w:val="19"/>
        </w:rPr>
        <w:t>The Journal of Criminal Law</w:t>
      </w:r>
      <w:r w:rsidRPr="0CF7C817">
        <w:rPr>
          <w:rFonts w:ascii="Arial" w:eastAsia="Arial" w:hAnsi="Arial" w:cs="Arial"/>
          <w:color w:val="222222"/>
          <w:sz w:val="19"/>
          <w:szCs w:val="19"/>
        </w:rPr>
        <w:t xml:space="preserve">, </w:t>
      </w:r>
      <w:r w:rsidRPr="0CF7C817">
        <w:rPr>
          <w:rFonts w:ascii="Arial" w:eastAsia="Arial" w:hAnsi="Arial" w:cs="Arial"/>
          <w:i/>
          <w:iCs/>
          <w:color w:val="222222"/>
          <w:sz w:val="19"/>
          <w:szCs w:val="19"/>
        </w:rPr>
        <w:t>79</w:t>
      </w:r>
      <w:r w:rsidRPr="0CF7C817">
        <w:rPr>
          <w:rFonts w:ascii="Arial" w:eastAsia="Arial" w:hAnsi="Arial" w:cs="Arial"/>
          <w:color w:val="222222"/>
          <w:sz w:val="19"/>
          <w:szCs w:val="19"/>
        </w:rPr>
        <w:t>(1), pp.20-35.</w:t>
      </w:r>
    </w:p>
    <w:sectPr w:rsidR="63696A8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DmaXAtlK" int2:invalidationBookmarkName="" int2:hashCode="BMWkakRlbVF4ac" int2:id="uwWzlkyt">
      <int2:state int2:value="Reviewed" int2:type="WordDesignerPullQuotesAnnotation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FEBCB95"/>
    <w:rsid w:val="0009746D"/>
    <w:rsid w:val="00760CB0"/>
    <w:rsid w:val="00972206"/>
    <w:rsid w:val="00A412D6"/>
    <w:rsid w:val="00AA4280"/>
    <w:rsid w:val="00B8108F"/>
    <w:rsid w:val="00D4371D"/>
    <w:rsid w:val="00E94D34"/>
    <w:rsid w:val="0138992B"/>
    <w:rsid w:val="01DF7349"/>
    <w:rsid w:val="01FBBE77"/>
    <w:rsid w:val="028B4578"/>
    <w:rsid w:val="02A8969A"/>
    <w:rsid w:val="02D4698C"/>
    <w:rsid w:val="02F8849C"/>
    <w:rsid w:val="03715989"/>
    <w:rsid w:val="03833130"/>
    <w:rsid w:val="044B69A5"/>
    <w:rsid w:val="04A62741"/>
    <w:rsid w:val="0517140B"/>
    <w:rsid w:val="055EF2EF"/>
    <w:rsid w:val="0630255E"/>
    <w:rsid w:val="0674B073"/>
    <w:rsid w:val="0676D2C5"/>
    <w:rsid w:val="06A8FA4B"/>
    <w:rsid w:val="0707B9CC"/>
    <w:rsid w:val="0737ACA6"/>
    <w:rsid w:val="0781302A"/>
    <w:rsid w:val="07CBF5BF"/>
    <w:rsid w:val="08186E5A"/>
    <w:rsid w:val="089B569C"/>
    <w:rsid w:val="08B11CFE"/>
    <w:rsid w:val="08D37D07"/>
    <w:rsid w:val="09578724"/>
    <w:rsid w:val="0A3765C7"/>
    <w:rsid w:val="0B518C39"/>
    <w:rsid w:val="0B8E4315"/>
    <w:rsid w:val="0BDB2AEF"/>
    <w:rsid w:val="0C9F2302"/>
    <w:rsid w:val="0CF7C817"/>
    <w:rsid w:val="0DA9BCFB"/>
    <w:rsid w:val="0EC9E30C"/>
    <w:rsid w:val="0EF73E8D"/>
    <w:rsid w:val="0EFE2C43"/>
    <w:rsid w:val="0FF88264"/>
    <w:rsid w:val="10DE8EEC"/>
    <w:rsid w:val="1149458D"/>
    <w:rsid w:val="1164AF92"/>
    <w:rsid w:val="11FD8499"/>
    <w:rsid w:val="128FEFEA"/>
    <w:rsid w:val="12F27ADC"/>
    <w:rsid w:val="132F102C"/>
    <w:rsid w:val="13851881"/>
    <w:rsid w:val="141AE52F"/>
    <w:rsid w:val="145E2332"/>
    <w:rsid w:val="14F1262E"/>
    <w:rsid w:val="14F6F162"/>
    <w:rsid w:val="1560F84D"/>
    <w:rsid w:val="158B0961"/>
    <w:rsid w:val="16001E79"/>
    <w:rsid w:val="160A6765"/>
    <w:rsid w:val="163B4E1E"/>
    <w:rsid w:val="16850909"/>
    <w:rsid w:val="173A6A73"/>
    <w:rsid w:val="17D264EC"/>
    <w:rsid w:val="18413EFE"/>
    <w:rsid w:val="1928D724"/>
    <w:rsid w:val="19B16330"/>
    <w:rsid w:val="19FD4971"/>
    <w:rsid w:val="1AFC5971"/>
    <w:rsid w:val="1B4751E0"/>
    <w:rsid w:val="1B587A2C"/>
    <w:rsid w:val="1C935F1D"/>
    <w:rsid w:val="1CFC3813"/>
    <w:rsid w:val="1D364D1F"/>
    <w:rsid w:val="1D869743"/>
    <w:rsid w:val="1D950CA0"/>
    <w:rsid w:val="1DA38F4E"/>
    <w:rsid w:val="1DDC9DDD"/>
    <w:rsid w:val="1EA459C0"/>
    <w:rsid w:val="1F30DD01"/>
    <w:rsid w:val="1F786E3E"/>
    <w:rsid w:val="1FBCA217"/>
    <w:rsid w:val="202BEB4F"/>
    <w:rsid w:val="20CE9527"/>
    <w:rsid w:val="20CFBDF3"/>
    <w:rsid w:val="2122AD66"/>
    <w:rsid w:val="21F48070"/>
    <w:rsid w:val="22E4C963"/>
    <w:rsid w:val="22FD8135"/>
    <w:rsid w:val="236B1DAD"/>
    <w:rsid w:val="24060782"/>
    <w:rsid w:val="246B89CB"/>
    <w:rsid w:val="2506EE0E"/>
    <w:rsid w:val="25E7AFC2"/>
    <w:rsid w:val="260C8056"/>
    <w:rsid w:val="26A2BE6F"/>
    <w:rsid w:val="26CA7639"/>
    <w:rsid w:val="278F68BD"/>
    <w:rsid w:val="27D86348"/>
    <w:rsid w:val="286BE2F1"/>
    <w:rsid w:val="28B2EFB3"/>
    <w:rsid w:val="28C2B5F3"/>
    <w:rsid w:val="28C54BB7"/>
    <w:rsid w:val="29198550"/>
    <w:rsid w:val="2948E403"/>
    <w:rsid w:val="2A199584"/>
    <w:rsid w:val="2A3F7967"/>
    <w:rsid w:val="2ABB20E5"/>
    <w:rsid w:val="2AC7097F"/>
    <w:rsid w:val="2AE4F32E"/>
    <w:rsid w:val="2BA114C5"/>
    <w:rsid w:val="2C126631"/>
    <w:rsid w:val="2C56F146"/>
    <w:rsid w:val="2C5D7353"/>
    <w:rsid w:val="2C8B3B1E"/>
    <w:rsid w:val="2C95253F"/>
    <w:rsid w:val="2D5BCECC"/>
    <w:rsid w:val="2D76072F"/>
    <w:rsid w:val="2DAE3692"/>
    <w:rsid w:val="2DD3CE16"/>
    <w:rsid w:val="2DFEAA41"/>
    <w:rsid w:val="2E693E0C"/>
    <w:rsid w:val="2EAE2C3E"/>
    <w:rsid w:val="2EBFF7CC"/>
    <w:rsid w:val="2F106C9D"/>
    <w:rsid w:val="2F3FBC98"/>
    <w:rsid w:val="2F4A06F3"/>
    <w:rsid w:val="2F9A7AA2"/>
    <w:rsid w:val="2FBB84F2"/>
    <w:rsid w:val="30532058"/>
    <w:rsid w:val="3072D6D4"/>
    <w:rsid w:val="30A76097"/>
    <w:rsid w:val="30CC2B8E"/>
    <w:rsid w:val="310B6ED8"/>
    <w:rsid w:val="312667F6"/>
    <w:rsid w:val="3281A7B5"/>
    <w:rsid w:val="340A7CB3"/>
    <w:rsid w:val="3432A5E8"/>
    <w:rsid w:val="35FCE0A2"/>
    <w:rsid w:val="3716A21B"/>
    <w:rsid w:val="37495C24"/>
    <w:rsid w:val="375518D8"/>
    <w:rsid w:val="377AB05C"/>
    <w:rsid w:val="38C8B0A2"/>
    <w:rsid w:val="38F0E939"/>
    <w:rsid w:val="3964C56D"/>
    <w:rsid w:val="399F1122"/>
    <w:rsid w:val="3A4E42DD"/>
    <w:rsid w:val="3A685593"/>
    <w:rsid w:val="3C3B784A"/>
    <w:rsid w:val="3C560F05"/>
    <w:rsid w:val="3C78FDAA"/>
    <w:rsid w:val="3D3AF85B"/>
    <w:rsid w:val="3D9434B1"/>
    <w:rsid w:val="3D9521DB"/>
    <w:rsid w:val="3E031A3D"/>
    <w:rsid w:val="3E1CBB91"/>
    <w:rsid w:val="3EA40C28"/>
    <w:rsid w:val="41298028"/>
    <w:rsid w:val="41545C53"/>
    <w:rsid w:val="41BEF01E"/>
    <w:rsid w:val="42614248"/>
    <w:rsid w:val="42857245"/>
    <w:rsid w:val="42BD6303"/>
    <w:rsid w:val="4336D8BE"/>
    <w:rsid w:val="438FDB06"/>
    <w:rsid w:val="43B6084D"/>
    <w:rsid w:val="43FD12A9"/>
    <w:rsid w:val="446120EA"/>
    <w:rsid w:val="4561311E"/>
    <w:rsid w:val="46BA0DBD"/>
    <w:rsid w:val="4798C1AC"/>
    <w:rsid w:val="486651F0"/>
    <w:rsid w:val="495F6E38"/>
    <w:rsid w:val="4A4DCA9E"/>
    <w:rsid w:val="4AC874E8"/>
    <w:rsid w:val="4AD0626E"/>
    <w:rsid w:val="4B6D5EF9"/>
    <w:rsid w:val="4CA91141"/>
    <w:rsid w:val="4D3F3428"/>
    <w:rsid w:val="4D856B60"/>
    <w:rsid w:val="4E239496"/>
    <w:rsid w:val="4E32DF5B"/>
    <w:rsid w:val="4E7E9F7E"/>
    <w:rsid w:val="4F081364"/>
    <w:rsid w:val="4FCEAFBC"/>
    <w:rsid w:val="500994C3"/>
    <w:rsid w:val="5042DF27"/>
    <w:rsid w:val="504FE411"/>
    <w:rsid w:val="511922F3"/>
    <w:rsid w:val="51AACE23"/>
    <w:rsid w:val="51D8787F"/>
    <w:rsid w:val="52729B5D"/>
    <w:rsid w:val="528A16D2"/>
    <w:rsid w:val="52DB7453"/>
    <w:rsid w:val="544B7EDF"/>
    <w:rsid w:val="545D9B31"/>
    <w:rsid w:val="555B2EEA"/>
    <w:rsid w:val="5570D2DB"/>
    <w:rsid w:val="55AF06D4"/>
    <w:rsid w:val="560B278F"/>
    <w:rsid w:val="563963F1"/>
    <w:rsid w:val="56C0086C"/>
    <w:rsid w:val="56EDAFAB"/>
    <w:rsid w:val="570CA33C"/>
    <w:rsid w:val="57132549"/>
    <w:rsid w:val="57460C80"/>
    <w:rsid w:val="57831FA1"/>
    <w:rsid w:val="578BD675"/>
    <w:rsid w:val="57A6F7F0"/>
    <w:rsid w:val="58366D93"/>
    <w:rsid w:val="58E1DCE1"/>
    <w:rsid w:val="591EF002"/>
    <w:rsid w:val="59763E09"/>
    <w:rsid w:val="59BE5867"/>
    <w:rsid w:val="5A51A11C"/>
    <w:rsid w:val="5A9684F6"/>
    <w:rsid w:val="5B15E2FA"/>
    <w:rsid w:val="5BE6966C"/>
    <w:rsid w:val="5C1E4858"/>
    <w:rsid w:val="5C9B230C"/>
    <w:rsid w:val="5D6A8523"/>
    <w:rsid w:val="5D7BE4C0"/>
    <w:rsid w:val="5DC2B39B"/>
    <w:rsid w:val="5E4ED403"/>
    <w:rsid w:val="5EE1B211"/>
    <w:rsid w:val="5F239DBB"/>
    <w:rsid w:val="5F55E91A"/>
    <w:rsid w:val="60785DCD"/>
    <w:rsid w:val="608E61A1"/>
    <w:rsid w:val="60BF6E1C"/>
    <w:rsid w:val="6194A225"/>
    <w:rsid w:val="6197E7AE"/>
    <w:rsid w:val="61B4DFB9"/>
    <w:rsid w:val="61F3CF80"/>
    <w:rsid w:val="6234F3AB"/>
    <w:rsid w:val="6274617F"/>
    <w:rsid w:val="627DC834"/>
    <w:rsid w:val="62B925CD"/>
    <w:rsid w:val="63696A8A"/>
    <w:rsid w:val="63DF6392"/>
    <w:rsid w:val="63E46625"/>
    <w:rsid w:val="64CC42E7"/>
    <w:rsid w:val="656F5B6A"/>
    <w:rsid w:val="6592DF3F"/>
    <w:rsid w:val="66681348"/>
    <w:rsid w:val="667BC9E3"/>
    <w:rsid w:val="67369193"/>
    <w:rsid w:val="67B4A7A7"/>
    <w:rsid w:val="68685CBF"/>
    <w:rsid w:val="689FA3D6"/>
    <w:rsid w:val="690A7A5B"/>
    <w:rsid w:val="69607DB7"/>
    <w:rsid w:val="6964B6C3"/>
    <w:rsid w:val="69C6CA67"/>
    <w:rsid w:val="69D765F6"/>
    <w:rsid w:val="69E5B708"/>
    <w:rsid w:val="6A413F6B"/>
    <w:rsid w:val="6A859F2D"/>
    <w:rsid w:val="6B47A4C2"/>
    <w:rsid w:val="6B5A0DFA"/>
    <w:rsid w:val="6BD62861"/>
    <w:rsid w:val="6BDD0FCC"/>
    <w:rsid w:val="6C1159A4"/>
    <w:rsid w:val="6C701925"/>
    <w:rsid w:val="6CA00BFF"/>
    <w:rsid w:val="6CF5DE5B"/>
    <w:rsid w:val="6D569EA8"/>
    <w:rsid w:val="6D7314F9"/>
    <w:rsid w:val="6D89BC95"/>
    <w:rsid w:val="6E49C116"/>
    <w:rsid w:val="6E537AC3"/>
    <w:rsid w:val="6F209928"/>
    <w:rsid w:val="6FF06EC3"/>
    <w:rsid w:val="70D10497"/>
    <w:rsid w:val="71523F9A"/>
    <w:rsid w:val="7197FCD9"/>
    <w:rsid w:val="71C94F7E"/>
    <w:rsid w:val="7227465C"/>
    <w:rsid w:val="7246861C"/>
    <w:rsid w:val="72DC8DAC"/>
    <w:rsid w:val="738A5E4F"/>
    <w:rsid w:val="73A0CF8A"/>
    <w:rsid w:val="73B684EB"/>
    <w:rsid w:val="73E2567D"/>
    <w:rsid w:val="73E350CF"/>
    <w:rsid w:val="747A0252"/>
    <w:rsid w:val="74846461"/>
    <w:rsid w:val="74C2BC47"/>
    <w:rsid w:val="74EA5437"/>
    <w:rsid w:val="757E26DE"/>
    <w:rsid w:val="75D7A723"/>
    <w:rsid w:val="7608AAE9"/>
    <w:rsid w:val="76238D64"/>
    <w:rsid w:val="765E8CA8"/>
    <w:rsid w:val="76EE25AD"/>
    <w:rsid w:val="77D59B5F"/>
    <w:rsid w:val="780DBA32"/>
    <w:rsid w:val="7A49E733"/>
    <w:rsid w:val="7A513C17"/>
    <w:rsid w:val="7A519801"/>
    <w:rsid w:val="7AA18B5B"/>
    <w:rsid w:val="7AC957A6"/>
    <w:rsid w:val="7AFA2BF0"/>
    <w:rsid w:val="7BED6862"/>
    <w:rsid w:val="7C1BD69A"/>
    <w:rsid w:val="7CCBDFA4"/>
    <w:rsid w:val="7D021804"/>
    <w:rsid w:val="7D88DCD9"/>
    <w:rsid w:val="7DFA47FA"/>
    <w:rsid w:val="7E29FAB4"/>
    <w:rsid w:val="7E85B96B"/>
    <w:rsid w:val="7E91367D"/>
    <w:rsid w:val="7F050C41"/>
    <w:rsid w:val="7F24AD3A"/>
    <w:rsid w:val="7F250924"/>
    <w:rsid w:val="7F9CC8C9"/>
    <w:rsid w:val="7FEBCB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EBCB95"/>
  <w15:chartTrackingRefBased/>
  <w15:docId w15:val="{DB687048-AA85-4A2A-A232-933ECC1D5F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oi.org/10.1177/0022018316639104" TargetMode="External"/><Relationship Id="rId5" Type="http://schemas.openxmlformats.org/officeDocument/2006/relationships/hyperlink" Target="https://doi.org/10.1177/0022018316639104" TargetMode="External"/><Relationship Id="rId4" Type="http://schemas.openxmlformats.org/officeDocument/2006/relationships/webSettings" Target="webSettings.xml"/><Relationship Id="rId9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1080</Words>
  <Characters>6158</Characters>
  <Application>Microsoft Office Word</Application>
  <DocSecurity>4</DocSecurity>
  <Lines>51</Lines>
  <Paragraphs>14</Paragraphs>
  <ScaleCrop>false</ScaleCrop>
  <Company/>
  <LinksUpToDate>false</LinksUpToDate>
  <CharactersWithSpaces>7224</CharactersWithSpaces>
  <SharedDoc>false</SharedDoc>
  <HLinks>
    <vt:vector size="12" baseType="variant">
      <vt:variant>
        <vt:i4>1310808</vt:i4>
      </vt:variant>
      <vt:variant>
        <vt:i4>3</vt:i4>
      </vt:variant>
      <vt:variant>
        <vt:i4>0</vt:i4>
      </vt:variant>
      <vt:variant>
        <vt:i4>5</vt:i4>
      </vt:variant>
      <vt:variant>
        <vt:lpwstr>https://doi.org/10.1177/0022018316639104</vt:lpwstr>
      </vt:variant>
      <vt:variant>
        <vt:lpwstr/>
      </vt:variant>
      <vt:variant>
        <vt:i4>1310808</vt:i4>
      </vt:variant>
      <vt:variant>
        <vt:i4>0</vt:i4>
      </vt:variant>
      <vt:variant>
        <vt:i4>0</vt:i4>
      </vt:variant>
      <vt:variant>
        <vt:i4>5</vt:i4>
      </vt:variant>
      <vt:variant>
        <vt:lpwstr>https://doi.org/10.1177/0022018316639104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Shane Roberts (2307128)</dc:creator>
  <cp:keywords/>
  <dc:description/>
  <cp:lastModifiedBy>Shane Roberts (2307128)</cp:lastModifiedBy>
  <cp:revision>6</cp:revision>
  <dcterms:created xsi:type="dcterms:W3CDTF">2023-10-11T05:14:00Z</dcterms:created>
  <dcterms:modified xsi:type="dcterms:W3CDTF">2023-11-08T04:52:00Z</dcterms:modified>
</cp:coreProperties>
</file>