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729987749"/>
        <w:docPartObj>
          <w:docPartGallery w:val="Cover Pages"/>
          <w:docPartUnique/>
        </w:docPartObj>
      </w:sdtPr>
      <w:sdtEndPr>
        <w:rPr>
          <w:rFonts w:ascii="Arial" w:hAnsi="Arial" w:cs="Arial"/>
          <w:b/>
          <w:bCs/>
          <w:sz w:val="24"/>
          <w:szCs w:val="24"/>
          <w:u w:val="single"/>
        </w:rPr>
      </w:sdtEndPr>
      <w:sdtContent>
        <w:p w14:paraId="0E19BB08" w14:textId="679658FF" w:rsidR="007C12D1" w:rsidRDefault="007C12D1">
          <w:r>
            <w:rPr>
              <w:noProof/>
            </w:rPr>
            <mc:AlternateContent>
              <mc:Choice Requires="wpg">
                <w:drawing>
                  <wp:anchor distT="0" distB="0" distL="114300" distR="114300" simplePos="0" relativeHeight="251662336" behindDoc="0" locked="0" layoutInCell="1" allowOverlap="1" wp14:anchorId="0C28C8DF" wp14:editId="13AED7E0">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5B8649DA"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8"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359C5D14" wp14:editId="18A4D6B1">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4472C4" w:themeColor="accent1"/>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40BBE5CC" w14:textId="40C54F65" w:rsidR="007C12D1" w:rsidRPr="007C12D1" w:rsidRDefault="007C12D1">
                                    <w:pPr>
                                      <w:pStyle w:val="NoSpacing"/>
                                      <w:jc w:val="right"/>
                                      <w:rPr>
                                        <w:color w:val="4472C4" w:themeColor="accent1"/>
                                        <w:sz w:val="28"/>
                                        <w:szCs w:val="28"/>
                                      </w:rPr>
                                    </w:pPr>
                                    <w:r w:rsidRPr="007C12D1">
                                      <w:rPr>
                                        <w:color w:val="4472C4" w:themeColor="accent1"/>
                                        <w:sz w:val="28"/>
                                        <w:szCs w:val="28"/>
                                      </w:rPr>
                                      <w:t>Sonia Green (2005385)</w:t>
                                    </w:r>
                                  </w:p>
                                </w:sdtContent>
                              </w:sdt>
                              <w:p w14:paraId="036B8906" w14:textId="6FA964AC" w:rsidR="007C12D1" w:rsidRDefault="007C12D1">
                                <w:pPr>
                                  <w:pStyle w:val="NoSpacing"/>
                                  <w:jc w:val="right"/>
                                  <w:rPr>
                                    <w:color w:val="595959" w:themeColor="text1" w:themeTint="A6"/>
                                    <w:sz w:val="18"/>
                                    <w:szCs w:val="18"/>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359C5D14"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4472C4" w:themeColor="accent1"/>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40BBE5CC" w14:textId="40C54F65" w:rsidR="007C12D1" w:rsidRPr="007C12D1" w:rsidRDefault="007C12D1">
                              <w:pPr>
                                <w:pStyle w:val="NoSpacing"/>
                                <w:jc w:val="right"/>
                                <w:rPr>
                                  <w:color w:val="4472C4" w:themeColor="accent1"/>
                                  <w:sz w:val="28"/>
                                  <w:szCs w:val="28"/>
                                </w:rPr>
                              </w:pPr>
                              <w:r w:rsidRPr="007C12D1">
                                <w:rPr>
                                  <w:color w:val="4472C4" w:themeColor="accent1"/>
                                  <w:sz w:val="28"/>
                                  <w:szCs w:val="28"/>
                                </w:rPr>
                                <w:t>Sonia Green (2005385)</w:t>
                              </w:r>
                            </w:p>
                          </w:sdtContent>
                        </w:sdt>
                        <w:p w14:paraId="036B8906" w14:textId="6FA964AC" w:rsidR="007C12D1" w:rsidRDefault="007C12D1">
                          <w:pPr>
                            <w:pStyle w:val="NoSpacing"/>
                            <w:jc w:val="right"/>
                            <w:rPr>
                              <w:color w:val="595959" w:themeColor="text1" w:themeTint="A6"/>
                              <w:sz w:val="18"/>
                              <w:szCs w:val="18"/>
                            </w:rPr>
                          </w:pPr>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32902506" wp14:editId="5B4A83D6">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52730DB" w14:textId="1BB1345B" w:rsidR="007C12D1" w:rsidRDefault="007C12D1">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472C4" w:themeColor="accent1"/>
                                        <w:sz w:val="64"/>
                                        <w:szCs w:val="64"/>
                                      </w:rPr>
                                      <w:t>Module title: Human resources management in context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3B8A22E4" w14:textId="02FFC7E0" w:rsidR="007C12D1" w:rsidRDefault="007C12D1">
                                    <w:pPr>
                                      <w:jc w:val="right"/>
                                      <w:rPr>
                                        <w:smallCaps/>
                                        <w:color w:val="404040" w:themeColor="text1" w:themeTint="BF"/>
                                        <w:sz w:val="36"/>
                                        <w:szCs w:val="36"/>
                                      </w:rPr>
                                    </w:pPr>
                                    <w:r>
                                      <w:rPr>
                                        <w:color w:val="404040" w:themeColor="text1" w:themeTint="BF"/>
                                        <w:sz w:val="36"/>
                                        <w:szCs w:val="36"/>
                                      </w:rPr>
                                      <w:t>Module Code: BMHR7004</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32902506" id="Text Box 1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1syhA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" filled="f" stroked="f" strokeweight=".5pt">
                    <v:textbox inset="126pt,0,54pt,0">
                      <w:txbxContent>
                        <w:p w14:paraId="352730DB" w14:textId="1BB1345B" w:rsidR="007C12D1" w:rsidRDefault="007C12D1">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472C4" w:themeColor="accent1"/>
                                  <w:sz w:val="64"/>
                                  <w:szCs w:val="64"/>
                                </w:rPr>
                                <w:t>Module title: Human resources management in context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3B8A22E4" w14:textId="02FFC7E0" w:rsidR="007C12D1" w:rsidRDefault="007C12D1">
                              <w:pPr>
                                <w:jc w:val="right"/>
                                <w:rPr>
                                  <w:smallCaps/>
                                  <w:color w:val="404040" w:themeColor="text1" w:themeTint="BF"/>
                                  <w:sz w:val="36"/>
                                  <w:szCs w:val="36"/>
                                </w:rPr>
                              </w:pPr>
                              <w:r>
                                <w:rPr>
                                  <w:color w:val="404040" w:themeColor="text1" w:themeTint="BF"/>
                                  <w:sz w:val="36"/>
                                  <w:szCs w:val="36"/>
                                </w:rPr>
                                <w:t>Module Code: BMHR7004</w:t>
                              </w:r>
                            </w:p>
                          </w:sdtContent>
                        </w:sdt>
                      </w:txbxContent>
                    </v:textbox>
                    <w10:wrap type="square" anchorx="page" anchory="page"/>
                  </v:shape>
                </w:pict>
              </mc:Fallback>
            </mc:AlternateContent>
          </w:r>
        </w:p>
        <w:p w14:paraId="2E88387C" w14:textId="0DE10CE6" w:rsidR="007C12D1" w:rsidRDefault="007C12D1">
          <w:pPr>
            <w:rPr>
              <w:rFonts w:ascii="Arial" w:hAnsi="Arial" w:cs="Arial"/>
              <w:b/>
              <w:bCs/>
              <w:sz w:val="24"/>
              <w:szCs w:val="24"/>
              <w:u w:val="single"/>
            </w:rPr>
          </w:pPr>
          <w:r>
            <w:rPr>
              <w:noProof/>
            </w:rPr>
            <mc:AlternateContent>
              <mc:Choice Requires="wps">
                <w:drawing>
                  <wp:anchor distT="0" distB="0" distL="114300" distR="114300" simplePos="0" relativeHeight="251661312" behindDoc="0" locked="0" layoutInCell="1" allowOverlap="1" wp14:anchorId="35D87316" wp14:editId="6158E646">
                    <wp:simplePos x="0" y="0"/>
                    <wp:positionH relativeFrom="margin">
                      <wp:posOffset>-672465</wp:posOffset>
                    </wp:positionH>
                    <wp:positionV relativeFrom="bottomMargin">
                      <wp:posOffset>-190500</wp:posOffset>
                    </wp:positionV>
                    <wp:extent cx="7315200" cy="1009650"/>
                    <wp:effectExtent l="0" t="0" r="0" b="254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B5527C0" w14:textId="3FA8A30C" w:rsidR="007C12D1" w:rsidRDefault="007C12D1">
                                <w:pPr>
                                  <w:pStyle w:val="NoSpacing"/>
                                  <w:jc w:val="right"/>
                                  <w:rPr>
                                    <w:color w:val="4472C4" w:themeColor="accent1"/>
                                    <w:sz w:val="28"/>
                                    <w:szCs w:val="28"/>
                                  </w:rPr>
                                </w:pPr>
                                <w:r>
                                  <w:rPr>
                                    <w:color w:val="4472C4" w:themeColor="accent1"/>
                                    <w:sz w:val="28"/>
                                    <w:szCs w:val="28"/>
                                  </w:rPr>
                                  <w:t>Word Count: 2750</w:t>
                                </w: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14:paraId="4CE2CE69" w14:textId="03200C62" w:rsidR="007C12D1" w:rsidRDefault="007C12D1">
                                    <w:pPr>
                                      <w:pStyle w:val="NoSpacing"/>
                                      <w:jc w:val="right"/>
                                      <w:rPr>
                                        <w:color w:val="595959" w:themeColor="text1" w:themeTint="A6"/>
                                        <w:sz w:val="20"/>
                                        <w:szCs w:val="20"/>
                                      </w:rPr>
                                    </w:pPr>
                                    <w:r>
                                      <w:rPr>
                                        <w:color w:val="595959" w:themeColor="text1" w:themeTint="A6"/>
                                        <w:sz w:val="20"/>
                                        <w:szCs w:val="20"/>
                                      </w:rPr>
                                      <w:t xml:space="preserve">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35D87316" id="Text Box 153" o:spid="_x0000_s1028" type="#_x0000_t202" style="position:absolute;margin-left:-52.95pt;margin-top:-15pt;width:8in;height:79.5pt;z-index:251661312;visibility:visible;mso-wrap-style:square;mso-width-percent:941;mso-height-percent:100;mso-wrap-distance-left:9pt;mso-wrap-distance-top:0;mso-wrap-distance-right:9pt;mso-wrap-distance-bottom:0;mso-position-horizontal:absolute;mso-position-horizontal-relative:margin;mso-position-vertical:absolute;mso-position-vertical-relative:bottom-margin-area;mso-width-percent:941;mso-height-percent:1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" filled="f" stroked="f" strokeweight=".5pt">
                    <v:textbox style="mso-fit-shape-to-text:t" inset="126pt,0,54pt,0">
                      <w:txbxContent>
                        <w:p w14:paraId="3B5527C0" w14:textId="3FA8A30C" w:rsidR="007C12D1" w:rsidRDefault="007C12D1">
                          <w:pPr>
                            <w:pStyle w:val="NoSpacing"/>
                            <w:jc w:val="right"/>
                            <w:rPr>
                              <w:color w:val="4472C4" w:themeColor="accent1"/>
                              <w:sz w:val="28"/>
                              <w:szCs w:val="28"/>
                            </w:rPr>
                          </w:pPr>
                          <w:r>
                            <w:rPr>
                              <w:color w:val="4472C4" w:themeColor="accent1"/>
                              <w:sz w:val="28"/>
                              <w:szCs w:val="28"/>
                            </w:rPr>
                            <w:t>Word Count: 2750</w:t>
                          </w: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14:paraId="4CE2CE69" w14:textId="03200C62" w:rsidR="007C12D1" w:rsidRDefault="007C12D1">
                              <w:pPr>
                                <w:pStyle w:val="NoSpacing"/>
                                <w:jc w:val="right"/>
                                <w:rPr>
                                  <w:color w:val="595959" w:themeColor="text1" w:themeTint="A6"/>
                                  <w:sz w:val="20"/>
                                  <w:szCs w:val="20"/>
                                </w:rPr>
                              </w:pPr>
                              <w:r>
                                <w:rPr>
                                  <w:color w:val="595959" w:themeColor="text1" w:themeTint="A6"/>
                                  <w:sz w:val="20"/>
                                  <w:szCs w:val="20"/>
                                </w:rPr>
                                <w:t xml:space="preserve">     </w:t>
                              </w:r>
                            </w:p>
                          </w:sdtContent>
                        </w:sdt>
                      </w:txbxContent>
                    </v:textbox>
                    <w10:wrap type="square" anchorx="margin" anchory="margin"/>
                  </v:shape>
                </w:pict>
              </mc:Fallback>
            </mc:AlternateContent>
          </w:r>
          <w:r>
            <w:rPr>
              <w:rFonts w:ascii="Arial" w:hAnsi="Arial" w:cs="Arial"/>
              <w:b/>
              <w:bCs/>
              <w:sz w:val="24"/>
              <w:szCs w:val="24"/>
              <w:u w:val="single"/>
            </w:rPr>
            <w:br w:type="page"/>
          </w:r>
        </w:p>
      </w:sdtContent>
    </w:sdt>
    <w:p w14:paraId="5E5787A5" w14:textId="2A9D6C38" w:rsidR="006801E4" w:rsidRPr="007C12D1" w:rsidRDefault="64871BFA" w:rsidP="007C12D1">
      <w:pPr>
        <w:spacing w:line="360" w:lineRule="auto"/>
        <w:jc w:val="both"/>
        <w:rPr>
          <w:rFonts w:ascii="Arial" w:hAnsi="Arial" w:cs="Arial"/>
          <w:b/>
          <w:bCs/>
          <w:sz w:val="24"/>
          <w:szCs w:val="24"/>
          <w:u w:val="single"/>
        </w:rPr>
      </w:pPr>
      <w:r w:rsidRPr="007C12D1">
        <w:rPr>
          <w:rFonts w:ascii="Arial" w:hAnsi="Arial" w:cs="Arial"/>
          <w:b/>
          <w:bCs/>
          <w:sz w:val="24"/>
          <w:szCs w:val="24"/>
          <w:u w:val="single"/>
        </w:rPr>
        <w:lastRenderedPageBreak/>
        <w:t>Section</w:t>
      </w:r>
      <w:r w:rsidR="007C12D1">
        <w:rPr>
          <w:rFonts w:ascii="Arial" w:hAnsi="Arial" w:cs="Arial"/>
          <w:b/>
          <w:bCs/>
          <w:sz w:val="24"/>
          <w:szCs w:val="24"/>
          <w:u w:val="single"/>
        </w:rPr>
        <w:t>.</w:t>
      </w:r>
      <w:r w:rsidRPr="007C12D1">
        <w:rPr>
          <w:rFonts w:ascii="Arial" w:hAnsi="Arial" w:cs="Arial"/>
          <w:b/>
          <w:bCs/>
          <w:sz w:val="24"/>
          <w:szCs w:val="24"/>
          <w:u w:val="single"/>
        </w:rPr>
        <w:t>1</w:t>
      </w:r>
    </w:p>
    <w:p w14:paraId="5D98D786" w14:textId="681FCF44" w:rsidR="64871BFA" w:rsidRPr="007C12D1" w:rsidRDefault="64871BFA" w:rsidP="007C12D1">
      <w:pPr>
        <w:spacing w:line="360" w:lineRule="auto"/>
        <w:jc w:val="both"/>
        <w:rPr>
          <w:rFonts w:ascii="Arial" w:hAnsi="Arial" w:cs="Arial"/>
          <w:b/>
          <w:bCs/>
          <w:sz w:val="24"/>
          <w:szCs w:val="24"/>
        </w:rPr>
      </w:pPr>
      <w:r w:rsidRPr="007C12D1">
        <w:rPr>
          <w:rFonts w:ascii="Arial" w:hAnsi="Arial" w:cs="Arial"/>
          <w:b/>
          <w:bCs/>
          <w:sz w:val="24"/>
          <w:szCs w:val="24"/>
          <w:u w:val="single"/>
        </w:rPr>
        <w:t>Q1</w:t>
      </w:r>
      <w:r w:rsidRPr="007C12D1">
        <w:rPr>
          <w:rFonts w:ascii="Arial" w:hAnsi="Arial" w:cs="Arial"/>
          <w:b/>
          <w:bCs/>
          <w:sz w:val="24"/>
          <w:szCs w:val="24"/>
        </w:rPr>
        <w:t xml:space="preserve">  </w:t>
      </w:r>
    </w:p>
    <w:p w14:paraId="05EF5EBD" w14:textId="0046C107" w:rsidR="64871BFA" w:rsidRPr="007C12D1" w:rsidRDefault="64871BFA" w:rsidP="007C12D1">
      <w:pPr>
        <w:spacing w:line="360" w:lineRule="auto"/>
        <w:jc w:val="both"/>
        <w:rPr>
          <w:rFonts w:ascii="Arial" w:hAnsi="Arial" w:cs="Arial"/>
          <w:sz w:val="24"/>
          <w:szCs w:val="24"/>
        </w:rPr>
      </w:pPr>
      <w:r w:rsidRPr="007C12D1">
        <w:rPr>
          <w:rFonts w:ascii="Arial" w:hAnsi="Arial" w:cs="Arial"/>
          <w:sz w:val="24"/>
          <w:szCs w:val="24"/>
        </w:rPr>
        <w:t xml:space="preserve">Within the last 3 years, organisations across the globe have seen changes that have impacted their strategy due to COVID, BREXIT and now the Ukraine war (CIPD, 2022a and McKinsey, 2021). </w:t>
      </w:r>
    </w:p>
    <w:p w14:paraId="297B7569" w14:textId="27EB8405" w:rsidR="64871BFA" w:rsidRPr="007C12D1" w:rsidRDefault="64871BFA" w:rsidP="007C12D1">
      <w:pPr>
        <w:spacing w:line="360" w:lineRule="auto"/>
        <w:jc w:val="both"/>
        <w:rPr>
          <w:rFonts w:ascii="Arial" w:hAnsi="Arial" w:cs="Arial"/>
          <w:sz w:val="24"/>
          <w:szCs w:val="24"/>
        </w:rPr>
      </w:pPr>
      <w:r w:rsidRPr="007C12D1">
        <w:rPr>
          <w:rFonts w:ascii="Arial" w:hAnsi="Arial" w:cs="Arial"/>
          <w:sz w:val="24"/>
          <w:szCs w:val="24"/>
        </w:rPr>
        <w:t xml:space="preserve">Long term planning (known as deliberate) </w:t>
      </w:r>
      <w:r w:rsidR="007C12D1" w:rsidRPr="007C12D1">
        <w:rPr>
          <w:rFonts w:ascii="Arial" w:hAnsi="Arial" w:cs="Arial"/>
          <w:sz w:val="24"/>
          <w:szCs w:val="24"/>
        </w:rPr>
        <w:t>is</w:t>
      </w:r>
      <w:r w:rsidRPr="007C12D1">
        <w:rPr>
          <w:rFonts w:ascii="Arial" w:hAnsi="Arial" w:cs="Arial"/>
          <w:sz w:val="24"/>
          <w:szCs w:val="24"/>
        </w:rPr>
        <w:t xml:space="preserve"> based on strategic objectives that will assist in growing the organisation and making it more effective through structure by setting objectives and working on a top-down basis (Farnham, 2015).  Through a HR perspective, having a clear organisational strategy, allows HR to align its priorities to the business goals and objectives (CIPD, 2021a), keeping on the agenda workforce planning for future skills and recruitment</w:t>
      </w:r>
      <w:r w:rsidR="00004A6B">
        <w:rPr>
          <w:rFonts w:ascii="Arial" w:hAnsi="Arial" w:cs="Arial"/>
          <w:sz w:val="24"/>
          <w:szCs w:val="24"/>
        </w:rPr>
        <w:t>,</w:t>
      </w:r>
      <w:r w:rsidRPr="007C12D1">
        <w:rPr>
          <w:rFonts w:ascii="Arial" w:hAnsi="Arial" w:cs="Arial"/>
          <w:sz w:val="24"/>
          <w:szCs w:val="24"/>
        </w:rPr>
        <w:t xml:space="preserve"> training and learning development opportunities to keep the employees engaged and motivated maintaining a competitive advantage.</w:t>
      </w:r>
    </w:p>
    <w:p w14:paraId="76043D61" w14:textId="0B4E6DD7" w:rsidR="64871BFA" w:rsidRPr="007C12D1" w:rsidRDefault="64871BFA" w:rsidP="007C12D1">
      <w:pPr>
        <w:spacing w:line="360" w:lineRule="auto"/>
        <w:jc w:val="both"/>
        <w:rPr>
          <w:rFonts w:ascii="Arial" w:hAnsi="Arial" w:cs="Arial"/>
          <w:sz w:val="24"/>
          <w:szCs w:val="24"/>
        </w:rPr>
      </w:pPr>
      <w:r w:rsidRPr="007C12D1">
        <w:rPr>
          <w:rFonts w:ascii="Arial" w:hAnsi="Arial" w:cs="Arial"/>
          <w:sz w:val="24"/>
          <w:szCs w:val="24"/>
        </w:rPr>
        <w:t xml:space="preserve">However, long term planning does have disadvantages due to the unknown factors like that of covid. Emergent which is a form of short-term planning, looks at how the organisation needs to adapt during an evolving real time occurrence, to meet its intent (James, 2018). Through this approach organisations and its stakeholders can consider organisational politics and culture and </w:t>
      </w:r>
      <w:r w:rsidR="007C12D1">
        <w:rPr>
          <w:rFonts w:ascii="Arial" w:hAnsi="Arial" w:cs="Arial"/>
          <w:sz w:val="24"/>
          <w:szCs w:val="24"/>
        </w:rPr>
        <w:t>driving</w:t>
      </w:r>
      <w:r w:rsidRPr="007C12D1">
        <w:rPr>
          <w:rFonts w:ascii="Arial" w:hAnsi="Arial" w:cs="Arial"/>
          <w:sz w:val="24"/>
          <w:szCs w:val="24"/>
        </w:rPr>
        <w:t xml:space="preserve"> strategy to develop by knowing more about the situation. This approach is difficult to complete when organisations are of a multi-functional/divisional nature due to competing demands and the requirements for management and decision making (Farnham, 2015). </w:t>
      </w:r>
    </w:p>
    <w:p w14:paraId="653CA38F" w14:textId="12DA8EC5" w:rsidR="0A9E4655" w:rsidRPr="007C12D1" w:rsidRDefault="0A9E4655" w:rsidP="007C12D1">
      <w:pPr>
        <w:spacing w:line="360" w:lineRule="auto"/>
        <w:jc w:val="both"/>
        <w:rPr>
          <w:rFonts w:ascii="Arial" w:hAnsi="Arial" w:cs="Arial"/>
          <w:sz w:val="24"/>
          <w:szCs w:val="24"/>
        </w:rPr>
      </w:pPr>
      <w:r w:rsidRPr="007C12D1">
        <w:rPr>
          <w:rFonts w:ascii="Arial" w:hAnsi="Arial" w:cs="Arial"/>
          <w:sz w:val="24"/>
          <w:szCs w:val="24"/>
        </w:rPr>
        <w:t>South Wales Police and Severn Trent both have a similar strategic style of creating five-year plans but what Severn Trent took further was the “human resources-based strategy” (Farnham, 2015) where they focused and placed the people in the middle of their strategy improving their engagement. SWP, although having their own HR strategy, lost employees and motivation due to the rigidity of their strategic plans. The difference is that Severn Trent used both deliberate and emergent strategy (</w:t>
      </w:r>
      <w:proofErr w:type="spellStart"/>
      <w:r w:rsidRPr="007C12D1">
        <w:rPr>
          <w:rFonts w:ascii="Arial" w:hAnsi="Arial" w:cs="Arial"/>
          <w:sz w:val="24"/>
          <w:szCs w:val="24"/>
        </w:rPr>
        <w:t>Stobierski</w:t>
      </w:r>
      <w:proofErr w:type="spellEnd"/>
      <w:r w:rsidRPr="007C12D1">
        <w:rPr>
          <w:rFonts w:ascii="Arial" w:hAnsi="Arial" w:cs="Arial"/>
          <w:sz w:val="24"/>
          <w:szCs w:val="24"/>
        </w:rPr>
        <w:t>, 2020) and in light of global events and disruption, proves that from both an organisational and HR perspective that there is value in long term planning but also in emergent planning.</w:t>
      </w:r>
    </w:p>
    <w:p w14:paraId="25A6DD0B" w14:textId="69F184F7" w:rsidR="0A9E4655" w:rsidRPr="007C12D1" w:rsidRDefault="0A9E4655" w:rsidP="007C12D1">
      <w:pPr>
        <w:spacing w:line="360" w:lineRule="auto"/>
        <w:jc w:val="both"/>
        <w:rPr>
          <w:rFonts w:ascii="Arial" w:hAnsi="Arial" w:cs="Arial"/>
          <w:sz w:val="24"/>
          <w:szCs w:val="24"/>
        </w:rPr>
      </w:pPr>
    </w:p>
    <w:p w14:paraId="6E6161B0" w14:textId="4CFFD00B" w:rsidR="64871BFA" w:rsidRPr="007C12D1" w:rsidRDefault="0A9E4655" w:rsidP="007C12D1">
      <w:pPr>
        <w:spacing w:line="360" w:lineRule="auto"/>
        <w:jc w:val="both"/>
        <w:rPr>
          <w:rFonts w:ascii="Arial" w:hAnsi="Arial" w:cs="Arial"/>
          <w:b/>
          <w:bCs/>
          <w:sz w:val="24"/>
          <w:szCs w:val="24"/>
          <w:u w:val="single"/>
        </w:rPr>
      </w:pPr>
      <w:r w:rsidRPr="007C12D1">
        <w:rPr>
          <w:rFonts w:ascii="Arial" w:hAnsi="Arial" w:cs="Arial"/>
          <w:b/>
          <w:bCs/>
          <w:sz w:val="24"/>
          <w:szCs w:val="24"/>
          <w:u w:val="single"/>
        </w:rPr>
        <w:lastRenderedPageBreak/>
        <w:t>Q2</w:t>
      </w:r>
    </w:p>
    <w:p w14:paraId="531DC6B4" w14:textId="53D79876" w:rsidR="0A9E4655" w:rsidRPr="007C12D1" w:rsidRDefault="0A9E4655" w:rsidP="007C12D1">
      <w:pPr>
        <w:spacing w:line="360" w:lineRule="auto"/>
        <w:jc w:val="both"/>
        <w:rPr>
          <w:rFonts w:ascii="Arial" w:hAnsi="Arial" w:cs="Arial"/>
          <w:sz w:val="24"/>
          <w:szCs w:val="24"/>
        </w:rPr>
      </w:pPr>
      <w:r w:rsidRPr="007C12D1">
        <w:rPr>
          <w:rFonts w:ascii="Arial" w:hAnsi="Arial" w:cs="Arial"/>
          <w:sz w:val="24"/>
          <w:szCs w:val="24"/>
        </w:rPr>
        <w:t xml:space="preserve">Environmental analysis tools are key to an organisation and HR strategy as it helps them to understand the impacts of external and internal factors and what they need to do to be able to succeed (Farnham, 2015). </w:t>
      </w:r>
    </w:p>
    <w:p w14:paraId="257ED402" w14:textId="275FCE5D" w:rsidR="0A9E4655" w:rsidRPr="007C12D1" w:rsidRDefault="0A9E4655" w:rsidP="007C12D1">
      <w:pPr>
        <w:spacing w:line="360" w:lineRule="auto"/>
        <w:jc w:val="both"/>
        <w:rPr>
          <w:rFonts w:ascii="Arial" w:hAnsi="Arial" w:cs="Arial"/>
          <w:sz w:val="24"/>
          <w:szCs w:val="24"/>
        </w:rPr>
      </w:pPr>
      <w:r w:rsidRPr="007C12D1">
        <w:rPr>
          <w:rFonts w:ascii="Arial" w:hAnsi="Arial" w:cs="Arial"/>
          <w:sz w:val="24"/>
          <w:szCs w:val="24"/>
        </w:rPr>
        <w:t>PESTLE is a cost-effective analytical tool that assists with the minimising of threat and highlighting the opportunities, enabling partnership working with other organisations and experts (CIPD, 2021b). This approach enhances strategic approaches by broadening and enhancing views through a single document. However, it can take some time to complete which could impact on the political areas as legislations can change overnight (</w:t>
      </w:r>
      <w:proofErr w:type="spellStart"/>
      <w:r w:rsidRPr="007C12D1">
        <w:rPr>
          <w:rFonts w:ascii="Arial" w:hAnsi="Arial" w:cs="Arial"/>
          <w:sz w:val="24"/>
          <w:szCs w:val="24"/>
        </w:rPr>
        <w:t>Frue</w:t>
      </w:r>
      <w:proofErr w:type="spellEnd"/>
      <w:r w:rsidRPr="007C12D1">
        <w:rPr>
          <w:rFonts w:ascii="Arial" w:hAnsi="Arial" w:cs="Arial"/>
          <w:sz w:val="24"/>
          <w:szCs w:val="24"/>
        </w:rPr>
        <w:t>, 2018). PESTLE can assist with best possible outcomes for attraction, marketing, performance and future trends all of which allow the organisation to determine in strategy to grow and succeed.</w:t>
      </w:r>
    </w:p>
    <w:p w14:paraId="7F36934B" w14:textId="48CADD9C" w:rsidR="0A9E4655" w:rsidRPr="007C12D1" w:rsidRDefault="0A9E4655" w:rsidP="007C12D1">
      <w:pPr>
        <w:spacing w:line="360" w:lineRule="auto"/>
        <w:jc w:val="both"/>
        <w:rPr>
          <w:rFonts w:ascii="Arial" w:hAnsi="Arial" w:cs="Arial"/>
          <w:sz w:val="24"/>
          <w:szCs w:val="24"/>
        </w:rPr>
      </w:pPr>
      <w:r w:rsidRPr="007C12D1">
        <w:rPr>
          <w:rFonts w:ascii="Arial" w:hAnsi="Arial" w:cs="Arial"/>
          <w:sz w:val="24"/>
          <w:szCs w:val="24"/>
        </w:rPr>
        <w:t xml:space="preserve">The difficulty with PESTLE is that it focuses solely on the external factors which is why it needs to be used in conjunction with another tool such as SWOT. SWOT will assist stakeholders to understand internal threats and opportunities allowing for flexibility and business opportunities to be highlighted (CIPD, 2021c) improving organisational and HR strategy. The complication with using SWOT is that the data required could lead to information being missed or having so much data that a trend is unable to be identified. </w:t>
      </w:r>
    </w:p>
    <w:p w14:paraId="52147DE3" w14:textId="3AAF18F6" w:rsidR="0A9E4655" w:rsidRPr="007C12D1" w:rsidRDefault="0A9E4655" w:rsidP="007C12D1">
      <w:pPr>
        <w:spacing w:line="360" w:lineRule="auto"/>
        <w:jc w:val="both"/>
        <w:rPr>
          <w:rFonts w:ascii="Arial" w:hAnsi="Arial" w:cs="Arial"/>
          <w:sz w:val="24"/>
          <w:szCs w:val="24"/>
        </w:rPr>
      </w:pPr>
      <w:r w:rsidRPr="007C12D1">
        <w:rPr>
          <w:rFonts w:ascii="Arial" w:hAnsi="Arial" w:cs="Arial"/>
          <w:sz w:val="24"/>
          <w:szCs w:val="24"/>
        </w:rPr>
        <w:t>Using a mix of environmental analysis tools organisations and HR departments will be able to formulate successful strategies that account for both internal and external risks.</w:t>
      </w:r>
    </w:p>
    <w:p w14:paraId="510BDF28" w14:textId="31496181" w:rsidR="0A9E4655" w:rsidRPr="007C12D1" w:rsidRDefault="0A9E4655" w:rsidP="007C12D1">
      <w:pPr>
        <w:spacing w:line="360" w:lineRule="auto"/>
        <w:jc w:val="both"/>
        <w:rPr>
          <w:rFonts w:ascii="Arial" w:hAnsi="Arial" w:cs="Arial"/>
          <w:b/>
          <w:bCs/>
          <w:sz w:val="24"/>
          <w:szCs w:val="24"/>
          <w:u w:val="single"/>
        </w:rPr>
      </w:pPr>
      <w:r w:rsidRPr="007C12D1">
        <w:rPr>
          <w:rFonts w:ascii="Arial" w:hAnsi="Arial" w:cs="Arial"/>
          <w:b/>
          <w:bCs/>
          <w:sz w:val="24"/>
          <w:szCs w:val="24"/>
          <w:u w:val="single"/>
        </w:rPr>
        <w:t>Q3</w:t>
      </w:r>
    </w:p>
    <w:p w14:paraId="6F7A0F25" w14:textId="32B9F458" w:rsidR="0A9E4655" w:rsidRPr="007C12D1" w:rsidRDefault="41F06BF5" w:rsidP="007C12D1">
      <w:pPr>
        <w:spacing w:line="360" w:lineRule="auto"/>
        <w:jc w:val="both"/>
        <w:rPr>
          <w:rFonts w:ascii="Arial" w:hAnsi="Arial" w:cs="Arial"/>
          <w:sz w:val="24"/>
          <w:szCs w:val="24"/>
        </w:rPr>
      </w:pPr>
      <w:r w:rsidRPr="007C12D1">
        <w:rPr>
          <w:rFonts w:ascii="Arial" w:hAnsi="Arial" w:cs="Arial"/>
          <w:sz w:val="24"/>
          <w:szCs w:val="24"/>
        </w:rPr>
        <w:t xml:space="preserve">HR function is the ability to adapt to external influences at that time, by being organisationally based and flexible (Farnham, 2015). Over the years there have been several different models that determine its relationship with the employees and how the setup of the HR department is structured, from </w:t>
      </w:r>
      <w:proofErr w:type="spellStart"/>
      <w:r w:rsidRPr="007C12D1">
        <w:rPr>
          <w:rFonts w:ascii="Arial" w:hAnsi="Arial" w:cs="Arial"/>
          <w:sz w:val="24"/>
          <w:szCs w:val="24"/>
        </w:rPr>
        <w:t>Legge</w:t>
      </w:r>
      <w:proofErr w:type="spellEnd"/>
      <w:r w:rsidRPr="007C12D1">
        <w:rPr>
          <w:rFonts w:ascii="Arial" w:hAnsi="Arial" w:cs="Arial"/>
          <w:sz w:val="24"/>
          <w:szCs w:val="24"/>
        </w:rPr>
        <w:t xml:space="preserve"> (1978) who talks of HR as problem solvers to Monks (1992) who talks of traditional and proactive approaches. For SWP it follows the latest model of Ulrich and Brockbank (2005) where they are set to have the employee advocate, the human capital developer also known as talent and reward; functional expert; strategic partner and the leader. </w:t>
      </w:r>
    </w:p>
    <w:p w14:paraId="24E0218C" w14:textId="4F1F7535" w:rsidR="41F06BF5" w:rsidRPr="007C12D1" w:rsidRDefault="41F06BF5" w:rsidP="007C12D1">
      <w:pPr>
        <w:spacing w:line="360" w:lineRule="auto"/>
        <w:jc w:val="both"/>
        <w:rPr>
          <w:rFonts w:ascii="Arial" w:hAnsi="Arial" w:cs="Arial"/>
          <w:sz w:val="24"/>
          <w:szCs w:val="24"/>
        </w:rPr>
      </w:pPr>
      <w:r w:rsidRPr="007C12D1">
        <w:rPr>
          <w:rFonts w:ascii="Arial" w:hAnsi="Arial" w:cs="Arial"/>
          <w:sz w:val="24"/>
          <w:szCs w:val="24"/>
        </w:rPr>
        <w:lastRenderedPageBreak/>
        <w:t>This model allows the HR function at SWP to operate at a strategic and operational level. HR and organisations are then able to work together to combat the external factors that may shape the changing agendas, for example labour market, flexibility, employment legislations and public policy. A lot of which has been seen over the last few years during the pandemic and BREXIT, where organisations like Severn Trent have had to adapt their HR strategy whilst remaining steadfast in their priorities of engaging colleagues and innovating them to feel a part of the decision-making for company targets. Effectively, HR are putting into practice the CIPD Profession Map’s core knowledge of change (CIPD, 2019) and cementing their role as initiators and facilitators of transformational change (CIPD, 2020).</w:t>
      </w:r>
    </w:p>
    <w:p w14:paraId="250B8605" w14:textId="28AA53D2" w:rsidR="41F06BF5" w:rsidRPr="007C12D1" w:rsidRDefault="41F06BF5" w:rsidP="007C12D1">
      <w:pPr>
        <w:spacing w:line="360" w:lineRule="auto"/>
        <w:jc w:val="both"/>
        <w:rPr>
          <w:rFonts w:ascii="Arial" w:hAnsi="Arial" w:cs="Arial"/>
          <w:sz w:val="24"/>
          <w:szCs w:val="24"/>
        </w:rPr>
      </w:pPr>
      <w:r w:rsidRPr="007C12D1">
        <w:rPr>
          <w:rFonts w:ascii="Arial" w:hAnsi="Arial" w:cs="Arial"/>
          <w:sz w:val="24"/>
          <w:szCs w:val="24"/>
        </w:rPr>
        <w:t>To play this role HR professionals require skills such as data analytics which can be utilised through the development of surveys from customers and employees (Robinson, 2021). Analytical skills will assist the driving change of HR and organisational strategy by finding skills gaps, training and learning development needs, resourcing requirements and other trends that may be found through correlations (CIPD, 2015a) leading to successful workforce planning. Critically analysing data can assist an organisation through an era of change whilst increasing its growth through performance systems, enhancing the requirements of the business to meet its capabilities and ensuring the needs of the communities it serves is met.</w:t>
      </w:r>
    </w:p>
    <w:p w14:paraId="114C4B9E" w14:textId="75432669" w:rsidR="41F06BF5" w:rsidRPr="007C12D1" w:rsidRDefault="41F06BF5" w:rsidP="007C12D1">
      <w:pPr>
        <w:spacing w:line="360" w:lineRule="auto"/>
        <w:jc w:val="both"/>
        <w:rPr>
          <w:rFonts w:ascii="Arial" w:hAnsi="Arial" w:cs="Arial"/>
          <w:sz w:val="24"/>
          <w:szCs w:val="24"/>
        </w:rPr>
      </w:pPr>
      <w:r w:rsidRPr="007C12D1">
        <w:rPr>
          <w:rFonts w:ascii="Arial" w:hAnsi="Arial" w:cs="Arial"/>
          <w:sz w:val="24"/>
          <w:szCs w:val="24"/>
        </w:rPr>
        <w:t xml:space="preserve">The business partner role in SWP and in Ulrich’s model the strategic partner (2005), remains an important factor for a changing era as it aligns HR and corporate strategies whilst working alongside senior partners. Creating strategic integration, commitment, flexibility and quality, enabling best practice resulting in organisational priorities of employee engagement and motivation being met (Guest, 1989 and 2001). Although criticisms of the HR Business Partner model </w:t>
      </w:r>
      <w:proofErr w:type="gramStart"/>
      <w:r w:rsidRPr="007C12D1">
        <w:rPr>
          <w:rFonts w:ascii="Arial" w:hAnsi="Arial" w:cs="Arial"/>
          <w:sz w:val="24"/>
          <w:szCs w:val="24"/>
        </w:rPr>
        <w:t>has</w:t>
      </w:r>
      <w:proofErr w:type="gramEnd"/>
      <w:r w:rsidRPr="007C12D1">
        <w:rPr>
          <w:rFonts w:ascii="Arial" w:hAnsi="Arial" w:cs="Arial"/>
          <w:sz w:val="24"/>
          <w:szCs w:val="24"/>
        </w:rPr>
        <w:t xml:space="preserve"> remained with leaders believing that the strategic knowledge and experience of Business Partner is yet to be found (Pitcher, 2008), a criticism that SWP is trying to break through by restructuring and re-introducing the role of Business partners. This is especially important since the pandemic as HR became pivotal to the </w:t>
      </w:r>
      <w:proofErr w:type="gramStart"/>
      <w:r w:rsidRPr="007C12D1">
        <w:rPr>
          <w:rFonts w:ascii="Arial" w:hAnsi="Arial" w:cs="Arial"/>
          <w:sz w:val="24"/>
          <w:szCs w:val="24"/>
        </w:rPr>
        <w:t>organisations</w:t>
      </w:r>
      <w:proofErr w:type="gramEnd"/>
      <w:r w:rsidRPr="007C12D1">
        <w:rPr>
          <w:rFonts w:ascii="Arial" w:hAnsi="Arial" w:cs="Arial"/>
          <w:sz w:val="24"/>
          <w:szCs w:val="24"/>
        </w:rPr>
        <w:t xml:space="preserve"> success in its response, supporting employees and implementing quick change whilst adapting and learning (Sharma, 2021).</w:t>
      </w:r>
    </w:p>
    <w:p w14:paraId="0218452D" w14:textId="72288289" w:rsidR="41F06BF5" w:rsidRPr="007C12D1" w:rsidRDefault="41F06BF5" w:rsidP="007C12D1">
      <w:pPr>
        <w:spacing w:line="360" w:lineRule="auto"/>
        <w:jc w:val="both"/>
        <w:rPr>
          <w:rFonts w:ascii="Arial" w:hAnsi="Arial" w:cs="Arial"/>
          <w:sz w:val="24"/>
          <w:szCs w:val="24"/>
        </w:rPr>
      </w:pPr>
      <w:r w:rsidRPr="007C12D1">
        <w:rPr>
          <w:rFonts w:ascii="Arial" w:hAnsi="Arial" w:cs="Arial"/>
          <w:sz w:val="24"/>
          <w:szCs w:val="24"/>
        </w:rPr>
        <w:lastRenderedPageBreak/>
        <w:t>However, a key skill that HR professionals require is the ability to build relationships with key stakeholders, if not showing soft skills such active listening, empathy and the ability to adapt and innovate then being an influence and support</w:t>
      </w:r>
      <w:r w:rsidR="00004A6B">
        <w:rPr>
          <w:rFonts w:ascii="Arial" w:hAnsi="Arial" w:cs="Arial"/>
          <w:sz w:val="24"/>
          <w:szCs w:val="24"/>
        </w:rPr>
        <w:t>ing</w:t>
      </w:r>
      <w:r w:rsidRPr="007C12D1">
        <w:rPr>
          <w:rFonts w:ascii="Arial" w:hAnsi="Arial" w:cs="Arial"/>
          <w:sz w:val="24"/>
          <w:szCs w:val="24"/>
        </w:rPr>
        <w:t xml:space="preserve"> an organisation through change becomes a complicated and reactive task (CIPD, 2015b). Severn Trent (Powell, 2022) applied the building of relationships to key stakeholders at a pivotal time of change, by adapting to fit the needs of the business, building trust and buy-in. This is seen through the CEO’s video blogs being amended for frontline staff and creating ‘comms cells’ with need-to-know information for employees, showing that that they understand different learning styles and roles within the organisation. Their practices increased employee engagement by 2.5% (Powell, 2022).</w:t>
      </w:r>
    </w:p>
    <w:p w14:paraId="164F7110" w14:textId="583DEAA1" w:rsidR="40947F01" w:rsidRPr="007C12D1" w:rsidRDefault="40947F01" w:rsidP="007C12D1">
      <w:pPr>
        <w:spacing w:line="360" w:lineRule="auto"/>
        <w:jc w:val="both"/>
        <w:rPr>
          <w:rFonts w:ascii="Arial" w:hAnsi="Arial" w:cs="Arial"/>
          <w:sz w:val="24"/>
          <w:szCs w:val="24"/>
        </w:rPr>
      </w:pPr>
      <w:r w:rsidRPr="007C12D1">
        <w:rPr>
          <w:rFonts w:ascii="Arial" w:hAnsi="Arial" w:cs="Arial"/>
          <w:sz w:val="24"/>
          <w:szCs w:val="24"/>
        </w:rPr>
        <w:t>Skills of HR professionals are key to the success of a HR function within an organisation, through flexibility, understanding, listening, innovating and analysis HR becomes the key to supporting an organisation through an era of change enabling its priorities to be met whilst keeping its competitive edge.</w:t>
      </w:r>
    </w:p>
    <w:p w14:paraId="4E2C4A50" w14:textId="58D9B4E2" w:rsidR="41F06BF5" w:rsidRPr="007C12D1" w:rsidRDefault="41F06BF5" w:rsidP="007C12D1">
      <w:pPr>
        <w:spacing w:line="360" w:lineRule="auto"/>
        <w:jc w:val="both"/>
        <w:rPr>
          <w:rFonts w:ascii="Arial" w:hAnsi="Arial" w:cs="Arial"/>
          <w:sz w:val="24"/>
          <w:szCs w:val="24"/>
        </w:rPr>
      </w:pPr>
      <w:r w:rsidRPr="007C12D1">
        <w:rPr>
          <w:rFonts w:ascii="Arial" w:hAnsi="Arial" w:cs="Arial"/>
          <w:sz w:val="24"/>
          <w:szCs w:val="24"/>
        </w:rPr>
        <w:t xml:space="preserve"> </w:t>
      </w:r>
    </w:p>
    <w:p w14:paraId="2F2A617B" w14:textId="0CF1FD38" w:rsidR="0A9E4655" w:rsidRPr="007C12D1" w:rsidRDefault="0A9E4655" w:rsidP="007C12D1">
      <w:pPr>
        <w:spacing w:line="360" w:lineRule="auto"/>
        <w:jc w:val="both"/>
        <w:rPr>
          <w:rFonts w:ascii="Arial" w:hAnsi="Arial" w:cs="Arial"/>
          <w:b/>
          <w:bCs/>
          <w:sz w:val="24"/>
          <w:szCs w:val="24"/>
          <w:u w:val="single"/>
        </w:rPr>
      </w:pPr>
      <w:r w:rsidRPr="007C12D1">
        <w:rPr>
          <w:rFonts w:ascii="Arial" w:hAnsi="Arial" w:cs="Arial"/>
          <w:b/>
          <w:bCs/>
          <w:sz w:val="24"/>
          <w:szCs w:val="24"/>
          <w:u w:val="single"/>
        </w:rPr>
        <w:t>Section</w:t>
      </w:r>
      <w:r w:rsidR="007C12D1">
        <w:rPr>
          <w:rFonts w:ascii="Arial" w:hAnsi="Arial" w:cs="Arial"/>
          <w:b/>
          <w:bCs/>
          <w:sz w:val="24"/>
          <w:szCs w:val="24"/>
          <w:u w:val="single"/>
        </w:rPr>
        <w:t>.</w:t>
      </w:r>
      <w:r w:rsidRPr="007C12D1">
        <w:rPr>
          <w:rFonts w:ascii="Arial" w:hAnsi="Arial" w:cs="Arial"/>
          <w:b/>
          <w:bCs/>
          <w:sz w:val="24"/>
          <w:szCs w:val="24"/>
          <w:u w:val="single"/>
        </w:rPr>
        <w:t>2</w:t>
      </w:r>
    </w:p>
    <w:p w14:paraId="70366400" w14:textId="4FA47E79" w:rsidR="0A9E4655" w:rsidRPr="007C12D1" w:rsidRDefault="007C12D1" w:rsidP="007C12D1">
      <w:pPr>
        <w:spacing w:line="360" w:lineRule="auto"/>
        <w:jc w:val="both"/>
        <w:rPr>
          <w:rFonts w:ascii="Arial" w:hAnsi="Arial" w:cs="Arial"/>
          <w:b/>
          <w:bCs/>
          <w:sz w:val="24"/>
          <w:szCs w:val="24"/>
        </w:rPr>
      </w:pPr>
      <w:r>
        <w:rPr>
          <w:rFonts w:ascii="Arial" w:hAnsi="Arial" w:cs="Arial"/>
          <w:b/>
          <w:bCs/>
          <w:sz w:val="24"/>
          <w:szCs w:val="24"/>
          <w:u w:val="single"/>
        </w:rPr>
        <w:t>Q</w:t>
      </w:r>
      <w:r w:rsidR="0A9E4655" w:rsidRPr="007C12D1">
        <w:rPr>
          <w:rFonts w:ascii="Arial" w:hAnsi="Arial" w:cs="Arial"/>
          <w:b/>
          <w:bCs/>
          <w:sz w:val="24"/>
          <w:szCs w:val="24"/>
          <w:u w:val="single"/>
        </w:rPr>
        <w:t xml:space="preserve">2.1B </w:t>
      </w:r>
    </w:p>
    <w:p w14:paraId="65CA3F94" w14:textId="518AED6B" w:rsidR="0A9E4655" w:rsidRPr="007C12D1" w:rsidRDefault="0A9E4655" w:rsidP="007C12D1">
      <w:pPr>
        <w:spacing w:line="360" w:lineRule="auto"/>
        <w:jc w:val="both"/>
        <w:rPr>
          <w:rFonts w:ascii="Arial" w:hAnsi="Arial" w:cs="Arial"/>
          <w:sz w:val="24"/>
          <w:szCs w:val="24"/>
        </w:rPr>
      </w:pPr>
      <w:r w:rsidRPr="007C12D1">
        <w:rPr>
          <w:rFonts w:ascii="Arial" w:hAnsi="Arial" w:cs="Arial"/>
          <w:sz w:val="24"/>
          <w:szCs w:val="24"/>
        </w:rPr>
        <w:t>External influences, such as demographics and COVID, as well as organisational competition all impact where an organisation sits within the labour market impacting positively and negatively on recruitment and retention. By understanding the labour market, HR are able to develop strategies that will place them in a good position in the labour market.</w:t>
      </w:r>
    </w:p>
    <w:p w14:paraId="53035374" w14:textId="08DB4529" w:rsidR="0A9E4655" w:rsidRPr="007C12D1" w:rsidRDefault="0A9E4655" w:rsidP="007C12D1">
      <w:pPr>
        <w:spacing w:line="360" w:lineRule="auto"/>
        <w:jc w:val="both"/>
        <w:rPr>
          <w:rFonts w:ascii="Arial" w:hAnsi="Arial" w:cs="Arial"/>
          <w:sz w:val="24"/>
          <w:szCs w:val="24"/>
        </w:rPr>
      </w:pPr>
      <w:r w:rsidRPr="007C12D1">
        <w:rPr>
          <w:rFonts w:ascii="Arial" w:hAnsi="Arial" w:cs="Arial"/>
          <w:sz w:val="24"/>
          <w:szCs w:val="24"/>
        </w:rPr>
        <w:t xml:space="preserve">It has been found through a project instigated by the UK Government in 2013 and </w:t>
      </w:r>
      <w:proofErr w:type="spellStart"/>
      <w:r w:rsidRPr="007C12D1">
        <w:rPr>
          <w:rFonts w:ascii="Arial" w:hAnsi="Arial" w:cs="Arial"/>
          <w:sz w:val="24"/>
          <w:szCs w:val="24"/>
        </w:rPr>
        <w:t>InfobaseCyrmu</w:t>
      </w:r>
      <w:proofErr w:type="spellEnd"/>
      <w:r w:rsidRPr="007C12D1">
        <w:rPr>
          <w:rFonts w:ascii="Arial" w:hAnsi="Arial" w:cs="Arial"/>
          <w:sz w:val="24"/>
          <w:szCs w:val="24"/>
        </w:rPr>
        <w:t xml:space="preserve"> data, that an ageing population of potentially one in four people aged over 75 by 2040 is changing the demands on an organisation (Government, 2016 and </w:t>
      </w:r>
      <w:proofErr w:type="spellStart"/>
      <w:r w:rsidRPr="007C12D1">
        <w:rPr>
          <w:rFonts w:ascii="Arial" w:hAnsi="Arial" w:cs="Arial"/>
          <w:sz w:val="24"/>
          <w:szCs w:val="24"/>
        </w:rPr>
        <w:t>InfobaseCymru</w:t>
      </w:r>
      <w:proofErr w:type="spellEnd"/>
      <w:r w:rsidRPr="007C12D1">
        <w:rPr>
          <w:rFonts w:ascii="Arial" w:hAnsi="Arial" w:cs="Arial"/>
          <w:sz w:val="24"/>
          <w:szCs w:val="24"/>
        </w:rPr>
        <w:t xml:space="preserve">, 2019), and is requiring changes in policy to not lose key skills, experience and knowledge where the younger generation may not be able to fill this gap (CIPD, 2015b). SWP is currently going through these changes as many of its officers have either completed their 30 </w:t>
      </w:r>
      <w:r w:rsidR="007C12D1" w:rsidRPr="007C12D1">
        <w:rPr>
          <w:rFonts w:ascii="Arial" w:hAnsi="Arial" w:cs="Arial"/>
          <w:sz w:val="24"/>
          <w:szCs w:val="24"/>
        </w:rPr>
        <w:t>years’ service</w:t>
      </w:r>
      <w:r w:rsidRPr="007C12D1">
        <w:rPr>
          <w:rFonts w:ascii="Arial" w:hAnsi="Arial" w:cs="Arial"/>
          <w:sz w:val="24"/>
          <w:szCs w:val="24"/>
        </w:rPr>
        <w:t xml:space="preserve"> and chosen to retire or have reached retirement age, leaving a major gap in specialist skills that take several years to qualify in, creating labour shortfalls and an inability to meet community demands. </w:t>
      </w:r>
    </w:p>
    <w:p w14:paraId="5F3EF73F" w14:textId="55B1D687" w:rsidR="0A9E4655" w:rsidRPr="007C12D1" w:rsidRDefault="0A9E4655" w:rsidP="007C12D1">
      <w:pPr>
        <w:spacing w:line="360" w:lineRule="auto"/>
        <w:jc w:val="both"/>
        <w:rPr>
          <w:rFonts w:ascii="Arial" w:hAnsi="Arial" w:cs="Arial"/>
          <w:sz w:val="24"/>
          <w:szCs w:val="24"/>
        </w:rPr>
      </w:pPr>
      <w:r w:rsidRPr="007C12D1">
        <w:rPr>
          <w:rFonts w:ascii="Arial" w:hAnsi="Arial" w:cs="Arial"/>
          <w:sz w:val="24"/>
          <w:szCs w:val="24"/>
        </w:rPr>
        <w:lastRenderedPageBreak/>
        <w:t>To combat this, a holistic approach needs to be taken whereby the organisation and HR department form a strategy for retaining their employees (CIPD, 2015b) this can be through the implementation of career development, policies such as flexible retirement (Bromley London Borough, 2014), learning and development opportunities to enhance or redefine their skills and a greater emphasis on wellbeing (Hall, 2019). This will encourage the ageing workforce to stay in work, maintaining and sharing their skills, knowledge and experience whilst also developing succession plans to incorporate hard to fill roles (CIPD, 2015b).</w:t>
      </w:r>
    </w:p>
    <w:p w14:paraId="16847BC7" w14:textId="787FDBC9" w:rsidR="0A9E4655" w:rsidRPr="007C12D1" w:rsidRDefault="0A9E4655" w:rsidP="007C12D1">
      <w:pPr>
        <w:spacing w:line="360" w:lineRule="auto"/>
        <w:jc w:val="both"/>
        <w:rPr>
          <w:rFonts w:ascii="Arial" w:hAnsi="Arial" w:cs="Arial"/>
          <w:sz w:val="24"/>
          <w:szCs w:val="24"/>
        </w:rPr>
      </w:pPr>
      <w:r w:rsidRPr="007C12D1">
        <w:rPr>
          <w:rFonts w:ascii="Arial" w:hAnsi="Arial" w:cs="Arial"/>
          <w:sz w:val="24"/>
          <w:szCs w:val="24"/>
        </w:rPr>
        <w:t>Porters Five Forces model comes into play here as it allows the business to focus on its position and where it can defend itself, these are known as the competitive forces (Porter, 2004).  Take for example Nike, a leading brand in clothing and shoe wear</w:t>
      </w:r>
      <w:r w:rsidR="00004A6B">
        <w:rPr>
          <w:rFonts w:ascii="Arial" w:hAnsi="Arial" w:cs="Arial"/>
          <w:sz w:val="24"/>
          <w:szCs w:val="24"/>
        </w:rPr>
        <w:t>,</w:t>
      </w:r>
      <w:r w:rsidRPr="007C12D1">
        <w:rPr>
          <w:rFonts w:ascii="Arial" w:hAnsi="Arial" w:cs="Arial"/>
          <w:sz w:val="24"/>
          <w:szCs w:val="24"/>
        </w:rPr>
        <w:t xml:space="preserve"> the competitive strategy that they use in order to remain at the top of their industry is by using cheap labour in order to provide above average returns (Martinez, 2018). This places Nike at the top of their industry making them a leading brand</w:t>
      </w:r>
      <w:r w:rsidR="00004A6B">
        <w:rPr>
          <w:rFonts w:ascii="Arial" w:hAnsi="Arial" w:cs="Arial"/>
          <w:sz w:val="24"/>
          <w:szCs w:val="24"/>
        </w:rPr>
        <w:t>,</w:t>
      </w:r>
      <w:r w:rsidRPr="007C12D1">
        <w:rPr>
          <w:rFonts w:ascii="Arial" w:hAnsi="Arial" w:cs="Arial"/>
          <w:sz w:val="24"/>
          <w:szCs w:val="24"/>
        </w:rPr>
        <w:t xml:space="preserve"> but with ethical considerations being highlighted in markets this may incur a change in their competitive strategy and HR having to relook at their recruitment strategies ensuring equality, diversity and inclusion are at the heart of their organisational practices (</w:t>
      </w:r>
      <w:proofErr w:type="spellStart"/>
      <w:r w:rsidRPr="007C12D1">
        <w:rPr>
          <w:rFonts w:ascii="Arial" w:hAnsi="Arial" w:cs="Arial"/>
          <w:sz w:val="24"/>
          <w:szCs w:val="24"/>
        </w:rPr>
        <w:t>Mistreanu</w:t>
      </w:r>
      <w:proofErr w:type="spellEnd"/>
      <w:r w:rsidRPr="007C12D1">
        <w:rPr>
          <w:rFonts w:ascii="Arial" w:hAnsi="Arial" w:cs="Arial"/>
          <w:sz w:val="24"/>
          <w:szCs w:val="24"/>
        </w:rPr>
        <w:t>, 2020).</w:t>
      </w:r>
    </w:p>
    <w:p w14:paraId="49F94752" w14:textId="1372319B" w:rsidR="41F06BF5" w:rsidRPr="007C12D1" w:rsidRDefault="41F06BF5" w:rsidP="007C12D1">
      <w:pPr>
        <w:spacing w:line="360" w:lineRule="auto"/>
        <w:jc w:val="both"/>
        <w:rPr>
          <w:rFonts w:ascii="Arial" w:hAnsi="Arial" w:cs="Arial"/>
          <w:sz w:val="24"/>
          <w:szCs w:val="24"/>
        </w:rPr>
      </w:pPr>
      <w:r w:rsidRPr="007C12D1">
        <w:rPr>
          <w:rFonts w:ascii="Arial" w:hAnsi="Arial" w:cs="Arial"/>
          <w:sz w:val="24"/>
          <w:szCs w:val="24"/>
        </w:rPr>
        <w:t xml:space="preserve">As reported in the </w:t>
      </w:r>
      <w:r w:rsidRPr="007C12D1">
        <w:rPr>
          <w:rFonts w:ascii="Arial" w:hAnsi="Arial" w:cs="Arial"/>
          <w:i/>
          <w:iCs/>
          <w:sz w:val="24"/>
          <w:szCs w:val="24"/>
        </w:rPr>
        <w:t>Labour Market Outlook (2021d and 2022b)</w:t>
      </w:r>
      <w:r w:rsidRPr="007C12D1">
        <w:rPr>
          <w:rFonts w:ascii="Arial" w:hAnsi="Arial" w:cs="Arial"/>
          <w:sz w:val="24"/>
          <w:szCs w:val="24"/>
        </w:rPr>
        <w:t xml:space="preserve">, organisations in the private sector have increased their pay medians from 2.2% to 2.5% whereas the public sector are only able to increase by 1%. With these profits they are then able to provide greater benefits to existing staff and recruiting new high talented individuals to their teams, providing once again the competitive edge on the labour market. </w:t>
      </w:r>
    </w:p>
    <w:p w14:paraId="1A4D2164" w14:textId="1C06B439" w:rsidR="00FF3E21" w:rsidRPr="007C12D1" w:rsidRDefault="41F06BF5" w:rsidP="007C12D1">
      <w:pPr>
        <w:spacing w:line="360" w:lineRule="auto"/>
        <w:jc w:val="both"/>
        <w:rPr>
          <w:rFonts w:ascii="Arial" w:hAnsi="Arial" w:cs="Arial"/>
          <w:sz w:val="24"/>
          <w:szCs w:val="24"/>
        </w:rPr>
      </w:pPr>
      <w:r w:rsidRPr="007C12D1">
        <w:rPr>
          <w:rFonts w:ascii="Arial" w:hAnsi="Arial" w:cs="Arial"/>
          <w:sz w:val="24"/>
          <w:szCs w:val="24"/>
        </w:rPr>
        <w:t>HR strategies need to remain at the heart of organisations, without its people the organisation is unable to maintain its competitive advantage and combat the ever-changing labour market. Introducing benefits to not only retain but to attract employers through ethical recruitment practices that improve reputational image will assist organisations being well placed in the labour market.</w:t>
      </w:r>
    </w:p>
    <w:p w14:paraId="740F056D" w14:textId="215FB811" w:rsidR="41F06BF5" w:rsidRPr="007C12D1" w:rsidRDefault="41F06BF5" w:rsidP="007C12D1">
      <w:pPr>
        <w:spacing w:line="360" w:lineRule="auto"/>
        <w:jc w:val="both"/>
        <w:rPr>
          <w:rFonts w:ascii="Arial" w:hAnsi="Arial" w:cs="Arial"/>
          <w:b/>
          <w:bCs/>
          <w:sz w:val="24"/>
          <w:szCs w:val="24"/>
          <w:u w:val="single"/>
        </w:rPr>
      </w:pPr>
      <w:r w:rsidRPr="007C12D1">
        <w:rPr>
          <w:rFonts w:ascii="Arial" w:hAnsi="Arial" w:cs="Arial"/>
          <w:b/>
          <w:bCs/>
          <w:sz w:val="24"/>
          <w:szCs w:val="24"/>
          <w:u w:val="single"/>
        </w:rPr>
        <w:t>Question 2.2</w:t>
      </w:r>
      <w:r w:rsidR="007C12D1">
        <w:rPr>
          <w:rFonts w:ascii="Arial" w:hAnsi="Arial" w:cs="Arial"/>
          <w:b/>
          <w:bCs/>
          <w:sz w:val="24"/>
          <w:szCs w:val="24"/>
          <w:u w:val="single"/>
        </w:rPr>
        <w:t>A</w:t>
      </w:r>
    </w:p>
    <w:p w14:paraId="2C6C6359" w14:textId="0D5AECC6" w:rsidR="41F06BF5" w:rsidRPr="007C12D1" w:rsidRDefault="41F06BF5" w:rsidP="007C12D1">
      <w:pPr>
        <w:spacing w:line="360" w:lineRule="auto"/>
        <w:jc w:val="both"/>
        <w:rPr>
          <w:rFonts w:ascii="Arial" w:hAnsi="Arial" w:cs="Arial"/>
          <w:sz w:val="24"/>
          <w:szCs w:val="24"/>
        </w:rPr>
      </w:pPr>
      <w:r w:rsidRPr="007C12D1">
        <w:rPr>
          <w:rFonts w:ascii="Arial" w:hAnsi="Arial" w:cs="Arial"/>
          <w:sz w:val="24"/>
          <w:szCs w:val="24"/>
        </w:rPr>
        <w:t xml:space="preserve">Flexible working Regulations 2014 was introduced to allow a request for contract variation to all employees at 26 weeks continuous service (Legislation.Gov.UK, 2014), this includes the request to change hours, variation of start and finish times, job-share, </w:t>
      </w:r>
      <w:r w:rsidRPr="007C12D1">
        <w:rPr>
          <w:rFonts w:ascii="Arial" w:hAnsi="Arial" w:cs="Arial"/>
          <w:sz w:val="24"/>
          <w:szCs w:val="24"/>
        </w:rPr>
        <w:lastRenderedPageBreak/>
        <w:t>term-time and working from home requests (Marsh Commercial, 2014). Public policy is derived from party manifestos, agenda, resources and commitments at that period (Farnham, 2015) and businesses such as CIPD can also influence policy (CIPD, 2022b).</w:t>
      </w:r>
    </w:p>
    <w:p w14:paraId="00977BAA" w14:textId="10F6B3F4" w:rsidR="41F06BF5" w:rsidRPr="007C12D1" w:rsidRDefault="41F06BF5" w:rsidP="007C12D1">
      <w:pPr>
        <w:spacing w:line="360" w:lineRule="auto"/>
        <w:jc w:val="both"/>
        <w:rPr>
          <w:rFonts w:ascii="Arial" w:hAnsi="Arial" w:cs="Arial"/>
          <w:sz w:val="24"/>
          <w:szCs w:val="24"/>
        </w:rPr>
      </w:pPr>
      <w:r w:rsidRPr="007C12D1">
        <w:rPr>
          <w:rFonts w:ascii="Arial" w:hAnsi="Arial" w:cs="Arial"/>
          <w:sz w:val="24"/>
          <w:szCs w:val="24"/>
        </w:rPr>
        <w:t>The pandemic did significantly change employers' ways of working as it meant employees had to work from home (where possible) regardless of the concerns that line managers might have had regarding productivity (CIPD, 2021e) and at short notice. The re-evaluation of priorities for organisations but also for employees who are looking for a work-life balance has been amplified through the pandemic (Faragher, 2021).</w:t>
      </w:r>
    </w:p>
    <w:p w14:paraId="4D01F948" w14:textId="4F1BF639" w:rsidR="41F06BF5" w:rsidRPr="007C12D1" w:rsidRDefault="41F06BF5" w:rsidP="007C12D1">
      <w:pPr>
        <w:spacing w:line="360" w:lineRule="auto"/>
        <w:jc w:val="both"/>
        <w:rPr>
          <w:rFonts w:ascii="Arial" w:hAnsi="Arial" w:cs="Arial"/>
          <w:sz w:val="24"/>
          <w:szCs w:val="24"/>
        </w:rPr>
      </w:pPr>
      <w:r w:rsidRPr="007C12D1">
        <w:rPr>
          <w:rFonts w:ascii="Arial" w:hAnsi="Arial" w:cs="Arial"/>
          <w:sz w:val="24"/>
          <w:szCs w:val="24"/>
        </w:rPr>
        <w:t>In January 2022, the UK saw 30 firms join a 6-month trial for 35 hours over 4 days, this was after research in Iceland between 2015-2019 found that productivity remained the same or increased, thus improving staff wellbeing by allowing them additional time to focus on a work-life balance (Bond, 2022). Utah in 2008 (</w:t>
      </w:r>
      <w:proofErr w:type="spellStart"/>
      <w:r w:rsidRPr="007C12D1">
        <w:rPr>
          <w:rFonts w:ascii="Arial" w:hAnsi="Arial" w:cs="Arial"/>
          <w:sz w:val="24"/>
          <w:szCs w:val="24"/>
        </w:rPr>
        <w:t>Dahlgreen</w:t>
      </w:r>
      <w:proofErr w:type="spellEnd"/>
      <w:r w:rsidRPr="007C12D1">
        <w:rPr>
          <w:rFonts w:ascii="Arial" w:hAnsi="Arial" w:cs="Arial"/>
          <w:sz w:val="24"/>
          <w:szCs w:val="24"/>
        </w:rPr>
        <w:t>, 2014) also found that two thirds of its employees were more productive. Trials also found that job satisfaction increased and there were great environmental impacts due to the decrease in travelling to work</w:t>
      </w:r>
      <w:r w:rsidR="00004A6B">
        <w:rPr>
          <w:rFonts w:ascii="Arial" w:hAnsi="Arial" w:cs="Arial"/>
          <w:sz w:val="24"/>
          <w:szCs w:val="24"/>
        </w:rPr>
        <w:t>,</w:t>
      </w:r>
      <w:r w:rsidRPr="007C12D1">
        <w:rPr>
          <w:rFonts w:ascii="Arial" w:hAnsi="Arial" w:cs="Arial"/>
          <w:sz w:val="24"/>
          <w:szCs w:val="24"/>
        </w:rPr>
        <w:t xml:space="preserve"> savings on finances due to reduced office costings (Bond, 2022)</w:t>
      </w:r>
      <w:r w:rsidR="00004A6B">
        <w:rPr>
          <w:rFonts w:ascii="Arial" w:hAnsi="Arial" w:cs="Arial"/>
          <w:sz w:val="24"/>
          <w:szCs w:val="24"/>
        </w:rPr>
        <w:t>,</w:t>
      </w:r>
      <w:r w:rsidRPr="007C12D1">
        <w:rPr>
          <w:rFonts w:ascii="Arial" w:hAnsi="Arial" w:cs="Arial"/>
          <w:sz w:val="24"/>
          <w:szCs w:val="24"/>
        </w:rPr>
        <w:t xml:space="preserve"> this would in turn create further job opportunities increasing employment statistics (Main, 2022). This policy has already been confirmed by the Labour Party who would look to back this should it go through Parliament (Rodgers, 2019). The impact on the organisation would therefore be improved employee engagement, well-being and increased productivity. </w:t>
      </w:r>
    </w:p>
    <w:p w14:paraId="45C62CA5" w14:textId="7EC1BFFF" w:rsidR="41F06BF5" w:rsidRPr="007C12D1" w:rsidRDefault="41F06BF5" w:rsidP="007C12D1">
      <w:pPr>
        <w:spacing w:line="360" w:lineRule="auto"/>
        <w:jc w:val="both"/>
        <w:rPr>
          <w:rFonts w:ascii="Arial" w:hAnsi="Arial" w:cs="Arial"/>
          <w:sz w:val="24"/>
          <w:szCs w:val="24"/>
        </w:rPr>
      </w:pPr>
      <w:r w:rsidRPr="007C12D1">
        <w:rPr>
          <w:rFonts w:ascii="Arial" w:hAnsi="Arial" w:cs="Arial"/>
          <w:sz w:val="24"/>
          <w:szCs w:val="24"/>
        </w:rPr>
        <w:t>However, this does not apply for all businesses</w:t>
      </w:r>
      <w:r w:rsidR="00004A6B">
        <w:rPr>
          <w:rFonts w:ascii="Arial" w:hAnsi="Arial" w:cs="Arial"/>
          <w:sz w:val="24"/>
          <w:szCs w:val="24"/>
        </w:rPr>
        <w:t>,</w:t>
      </w:r>
      <w:r w:rsidRPr="007C12D1">
        <w:rPr>
          <w:rFonts w:ascii="Arial" w:hAnsi="Arial" w:cs="Arial"/>
          <w:sz w:val="24"/>
          <w:szCs w:val="24"/>
        </w:rPr>
        <w:t xml:space="preserve"> for example SWP who would not be able to do this due to the 24/7 needs of the communities and expectations. It would mean longer working hours in the four days of working which employees could find exhausting after a period, alongside personal priorities such as childcare, who again would be working on finishing by set standard times (</w:t>
      </w:r>
      <w:proofErr w:type="spellStart"/>
      <w:r w:rsidRPr="007C12D1">
        <w:rPr>
          <w:rFonts w:ascii="Arial" w:hAnsi="Arial" w:cs="Arial"/>
          <w:sz w:val="24"/>
          <w:szCs w:val="24"/>
        </w:rPr>
        <w:t>Gaille</w:t>
      </w:r>
      <w:proofErr w:type="spellEnd"/>
      <w:r w:rsidRPr="007C12D1">
        <w:rPr>
          <w:rFonts w:ascii="Arial" w:hAnsi="Arial" w:cs="Arial"/>
          <w:sz w:val="24"/>
          <w:szCs w:val="24"/>
        </w:rPr>
        <w:t>, 2018). It has been found in the trial by France that there was an additional cost for overtime due to the requirements for work to be completed and business needs to be met (</w:t>
      </w:r>
      <w:proofErr w:type="spellStart"/>
      <w:r w:rsidRPr="007C12D1">
        <w:rPr>
          <w:rFonts w:ascii="Arial" w:hAnsi="Arial" w:cs="Arial"/>
          <w:sz w:val="24"/>
          <w:szCs w:val="24"/>
        </w:rPr>
        <w:t>PeopleHum</w:t>
      </w:r>
      <w:proofErr w:type="spellEnd"/>
      <w:r w:rsidRPr="007C12D1">
        <w:rPr>
          <w:rFonts w:ascii="Arial" w:hAnsi="Arial" w:cs="Arial"/>
          <w:sz w:val="24"/>
          <w:szCs w:val="24"/>
        </w:rPr>
        <w:t>, 2022).  The organisation could therefore find that they are no longer meeting their customer needs and satisfactions whilst impacting on financial constraints.</w:t>
      </w:r>
    </w:p>
    <w:p w14:paraId="22FB513B" w14:textId="483CBFB4" w:rsidR="00FF3E21" w:rsidRPr="007C12D1" w:rsidRDefault="41F06BF5" w:rsidP="007C12D1">
      <w:pPr>
        <w:spacing w:line="360" w:lineRule="auto"/>
        <w:jc w:val="both"/>
        <w:rPr>
          <w:rFonts w:ascii="Arial" w:hAnsi="Arial" w:cs="Arial"/>
          <w:sz w:val="24"/>
          <w:szCs w:val="24"/>
        </w:rPr>
      </w:pPr>
      <w:r w:rsidRPr="007C12D1">
        <w:rPr>
          <w:rFonts w:ascii="Arial" w:hAnsi="Arial" w:cs="Arial"/>
          <w:sz w:val="24"/>
          <w:szCs w:val="24"/>
        </w:rPr>
        <w:lastRenderedPageBreak/>
        <w:t xml:space="preserve">By having it brought through as a public policy the impact on organisations would need to consider it within their policies and practices, creating a fairer competitive market especially in terms of retaining and recruiting. The Government would need to accommodate the different requirements of businesses when rolling this out and organisations and HR would need to consider the changes in their marketing, financial and HR strategies to ensure correct implementation, using environmental analysis tools (Farnham, 2015). </w:t>
      </w:r>
    </w:p>
    <w:p w14:paraId="76B679D7" w14:textId="70253A6A" w:rsidR="0A9E4655" w:rsidRPr="007C12D1" w:rsidRDefault="41F06BF5" w:rsidP="007C12D1">
      <w:pPr>
        <w:spacing w:line="360" w:lineRule="auto"/>
        <w:jc w:val="both"/>
        <w:rPr>
          <w:rFonts w:ascii="Arial" w:hAnsi="Arial" w:cs="Arial"/>
          <w:b/>
          <w:bCs/>
          <w:sz w:val="24"/>
          <w:szCs w:val="24"/>
          <w:u w:val="single"/>
        </w:rPr>
      </w:pPr>
      <w:r w:rsidRPr="007C12D1">
        <w:rPr>
          <w:rFonts w:ascii="Arial" w:hAnsi="Arial" w:cs="Arial"/>
          <w:b/>
          <w:bCs/>
          <w:sz w:val="24"/>
          <w:szCs w:val="24"/>
          <w:u w:val="single"/>
        </w:rPr>
        <w:t>Question 2.3A</w:t>
      </w:r>
    </w:p>
    <w:p w14:paraId="46CDB399" w14:textId="61D8060D" w:rsidR="41F06BF5" w:rsidRPr="007C12D1" w:rsidRDefault="41F06BF5" w:rsidP="007C12D1">
      <w:pPr>
        <w:spacing w:line="360" w:lineRule="auto"/>
        <w:jc w:val="both"/>
        <w:rPr>
          <w:rFonts w:ascii="Arial" w:hAnsi="Arial" w:cs="Arial"/>
          <w:sz w:val="24"/>
          <w:szCs w:val="24"/>
        </w:rPr>
      </w:pPr>
      <w:r w:rsidRPr="007C12D1">
        <w:rPr>
          <w:rFonts w:ascii="Arial" w:hAnsi="Arial" w:cs="Arial"/>
          <w:sz w:val="24"/>
          <w:szCs w:val="24"/>
        </w:rPr>
        <w:t>The gender pay gap was brought in 2016, it is an equality measure highlighting the difference in average earnings between women and men (Government UK, 2016b). In 2017 it found that men were paid on average 18.4% more than women which has significantly decreased as the gap in 2021 is showing a downward trend of 7.9% (ONS, 2021).</w:t>
      </w:r>
    </w:p>
    <w:p w14:paraId="3F4AF8CA" w14:textId="4C104ADF" w:rsidR="41F06BF5" w:rsidRPr="007C12D1" w:rsidRDefault="41F06BF5" w:rsidP="007C12D1">
      <w:pPr>
        <w:spacing w:line="360" w:lineRule="auto"/>
        <w:jc w:val="both"/>
        <w:rPr>
          <w:rFonts w:ascii="Arial" w:hAnsi="Arial" w:cs="Arial"/>
          <w:sz w:val="24"/>
          <w:szCs w:val="24"/>
        </w:rPr>
      </w:pPr>
      <w:r w:rsidRPr="007C12D1">
        <w:rPr>
          <w:rFonts w:ascii="Arial" w:hAnsi="Arial" w:cs="Arial"/>
          <w:sz w:val="24"/>
          <w:szCs w:val="24"/>
        </w:rPr>
        <w:t xml:space="preserve">It is run by the Equality and Human Rights Commission (EHRC) who </w:t>
      </w:r>
      <w:r w:rsidR="00004A6B">
        <w:rPr>
          <w:rFonts w:ascii="Arial" w:hAnsi="Arial" w:cs="Arial"/>
          <w:sz w:val="24"/>
          <w:szCs w:val="24"/>
        </w:rPr>
        <w:t xml:space="preserve">are </w:t>
      </w:r>
      <w:r w:rsidRPr="007C12D1">
        <w:rPr>
          <w:rFonts w:ascii="Arial" w:hAnsi="Arial" w:cs="Arial"/>
          <w:sz w:val="24"/>
          <w:szCs w:val="24"/>
        </w:rPr>
        <w:t>the enforces for making reporting of the gender pay gap a legal requirement and non-compliance could lead to prosecution (Milner,2019). With the labour market (2021d) reporting changes to demographics affecting organisations, younger generations</w:t>
      </w:r>
      <w:r w:rsidR="00004A6B">
        <w:rPr>
          <w:rFonts w:ascii="Arial" w:hAnsi="Arial" w:cs="Arial"/>
          <w:sz w:val="24"/>
          <w:szCs w:val="24"/>
        </w:rPr>
        <w:t>,</w:t>
      </w:r>
      <w:r w:rsidRPr="007C12D1">
        <w:rPr>
          <w:rFonts w:ascii="Arial" w:hAnsi="Arial" w:cs="Arial"/>
          <w:sz w:val="24"/>
          <w:szCs w:val="24"/>
        </w:rPr>
        <w:t xml:space="preserve"> in particular females, are found to be more interested in where an employer sits on the Gender Pay Gap chart, aligning to the principle that a closing gender pay gap can increase the attraction and retention of employees (Blundell, 2021).</w:t>
      </w:r>
    </w:p>
    <w:p w14:paraId="3491765E" w14:textId="74E7EF33" w:rsidR="41F06BF5" w:rsidRPr="007C12D1" w:rsidRDefault="41F06BF5" w:rsidP="007C12D1">
      <w:pPr>
        <w:spacing w:line="360" w:lineRule="auto"/>
        <w:jc w:val="both"/>
        <w:rPr>
          <w:rFonts w:ascii="Arial" w:hAnsi="Arial" w:cs="Arial"/>
          <w:sz w:val="24"/>
          <w:szCs w:val="24"/>
        </w:rPr>
      </w:pPr>
      <w:r w:rsidRPr="007C12D1">
        <w:rPr>
          <w:rFonts w:ascii="Arial" w:hAnsi="Arial" w:cs="Arial"/>
          <w:sz w:val="24"/>
          <w:szCs w:val="24"/>
        </w:rPr>
        <w:t xml:space="preserve">The impact on SWP is by making it accountable for ensuring equal earnings across females and males within the force. This is not to be considered the same as Equal Pay as </w:t>
      </w:r>
      <w:proofErr w:type="gramStart"/>
      <w:r w:rsidRPr="007C12D1">
        <w:rPr>
          <w:rFonts w:ascii="Arial" w:hAnsi="Arial" w:cs="Arial"/>
          <w:sz w:val="24"/>
          <w:szCs w:val="24"/>
        </w:rPr>
        <w:t>this falls</w:t>
      </w:r>
      <w:proofErr w:type="gramEnd"/>
      <w:r w:rsidRPr="007C12D1">
        <w:rPr>
          <w:rFonts w:ascii="Arial" w:hAnsi="Arial" w:cs="Arial"/>
          <w:sz w:val="24"/>
          <w:szCs w:val="24"/>
        </w:rPr>
        <w:t xml:space="preserve"> under the Equal Pay Act 1970 and Equality Act 2010 and is a legal requirement (Jones, 2018). SWP through its Gender Delivery Plan, worked with Trade Unions, Gender Equality Network, Police Federations and other associates and bodies such as the “He </w:t>
      </w:r>
      <w:proofErr w:type="spellStart"/>
      <w:r w:rsidRPr="007C12D1">
        <w:rPr>
          <w:rFonts w:ascii="Arial" w:hAnsi="Arial" w:cs="Arial"/>
          <w:sz w:val="24"/>
          <w:szCs w:val="24"/>
        </w:rPr>
        <w:t>for</w:t>
      </w:r>
      <w:proofErr w:type="spellEnd"/>
      <w:r w:rsidRPr="007C12D1">
        <w:rPr>
          <w:rFonts w:ascii="Arial" w:hAnsi="Arial" w:cs="Arial"/>
          <w:sz w:val="24"/>
          <w:szCs w:val="24"/>
        </w:rPr>
        <w:t xml:space="preserve"> She” to ensure that it understood the barriers to policies and processes (</w:t>
      </w:r>
      <w:r w:rsidR="007C12D1">
        <w:rPr>
          <w:rFonts w:ascii="Arial" w:hAnsi="Arial" w:cs="Arial"/>
          <w:sz w:val="24"/>
          <w:szCs w:val="24"/>
        </w:rPr>
        <w:t>SWP</w:t>
      </w:r>
      <w:r w:rsidRPr="007C12D1">
        <w:rPr>
          <w:rFonts w:ascii="Arial" w:hAnsi="Arial" w:cs="Arial"/>
          <w:sz w:val="24"/>
          <w:szCs w:val="24"/>
        </w:rPr>
        <w:t xml:space="preserve">, 2019). </w:t>
      </w:r>
    </w:p>
    <w:p w14:paraId="6DCFC3BA" w14:textId="0E63F1F2" w:rsidR="41F06BF5" w:rsidRPr="007C12D1" w:rsidRDefault="41F06BF5" w:rsidP="007C12D1">
      <w:pPr>
        <w:spacing w:line="360" w:lineRule="auto"/>
        <w:jc w:val="both"/>
        <w:rPr>
          <w:rFonts w:ascii="Arial" w:hAnsi="Arial" w:cs="Arial"/>
          <w:sz w:val="24"/>
          <w:szCs w:val="24"/>
        </w:rPr>
      </w:pPr>
      <w:r w:rsidRPr="007C12D1">
        <w:rPr>
          <w:rFonts w:ascii="Arial" w:hAnsi="Arial" w:cs="Arial"/>
          <w:sz w:val="24"/>
          <w:szCs w:val="24"/>
        </w:rPr>
        <w:t>Completing the Gender Pay Gap reporting is a large task, especially as the organisation has a large establishment number split between staff and officers, and this was acknowledged during the pandemic where the UK Government made the decision to suspend the Gender Pay Gap reporting for 2020, as pressure on organisations was ever changing (</w:t>
      </w:r>
      <w:proofErr w:type="spellStart"/>
      <w:r w:rsidRPr="007C12D1">
        <w:rPr>
          <w:rFonts w:ascii="Arial" w:hAnsi="Arial" w:cs="Arial"/>
          <w:sz w:val="24"/>
          <w:szCs w:val="24"/>
        </w:rPr>
        <w:t>Wisniewska</w:t>
      </w:r>
      <w:proofErr w:type="spellEnd"/>
      <w:r w:rsidRPr="007C12D1">
        <w:rPr>
          <w:rFonts w:ascii="Arial" w:hAnsi="Arial" w:cs="Arial"/>
          <w:sz w:val="24"/>
          <w:szCs w:val="24"/>
        </w:rPr>
        <w:t xml:space="preserve">, 2021). South Wales Police, on the </w:t>
      </w:r>
      <w:r w:rsidRPr="007C12D1">
        <w:rPr>
          <w:rFonts w:ascii="Arial" w:hAnsi="Arial" w:cs="Arial"/>
          <w:sz w:val="24"/>
          <w:szCs w:val="24"/>
        </w:rPr>
        <w:lastRenderedPageBreak/>
        <w:t>other hand continued to complete the report, showing a commitment to the aim of reducing the Gender Pay Gap (</w:t>
      </w:r>
      <w:r w:rsidR="007C12D1">
        <w:rPr>
          <w:rFonts w:ascii="Arial" w:hAnsi="Arial" w:cs="Arial"/>
          <w:sz w:val="24"/>
          <w:szCs w:val="24"/>
        </w:rPr>
        <w:t>SWP</w:t>
      </w:r>
      <w:r w:rsidRPr="007C12D1">
        <w:rPr>
          <w:rFonts w:ascii="Arial" w:hAnsi="Arial" w:cs="Arial"/>
          <w:sz w:val="24"/>
          <w:szCs w:val="24"/>
        </w:rPr>
        <w:t>, 2020).</w:t>
      </w:r>
    </w:p>
    <w:p w14:paraId="2EB4CE51" w14:textId="2D3F924B" w:rsidR="41F06BF5" w:rsidRPr="007C12D1" w:rsidRDefault="41F06BF5" w:rsidP="007C12D1">
      <w:pPr>
        <w:spacing w:line="360" w:lineRule="auto"/>
        <w:jc w:val="both"/>
        <w:rPr>
          <w:rFonts w:ascii="Arial" w:hAnsi="Arial" w:cs="Arial"/>
          <w:sz w:val="24"/>
          <w:szCs w:val="24"/>
        </w:rPr>
      </w:pPr>
      <w:r w:rsidRPr="007C12D1">
        <w:rPr>
          <w:rFonts w:ascii="Arial" w:hAnsi="Arial" w:cs="Arial"/>
          <w:sz w:val="24"/>
          <w:szCs w:val="24"/>
        </w:rPr>
        <w:t>The actions and developments that SWP are creating in line with the aim to reduce the Gender Pay Gap, are all assisting with eradicating the police reputation of “jobs for the boys” (Travis, 2011).</w:t>
      </w:r>
    </w:p>
    <w:p w14:paraId="7507371F" w14:textId="040858F4" w:rsidR="41F06BF5" w:rsidRPr="007C12D1" w:rsidRDefault="41F06BF5" w:rsidP="007C12D1">
      <w:pPr>
        <w:spacing w:line="360" w:lineRule="auto"/>
        <w:jc w:val="both"/>
        <w:rPr>
          <w:rFonts w:ascii="Arial" w:hAnsi="Arial" w:cs="Arial"/>
          <w:sz w:val="24"/>
          <w:szCs w:val="24"/>
        </w:rPr>
      </w:pPr>
      <w:r w:rsidRPr="007C12D1">
        <w:rPr>
          <w:rFonts w:ascii="Arial" w:hAnsi="Arial" w:cs="Arial"/>
          <w:sz w:val="24"/>
          <w:szCs w:val="24"/>
        </w:rPr>
        <w:t>By campaigning and highlighting the support of flexible working to men and women and targeted recruitment campaigns to females the force has seen an increase of female recruits, 2019 had a 43% female representation of recruits, an increase from 1998 were there were only 32 females to 110 recruits (</w:t>
      </w:r>
      <w:r w:rsidR="007C12D1">
        <w:rPr>
          <w:rFonts w:ascii="Arial" w:hAnsi="Arial" w:cs="Arial"/>
          <w:sz w:val="24"/>
          <w:szCs w:val="24"/>
        </w:rPr>
        <w:t>SWP</w:t>
      </w:r>
      <w:r w:rsidRPr="007C12D1">
        <w:rPr>
          <w:rFonts w:ascii="Arial" w:hAnsi="Arial" w:cs="Arial"/>
          <w:sz w:val="24"/>
          <w:szCs w:val="24"/>
        </w:rPr>
        <w:t xml:space="preserve">, 2020). The most recent pay gap reporting in 2021 showed SWP as having a 2.4% pay gap for Sergeant ranks and below and –1.5% for PCSO’s (ONS, 2021). </w:t>
      </w:r>
    </w:p>
    <w:p w14:paraId="76766713" w14:textId="7216AFB8" w:rsidR="41F06BF5" w:rsidRPr="007C12D1" w:rsidRDefault="41F06BF5" w:rsidP="007C12D1">
      <w:pPr>
        <w:spacing w:line="360" w:lineRule="auto"/>
        <w:jc w:val="both"/>
        <w:rPr>
          <w:rFonts w:ascii="Arial" w:hAnsi="Arial" w:cs="Arial"/>
          <w:sz w:val="24"/>
          <w:szCs w:val="24"/>
        </w:rPr>
      </w:pPr>
      <w:r w:rsidRPr="007C12D1">
        <w:rPr>
          <w:rFonts w:ascii="Arial" w:hAnsi="Arial" w:cs="Arial"/>
          <w:sz w:val="24"/>
          <w:szCs w:val="24"/>
        </w:rPr>
        <w:t>Due to Gender Pay Gap reporting, SWP has seen the evolution of development hubs which provide internal female candidates, who are looking for promotion, the opportunity for group or 1-2-1 advice from the Deputy Chief Constable and other female Senior Leaders talk</w:t>
      </w:r>
      <w:r w:rsidR="00FF3E21">
        <w:rPr>
          <w:rFonts w:ascii="Arial" w:hAnsi="Arial" w:cs="Arial"/>
          <w:sz w:val="24"/>
          <w:szCs w:val="24"/>
        </w:rPr>
        <w:t>ing</w:t>
      </w:r>
      <w:r w:rsidRPr="007C12D1">
        <w:rPr>
          <w:rFonts w:ascii="Arial" w:hAnsi="Arial" w:cs="Arial"/>
          <w:sz w:val="24"/>
          <w:szCs w:val="24"/>
        </w:rPr>
        <w:t xml:space="preserve"> through their experience, encouraging applicants and </w:t>
      </w:r>
      <w:r w:rsidR="007C12D1">
        <w:rPr>
          <w:rFonts w:ascii="Arial" w:hAnsi="Arial" w:cs="Arial"/>
          <w:sz w:val="24"/>
          <w:szCs w:val="24"/>
        </w:rPr>
        <w:t xml:space="preserve">providing </w:t>
      </w:r>
      <w:r w:rsidRPr="007C12D1">
        <w:rPr>
          <w:rFonts w:ascii="Arial" w:hAnsi="Arial" w:cs="Arial"/>
          <w:sz w:val="24"/>
          <w:szCs w:val="24"/>
        </w:rPr>
        <w:t>promotional prospects for females within the force (</w:t>
      </w:r>
      <w:r w:rsidR="007C12D1">
        <w:rPr>
          <w:rFonts w:ascii="Arial" w:hAnsi="Arial" w:cs="Arial"/>
          <w:sz w:val="24"/>
          <w:szCs w:val="24"/>
        </w:rPr>
        <w:t>SWP</w:t>
      </w:r>
      <w:r w:rsidRPr="007C12D1">
        <w:rPr>
          <w:rFonts w:ascii="Arial" w:hAnsi="Arial" w:cs="Arial"/>
          <w:sz w:val="24"/>
          <w:szCs w:val="24"/>
        </w:rPr>
        <w:t xml:space="preserve">, 2020). </w:t>
      </w:r>
    </w:p>
    <w:p w14:paraId="6183C5B8" w14:textId="395DCB6D" w:rsidR="007C12D1" w:rsidRDefault="41F06BF5" w:rsidP="007C12D1">
      <w:pPr>
        <w:spacing w:line="360" w:lineRule="auto"/>
        <w:jc w:val="both"/>
        <w:rPr>
          <w:rFonts w:ascii="Arial" w:hAnsi="Arial" w:cs="Arial"/>
          <w:sz w:val="24"/>
          <w:szCs w:val="24"/>
        </w:rPr>
      </w:pPr>
      <w:r w:rsidRPr="007C12D1">
        <w:rPr>
          <w:rFonts w:ascii="Arial" w:hAnsi="Arial" w:cs="Arial"/>
          <w:sz w:val="24"/>
          <w:szCs w:val="24"/>
        </w:rPr>
        <w:t xml:space="preserve">The effects of the Gender Pay Gap reporting have therefore been a positive legislation for the Force as it has been able to develop and improve its workforce and reputation, therefore attracting higher volume of candidates and retaining both staff and officers. </w:t>
      </w:r>
    </w:p>
    <w:p w14:paraId="5E51D483" w14:textId="04527D1C" w:rsidR="007C12D1" w:rsidRDefault="007C12D1" w:rsidP="007C12D1">
      <w:pPr>
        <w:spacing w:line="360" w:lineRule="auto"/>
        <w:jc w:val="both"/>
        <w:rPr>
          <w:rFonts w:ascii="Arial" w:hAnsi="Arial" w:cs="Arial"/>
          <w:sz w:val="24"/>
          <w:szCs w:val="24"/>
        </w:rPr>
      </w:pPr>
    </w:p>
    <w:p w14:paraId="6B9654A4" w14:textId="0139FDA2" w:rsidR="007C12D1" w:rsidRDefault="007C12D1" w:rsidP="007C12D1">
      <w:pPr>
        <w:spacing w:line="360" w:lineRule="auto"/>
        <w:jc w:val="both"/>
        <w:rPr>
          <w:rFonts w:ascii="Arial" w:hAnsi="Arial" w:cs="Arial"/>
          <w:sz w:val="24"/>
          <w:szCs w:val="24"/>
        </w:rPr>
      </w:pPr>
    </w:p>
    <w:p w14:paraId="28C3F29D" w14:textId="003F44CF" w:rsidR="007C12D1" w:rsidRDefault="007C12D1" w:rsidP="007C12D1">
      <w:pPr>
        <w:spacing w:line="360" w:lineRule="auto"/>
        <w:jc w:val="both"/>
        <w:rPr>
          <w:rFonts w:ascii="Arial" w:hAnsi="Arial" w:cs="Arial"/>
          <w:sz w:val="24"/>
          <w:szCs w:val="24"/>
        </w:rPr>
      </w:pPr>
    </w:p>
    <w:p w14:paraId="163F7B07" w14:textId="1C5F71C2" w:rsidR="007C12D1" w:rsidRDefault="007C12D1" w:rsidP="007C12D1">
      <w:pPr>
        <w:spacing w:line="360" w:lineRule="auto"/>
        <w:jc w:val="both"/>
        <w:rPr>
          <w:rFonts w:ascii="Arial" w:hAnsi="Arial" w:cs="Arial"/>
          <w:sz w:val="24"/>
          <w:szCs w:val="24"/>
        </w:rPr>
      </w:pPr>
    </w:p>
    <w:p w14:paraId="149BDE23" w14:textId="3AA5B0FE" w:rsidR="007C12D1" w:rsidRDefault="007C12D1" w:rsidP="007C12D1">
      <w:pPr>
        <w:spacing w:line="360" w:lineRule="auto"/>
        <w:jc w:val="both"/>
        <w:rPr>
          <w:rFonts w:ascii="Arial" w:hAnsi="Arial" w:cs="Arial"/>
          <w:sz w:val="24"/>
          <w:szCs w:val="24"/>
        </w:rPr>
      </w:pPr>
    </w:p>
    <w:p w14:paraId="0183D6AB" w14:textId="39CF2228" w:rsidR="007C12D1" w:rsidRDefault="007C12D1" w:rsidP="007C12D1">
      <w:pPr>
        <w:spacing w:line="360" w:lineRule="auto"/>
        <w:jc w:val="both"/>
        <w:rPr>
          <w:rFonts w:ascii="Arial" w:hAnsi="Arial" w:cs="Arial"/>
          <w:sz w:val="24"/>
          <w:szCs w:val="24"/>
        </w:rPr>
      </w:pPr>
    </w:p>
    <w:p w14:paraId="5A5E2FAC" w14:textId="6A57C84D" w:rsidR="007C12D1" w:rsidRDefault="007C12D1" w:rsidP="007C12D1">
      <w:pPr>
        <w:spacing w:line="360" w:lineRule="auto"/>
        <w:jc w:val="both"/>
        <w:rPr>
          <w:rFonts w:ascii="Arial" w:hAnsi="Arial" w:cs="Arial"/>
          <w:sz w:val="24"/>
          <w:szCs w:val="24"/>
        </w:rPr>
      </w:pPr>
    </w:p>
    <w:p w14:paraId="44AC249D" w14:textId="1B05716E" w:rsidR="007C12D1" w:rsidRDefault="007C12D1" w:rsidP="007C12D1">
      <w:pPr>
        <w:spacing w:line="360" w:lineRule="auto"/>
        <w:jc w:val="both"/>
        <w:rPr>
          <w:rFonts w:ascii="Arial" w:hAnsi="Arial" w:cs="Arial"/>
          <w:sz w:val="24"/>
          <w:szCs w:val="24"/>
        </w:rPr>
      </w:pPr>
    </w:p>
    <w:p w14:paraId="311DA2AF" w14:textId="77777777" w:rsidR="007C12D1" w:rsidRDefault="007C12D1" w:rsidP="007C12D1">
      <w:pPr>
        <w:spacing w:line="360" w:lineRule="auto"/>
        <w:jc w:val="both"/>
        <w:rPr>
          <w:rFonts w:ascii="Arial" w:hAnsi="Arial" w:cs="Arial"/>
          <w:sz w:val="24"/>
          <w:szCs w:val="24"/>
        </w:rPr>
      </w:pPr>
    </w:p>
    <w:p w14:paraId="0C815D39" w14:textId="4D07A550" w:rsidR="41F06BF5" w:rsidRPr="00A94A40" w:rsidRDefault="007C12D1" w:rsidP="007C12D1">
      <w:pPr>
        <w:spacing w:line="360" w:lineRule="auto"/>
        <w:jc w:val="both"/>
        <w:rPr>
          <w:rFonts w:ascii="Arial" w:hAnsi="Arial" w:cs="Arial"/>
          <w:sz w:val="24"/>
          <w:szCs w:val="24"/>
          <w:u w:val="single"/>
        </w:rPr>
      </w:pPr>
      <w:r w:rsidRPr="00A94A40">
        <w:rPr>
          <w:rFonts w:ascii="Arial" w:hAnsi="Arial" w:cs="Arial"/>
          <w:sz w:val="24"/>
          <w:szCs w:val="24"/>
          <w:u w:val="single"/>
        </w:rPr>
        <w:lastRenderedPageBreak/>
        <w:t>Bibliography</w:t>
      </w:r>
      <w:r w:rsidR="41F06BF5" w:rsidRPr="00A94A40">
        <w:rPr>
          <w:rFonts w:ascii="Arial" w:hAnsi="Arial" w:cs="Arial"/>
          <w:sz w:val="24"/>
          <w:szCs w:val="24"/>
          <w:u w:val="single"/>
        </w:rPr>
        <w:t xml:space="preserve"> </w:t>
      </w:r>
    </w:p>
    <w:p w14:paraId="692D8B42" w14:textId="0102A639" w:rsidR="40947F01" w:rsidRPr="007C12D1" w:rsidRDefault="40947F01" w:rsidP="007C12D1">
      <w:pPr>
        <w:spacing w:line="360" w:lineRule="auto"/>
        <w:jc w:val="both"/>
        <w:rPr>
          <w:rFonts w:ascii="Arial" w:hAnsi="Arial" w:cs="Arial"/>
          <w:sz w:val="24"/>
          <w:szCs w:val="24"/>
        </w:rPr>
      </w:pPr>
      <w:r w:rsidRPr="007C12D1">
        <w:rPr>
          <w:rFonts w:ascii="Arial" w:eastAsia="Arial" w:hAnsi="Arial" w:cs="Arial"/>
          <w:color w:val="222222"/>
          <w:sz w:val="24"/>
          <w:szCs w:val="24"/>
        </w:rPr>
        <w:t xml:space="preserve">Blundell, J., 2021. </w:t>
      </w:r>
      <w:proofErr w:type="spellStart"/>
      <w:r w:rsidRPr="007C12D1">
        <w:rPr>
          <w:rFonts w:ascii="Arial" w:eastAsia="Arial" w:hAnsi="Arial" w:cs="Arial"/>
          <w:color w:val="222222"/>
          <w:sz w:val="24"/>
          <w:szCs w:val="24"/>
        </w:rPr>
        <w:t>Uk</w:t>
      </w:r>
      <w:proofErr w:type="spellEnd"/>
      <w:r w:rsidRPr="007C12D1">
        <w:rPr>
          <w:rFonts w:ascii="Arial" w:eastAsia="Arial" w:hAnsi="Arial" w:cs="Arial"/>
          <w:color w:val="222222"/>
          <w:sz w:val="24"/>
          <w:szCs w:val="24"/>
        </w:rPr>
        <w:t xml:space="preserve"> gender pay gap reporting: a crude but effective policy? </w:t>
      </w:r>
      <w:r w:rsidRPr="007C12D1">
        <w:rPr>
          <w:rFonts w:ascii="Arial" w:eastAsia="Arial" w:hAnsi="Arial" w:cs="Arial"/>
          <w:i/>
          <w:iCs/>
          <w:color w:val="222222"/>
          <w:sz w:val="24"/>
          <w:szCs w:val="24"/>
        </w:rPr>
        <w:t>LSE Business Review</w:t>
      </w:r>
    </w:p>
    <w:p w14:paraId="3D84B832" w14:textId="4570A218" w:rsidR="40947F01" w:rsidRPr="007C12D1" w:rsidRDefault="40947F01" w:rsidP="007C12D1">
      <w:pPr>
        <w:spacing w:line="360" w:lineRule="auto"/>
        <w:jc w:val="both"/>
        <w:rPr>
          <w:rFonts w:ascii="Arial" w:hAnsi="Arial" w:cs="Arial"/>
          <w:sz w:val="24"/>
          <w:szCs w:val="24"/>
        </w:rPr>
      </w:pPr>
      <w:r w:rsidRPr="007C12D1">
        <w:rPr>
          <w:rFonts w:ascii="Arial" w:eastAsia="Arial" w:hAnsi="Arial" w:cs="Arial"/>
          <w:sz w:val="24"/>
          <w:szCs w:val="24"/>
        </w:rPr>
        <w:t xml:space="preserve">Bond, E. (2022). </w:t>
      </w:r>
      <w:r w:rsidRPr="007C12D1">
        <w:rPr>
          <w:rFonts w:ascii="Arial" w:eastAsia="Arial" w:hAnsi="Arial" w:cs="Arial"/>
          <w:i/>
          <w:iCs/>
          <w:sz w:val="24"/>
          <w:szCs w:val="24"/>
        </w:rPr>
        <w:t>How to implement a 4-day work week: Employer guide</w:t>
      </w:r>
      <w:r w:rsidRPr="007C12D1">
        <w:rPr>
          <w:rFonts w:ascii="Arial" w:eastAsia="Arial" w:hAnsi="Arial" w:cs="Arial"/>
          <w:sz w:val="24"/>
          <w:szCs w:val="24"/>
        </w:rPr>
        <w:t xml:space="preserve">. Harper James. Available at: </w:t>
      </w:r>
      <w:hyperlink r:id="rId9">
        <w:r w:rsidRPr="007C12D1">
          <w:rPr>
            <w:rStyle w:val="Hyperlink"/>
            <w:rFonts w:ascii="Arial" w:eastAsia="Arial" w:hAnsi="Arial" w:cs="Arial"/>
            <w:sz w:val="24"/>
            <w:szCs w:val="24"/>
          </w:rPr>
          <w:t>https://harperjames.co.uk/article/switching-to-a-four-day-working-week/</w:t>
        </w:r>
      </w:hyperlink>
      <w:r w:rsidRPr="007C12D1">
        <w:rPr>
          <w:rFonts w:ascii="Arial" w:eastAsia="Arial" w:hAnsi="Arial" w:cs="Arial"/>
          <w:sz w:val="24"/>
          <w:szCs w:val="24"/>
        </w:rPr>
        <w:t>. (Accessed 19 May 2022).</w:t>
      </w:r>
    </w:p>
    <w:p w14:paraId="7B7AC4D4" w14:textId="023F9F74" w:rsidR="40947F01" w:rsidRPr="007C12D1" w:rsidRDefault="40947F01" w:rsidP="007C12D1">
      <w:pPr>
        <w:spacing w:line="360" w:lineRule="auto"/>
        <w:jc w:val="both"/>
        <w:rPr>
          <w:rFonts w:ascii="Arial" w:hAnsi="Arial" w:cs="Arial"/>
          <w:sz w:val="24"/>
          <w:szCs w:val="24"/>
        </w:rPr>
      </w:pPr>
      <w:r w:rsidRPr="007C12D1">
        <w:rPr>
          <w:rFonts w:ascii="Arial" w:eastAsia="Arial" w:hAnsi="Arial" w:cs="Arial"/>
          <w:color w:val="000000" w:themeColor="text1"/>
          <w:sz w:val="24"/>
          <w:szCs w:val="24"/>
        </w:rPr>
        <w:t xml:space="preserve">Bromley London Borough (2014) ‘Fact Sheet: Flexible Retirement’ Available at: </w:t>
      </w:r>
      <w:hyperlink r:id="rId10">
        <w:r w:rsidRPr="007C12D1">
          <w:rPr>
            <w:rStyle w:val="Hyperlink"/>
            <w:rFonts w:ascii="Arial" w:eastAsia="Arial" w:hAnsi="Arial" w:cs="Arial"/>
            <w:sz w:val="24"/>
            <w:szCs w:val="24"/>
          </w:rPr>
          <w:t>Fact_Sheet___Flexible_Retirement__April_2014_.pdf</w:t>
        </w:r>
      </w:hyperlink>
      <w:r w:rsidRPr="007C12D1">
        <w:rPr>
          <w:rFonts w:ascii="Arial" w:eastAsia="Arial" w:hAnsi="Arial" w:cs="Arial"/>
          <w:color w:val="000000" w:themeColor="text1"/>
          <w:sz w:val="24"/>
          <w:szCs w:val="24"/>
        </w:rPr>
        <w:t xml:space="preserve"> </w:t>
      </w:r>
      <w:r w:rsidRPr="007C12D1">
        <w:rPr>
          <w:rFonts w:ascii="Arial" w:eastAsia="Arial" w:hAnsi="Arial" w:cs="Arial"/>
          <w:sz w:val="24"/>
          <w:szCs w:val="24"/>
        </w:rPr>
        <w:t>(Accessed 19 May 2022).</w:t>
      </w:r>
    </w:p>
    <w:p w14:paraId="57139F1E" w14:textId="5BBA6AC9" w:rsidR="40947F01" w:rsidRPr="007C12D1" w:rsidRDefault="40947F01" w:rsidP="007C12D1">
      <w:pPr>
        <w:spacing w:line="360" w:lineRule="auto"/>
        <w:jc w:val="both"/>
        <w:rPr>
          <w:rFonts w:ascii="Arial" w:hAnsi="Arial" w:cs="Arial"/>
          <w:sz w:val="24"/>
          <w:szCs w:val="24"/>
        </w:rPr>
      </w:pPr>
      <w:r w:rsidRPr="007C12D1">
        <w:rPr>
          <w:rFonts w:ascii="Arial" w:eastAsia="Arial" w:hAnsi="Arial" w:cs="Arial"/>
          <w:sz w:val="24"/>
          <w:szCs w:val="24"/>
        </w:rPr>
        <w:t xml:space="preserve">CIPD (2015a). </w:t>
      </w:r>
      <w:r w:rsidRPr="007C12D1">
        <w:rPr>
          <w:rFonts w:ascii="Arial" w:eastAsia="Arial" w:hAnsi="Arial" w:cs="Arial"/>
          <w:i/>
          <w:iCs/>
          <w:sz w:val="24"/>
          <w:szCs w:val="24"/>
        </w:rPr>
        <w:t>Landing Transformational change: Closing the Gap between Theory and Practice</w:t>
      </w:r>
      <w:r w:rsidRPr="007C12D1">
        <w:rPr>
          <w:rFonts w:ascii="Arial" w:eastAsia="Arial" w:hAnsi="Arial" w:cs="Arial"/>
          <w:sz w:val="24"/>
          <w:szCs w:val="24"/>
        </w:rPr>
        <w:t xml:space="preserve">. [online] Available at: </w:t>
      </w:r>
      <w:hyperlink r:id="rId11">
        <w:r w:rsidRPr="007C12D1">
          <w:rPr>
            <w:rStyle w:val="Hyperlink"/>
            <w:rFonts w:ascii="Arial" w:eastAsia="Arial" w:hAnsi="Arial" w:cs="Arial"/>
            <w:sz w:val="24"/>
            <w:szCs w:val="24"/>
          </w:rPr>
          <w:t>https://www.cipd.co.uk/Images/landing-transformation-change_2015-gap-theory-practice_tcm18-9050.pdf</w:t>
        </w:r>
      </w:hyperlink>
      <w:r w:rsidRPr="007C12D1">
        <w:rPr>
          <w:rFonts w:ascii="Arial" w:eastAsia="Arial" w:hAnsi="Arial" w:cs="Arial"/>
          <w:sz w:val="24"/>
          <w:szCs w:val="24"/>
        </w:rPr>
        <w:t>. (Accessed 19 May 2022).</w:t>
      </w:r>
    </w:p>
    <w:p w14:paraId="01033CF6" w14:textId="157241C1" w:rsidR="40947F01" w:rsidRPr="007C12D1" w:rsidRDefault="40947F01" w:rsidP="007C12D1">
      <w:pPr>
        <w:spacing w:line="360" w:lineRule="auto"/>
        <w:jc w:val="both"/>
        <w:rPr>
          <w:rFonts w:ascii="Arial" w:hAnsi="Arial" w:cs="Arial"/>
          <w:sz w:val="24"/>
          <w:szCs w:val="24"/>
        </w:rPr>
      </w:pPr>
      <w:r w:rsidRPr="007C12D1">
        <w:rPr>
          <w:rFonts w:ascii="Arial" w:eastAsia="Arial" w:hAnsi="Arial" w:cs="Arial"/>
          <w:sz w:val="24"/>
          <w:szCs w:val="24"/>
        </w:rPr>
        <w:t xml:space="preserve">CIPD (2015b). </w:t>
      </w:r>
      <w:r w:rsidRPr="007C12D1">
        <w:rPr>
          <w:rFonts w:ascii="Arial" w:eastAsia="Arial" w:hAnsi="Arial" w:cs="Arial"/>
          <w:i/>
          <w:iCs/>
          <w:sz w:val="24"/>
          <w:szCs w:val="24"/>
        </w:rPr>
        <w:t>Workforce Demographics UK | Reports | CIPD</w:t>
      </w:r>
      <w:r w:rsidRPr="007C12D1">
        <w:rPr>
          <w:rFonts w:ascii="Arial" w:eastAsia="Arial" w:hAnsi="Arial" w:cs="Arial"/>
          <w:sz w:val="24"/>
          <w:szCs w:val="24"/>
        </w:rPr>
        <w:t xml:space="preserve">. CIPD. Available at: </w:t>
      </w:r>
      <w:hyperlink r:id="rId12">
        <w:r w:rsidRPr="007C12D1">
          <w:rPr>
            <w:rStyle w:val="Hyperlink"/>
            <w:rFonts w:ascii="Arial" w:eastAsia="Arial" w:hAnsi="Arial" w:cs="Arial"/>
            <w:sz w:val="24"/>
            <w:szCs w:val="24"/>
          </w:rPr>
          <w:t>https://www.cipd.co.uk/knowledge/work/trends/ageing-workforce-report</w:t>
        </w:r>
      </w:hyperlink>
      <w:r w:rsidRPr="007C12D1">
        <w:rPr>
          <w:rFonts w:ascii="Arial" w:eastAsia="Arial" w:hAnsi="Arial" w:cs="Arial"/>
          <w:sz w:val="24"/>
          <w:szCs w:val="24"/>
        </w:rPr>
        <w:t>. (Accessed 19 May 2022).</w:t>
      </w:r>
    </w:p>
    <w:p w14:paraId="0732E764" w14:textId="3A907023" w:rsidR="40947F01" w:rsidRPr="007C12D1" w:rsidRDefault="40947F01" w:rsidP="007C12D1">
      <w:pPr>
        <w:spacing w:line="360" w:lineRule="auto"/>
        <w:jc w:val="both"/>
        <w:rPr>
          <w:rFonts w:ascii="Arial" w:hAnsi="Arial" w:cs="Arial"/>
          <w:sz w:val="24"/>
          <w:szCs w:val="24"/>
        </w:rPr>
      </w:pPr>
      <w:r w:rsidRPr="007C12D1">
        <w:rPr>
          <w:rFonts w:ascii="Arial" w:eastAsia="Arial" w:hAnsi="Arial" w:cs="Arial"/>
          <w:sz w:val="24"/>
          <w:szCs w:val="24"/>
        </w:rPr>
        <w:t xml:space="preserve">CIPD (2019). </w:t>
      </w:r>
      <w:r w:rsidRPr="007C12D1">
        <w:rPr>
          <w:rFonts w:ascii="Arial" w:eastAsia="Arial" w:hAnsi="Arial" w:cs="Arial"/>
          <w:i/>
          <w:iCs/>
          <w:sz w:val="24"/>
          <w:szCs w:val="24"/>
        </w:rPr>
        <w:t>Change | CIPD Profession Map</w:t>
      </w:r>
      <w:r w:rsidRPr="007C12D1">
        <w:rPr>
          <w:rFonts w:ascii="Arial" w:eastAsia="Arial" w:hAnsi="Arial" w:cs="Arial"/>
          <w:sz w:val="24"/>
          <w:szCs w:val="24"/>
        </w:rPr>
        <w:t xml:space="preserve">. [online] CIPD Profession for the Future. Available at: </w:t>
      </w:r>
      <w:hyperlink r:id="rId13">
        <w:r w:rsidRPr="007C12D1">
          <w:rPr>
            <w:rStyle w:val="Hyperlink"/>
            <w:rFonts w:ascii="Arial" w:eastAsia="Arial" w:hAnsi="Arial" w:cs="Arial"/>
            <w:sz w:val="24"/>
            <w:szCs w:val="24"/>
          </w:rPr>
          <w:t>https://peopleprofession.cipd.org/profession-map/core-knowledge/change</w:t>
        </w:r>
      </w:hyperlink>
      <w:r w:rsidRPr="007C12D1">
        <w:rPr>
          <w:rFonts w:ascii="Arial" w:eastAsia="Arial" w:hAnsi="Arial" w:cs="Arial"/>
          <w:sz w:val="24"/>
          <w:szCs w:val="24"/>
        </w:rPr>
        <w:t xml:space="preserve"> (Accessed 19 May 2022).</w:t>
      </w:r>
    </w:p>
    <w:p w14:paraId="58E69D63" w14:textId="7EA107FB" w:rsidR="40947F01" w:rsidRPr="007C12D1" w:rsidRDefault="40947F01" w:rsidP="007C12D1">
      <w:pPr>
        <w:spacing w:line="360" w:lineRule="auto"/>
        <w:jc w:val="both"/>
        <w:rPr>
          <w:rFonts w:ascii="Arial" w:hAnsi="Arial" w:cs="Arial"/>
          <w:sz w:val="24"/>
          <w:szCs w:val="24"/>
        </w:rPr>
      </w:pPr>
      <w:r w:rsidRPr="007C12D1">
        <w:rPr>
          <w:rFonts w:ascii="Arial" w:eastAsia="Arial" w:hAnsi="Arial" w:cs="Arial"/>
          <w:sz w:val="24"/>
          <w:szCs w:val="24"/>
        </w:rPr>
        <w:t xml:space="preserve">CIPD (2020). </w:t>
      </w:r>
      <w:r w:rsidRPr="007C12D1">
        <w:rPr>
          <w:rFonts w:ascii="Arial" w:eastAsia="Arial" w:hAnsi="Arial" w:cs="Arial"/>
          <w:i/>
          <w:iCs/>
          <w:sz w:val="24"/>
          <w:szCs w:val="24"/>
        </w:rPr>
        <w:t>Change Management | Factsheets | CIPD</w:t>
      </w:r>
      <w:r w:rsidRPr="007C12D1">
        <w:rPr>
          <w:rFonts w:ascii="Arial" w:eastAsia="Arial" w:hAnsi="Arial" w:cs="Arial"/>
          <w:sz w:val="24"/>
          <w:szCs w:val="24"/>
        </w:rPr>
        <w:t xml:space="preserve">. CIPD. Available at: </w:t>
      </w:r>
      <w:hyperlink r:id="rId14">
        <w:r w:rsidRPr="007C12D1">
          <w:rPr>
            <w:rStyle w:val="Hyperlink"/>
            <w:rFonts w:ascii="Arial" w:eastAsia="Arial" w:hAnsi="Arial" w:cs="Arial"/>
            <w:sz w:val="24"/>
            <w:szCs w:val="24"/>
          </w:rPr>
          <w:t>https://www.cipd.co.uk/knowledge/strategy/change/management-factsheet</w:t>
        </w:r>
      </w:hyperlink>
      <w:r w:rsidRPr="007C12D1">
        <w:rPr>
          <w:rFonts w:ascii="Arial" w:eastAsia="Arial" w:hAnsi="Arial" w:cs="Arial"/>
          <w:sz w:val="24"/>
          <w:szCs w:val="24"/>
        </w:rPr>
        <w:t>. (Accessed 19 May 2022).</w:t>
      </w:r>
    </w:p>
    <w:p w14:paraId="62F94F7F" w14:textId="3C0116A1" w:rsidR="40947F01" w:rsidRPr="007C12D1" w:rsidRDefault="40947F01" w:rsidP="007C12D1">
      <w:pPr>
        <w:spacing w:line="360" w:lineRule="auto"/>
        <w:jc w:val="both"/>
        <w:rPr>
          <w:rFonts w:ascii="Arial" w:hAnsi="Arial" w:cs="Arial"/>
          <w:sz w:val="24"/>
          <w:szCs w:val="24"/>
        </w:rPr>
      </w:pPr>
      <w:r w:rsidRPr="007C12D1">
        <w:rPr>
          <w:rFonts w:ascii="Arial" w:eastAsia="Arial" w:hAnsi="Arial" w:cs="Arial"/>
          <w:sz w:val="24"/>
          <w:szCs w:val="24"/>
        </w:rPr>
        <w:t xml:space="preserve">CIPD (2021a) Strategic Human Resource Management. Available at: </w:t>
      </w:r>
      <w:hyperlink r:id="rId15" w:anchor="6738">
        <w:r w:rsidRPr="007C12D1">
          <w:rPr>
            <w:rStyle w:val="Hyperlink"/>
            <w:rFonts w:ascii="Arial" w:eastAsia="Arial" w:hAnsi="Arial" w:cs="Arial"/>
            <w:sz w:val="24"/>
            <w:szCs w:val="24"/>
          </w:rPr>
          <w:t>Strategic Human Resource Management | Factsheets | CIPD</w:t>
        </w:r>
      </w:hyperlink>
      <w:r w:rsidRPr="007C12D1">
        <w:rPr>
          <w:rFonts w:ascii="Arial" w:eastAsia="Arial" w:hAnsi="Arial" w:cs="Arial"/>
          <w:sz w:val="24"/>
          <w:szCs w:val="24"/>
        </w:rPr>
        <w:t xml:space="preserve"> (Accessed 19 May 2022).</w:t>
      </w:r>
    </w:p>
    <w:p w14:paraId="471592B1" w14:textId="3C0B869C" w:rsidR="40947F01" w:rsidRPr="007C12D1" w:rsidRDefault="40947F01" w:rsidP="007C12D1">
      <w:pPr>
        <w:spacing w:line="360" w:lineRule="auto"/>
        <w:jc w:val="both"/>
        <w:rPr>
          <w:rFonts w:ascii="Arial" w:hAnsi="Arial" w:cs="Arial"/>
          <w:sz w:val="24"/>
          <w:szCs w:val="24"/>
        </w:rPr>
      </w:pPr>
      <w:r w:rsidRPr="007C12D1">
        <w:rPr>
          <w:rFonts w:ascii="Arial" w:eastAsia="Arial" w:hAnsi="Arial" w:cs="Arial"/>
          <w:color w:val="000000" w:themeColor="text1"/>
          <w:sz w:val="24"/>
          <w:szCs w:val="24"/>
        </w:rPr>
        <w:t>CIPD (2021b) ‘</w:t>
      </w:r>
      <w:r w:rsidRPr="007C12D1">
        <w:rPr>
          <w:rFonts w:ascii="Arial" w:eastAsia="Arial" w:hAnsi="Arial" w:cs="Arial"/>
          <w:i/>
          <w:iCs/>
          <w:color w:val="000000" w:themeColor="text1"/>
          <w:sz w:val="24"/>
          <w:szCs w:val="24"/>
        </w:rPr>
        <w:t>PESTLE Analysis’</w:t>
      </w:r>
      <w:r w:rsidRPr="007C12D1">
        <w:rPr>
          <w:rFonts w:ascii="Arial" w:eastAsia="Arial" w:hAnsi="Arial" w:cs="Arial"/>
          <w:color w:val="000000" w:themeColor="text1"/>
          <w:sz w:val="24"/>
          <w:szCs w:val="24"/>
        </w:rPr>
        <w:t xml:space="preserve"> Available at: </w:t>
      </w:r>
      <w:hyperlink r:id="rId16">
        <w:r w:rsidRPr="007C12D1">
          <w:rPr>
            <w:rStyle w:val="Hyperlink"/>
            <w:rFonts w:ascii="Arial" w:eastAsia="Arial" w:hAnsi="Arial" w:cs="Arial"/>
            <w:sz w:val="24"/>
            <w:szCs w:val="24"/>
          </w:rPr>
          <w:t>PESTLE Analysis | Factsheets | CIPD</w:t>
        </w:r>
      </w:hyperlink>
      <w:r w:rsidRPr="007C12D1">
        <w:rPr>
          <w:rFonts w:ascii="Arial" w:eastAsia="Arial" w:hAnsi="Arial" w:cs="Arial"/>
          <w:color w:val="000000" w:themeColor="text1"/>
          <w:sz w:val="24"/>
          <w:szCs w:val="24"/>
        </w:rPr>
        <w:t xml:space="preserve"> </w:t>
      </w:r>
      <w:r w:rsidRPr="007C12D1">
        <w:rPr>
          <w:rFonts w:ascii="Arial" w:eastAsia="Arial" w:hAnsi="Arial" w:cs="Arial"/>
          <w:sz w:val="24"/>
          <w:szCs w:val="24"/>
        </w:rPr>
        <w:t>(Accessed 19 May 2022).</w:t>
      </w:r>
    </w:p>
    <w:p w14:paraId="2D712285" w14:textId="1BCE4383" w:rsidR="40947F01" w:rsidRPr="007C12D1" w:rsidRDefault="40947F01" w:rsidP="007C12D1">
      <w:pPr>
        <w:spacing w:line="360" w:lineRule="auto"/>
        <w:jc w:val="both"/>
        <w:rPr>
          <w:rFonts w:ascii="Arial" w:hAnsi="Arial" w:cs="Arial"/>
          <w:sz w:val="24"/>
          <w:szCs w:val="24"/>
        </w:rPr>
      </w:pPr>
      <w:r w:rsidRPr="007C12D1">
        <w:rPr>
          <w:rFonts w:ascii="Arial" w:eastAsia="Arial" w:hAnsi="Arial" w:cs="Arial"/>
          <w:color w:val="000000" w:themeColor="text1"/>
          <w:sz w:val="24"/>
          <w:szCs w:val="24"/>
        </w:rPr>
        <w:t>CIPD (2021c) ‘</w:t>
      </w:r>
      <w:r w:rsidRPr="007C12D1">
        <w:rPr>
          <w:rFonts w:ascii="Arial" w:eastAsia="Arial" w:hAnsi="Arial" w:cs="Arial"/>
          <w:i/>
          <w:iCs/>
          <w:color w:val="000000" w:themeColor="text1"/>
          <w:sz w:val="24"/>
          <w:szCs w:val="24"/>
        </w:rPr>
        <w:t>SWOT Analysis’</w:t>
      </w:r>
      <w:r w:rsidRPr="007C12D1">
        <w:rPr>
          <w:rFonts w:ascii="Arial" w:eastAsia="Arial" w:hAnsi="Arial" w:cs="Arial"/>
          <w:color w:val="000000" w:themeColor="text1"/>
          <w:sz w:val="24"/>
          <w:szCs w:val="24"/>
        </w:rPr>
        <w:t xml:space="preserve"> Available at: </w:t>
      </w:r>
      <w:hyperlink r:id="rId17" w:anchor="8016">
        <w:r w:rsidRPr="007C12D1">
          <w:rPr>
            <w:rStyle w:val="Hyperlink"/>
            <w:rFonts w:ascii="Arial" w:eastAsia="Arial" w:hAnsi="Arial" w:cs="Arial"/>
            <w:sz w:val="24"/>
            <w:szCs w:val="24"/>
          </w:rPr>
          <w:t>SWOT Analysis | Factsheets | CIPD</w:t>
        </w:r>
      </w:hyperlink>
      <w:r w:rsidRPr="007C12D1">
        <w:rPr>
          <w:rFonts w:ascii="Arial" w:eastAsia="Arial" w:hAnsi="Arial" w:cs="Arial"/>
          <w:color w:val="000000" w:themeColor="text1"/>
          <w:sz w:val="24"/>
          <w:szCs w:val="24"/>
        </w:rPr>
        <w:t xml:space="preserve"> </w:t>
      </w:r>
      <w:r w:rsidRPr="007C12D1">
        <w:rPr>
          <w:rFonts w:ascii="Arial" w:eastAsia="Arial" w:hAnsi="Arial" w:cs="Arial"/>
          <w:sz w:val="24"/>
          <w:szCs w:val="24"/>
        </w:rPr>
        <w:t>(Accessed 19 May 2022).</w:t>
      </w:r>
    </w:p>
    <w:p w14:paraId="4A2A7071" w14:textId="32506E8F" w:rsidR="40947F01" w:rsidRPr="007C12D1" w:rsidRDefault="40947F01" w:rsidP="007C12D1">
      <w:pPr>
        <w:spacing w:line="360" w:lineRule="auto"/>
        <w:jc w:val="both"/>
        <w:rPr>
          <w:rFonts w:ascii="Arial" w:hAnsi="Arial" w:cs="Arial"/>
          <w:sz w:val="24"/>
          <w:szCs w:val="24"/>
        </w:rPr>
      </w:pPr>
      <w:r w:rsidRPr="007C12D1">
        <w:rPr>
          <w:rFonts w:ascii="Arial" w:eastAsia="Arial" w:hAnsi="Arial" w:cs="Arial"/>
          <w:color w:val="000000" w:themeColor="text1"/>
          <w:sz w:val="24"/>
          <w:szCs w:val="24"/>
        </w:rPr>
        <w:t>CIPD (2021d) ‘</w:t>
      </w:r>
      <w:r w:rsidRPr="007C12D1">
        <w:rPr>
          <w:rFonts w:ascii="Arial" w:eastAsia="Arial" w:hAnsi="Arial" w:cs="Arial"/>
          <w:i/>
          <w:iCs/>
          <w:color w:val="000000" w:themeColor="text1"/>
          <w:sz w:val="24"/>
          <w:szCs w:val="24"/>
        </w:rPr>
        <w:t xml:space="preserve">Labour Market Outlook’. </w:t>
      </w:r>
      <w:r w:rsidRPr="007C12D1">
        <w:rPr>
          <w:rFonts w:ascii="Arial" w:eastAsia="Arial" w:hAnsi="Arial" w:cs="Arial"/>
          <w:color w:val="000000" w:themeColor="text1"/>
          <w:sz w:val="24"/>
          <w:szCs w:val="24"/>
        </w:rPr>
        <w:t xml:space="preserve">Available at: </w:t>
      </w:r>
      <w:hyperlink r:id="rId18">
        <w:r w:rsidRPr="007C12D1">
          <w:rPr>
            <w:rStyle w:val="Hyperlink"/>
            <w:rFonts w:ascii="Arial" w:eastAsia="Arial" w:hAnsi="Arial" w:cs="Arial"/>
            <w:sz w:val="24"/>
            <w:szCs w:val="24"/>
          </w:rPr>
          <w:t>Labour Market Outlook | Surveys | CIPD</w:t>
        </w:r>
      </w:hyperlink>
      <w:r w:rsidRPr="007C12D1">
        <w:rPr>
          <w:rFonts w:ascii="Arial" w:eastAsia="Arial" w:hAnsi="Arial" w:cs="Arial"/>
          <w:color w:val="000000" w:themeColor="text1"/>
          <w:sz w:val="24"/>
          <w:szCs w:val="24"/>
        </w:rPr>
        <w:t xml:space="preserve"> </w:t>
      </w:r>
      <w:r w:rsidRPr="007C12D1">
        <w:rPr>
          <w:rFonts w:ascii="Arial" w:eastAsia="Arial" w:hAnsi="Arial" w:cs="Arial"/>
          <w:sz w:val="24"/>
          <w:szCs w:val="24"/>
        </w:rPr>
        <w:t>(Accessed 19 May 2022).</w:t>
      </w:r>
    </w:p>
    <w:p w14:paraId="689EDAAE" w14:textId="7BF59F80" w:rsidR="40947F01" w:rsidRPr="007C12D1" w:rsidRDefault="40947F01" w:rsidP="007C12D1">
      <w:pPr>
        <w:spacing w:line="360" w:lineRule="auto"/>
        <w:jc w:val="both"/>
        <w:rPr>
          <w:rFonts w:ascii="Arial" w:hAnsi="Arial" w:cs="Arial"/>
          <w:sz w:val="24"/>
          <w:szCs w:val="24"/>
        </w:rPr>
      </w:pPr>
      <w:r w:rsidRPr="007C12D1">
        <w:rPr>
          <w:rFonts w:ascii="Arial" w:eastAsia="Arial" w:hAnsi="Arial" w:cs="Arial"/>
          <w:sz w:val="24"/>
          <w:szCs w:val="24"/>
        </w:rPr>
        <w:lastRenderedPageBreak/>
        <w:t>CIPD (2021e) ‘</w:t>
      </w:r>
      <w:r w:rsidRPr="007C12D1">
        <w:rPr>
          <w:rFonts w:ascii="Arial" w:eastAsia="Arial" w:hAnsi="Arial" w:cs="Arial"/>
          <w:i/>
          <w:iCs/>
          <w:sz w:val="24"/>
          <w:szCs w:val="24"/>
        </w:rPr>
        <w:t>Making Flexible Working the Default’</w:t>
      </w:r>
      <w:r w:rsidRPr="007C12D1">
        <w:rPr>
          <w:rFonts w:ascii="Arial" w:eastAsia="Arial" w:hAnsi="Arial" w:cs="Arial"/>
          <w:sz w:val="24"/>
          <w:szCs w:val="24"/>
        </w:rPr>
        <w:t xml:space="preserve">. Available at: </w:t>
      </w:r>
      <w:hyperlink r:id="rId19">
        <w:r w:rsidRPr="007C12D1">
          <w:rPr>
            <w:rStyle w:val="Hyperlink"/>
            <w:rFonts w:ascii="Arial" w:eastAsia="Arial" w:hAnsi="Arial" w:cs="Arial"/>
            <w:sz w:val="24"/>
            <w:szCs w:val="24"/>
          </w:rPr>
          <w:t>https://www.cipd.co.uk/Images/CIPD%20submission%20to%20BEIS%20Make%20Flexible%20Working%20the%20Default%2001%2012%2021_tcm18-103756.pdf</w:t>
        </w:r>
      </w:hyperlink>
      <w:r w:rsidRPr="007C12D1">
        <w:rPr>
          <w:rFonts w:ascii="Arial" w:eastAsia="Arial" w:hAnsi="Arial" w:cs="Arial"/>
          <w:sz w:val="24"/>
          <w:szCs w:val="24"/>
        </w:rPr>
        <w:t>. (Accessed 19 May 2022).</w:t>
      </w:r>
    </w:p>
    <w:p w14:paraId="60812858" w14:textId="5F5B0723" w:rsidR="40947F01" w:rsidRPr="007C12D1" w:rsidRDefault="40947F01" w:rsidP="007C12D1">
      <w:pPr>
        <w:spacing w:line="360" w:lineRule="auto"/>
        <w:jc w:val="both"/>
        <w:rPr>
          <w:rFonts w:ascii="Arial" w:hAnsi="Arial" w:cs="Arial"/>
          <w:sz w:val="24"/>
          <w:szCs w:val="24"/>
        </w:rPr>
      </w:pPr>
      <w:r w:rsidRPr="007C12D1">
        <w:rPr>
          <w:rFonts w:ascii="Arial" w:eastAsia="Arial" w:hAnsi="Arial" w:cs="Arial"/>
          <w:sz w:val="24"/>
          <w:szCs w:val="24"/>
        </w:rPr>
        <w:t xml:space="preserve">CIPD (2022a). </w:t>
      </w:r>
      <w:r w:rsidRPr="007C12D1">
        <w:rPr>
          <w:rFonts w:ascii="Arial" w:eastAsia="Arial" w:hAnsi="Arial" w:cs="Arial"/>
          <w:i/>
          <w:iCs/>
          <w:sz w:val="24"/>
          <w:szCs w:val="24"/>
        </w:rPr>
        <w:t>Workforce trends: the impact of Brexit</w:t>
      </w:r>
      <w:r w:rsidRPr="007C12D1">
        <w:rPr>
          <w:rFonts w:ascii="Arial" w:eastAsia="Arial" w:hAnsi="Arial" w:cs="Arial"/>
          <w:sz w:val="24"/>
          <w:szCs w:val="24"/>
        </w:rPr>
        <w:t xml:space="preserve">. Available at: </w:t>
      </w:r>
      <w:hyperlink r:id="rId20">
        <w:r w:rsidRPr="007C12D1">
          <w:rPr>
            <w:rStyle w:val="Hyperlink"/>
            <w:rFonts w:ascii="Arial" w:eastAsia="Arial" w:hAnsi="Arial" w:cs="Arial"/>
            <w:sz w:val="24"/>
            <w:szCs w:val="24"/>
          </w:rPr>
          <w:t>https://www.cipd.co.uk/knowledge/brexit-hub/workforce-trends</w:t>
        </w:r>
      </w:hyperlink>
      <w:r w:rsidRPr="007C12D1">
        <w:rPr>
          <w:rFonts w:ascii="Arial" w:eastAsia="Arial" w:hAnsi="Arial" w:cs="Arial"/>
          <w:sz w:val="24"/>
          <w:szCs w:val="24"/>
        </w:rPr>
        <w:t>. (Accessed 19 May 2022).</w:t>
      </w:r>
    </w:p>
    <w:p w14:paraId="4BA3BD59" w14:textId="04B669B4" w:rsidR="40947F01" w:rsidRPr="007C12D1" w:rsidRDefault="40947F01" w:rsidP="007C12D1">
      <w:pPr>
        <w:spacing w:line="360" w:lineRule="auto"/>
        <w:jc w:val="both"/>
        <w:rPr>
          <w:rFonts w:ascii="Arial" w:hAnsi="Arial" w:cs="Arial"/>
          <w:sz w:val="24"/>
          <w:szCs w:val="24"/>
        </w:rPr>
      </w:pPr>
      <w:r w:rsidRPr="007C12D1">
        <w:rPr>
          <w:rFonts w:ascii="Arial" w:eastAsia="Arial" w:hAnsi="Arial" w:cs="Arial"/>
          <w:color w:val="000000" w:themeColor="text1"/>
          <w:sz w:val="24"/>
          <w:szCs w:val="24"/>
        </w:rPr>
        <w:t>CIPD (2022b) ‘</w:t>
      </w:r>
      <w:r w:rsidRPr="007C12D1">
        <w:rPr>
          <w:rFonts w:ascii="Arial" w:eastAsia="Arial" w:hAnsi="Arial" w:cs="Arial"/>
          <w:i/>
          <w:iCs/>
          <w:color w:val="000000" w:themeColor="text1"/>
          <w:sz w:val="24"/>
          <w:szCs w:val="24"/>
        </w:rPr>
        <w:t xml:space="preserve">Labour Market Outlook’. </w:t>
      </w:r>
      <w:r w:rsidRPr="007C12D1">
        <w:rPr>
          <w:rFonts w:ascii="Arial" w:eastAsia="Arial" w:hAnsi="Arial" w:cs="Arial"/>
          <w:color w:val="000000" w:themeColor="text1"/>
          <w:sz w:val="24"/>
          <w:szCs w:val="24"/>
        </w:rPr>
        <w:t xml:space="preserve">Available at: </w:t>
      </w:r>
      <w:hyperlink r:id="rId21">
        <w:r w:rsidRPr="007C12D1">
          <w:rPr>
            <w:rStyle w:val="Hyperlink"/>
            <w:rFonts w:ascii="Arial" w:eastAsia="Arial" w:hAnsi="Arial" w:cs="Arial"/>
            <w:sz w:val="24"/>
            <w:szCs w:val="24"/>
          </w:rPr>
          <w:t>labour-market-outlook-spring-2022-web_tcm18-106241.pdf</w:t>
        </w:r>
      </w:hyperlink>
      <w:r w:rsidRPr="007C12D1">
        <w:rPr>
          <w:rFonts w:ascii="Arial" w:eastAsia="Arial" w:hAnsi="Arial" w:cs="Arial"/>
          <w:color w:val="000000" w:themeColor="text1"/>
          <w:sz w:val="24"/>
          <w:szCs w:val="24"/>
        </w:rPr>
        <w:t xml:space="preserve"> </w:t>
      </w:r>
      <w:r w:rsidRPr="007C12D1">
        <w:rPr>
          <w:rFonts w:ascii="Arial" w:eastAsia="Arial" w:hAnsi="Arial" w:cs="Arial"/>
          <w:sz w:val="24"/>
          <w:szCs w:val="24"/>
        </w:rPr>
        <w:t>(Accessed 19 May 2022).</w:t>
      </w:r>
    </w:p>
    <w:p w14:paraId="2261CB54" w14:textId="6EB13ADB" w:rsidR="40947F01" w:rsidRPr="007C12D1" w:rsidRDefault="40947F01" w:rsidP="007C12D1">
      <w:pPr>
        <w:spacing w:line="360" w:lineRule="auto"/>
        <w:jc w:val="both"/>
        <w:rPr>
          <w:rFonts w:ascii="Arial" w:hAnsi="Arial" w:cs="Arial"/>
          <w:sz w:val="24"/>
          <w:szCs w:val="24"/>
        </w:rPr>
      </w:pPr>
      <w:proofErr w:type="spellStart"/>
      <w:r w:rsidRPr="007C12D1">
        <w:rPr>
          <w:rFonts w:ascii="Arial" w:eastAsia="Arial" w:hAnsi="Arial" w:cs="Arial"/>
          <w:sz w:val="24"/>
          <w:szCs w:val="24"/>
        </w:rPr>
        <w:t>Dahlgreen</w:t>
      </w:r>
      <w:proofErr w:type="spellEnd"/>
      <w:r w:rsidRPr="007C12D1">
        <w:rPr>
          <w:rFonts w:ascii="Arial" w:eastAsia="Arial" w:hAnsi="Arial" w:cs="Arial"/>
          <w:sz w:val="24"/>
          <w:szCs w:val="24"/>
        </w:rPr>
        <w:t xml:space="preserve">, W. (2014). </w:t>
      </w:r>
      <w:r w:rsidRPr="007C12D1">
        <w:rPr>
          <w:rFonts w:ascii="Arial" w:eastAsia="Arial" w:hAnsi="Arial" w:cs="Arial"/>
          <w:i/>
          <w:iCs/>
          <w:sz w:val="24"/>
          <w:szCs w:val="24"/>
        </w:rPr>
        <w:t xml:space="preserve">Introduce a </w:t>
      </w:r>
      <w:proofErr w:type="gramStart"/>
      <w:r w:rsidRPr="007C12D1">
        <w:rPr>
          <w:rFonts w:ascii="Arial" w:eastAsia="Arial" w:hAnsi="Arial" w:cs="Arial"/>
          <w:i/>
          <w:iCs/>
          <w:sz w:val="24"/>
          <w:szCs w:val="24"/>
        </w:rPr>
        <w:t>four day</w:t>
      </w:r>
      <w:proofErr w:type="gramEnd"/>
      <w:r w:rsidRPr="007C12D1">
        <w:rPr>
          <w:rFonts w:ascii="Arial" w:eastAsia="Arial" w:hAnsi="Arial" w:cs="Arial"/>
          <w:i/>
          <w:iCs/>
          <w:sz w:val="24"/>
          <w:szCs w:val="24"/>
        </w:rPr>
        <w:t xml:space="preserve"> week, say public | YouGov</w:t>
      </w:r>
      <w:r w:rsidRPr="007C12D1">
        <w:rPr>
          <w:rFonts w:ascii="Arial" w:eastAsia="Arial" w:hAnsi="Arial" w:cs="Arial"/>
          <w:sz w:val="24"/>
          <w:szCs w:val="24"/>
        </w:rPr>
        <w:t xml:space="preserve">. yougov.co.uk. Available at: </w:t>
      </w:r>
      <w:hyperlink r:id="rId22">
        <w:r w:rsidRPr="007C12D1">
          <w:rPr>
            <w:rStyle w:val="Hyperlink"/>
            <w:rFonts w:ascii="Arial" w:eastAsia="Arial" w:hAnsi="Arial" w:cs="Arial"/>
            <w:sz w:val="24"/>
            <w:szCs w:val="24"/>
          </w:rPr>
          <w:t>https://yougov.co.uk/topics/politics/articles-reports/2014/04/16/introduce-four-day-week-say-public</w:t>
        </w:r>
      </w:hyperlink>
      <w:r w:rsidRPr="007C12D1">
        <w:rPr>
          <w:rFonts w:ascii="Arial" w:eastAsia="Arial" w:hAnsi="Arial" w:cs="Arial"/>
          <w:sz w:val="24"/>
          <w:szCs w:val="24"/>
        </w:rPr>
        <w:t xml:space="preserve"> (Accessed 19 May 2022).</w:t>
      </w:r>
    </w:p>
    <w:p w14:paraId="77A8E0FB" w14:textId="2A747698" w:rsidR="40947F01" w:rsidRPr="007C12D1" w:rsidRDefault="40947F01" w:rsidP="007C12D1">
      <w:pPr>
        <w:spacing w:line="360" w:lineRule="auto"/>
        <w:jc w:val="both"/>
        <w:rPr>
          <w:rFonts w:ascii="Arial" w:hAnsi="Arial" w:cs="Arial"/>
          <w:sz w:val="24"/>
          <w:szCs w:val="24"/>
        </w:rPr>
      </w:pPr>
      <w:r w:rsidRPr="007C12D1">
        <w:rPr>
          <w:rFonts w:ascii="Arial" w:eastAsia="Arial" w:hAnsi="Arial" w:cs="Arial"/>
          <w:sz w:val="24"/>
          <w:szCs w:val="24"/>
        </w:rPr>
        <w:t>Farnham, D. (2015) Human Resource Management in Context: Insights, Strategy and Solutions. 4</w:t>
      </w:r>
      <w:r w:rsidRPr="007C12D1">
        <w:rPr>
          <w:rFonts w:ascii="Arial" w:eastAsia="Arial" w:hAnsi="Arial" w:cs="Arial"/>
          <w:sz w:val="24"/>
          <w:szCs w:val="24"/>
          <w:vertAlign w:val="superscript"/>
        </w:rPr>
        <w:t>th</w:t>
      </w:r>
      <w:r w:rsidRPr="007C12D1">
        <w:rPr>
          <w:rFonts w:ascii="Arial" w:eastAsia="Arial" w:hAnsi="Arial" w:cs="Arial"/>
          <w:sz w:val="24"/>
          <w:szCs w:val="24"/>
        </w:rPr>
        <w:t xml:space="preserve">edn. London: Chartered Institute of Personnel and Development. </w:t>
      </w:r>
    </w:p>
    <w:p w14:paraId="2D9B12B3" w14:textId="713F78A5" w:rsidR="40947F01" w:rsidRPr="007C12D1" w:rsidRDefault="40947F01" w:rsidP="007C12D1">
      <w:pPr>
        <w:spacing w:line="360" w:lineRule="auto"/>
        <w:jc w:val="both"/>
        <w:rPr>
          <w:rFonts w:ascii="Arial" w:hAnsi="Arial" w:cs="Arial"/>
          <w:sz w:val="24"/>
          <w:szCs w:val="24"/>
        </w:rPr>
      </w:pPr>
      <w:proofErr w:type="spellStart"/>
      <w:r w:rsidRPr="007C12D1">
        <w:rPr>
          <w:rFonts w:ascii="Arial" w:eastAsia="Arial" w:hAnsi="Arial" w:cs="Arial"/>
          <w:sz w:val="24"/>
          <w:szCs w:val="24"/>
        </w:rPr>
        <w:t>Farragher</w:t>
      </w:r>
      <w:proofErr w:type="spellEnd"/>
      <w:r w:rsidRPr="007C12D1">
        <w:rPr>
          <w:rFonts w:ascii="Arial" w:eastAsia="Arial" w:hAnsi="Arial" w:cs="Arial"/>
          <w:sz w:val="24"/>
          <w:szCs w:val="24"/>
        </w:rPr>
        <w:t xml:space="preserve">, J. (2021). </w:t>
      </w:r>
      <w:r w:rsidRPr="007C12D1">
        <w:rPr>
          <w:rFonts w:ascii="Arial" w:eastAsia="Arial" w:hAnsi="Arial" w:cs="Arial"/>
          <w:i/>
          <w:iCs/>
          <w:sz w:val="24"/>
          <w:szCs w:val="24"/>
        </w:rPr>
        <w:t>Peter Cheese: Four-day week should be ‘part of the norm’</w:t>
      </w:r>
      <w:r w:rsidRPr="007C12D1">
        <w:rPr>
          <w:rFonts w:ascii="Arial" w:eastAsia="Arial" w:hAnsi="Arial" w:cs="Arial"/>
          <w:sz w:val="24"/>
          <w:szCs w:val="24"/>
        </w:rPr>
        <w:t xml:space="preserve">. [online] Personnel Today. Available at: </w:t>
      </w:r>
      <w:hyperlink r:id="rId23">
        <w:r w:rsidRPr="007C12D1">
          <w:rPr>
            <w:rStyle w:val="Hyperlink"/>
            <w:rFonts w:ascii="Arial" w:eastAsia="Arial" w:hAnsi="Arial" w:cs="Arial"/>
            <w:sz w:val="24"/>
            <w:szCs w:val="24"/>
          </w:rPr>
          <w:t>https://www.personneltoday.com/hr/peter-cheese-four-day-week-flexible-working-taskforce/</w:t>
        </w:r>
      </w:hyperlink>
      <w:r w:rsidRPr="007C12D1">
        <w:rPr>
          <w:rFonts w:ascii="Arial" w:eastAsia="Arial" w:hAnsi="Arial" w:cs="Arial"/>
          <w:sz w:val="24"/>
          <w:szCs w:val="24"/>
        </w:rPr>
        <w:t xml:space="preserve"> (Accessed 19 May 2022).</w:t>
      </w:r>
    </w:p>
    <w:p w14:paraId="7FDF2E88" w14:textId="54784584" w:rsidR="40947F01" w:rsidRPr="007C12D1" w:rsidRDefault="40947F01" w:rsidP="007C12D1">
      <w:pPr>
        <w:spacing w:line="360" w:lineRule="auto"/>
        <w:jc w:val="both"/>
        <w:rPr>
          <w:rFonts w:ascii="Arial" w:hAnsi="Arial" w:cs="Arial"/>
          <w:sz w:val="24"/>
          <w:szCs w:val="24"/>
        </w:rPr>
      </w:pPr>
      <w:proofErr w:type="spellStart"/>
      <w:r w:rsidRPr="007C12D1">
        <w:rPr>
          <w:rFonts w:ascii="Arial" w:eastAsia="Arial" w:hAnsi="Arial" w:cs="Arial"/>
          <w:color w:val="000000" w:themeColor="text1"/>
          <w:sz w:val="24"/>
          <w:szCs w:val="24"/>
        </w:rPr>
        <w:t>Frue</w:t>
      </w:r>
      <w:proofErr w:type="spellEnd"/>
      <w:r w:rsidRPr="007C12D1">
        <w:rPr>
          <w:rFonts w:ascii="Arial" w:eastAsia="Arial" w:hAnsi="Arial" w:cs="Arial"/>
          <w:color w:val="000000" w:themeColor="text1"/>
          <w:sz w:val="24"/>
          <w:szCs w:val="24"/>
        </w:rPr>
        <w:t>, K (2018) ‘</w:t>
      </w:r>
      <w:r w:rsidRPr="007C12D1">
        <w:rPr>
          <w:rFonts w:ascii="Arial" w:eastAsia="Arial" w:hAnsi="Arial" w:cs="Arial"/>
          <w:i/>
          <w:iCs/>
          <w:color w:val="000000" w:themeColor="text1"/>
          <w:sz w:val="24"/>
          <w:szCs w:val="24"/>
        </w:rPr>
        <w:t xml:space="preserve">6 Frustrating Disadvantages of PESTLE Analysis’ </w:t>
      </w:r>
      <w:r w:rsidRPr="007C12D1">
        <w:rPr>
          <w:rFonts w:ascii="Arial" w:eastAsia="Arial" w:hAnsi="Arial" w:cs="Arial"/>
          <w:color w:val="000000" w:themeColor="text1"/>
          <w:sz w:val="24"/>
          <w:szCs w:val="24"/>
        </w:rPr>
        <w:t>Available at:</w:t>
      </w:r>
      <w:r w:rsidRPr="007C12D1">
        <w:rPr>
          <w:rFonts w:ascii="Arial" w:eastAsia="Arial" w:hAnsi="Arial" w:cs="Arial"/>
          <w:i/>
          <w:iCs/>
          <w:color w:val="000000" w:themeColor="text1"/>
          <w:sz w:val="24"/>
          <w:szCs w:val="24"/>
        </w:rPr>
        <w:t xml:space="preserve"> </w:t>
      </w:r>
      <w:hyperlink r:id="rId24">
        <w:r w:rsidRPr="007C12D1">
          <w:rPr>
            <w:rStyle w:val="Hyperlink"/>
            <w:rFonts w:ascii="Arial" w:eastAsia="Arial" w:hAnsi="Arial" w:cs="Arial"/>
            <w:sz w:val="24"/>
            <w:szCs w:val="24"/>
          </w:rPr>
          <w:t>6 Frustrating Disadvantages of PESTLE Analysis</w:t>
        </w:r>
      </w:hyperlink>
      <w:r w:rsidRPr="007C12D1">
        <w:rPr>
          <w:rFonts w:ascii="Arial" w:eastAsia="Arial" w:hAnsi="Arial" w:cs="Arial"/>
          <w:color w:val="000000" w:themeColor="text1"/>
          <w:sz w:val="24"/>
          <w:szCs w:val="24"/>
        </w:rPr>
        <w:t xml:space="preserve"> </w:t>
      </w:r>
      <w:r w:rsidRPr="007C12D1">
        <w:rPr>
          <w:rFonts w:ascii="Arial" w:eastAsia="Arial" w:hAnsi="Arial" w:cs="Arial"/>
          <w:sz w:val="24"/>
          <w:szCs w:val="24"/>
        </w:rPr>
        <w:t>(Accessed 19 May 2022).</w:t>
      </w:r>
    </w:p>
    <w:p w14:paraId="0C8F4520" w14:textId="542C13D7" w:rsidR="40947F01" w:rsidRPr="007C12D1" w:rsidRDefault="40947F01" w:rsidP="007C12D1">
      <w:pPr>
        <w:spacing w:line="360" w:lineRule="auto"/>
        <w:jc w:val="both"/>
        <w:rPr>
          <w:rFonts w:ascii="Arial" w:hAnsi="Arial" w:cs="Arial"/>
          <w:sz w:val="24"/>
          <w:szCs w:val="24"/>
        </w:rPr>
      </w:pPr>
      <w:proofErr w:type="spellStart"/>
      <w:r w:rsidRPr="007C12D1">
        <w:rPr>
          <w:rFonts w:ascii="Arial" w:eastAsia="Arial" w:hAnsi="Arial" w:cs="Arial"/>
          <w:sz w:val="24"/>
          <w:szCs w:val="24"/>
        </w:rPr>
        <w:t>Gaille</w:t>
      </w:r>
      <w:proofErr w:type="spellEnd"/>
      <w:r w:rsidRPr="007C12D1">
        <w:rPr>
          <w:rFonts w:ascii="Arial" w:eastAsia="Arial" w:hAnsi="Arial" w:cs="Arial"/>
          <w:sz w:val="24"/>
          <w:szCs w:val="24"/>
        </w:rPr>
        <w:t xml:space="preserve">, L (2018). </w:t>
      </w:r>
      <w:r w:rsidRPr="007C12D1">
        <w:rPr>
          <w:rFonts w:ascii="Arial" w:eastAsia="Arial" w:hAnsi="Arial" w:cs="Arial"/>
          <w:i/>
          <w:iCs/>
          <w:sz w:val="24"/>
          <w:szCs w:val="24"/>
        </w:rPr>
        <w:t>14 Pros and Cons of the 4 Day Work Week</w:t>
      </w:r>
      <w:r w:rsidRPr="007C12D1">
        <w:rPr>
          <w:rFonts w:ascii="Arial" w:eastAsia="Arial" w:hAnsi="Arial" w:cs="Arial"/>
          <w:sz w:val="24"/>
          <w:szCs w:val="24"/>
        </w:rPr>
        <w:t xml:space="preserve">. Vittana.org. Available at: </w:t>
      </w:r>
      <w:hyperlink r:id="rId25">
        <w:r w:rsidRPr="007C12D1">
          <w:rPr>
            <w:rStyle w:val="Hyperlink"/>
            <w:rFonts w:ascii="Arial" w:eastAsia="Arial" w:hAnsi="Arial" w:cs="Arial"/>
            <w:sz w:val="24"/>
            <w:szCs w:val="24"/>
          </w:rPr>
          <w:t>https://vittana.org/14-pros-and-cons-of-the-4-day-work-week</w:t>
        </w:r>
      </w:hyperlink>
      <w:r w:rsidRPr="007C12D1">
        <w:rPr>
          <w:rFonts w:ascii="Arial" w:eastAsia="Arial" w:hAnsi="Arial" w:cs="Arial"/>
          <w:sz w:val="24"/>
          <w:szCs w:val="24"/>
        </w:rPr>
        <w:t>. (Accessed 19 May 2022).</w:t>
      </w:r>
    </w:p>
    <w:p w14:paraId="53988FDC" w14:textId="591C306B" w:rsidR="40947F01" w:rsidRPr="007C12D1" w:rsidRDefault="40947F01" w:rsidP="007C12D1">
      <w:pPr>
        <w:spacing w:line="360" w:lineRule="auto"/>
        <w:jc w:val="both"/>
        <w:rPr>
          <w:rFonts w:ascii="Arial" w:hAnsi="Arial" w:cs="Arial"/>
          <w:sz w:val="24"/>
          <w:szCs w:val="24"/>
        </w:rPr>
      </w:pPr>
      <w:r w:rsidRPr="007C12D1">
        <w:rPr>
          <w:rFonts w:ascii="Arial" w:eastAsia="Arial" w:hAnsi="Arial" w:cs="Arial"/>
          <w:color w:val="000000" w:themeColor="text1"/>
          <w:sz w:val="24"/>
          <w:szCs w:val="24"/>
        </w:rPr>
        <w:t xml:space="preserve">Government (2016) Future of demographic change. Available at: </w:t>
      </w:r>
      <w:hyperlink r:id="rId26">
        <w:r w:rsidRPr="007C12D1">
          <w:rPr>
            <w:rStyle w:val="Hyperlink"/>
            <w:rFonts w:ascii="Arial" w:eastAsia="Arial" w:hAnsi="Arial" w:cs="Arial"/>
            <w:sz w:val="24"/>
            <w:szCs w:val="24"/>
          </w:rPr>
          <w:t>Future of demographic change - GOV.UK (www.gov.uk)</w:t>
        </w:r>
      </w:hyperlink>
      <w:r w:rsidRPr="007C12D1">
        <w:rPr>
          <w:rFonts w:ascii="Arial" w:eastAsia="Arial" w:hAnsi="Arial" w:cs="Arial"/>
          <w:color w:val="000000" w:themeColor="text1"/>
          <w:sz w:val="24"/>
          <w:szCs w:val="24"/>
        </w:rPr>
        <w:t xml:space="preserve"> </w:t>
      </w:r>
      <w:r w:rsidRPr="007C12D1">
        <w:rPr>
          <w:rFonts w:ascii="Arial" w:eastAsia="Arial" w:hAnsi="Arial" w:cs="Arial"/>
          <w:sz w:val="24"/>
          <w:szCs w:val="24"/>
        </w:rPr>
        <w:t>(Accessed 19 May 2022).</w:t>
      </w:r>
    </w:p>
    <w:p w14:paraId="7FC3D161" w14:textId="772FEC80" w:rsidR="40947F01" w:rsidRPr="007C12D1" w:rsidRDefault="40947F01" w:rsidP="007C12D1">
      <w:pPr>
        <w:spacing w:line="360" w:lineRule="auto"/>
        <w:jc w:val="both"/>
        <w:rPr>
          <w:rFonts w:ascii="Arial" w:hAnsi="Arial" w:cs="Arial"/>
          <w:sz w:val="24"/>
          <w:szCs w:val="24"/>
        </w:rPr>
      </w:pPr>
      <w:r w:rsidRPr="007C12D1">
        <w:rPr>
          <w:rFonts w:ascii="Arial" w:eastAsia="Arial" w:hAnsi="Arial" w:cs="Arial"/>
          <w:sz w:val="24"/>
          <w:szCs w:val="24"/>
        </w:rPr>
        <w:t xml:space="preserve">Government Equalities Office (2016b). </w:t>
      </w:r>
      <w:r w:rsidRPr="007C12D1">
        <w:rPr>
          <w:rFonts w:ascii="Arial" w:eastAsia="Arial" w:hAnsi="Arial" w:cs="Arial"/>
          <w:i/>
          <w:iCs/>
          <w:sz w:val="24"/>
          <w:szCs w:val="24"/>
        </w:rPr>
        <w:t>UK Gender Pay Gap</w:t>
      </w:r>
      <w:r w:rsidRPr="007C12D1">
        <w:rPr>
          <w:rFonts w:ascii="Arial" w:eastAsia="Arial" w:hAnsi="Arial" w:cs="Arial"/>
          <w:sz w:val="24"/>
          <w:szCs w:val="24"/>
        </w:rPr>
        <w:t xml:space="preserve">. Available at: </w:t>
      </w:r>
      <w:hyperlink r:id="rId27">
        <w:r w:rsidRPr="007C12D1">
          <w:rPr>
            <w:rStyle w:val="Hyperlink"/>
            <w:rFonts w:ascii="Arial" w:eastAsia="Arial" w:hAnsi="Arial" w:cs="Arial"/>
            <w:sz w:val="24"/>
            <w:szCs w:val="24"/>
          </w:rPr>
          <w:t>https://www.gov.uk/government/news/uk-gender-pay-gap</w:t>
        </w:r>
      </w:hyperlink>
      <w:r w:rsidRPr="007C12D1">
        <w:rPr>
          <w:rFonts w:ascii="Arial" w:eastAsia="Arial" w:hAnsi="Arial" w:cs="Arial"/>
          <w:sz w:val="24"/>
          <w:szCs w:val="24"/>
        </w:rPr>
        <w:t xml:space="preserve"> (Accessed 19 May 2022).</w:t>
      </w:r>
    </w:p>
    <w:p w14:paraId="108A6FED" w14:textId="17037DDB" w:rsidR="40947F01" w:rsidRPr="007C12D1" w:rsidRDefault="40947F01" w:rsidP="007C12D1">
      <w:pPr>
        <w:spacing w:line="360" w:lineRule="auto"/>
        <w:jc w:val="both"/>
        <w:rPr>
          <w:rFonts w:ascii="Arial" w:hAnsi="Arial" w:cs="Arial"/>
          <w:sz w:val="24"/>
          <w:szCs w:val="24"/>
        </w:rPr>
      </w:pPr>
      <w:r w:rsidRPr="007C12D1">
        <w:rPr>
          <w:rFonts w:ascii="Arial" w:eastAsia="Arial" w:hAnsi="Arial" w:cs="Arial"/>
          <w:color w:val="222222"/>
          <w:sz w:val="24"/>
          <w:szCs w:val="24"/>
        </w:rPr>
        <w:t xml:space="preserve">Guest, D., 1989. Personnel and HRM. </w:t>
      </w:r>
      <w:r w:rsidRPr="007C12D1">
        <w:rPr>
          <w:rFonts w:ascii="Arial" w:eastAsia="Times New Roman" w:hAnsi="Arial" w:cs="Arial"/>
          <w:i/>
          <w:iCs/>
          <w:sz w:val="24"/>
          <w:szCs w:val="24"/>
        </w:rPr>
        <w:t>Personnel management</w:t>
      </w:r>
      <w:r w:rsidRPr="007C12D1">
        <w:rPr>
          <w:rFonts w:ascii="Arial" w:eastAsia="Times New Roman" w:hAnsi="Arial" w:cs="Arial"/>
          <w:sz w:val="24"/>
          <w:szCs w:val="24"/>
        </w:rPr>
        <w:t xml:space="preserve">, </w:t>
      </w:r>
      <w:r w:rsidRPr="007C12D1">
        <w:rPr>
          <w:rFonts w:ascii="Arial" w:eastAsia="Times New Roman" w:hAnsi="Arial" w:cs="Arial"/>
          <w:i/>
          <w:iCs/>
          <w:sz w:val="24"/>
          <w:szCs w:val="24"/>
        </w:rPr>
        <w:t>21</w:t>
      </w:r>
      <w:r w:rsidRPr="007C12D1">
        <w:rPr>
          <w:rFonts w:ascii="Arial" w:eastAsia="Times New Roman" w:hAnsi="Arial" w:cs="Arial"/>
          <w:sz w:val="24"/>
          <w:szCs w:val="24"/>
        </w:rPr>
        <w:t>(1), pp.48-51.</w:t>
      </w:r>
    </w:p>
    <w:p w14:paraId="34033674" w14:textId="16C502C6" w:rsidR="40947F01" w:rsidRPr="007C12D1" w:rsidRDefault="40947F01" w:rsidP="007C12D1">
      <w:pPr>
        <w:spacing w:line="360" w:lineRule="auto"/>
        <w:jc w:val="both"/>
        <w:rPr>
          <w:rFonts w:ascii="Arial" w:hAnsi="Arial" w:cs="Arial"/>
          <w:sz w:val="24"/>
          <w:szCs w:val="24"/>
        </w:rPr>
      </w:pPr>
      <w:r w:rsidRPr="007C12D1">
        <w:rPr>
          <w:rFonts w:ascii="Arial" w:eastAsia="Arial" w:hAnsi="Arial" w:cs="Arial"/>
          <w:color w:val="222222"/>
          <w:sz w:val="24"/>
          <w:szCs w:val="24"/>
        </w:rPr>
        <w:t xml:space="preserve">Guest, D.E., 2001. Human resource management: when research confronts theory. </w:t>
      </w:r>
      <w:r w:rsidRPr="007C12D1">
        <w:rPr>
          <w:rFonts w:ascii="Arial" w:eastAsia="Times New Roman" w:hAnsi="Arial" w:cs="Arial"/>
          <w:i/>
          <w:iCs/>
          <w:sz w:val="24"/>
          <w:szCs w:val="24"/>
        </w:rPr>
        <w:t>International Journal of Human Resource Management</w:t>
      </w:r>
      <w:r w:rsidRPr="007C12D1">
        <w:rPr>
          <w:rFonts w:ascii="Arial" w:eastAsia="Times New Roman" w:hAnsi="Arial" w:cs="Arial"/>
          <w:sz w:val="24"/>
          <w:szCs w:val="24"/>
        </w:rPr>
        <w:t xml:space="preserve">, </w:t>
      </w:r>
      <w:r w:rsidRPr="007C12D1">
        <w:rPr>
          <w:rFonts w:ascii="Arial" w:eastAsia="Times New Roman" w:hAnsi="Arial" w:cs="Arial"/>
          <w:i/>
          <w:iCs/>
          <w:sz w:val="24"/>
          <w:szCs w:val="24"/>
        </w:rPr>
        <w:t>12</w:t>
      </w:r>
      <w:r w:rsidRPr="007C12D1">
        <w:rPr>
          <w:rFonts w:ascii="Arial" w:eastAsia="Times New Roman" w:hAnsi="Arial" w:cs="Arial"/>
          <w:sz w:val="24"/>
          <w:szCs w:val="24"/>
        </w:rPr>
        <w:t>(7), pp.1092-1106.</w:t>
      </w:r>
    </w:p>
    <w:p w14:paraId="22FCC551" w14:textId="154D401E" w:rsidR="40947F01" w:rsidRPr="007C12D1" w:rsidRDefault="40947F01" w:rsidP="007C12D1">
      <w:pPr>
        <w:spacing w:line="360" w:lineRule="auto"/>
        <w:jc w:val="both"/>
        <w:rPr>
          <w:rFonts w:ascii="Arial" w:hAnsi="Arial" w:cs="Arial"/>
          <w:sz w:val="24"/>
          <w:szCs w:val="24"/>
        </w:rPr>
      </w:pPr>
      <w:r w:rsidRPr="007C12D1">
        <w:rPr>
          <w:rFonts w:ascii="Arial" w:eastAsia="Arial" w:hAnsi="Arial" w:cs="Arial"/>
          <w:color w:val="000000" w:themeColor="text1"/>
          <w:sz w:val="24"/>
          <w:szCs w:val="24"/>
        </w:rPr>
        <w:lastRenderedPageBreak/>
        <w:t>Hall, B (2019) ‘</w:t>
      </w:r>
      <w:r w:rsidRPr="007C12D1">
        <w:rPr>
          <w:rFonts w:ascii="Arial" w:eastAsia="Arial" w:hAnsi="Arial" w:cs="Arial"/>
          <w:i/>
          <w:iCs/>
          <w:color w:val="000000" w:themeColor="text1"/>
          <w:sz w:val="24"/>
          <w:szCs w:val="24"/>
        </w:rPr>
        <w:t>How to successfully support an ageing workforce</w:t>
      </w:r>
      <w:r w:rsidRPr="007C12D1">
        <w:rPr>
          <w:rFonts w:ascii="Arial" w:eastAsia="Arial" w:hAnsi="Arial" w:cs="Arial"/>
          <w:color w:val="000000" w:themeColor="text1"/>
          <w:sz w:val="24"/>
          <w:szCs w:val="24"/>
        </w:rPr>
        <w:t xml:space="preserve">’. People Management. Available at: </w:t>
      </w:r>
      <w:hyperlink r:id="rId28">
        <w:r w:rsidRPr="007C12D1">
          <w:rPr>
            <w:rStyle w:val="Hyperlink"/>
            <w:rFonts w:ascii="Arial" w:eastAsia="Arial" w:hAnsi="Arial" w:cs="Arial"/>
            <w:sz w:val="24"/>
            <w:szCs w:val="24"/>
          </w:rPr>
          <w:t>How to successfully support an ageing workforce (peoplemanagement.co.uk)</w:t>
        </w:r>
      </w:hyperlink>
      <w:r w:rsidRPr="007C12D1">
        <w:rPr>
          <w:rFonts w:ascii="Arial" w:eastAsia="Arial" w:hAnsi="Arial" w:cs="Arial"/>
          <w:color w:val="000000" w:themeColor="text1"/>
          <w:sz w:val="24"/>
          <w:szCs w:val="24"/>
        </w:rPr>
        <w:t xml:space="preserve"> </w:t>
      </w:r>
      <w:r w:rsidRPr="007C12D1">
        <w:rPr>
          <w:rFonts w:ascii="Arial" w:eastAsia="Arial" w:hAnsi="Arial" w:cs="Arial"/>
          <w:sz w:val="24"/>
          <w:szCs w:val="24"/>
        </w:rPr>
        <w:t>(Accessed 19 May 2022).</w:t>
      </w:r>
    </w:p>
    <w:p w14:paraId="62618975" w14:textId="307194E0" w:rsidR="40947F01" w:rsidRPr="007C12D1" w:rsidRDefault="40947F01" w:rsidP="007C12D1">
      <w:pPr>
        <w:spacing w:line="360" w:lineRule="auto"/>
        <w:jc w:val="both"/>
        <w:rPr>
          <w:rFonts w:ascii="Arial" w:hAnsi="Arial" w:cs="Arial"/>
          <w:sz w:val="24"/>
          <w:szCs w:val="24"/>
        </w:rPr>
      </w:pPr>
      <w:proofErr w:type="spellStart"/>
      <w:r w:rsidRPr="007C12D1">
        <w:rPr>
          <w:rFonts w:ascii="Arial" w:eastAsia="Arial" w:hAnsi="Arial" w:cs="Arial"/>
          <w:sz w:val="24"/>
          <w:szCs w:val="24"/>
        </w:rPr>
        <w:t>InfobaseCymru</w:t>
      </w:r>
      <w:proofErr w:type="spellEnd"/>
      <w:r w:rsidRPr="007C12D1">
        <w:rPr>
          <w:rFonts w:ascii="Arial" w:eastAsia="Arial" w:hAnsi="Arial" w:cs="Arial"/>
          <w:sz w:val="24"/>
          <w:szCs w:val="24"/>
        </w:rPr>
        <w:t xml:space="preserve"> (2019). </w:t>
      </w:r>
      <w:r w:rsidRPr="007C12D1">
        <w:rPr>
          <w:rFonts w:ascii="Arial" w:eastAsia="Arial" w:hAnsi="Arial" w:cs="Arial"/>
          <w:i/>
          <w:iCs/>
          <w:sz w:val="24"/>
          <w:szCs w:val="24"/>
        </w:rPr>
        <w:t xml:space="preserve">Home - </w:t>
      </w:r>
      <w:proofErr w:type="spellStart"/>
      <w:r w:rsidRPr="007C12D1">
        <w:rPr>
          <w:rFonts w:ascii="Arial" w:eastAsia="Arial" w:hAnsi="Arial" w:cs="Arial"/>
          <w:i/>
          <w:iCs/>
          <w:sz w:val="24"/>
          <w:szCs w:val="24"/>
        </w:rPr>
        <w:t>InfoBaseCymru</w:t>
      </w:r>
      <w:proofErr w:type="spellEnd"/>
      <w:r w:rsidRPr="007C12D1">
        <w:rPr>
          <w:rFonts w:ascii="Arial" w:eastAsia="Arial" w:hAnsi="Arial" w:cs="Arial"/>
          <w:sz w:val="24"/>
          <w:szCs w:val="24"/>
        </w:rPr>
        <w:t xml:space="preserve">. Available at: </w:t>
      </w:r>
      <w:hyperlink r:id="rId29">
        <w:r w:rsidRPr="007C12D1">
          <w:rPr>
            <w:rStyle w:val="Hyperlink"/>
            <w:rFonts w:ascii="Arial" w:eastAsia="Arial" w:hAnsi="Arial" w:cs="Arial"/>
            <w:sz w:val="24"/>
            <w:szCs w:val="24"/>
          </w:rPr>
          <w:t>https://www.infobasecymru.net/IAS/</w:t>
        </w:r>
      </w:hyperlink>
      <w:r w:rsidRPr="007C12D1">
        <w:rPr>
          <w:rFonts w:ascii="Arial" w:eastAsia="Arial" w:hAnsi="Arial" w:cs="Arial"/>
          <w:sz w:val="24"/>
          <w:szCs w:val="24"/>
        </w:rPr>
        <w:t>. (Accessed 19 May 2022).</w:t>
      </w:r>
    </w:p>
    <w:p w14:paraId="0466A0EA" w14:textId="652233C4" w:rsidR="40947F01" w:rsidRPr="007C12D1" w:rsidRDefault="40947F01" w:rsidP="007C12D1">
      <w:pPr>
        <w:spacing w:line="360" w:lineRule="auto"/>
        <w:jc w:val="both"/>
        <w:rPr>
          <w:rFonts w:ascii="Arial" w:hAnsi="Arial" w:cs="Arial"/>
          <w:sz w:val="24"/>
          <w:szCs w:val="24"/>
        </w:rPr>
      </w:pPr>
      <w:r w:rsidRPr="007C12D1">
        <w:rPr>
          <w:rFonts w:ascii="Arial" w:eastAsia="Arial" w:hAnsi="Arial" w:cs="Arial"/>
          <w:color w:val="222222"/>
          <w:sz w:val="24"/>
          <w:szCs w:val="24"/>
        </w:rPr>
        <w:t xml:space="preserve">James, M., 2018. Emergent Strategy. </w:t>
      </w:r>
      <w:r w:rsidRPr="007C12D1">
        <w:rPr>
          <w:rFonts w:ascii="Arial" w:eastAsia="Times New Roman" w:hAnsi="Arial" w:cs="Arial"/>
          <w:i/>
          <w:iCs/>
          <w:sz w:val="24"/>
          <w:szCs w:val="24"/>
        </w:rPr>
        <w:t xml:space="preserve">The international </w:t>
      </w:r>
      <w:proofErr w:type="spellStart"/>
      <w:r w:rsidRPr="007C12D1">
        <w:rPr>
          <w:rFonts w:ascii="Arial" w:eastAsia="Times New Roman" w:hAnsi="Arial" w:cs="Arial"/>
          <w:i/>
          <w:iCs/>
          <w:sz w:val="24"/>
          <w:szCs w:val="24"/>
        </w:rPr>
        <w:t>encyclopedia</w:t>
      </w:r>
      <w:proofErr w:type="spellEnd"/>
      <w:r w:rsidRPr="007C12D1">
        <w:rPr>
          <w:rFonts w:ascii="Arial" w:eastAsia="Times New Roman" w:hAnsi="Arial" w:cs="Arial"/>
          <w:i/>
          <w:iCs/>
          <w:sz w:val="24"/>
          <w:szCs w:val="24"/>
        </w:rPr>
        <w:t xml:space="preserve"> of strategic communication</w:t>
      </w:r>
      <w:r w:rsidRPr="007C12D1">
        <w:rPr>
          <w:rFonts w:ascii="Arial" w:eastAsia="Times New Roman" w:hAnsi="Arial" w:cs="Arial"/>
          <w:sz w:val="24"/>
          <w:szCs w:val="24"/>
        </w:rPr>
        <w:t>, pp.1-10.</w:t>
      </w:r>
    </w:p>
    <w:p w14:paraId="74A99B5B" w14:textId="3C9938E5" w:rsidR="40947F01" w:rsidRPr="007C12D1" w:rsidRDefault="40947F01" w:rsidP="007C12D1">
      <w:pPr>
        <w:spacing w:line="360" w:lineRule="auto"/>
        <w:jc w:val="both"/>
        <w:rPr>
          <w:rFonts w:ascii="Arial" w:hAnsi="Arial" w:cs="Arial"/>
          <w:sz w:val="24"/>
          <w:szCs w:val="24"/>
        </w:rPr>
      </w:pPr>
      <w:r w:rsidRPr="007C12D1">
        <w:rPr>
          <w:rFonts w:ascii="Arial" w:eastAsia="Arial" w:hAnsi="Arial" w:cs="Arial"/>
          <w:sz w:val="24"/>
          <w:szCs w:val="24"/>
        </w:rPr>
        <w:t xml:space="preserve">Jones, L. (2018). What is the gender pay gap? </w:t>
      </w:r>
      <w:r w:rsidRPr="007C12D1">
        <w:rPr>
          <w:rFonts w:ascii="Arial" w:eastAsia="Arial" w:hAnsi="Arial" w:cs="Arial"/>
          <w:i/>
          <w:iCs/>
          <w:sz w:val="24"/>
          <w:szCs w:val="24"/>
        </w:rPr>
        <w:t>BBC News</w:t>
      </w:r>
      <w:r w:rsidRPr="007C12D1">
        <w:rPr>
          <w:rFonts w:ascii="Arial" w:eastAsia="Arial" w:hAnsi="Arial" w:cs="Arial"/>
          <w:sz w:val="24"/>
          <w:szCs w:val="24"/>
        </w:rPr>
        <w:t xml:space="preserve">. 5 Feb. Available at: </w:t>
      </w:r>
      <w:hyperlink r:id="rId30">
        <w:r w:rsidRPr="007C12D1">
          <w:rPr>
            <w:rStyle w:val="Hyperlink"/>
            <w:rFonts w:ascii="Arial" w:eastAsia="Arial" w:hAnsi="Arial" w:cs="Arial"/>
            <w:sz w:val="24"/>
            <w:szCs w:val="24"/>
          </w:rPr>
          <w:t>https://www.bbc.co.uk/news/business-42918951</w:t>
        </w:r>
      </w:hyperlink>
      <w:r w:rsidRPr="007C12D1">
        <w:rPr>
          <w:rFonts w:ascii="Arial" w:eastAsia="Arial" w:hAnsi="Arial" w:cs="Arial"/>
          <w:sz w:val="24"/>
          <w:szCs w:val="24"/>
        </w:rPr>
        <w:t xml:space="preserve"> (Accessed 19 May 2022)</w:t>
      </w:r>
    </w:p>
    <w:p w14:paraId="5EC5AC15" w14:textId="1C2300A3" w:rsidR="40947F01" w:rsidRPr="007C12D1" w:rsidRDefault="40947F01" w:rsidP="007C12D1">
      <w:pPr>
        <w:spacing w:line="360" w:lineRule="auto"/>
        <w:jc w:val="both"/>
        <w:rPr>
          <w:rFonts w:ascii="Arial" w:hAnsi="Arial" w:cs="Arial"/>
          <w:sz w:val="24"/>
          <w:szCs w:val="24"/>
        </w:rPr>
      </w:pPr>
      <w:proofErr w:type="spellStart"/>
      <w:r w:rsidRPr="007C12D1">
        <w:rPr>
          <w:rFonts w:ascii="Arial" w:eastAsia="Arial" w:hAnsi="Arial" w:cs="Arial"/>
          <w:sz w:val="24"/>
          <w:szCs w:val="24"/>
        </w:rPr>
        <w:t>Legge</w:t>
      </w:r>
      <w:proofErr w:type="spellEnd"/>
      <w:r w:rsidRPr="007C12D1">
        <w:rPr>
          <w:rFonts w:ascii="Arial" w:eastAsia="Arial" w:hAnsi="Arial" w:cs="Arial"/>
          <w:sz w:val="24"/>
          <w:szCs w:val="24"/>
        </w:rPr>
        <w:t>, K (1978) Power, innovation and problem-solving in personnel management. London: McGraw-Hill.</w:t>
      </w:r>
    </w:p>
    <w:p w14:paraId="2C294382" w14:textId="16DD3E4D" w:rsidR="40947F01" w:rsidRPr="007C12D1" w:rsidRDefault="40947F01" w:rsidP="007C12D1">
      <w:pPr>
        <w:spacing w:line="360" w:lineRule="auto"/>
        <w:jc w:val="both"/>
        <w:rPr>
          <w:rFonts w:ascii="Arial" w:hAnsi="Arial" w:cs="Arial"/>
          <w:sz w:val="24"/>
          <w:szCs w:val="24"/>
        </w:rPr>
      </w:pPr>
      <w:r w:rsidRPr="007C12D1">
        <w:rPr>
          <w:rFonts w:ascii="Arial" w:eastAsia="Arial" w:hAnsi="Arial" w:cs="Arial"/>
          <w:sz w:val="24"/>
          <w:szCs w:val="24"/>
        </w:rPr>
        <w:t xml:space="preserve">Legislation Gov.UK (2014). </w:t>
      </w:r>
      <w:r w:rsidRPr="007C12D1">
        <w:rPr>
          <w:rFonts w:ascii="Arial" w:eastAsia="Arial" w:hAnsi="Arial" w:cs="Arial"/>
          <w:i/>
          <w:iCs/>
          <w:sz w:val="24"/>
          <w:szCs w:val="24"/>
        </w:rPr>
        <w:t>The Flexible Working Regulations 2014</w:t>
      </w:r>
      <w:r w:rsidRPr="007C12D1">
        <w:rPr>
          <w:rFonts w:ascii="Arial" w:eastAsia="Arial" w:hAnsi="Arial" w:cs="Arial"/>
          <w:sz w:val="24"/>
          <w:szCs w:val="24"/>
        </w:rPr>
        <w:t xml:space="preserve">. Available at: </w:t>
      </w:r>
      <w:hyperlink r:id="rId31">
        <w:r w:rsidRPr="007C12D1">
          <w:rPr>
            <w:rStyle w:val="Hyperlink"/>
            <w:rFonts w:ascii="Arial" w:eastAsia="Arial" w:hAnsi="Arial" w:cs="Arial"/>
            <w:sz w:val="24"/>
            <w:szCs w:val="24"/>
          </w:rPr>
          <w:t>https://www.legislation.gov.uk/uksi/2014/1398/made</w:t>
        </w:r>
      </w:hyperlink>
      <w:r w:rsidRPr="007C12D1">
        <w:rPr>
          <w:rFonts w:ascii="Arial" w:eastAsia="Arial" w:hAnsi="Arial" w:cs="Arial"/>
          <w:sz w:val="24"/>
          <w:szCs w:val="24"/>
        </w:rPr>
        <w:t xml:space="preserve">. </w:t>
      </w:r>
    </w:p>
    <w:p w14:paraId="2EE9B352" w14:textId="0D7CCD0C" w:rsidR="40947F01" w:rsidRPr="007C12D1" w:rsidRDefault="40947F01" w:rsidP="007C12D1">
      <w:pPr>
        <w:spacing w:line="360" w:lineRule="auto"/>
        <w:jc w:val="both"/>
        <w:rPr>
          <w:rFonts w:ascii="Arial" w:hAnsi="Arial" w:cs="Arial"/>
          <w:sz w:val="24"/>
          <w:szCs w:val="24"/>
        </w:rPr>
      </w:pPr>
      <w:r w:rsidRPr="007C12D1">
        <w:rPr>
          <w:rFonts w:ascii="Arial" w:eastAsia="Arial" w:hAnsi="Arial" w:cs="Arial"/>
          <w:sz w:val="24"/>
          <w:szCs w:val="24"/>
        </w:rPr>
        <w:t xml:space="preserve">Main, J. (2022). </w:t>
      </w:r>
      <w:r w:rsidRPr="007C12D1">
        <w:rPr>
          <w:rFonts w:ascii="Arial" w:eastAsia="Arial" w:hAnsi="Arial" w:cs="Arial"/>
          <w:i/>
          <w:iCs/>
          <w:sz w:val="24"/>
          <w:szCs w:val="24"/>
        </w:rPr>
        <w:t>Could a four-day working week soon become a reality in Wales?</w:t>
      </w:r>
      <w:r w:rsidRPr="007C12D1">
        <w:rPr>
          <w:rFonts w:ascii="Arial" w:eastAsia="Arial" w:hAnsi="Arial" w:cs="Arial"/>
          <w:sz w:val="24"/>
          <w:szCs w:val="24"/>
        </w:rPr>
        <w:t xml:space="preserve"> [online] ITV News. Available at: </w:t>
      </w:r>
      <w:hyperlink r:id="rId32">
        <w:r w:rsidRPr="007C12D1">
          <w:rPr>
            <w:rStyle w:val="Hyperlink"/>
            <w:rFonts w:ascii="Arial" w:eastAsia="Arial" w:hAnsi="Arial" w:cs="Arial"/>
            <w:sz w:val="24"/>
            <w:szCs w:val="24"/>
          </w:rPr>
          <w:t>https://www.itv.com/news/wales/2022-02-14/could-a-four-day-working-week-soon-become-a-reality-in-wales</w:t>
        </w:r>
      </w:hyperlink>
      <w:r w:rsidRPr="007C12D1">
        <w:rPr>
          <w:rFonts w:ascii="Arial" w:eastAsia="Arial" w:hAnsi="Arial" w:cs="Arial"/>
          <w:sz w:val="24"/>
          <w:szCs w:val="24"/>
        </w:rPr>
        <w:t xml:space="preserve"> (Accessed 19 May 2022).</w:t>
      </w:r>
    </w:p>
    <w:p w14:paraId="0B861BC4" w14:textId="1BAA3CB8" w:rsidR="40947F01" w:rsidRPr="007C12D1" w:rsidRDefault="40947F01" w:rsidP="007C12D1">
      <w:pPr>
        <w:spacing w:line="360" w:lineRule="auto"/>
        <w:jc w:val="both"/>
        <w:rPr>
          <w:rFonts w:ascii="Arial" w:hAnsi="Arial" w:cs="Arial"/>
          <w:sz w:val="24"/>
          <w:szCs w:val="24"/>
        </w:rPr>
      </w:pPr>
      <w:r w:rsidRPr="007C12D1">
        <w:rPr>
          <w:rFonts w:ascii="Arial" w:eastAsia="Arial" w:hAnsi="Arial" w:cs="Arial"/>
          <w:color w:val="222222"/>
          <w:sz w:val="24"/>
          <w:szCs w:val="24"/>
        </w:rPr>
        <w:t xml:space="preserve">Martinez, A.J., 2018. A Note on Nike’s Wages, </w:t>
      </w:r>
      <w:proofErr w:type="spellStart"/>
      <w:r w:rsidRPr="007C12D1">
        <w:rPr>
          <w:rFonts w:ascii="Arial" w:eastAsia="Arial" w:hAnsi="Arial" w:cs="Arial"/>
          <w:color w:val="222222"/>
          <w:sz w:val="24"/>
          <w:szCs w:val="24"/>
        </w:rPr>
        <w:t>Labor</w:t>
      </w:r>
      <w:proofErr w:type="spellEnd"/>
      <w:r w:rsidRPr="007C12D1">
        <w:rPr>
          <w:rFonts w:ascii="Arial" w:eastAsia="Arial" w:hAnsi="Arial" w:cs="Arial"/>
          <w:color w:val="222222"/>
          <w:sz w:val="24"/>
          <w:szCs w:val="24"/>
        </w:rPr>
        <w:t xml:space="preserve"> Exploitation and Profits in the Garment Industry. </w:t>
      </w:r>
      <w:r w:rsidRPr="007C12D1">
        <w:rPr>
          <w:rFonts w:ascii="Arial" w:eastAsia="Arial" w:hAnsi="Arial" w:cs="Arial"/>
          <w:i/>
          <w:iCs/>
          <w:color w:val="222222"/>
          <w:sz w:val="24"/>
          <w:szCs w:val="24"/>
        </w:rPr>
        <w:t>International Journal of Education and Social Science Research</w:t>
      </w:r>
      <w:r w:rsidRPr="007C12D1">
        <w:rPr>
          <w:rFonts w:ascii="Arial" w:eastAsia="Arial" w:hAnsi="Arial" w:cs="Arial"/>
          <w:color w:val="222222"/>
          <w:sz w:val="24"/>
          <w:szCs w:val="24"/>
        </w:rPr>
        <w:t xml:space="preserve">, </w:t>
      </w:r>
      <w:r w:rsidRPr="007C12D1">
        <w:rPr>
          <w:rFonts w:ascii="Arial" w:eastAsia="Arial" w:hAnsi="Arial" w:cs="Arial"/>
          <w:i/>
          <w:iCs/>
          <w:color w:val="222222"/>
          <w:sz w:val="24"/>
          <w:szCs w:val="24"/>
        </w:rPr>
        <w:t>1</w:t>
      </w:r>
      <w:r w:rsidRPr="007C12D1">
        <w:rPr>
          <w:rFonts w:ascii="Arial" w:eastAsia="Arial" w:hAnsi="Arial" w:cs="Arial"/>
          <w:color w:val="222222"/>
          <w:sz w:val="24"/>
          <w:szCs w:val="24"/>
        </w:rPr>
        <w:t>(6), pp.43-50.</w:t>
      </w:r>
    </w:p>
    <w:p w14:paraId="1ED7CE07" w14:textId="3E14AB29" w:rsidR="40947F01" w:rsidRPr="007C12D1" w:rsidRDefault="40947F01" w:rsidP="007C12D1">
      <w:pPr>
        <w:spacing w:line="360" w:lineRule="auto"/>
        <w:jc w:val="both"/>
        <w:rPr>
          <w:rFonts w:ascii="Arial" w:hAnsi="Arial" w:cs="Arial"/>
          <w:sz w:val="24"/>
          <w:szCs w:val="24"/>
        </w:rPr>
      </w:pPr>
      <w:r w:rsidRPr="007C12D1">
        <w:rPr>
          <w:rFonts w:ascii="Arial" w:eastAsia="Arial" w:hAnsi="Arial" w:cs="Arial"/>
          <w:sz w:val="24"/>
          <w:szCs w:val="24"/>
        </w:rPr>
        <w:t xml:space="preserve">Marsh Commercial. (2014). </w:t>
      </w:r>
      <w:r w:rsidRPr="007C12D1">
        <w:rPr>
          <w:rFonts w:ascii="Arial" w:eastAsia="Arial" w:hAnsi="Arial" w:cs="Arial"/>
          <w:i/>
          <w:iCs/>
          <w:sz w:val="24"/>
          <w:szCs w:val="24"/>
        </w:rPr>
        <w:t>The Flexible Working Regulations 2014</w:t>
      </w:r>
      <w:r w:rsidRPr="007C12D1">
        <w:rPr>
          <w:rFonts w:ascii="Arial" w:eastAsia="Arial" w:hAnsi="Arial" w:cs="Arial"/>
          <w:sz w:val="24"/>
          <w:szCs w:val="24"/>
        </w:rPr>
        <w:t xml:space="preserve">. Available at: </w:t>
      </w:r>
      <w:hyperlink r:id="rId33">
        <w:r w:rsidRPr="007C12D1">
          <w:rPr>
            <w:rStyle w:val="Hyperlink"/>
            <w:rFonts w:ascii="Arial" w:eastAsia="Arial" w:hAnsi="Arial" w:cs="Arial"/>
            <w:sz w:val="24"/>
            <w:szCs w:val="24"/>
          </w:rPr>
          <w:t>https://www.marshcommercial.co.uk/articles/flexible-working-regulations-2014/</w:t>
        </w:r>
      </w:hyperlink>
      <w:r w:rsidRPr="007C12D1">
        <w:rPr>
          <w:rFonts w:ascii="Arial" w:eastAsia="Arial" w:hAnsi="Arial" w:cs="Arial"/>
          <w:sz w:val="24"/>
          <w:szCs w:val="24"/>
        </w:rPr>
        <w:t>.(Accessed 19 May 2022).</w:t>
      </w:r>
    </w:p>
    <w:p w14:paraId="40A6CEAF" w14:textId="52D99C88" w:rsidR="40947F01" w:rsidRPr="007C12D1" w:rsidRDefault="40947F01" w:rsidP="007C12D1">
      <w:pPr>
        <w:spacing w:line="360" w:lineRule="auto"/>
        <w:jc w:val="both"/>
        <w:rPr>
          <w:rFonts w:ascii="Arial" w:hAnsi="Arial" w:cs="Arial"/>
          <w:sz w:val="24"/>
          <w:szCs w:val="24"/>
        </w:rPr>
      </w:pPr>
      <w:r w:rsidRPr="007C12D1">
        <w:rPr>
          <w:rFonts w:ascii="Arial" w:eastAsia="Arial" w:hAnsi="Arial" w:cs="Arial"/>
          <w:sz w:val="24"/>
          <w:szCs w:val="24"/>
        </w:rPr>
        <w:t xml:space="preserve">Maxwell, G. (2021). </w:t>
      </w:r>
      <w:r w:rsidRPr="007C12D1">
        <w:rPr>
          <w:rFonts w:ascii="Arial" w:eastAsia="Arial" w:hAnsi="Arial" w:cs="Arial"/>
          <w:i/>
          <w:iCs/>
          <w:sz w:val="24"/>
          <w:szCs w:val="24"/>
        </w:rPr>
        <w:t>Employee Turnover &amp; Retention | Factsheets | CIPD</w:t>
      </w:r>
      <w:r w:rsidRPr="007C12D1">
        <w:rPr>
          <w:rFonts w:ascii="Arial" w:eastAsia="Arial" w:hAnsi="Arial" w:cs="Arial"/>
          <w:sz w:val="24"/>
          <w:szCs w:val="24"/>
        </w:rPr>
        <w:t xml:space="preserve">. CIPD. Available at: </w:t>
      </w:r>
      <w:hyperlink r:id="rId34">
        <w:r w:rsidRPr="007C12D1">
          <w:rPr>
            <w:rStyle w:val="Hyperlink"/>
            <w:rFonts w:ascii="Arial" w:eastAsia="Arial" w:hAnsi="Arial" w:cs="Arial"/>
            <w:sz w:val="24"/>
            <w:szCs w:val="24"/>
          </w:rPr>
          <w:t>https://www.cipd.co.uk/knowledge/strategy/resourcing/turnover-retention-factsheet</w:t>
        </w:r>
      </w:hyperlink>
      <w:r w:rsidRPr="007C12D1">
        <w:rPr>
          <w:rFonts w:ascii="Arial" w:eastAsia="Arial" w:hAnsi="Arial" w:cs="Arial"/>
          <w:sz w:val="24"/>
          <w:szCs w:val="24"/>
        </w:rPr>
        <w:t>. (Accessed 19 May 2022).</w:t>
      </w:r>
    </w:p>
    <w:p w14:paraId="206232F5" w14:textId="34813209" w:rsidR="40947F01" w:rsidRPr="007C12D1" w:rsidRDefault="40947F01" w:rsidP="007C12D1">
      <w:pPr>
        <w:spacing w:line="360" w:lineRule="auto"/>
        <w:jc w:val="both"/>
        <w:rPr>
          <w:rFonts w:ascii="Arial" w:hAnsi="Arial" w:cs="Arial"/>
          <w:sz w:val="24"/>
          <w:szCs w:val="24"/>
        </w:rPr>
      </w:pPr>
      <w:r w:rsidRPr="007C12D1">
        <w:rPr>
          <w:rFonts w:ascii="Arial" w:eastAsia="Arial" w:hAnsi="Arial" w:cs="Arial"/>
          <w:sz w:val="24"/>
          <w:szCs w:val="24"/>
        </w:rPr>
        <w:t xml:space="preserve">McCulloch, A (2020). </w:t>
      </w:r>
      <w:r w:rsidRPr="007C12D1">
        <w:rPr>
          <w:rFonts w:ascii="Arial" w:eastAsia="Arial" w:hAnsi="Arial" w:cs="Arial"/>
          <w:i/>
          <w:iCs/>
          <w:sz w:val="24"/>
          <w:szCs w:val="24"/>
        </w:rPr>
        <w:t>Four-day week affordable for most businesses, study suggests</w:t>
      </w:r>
      <w:r w:rsidRPr="007C12D1">
        <w:rPr>
          <w:rFonts w:ascii="Arial" w:eastAsia="Arial" w:hAnsi="Arial" w:cs="Arial"/>
          <w:sz w:val="24"/>
          <w:szCs w:val="24"/>
        </w:rPr>
        <w:t xml:space="preserve">. Personnel Today. Available at: </w:t>
      </w:r>
      <w:hyperlink r:id="rId35">
        <w:r w:rsidRPr="007C12D1">
          <w:rPr>
            <w:rStyle w:val="Hyperlink"/>
            <w:rFonts w:ascii="Arial" w:eastAsia="Arial" w:hAnsi="Arial" w:cs="Arial"/>
            <w:sz w:val="24"/>
            <w:szCs w:val="24"/>
          </w:rPr>
          <w:t>https://www.personneltoday.com/hr/four-day-week-affordable-for-most-businesses-study-suggests/</w:t>
        </w:r>
      </w:hyperlink>
      <w:r w:rsidRPr="007C12D1">
        <w:rPr>
          <w:rFonts w:ascii="Arial" w:eastAsia="Arial" w:hAnsi="Arial" w:cs="Arial"/>
          <w:sz w:val="24"/>
          <w:szCs w:val="24"/>
        </w:rPr>
        <w:t>. (Accessed 19 May 2022).</w:t>
      </w:r>
    </w:p>
    <w:p w14:paraId="4491FFF5" w14:textId="15F53914" w:rsidR="40947F01" w:rsidRPr="007C12D1" w:rsidRDefault="40947F01" w:rsidP="007C12D1">
      <w:pPr>
        <w:spacing w:line="360" w:lineRule="auto"/>
        <w:jc w:val="both"/>
        <w:rPr>
          <w:rFonts w:ascii="Arial" w:hAnsi="Arial" w:cs="Arial"/>
          <w:sz w:val="24"/>
          <w:szCs w:val="24"/>
        </w:rPr>
      </w:pPr>
      <w:r w:rsidRPr="007C12D1">
        <w:rPr>
          <w:rFonts w:ascii="Arial" w:eastAsia="Arial" w:hAnsi="Arial" w:cs="Arial"/>
          <w:sz w:val="24"/>
          <w:szCs w:val="24"/>
        </w:rPr>
        <w:lastRenderedPageBreak/>
        <w:t xml:space="preserve">McKinsey &amp; Company (2021). </w:t>
      </w:r>
      <w:r w:rsidRPr="007C12D1">
        <w:rPr>
          <w:rFonts w:ascii="Arial" w:eastAsia="Arial" w:hAnsi="Arial" w:cs="Arial"/>
          <w:i/>
          <w:iCs/>
          <w:sz w:val="24"/>
          <w:szCs w:val="24"/>
        </w:rPr>
        <w:t>Coronavirus’ Business Impact: Evolving Perspective</w:t>
      </w:r>
      <w:r w:rsidRPr="007C12D1">
        <w:rPr>
          <w:rFonts w:ascii="Arial" w:eastAsia="Arial" w:hAnsi="Arial" w:cs="Arial"/>
          <w:sz w:val="24"/>
          <w:szCs w:val="24"/>
        </w:rPr>
        <w:t xml:space="preserve">. </w:t>
      </w:r>
      <w:hyperlink>
        <w:r w:rsidRPr="007C12D1">
          <w:rPr>
            <w:rStyle w:val="Hyperlink"/>
            <w:rFonts w:ascii="Arial" w:eastAsia="Arial" w:hAnsi="Arial" w:cs="Arial"/>
            <w:sz w:val="24"/>
            <w:szCs w:val="24"/>
          </w:rPr>
          <w:t>www.mckinsey.com</w:t>
        </w:r>
      </w:hyperlink>
      <w:r w:rsidRPr="007C12D1">
        <w:rPr>
          <w:rFonts w:ascii="Arial" w:eastAsia="Arial" w:hAnsi="Arial" w:cs="Arial"/>
          <w:sz w:val="24"/>
          <w:szCs w:val="24"/>
        </w:rPr>
        <w:t xml:space="preserve">. Available at: </w:t>
      </w:r>
      <w:hyperlink r:id="rId36">
        <w:r w:rsidRPr="007C12D1">
          <w:rPr>
            <w:rStyle w:val="Hyperlink"/>
            <w:rFonts w:ascii="Arial" w:eastAsia="Arial" w:hAnsi="Arial" w:cs="Arial"/>
            <w:sz w:val="24"/>
            <w:szCs w:val="24"/>
          </w:rPr>
          <w:t>https://www.mckinsey.com/business-functions/risk-and-resilience/our-insights/covid-19-implications-for-business</w:t>
        </w:r>
      </w:hyperlink>
      <w:r w:rsidRPr="007C12D1">
        <w:rPr>
          <w:rFonts w:ascii="Arial" w:eastAsia="Arial" w:hAnsi="Arial" w:cs="Arial"/>
          <w:sz w:val="24"/>
          <w:szCs w:val="24"/>
        </w:rPr>
        <w:t>. (Accessed 19 May 2022).</w:t>
      </w:r>
    </w:p>
    <w:p w14:paraId="67675A48" w14:textId="1A7832CE" w:rsidR="40947F01" w:rsidRPr="007C12D1" w:rsidRDefault="40947F01" w:rsidP="007C12D1">
      <w:pPr>
        <w:spacing w:line="360" w:lineRule="auto"/>
        <w:jc w:val="both"/>
        <w:rPr>
          <w:rFonts w:ascii="Arial" w:hAnsi="Arial" w:cs="Arial"/>
          <w:sz w:val="24"/>
          <w:szCs w:val="24"/>
        </w:rPr>
      </w:pPr>
      <w:r w:rsidRPr="007C12D1">
        <w:rPr>
          <w:rFonts w:ascii="Arial" w:eastAsia="Arial" w:hAnsi="Arial" w:cs="Arial"/>
          <w:sz w:val="24"/>
          <w:szCs w:val="24"/>
        </w:rPr>
        <w:t xml:space="preserve">Milner. (2019). Gender pay gap reporting regulations: advancing gender equality policy in tough economic times. British Politics, 14(2), 121–140. </w:t>
      </w:r>
      <w:hyperlink r:id="rId37">
        <w:r w:rsidRPr="007C12D1">
          <w:rPr>
            <w:rStyle w:val="Hyperlink"/>
            <w:rFonts w:ascii="Arial" w:eastAsia="Arial" w:hAnsi="Arial" w:cs="Arial"/>
            <w:sz w:val="24"/>
            <w:szCs w:val="24"/>
          </w:rPr>
          <w:t>https://doi.org/10.1057/s41293-018-00101-4</w:t>
        </w:r>
      </w:hyperlink>
    </w:p>
    <w:p w14:paraId="27D8C515" w14:textId="254332BB" w:rsidR="40947F01" w:rsidRPr="007C12D1" w:rsidRDefault="40947F01" w:rsidP="007C12D1">
      <w:pPr>
        <w:spacing w:line="360" w:lineRule="auto"/>
        <w:jc w:val="both"/>
        <w:rPr>
          <w:rFonts w:ascii="Arial" w:hAnsi="Arial" w:cs="Arial"/>
          <w:sz w:val="24"/>
          <w:szCs w:val="24"/>
        </w:rPr>
      </w:pPr>
      <w:proofErr w:type="spellStart"/>
      <w:r w:rsidRPr="007C12D1">
        <w:rPr>
          <w:rFonts w:ascii="Arial" w:eastAsia="Arial" w:hAnsi="Arial" w:cs="Arial"/>
          <w:sz w:val="24"/>
          <w:szCs w:val="24"/>
        </w:rPr>
        <w:t>Mistreanu</w:t>
      </w:r>
      <w:proofErr w:type="spellEnd"/>
      <w:r w:rsidRPr="007C12D1">
        <w:rPr>
          <w:rFonts w:ascii="Arial" w:eastAsia="Arial" w:hAnsi="Arial" w:cs="Arial"/>
          <w:sz w:val="24"/>
          <w:szCs w:val="24"/>
        </w:rPr>
        <w:t xml:space="preserve">, S. (2020). </w:t>
      </w:r>
      <w:r w:rsidRPr="007C12D1">
        <w:rPr>
          <w:rFonts w:ascii="Arial" w:eastAsia="Arial" w:hAnsi="Arial" w:cs="Arial"/>
          <w:i/>
          <w:iCs/>
          <w:sz w:val="24"/>
          <w:szCs w:val="24"/>
        </w:rPr>
        <w:t xml:space="preserve">Study Links Nike, Adidas </w:t>
      </w:r>
      <w:proofErr w:type="gramStart"/>
      <w:r w:rsidRPr="007C12D1">
        <w:rPr>
          <w:rFonts w:ascii="Arial" w:eastAsia="Arial" w:hAnsi="Arial" w:cs="Arial"/>
          <w:i/>
          <w:iCs/>
          <w:sz w:val="24"/>
          <w:szCs w:val="24"/>
        </w:rPr>
        <w:t>And</w:t>
      </w:r>
      <w:proofErr w:type="gramEnd"/>
      <w:r w:rsidRPr="007C12D1">
        <w:rPr>
          <w:rFonts w:ascii="Arial" w:eastAsia="Arial" w:hAnsi="Arial" w:cs="Arial"/>
          <w:i/>
          <w:iCs/>
          <w:sz w:val="24"/>
          <w:szCs w:val="24"/>
        </w:rPr>
        <w:t xml:space="preserve"> Apple To Forced Uighur </w:t>
      </w:r>
      <w:proofErr w:type="spellStart"/>
      <w:r w:rsidRPr="007C12D1">
        <w:rPr>
          <w:rFonts w:ascii="Arial" w:eastAsia="Arial" w:hAnsi="Arial" w:cs="Arial"/>
          <w:i/>
          <w:iCs/>
          <w:sz w:val="24"/>
          <w:szCs w:val="24"/>
        </w:rPr>
        <w:t>Labor</w:t>
      </w:r>
      <w:proofErr w:type="spellEnd"/>
      <w:r w:rsidRPr="007C12D1">
        <w:rPr>
          <w:rFonts w:ascii="Arial" w:eastAsia="Arial" w:hAnsi="Arial" w:cs="Arial"/>
          <w:sz w:val="24"/>
          <w:szCs w:val="24"/>
        </w:rPr>
        <w:t xml:space="preserve">. Forbes. Available at: </w:t>
      </w:r>
      <w:hyperlink r:id="rId38">
        <w:r w:rsidRPr="007C12D1">
          <w:rPr>
            <w:rStyle w:val="Hyperlink"/>
            <w:rFonts w:ascii="Arial" w:eastAsia="Arial" w:hAnsi="Arial" w:cs="Arial"/>
            <w:sz w:val="24"/>
            <w:szCs w:val="24"/>
          </w:rPr>
          <w:t>https://www.forbes.com/sites/siminamistreanu/2020/03/02/study-links-nike-adidas-and-apple-to-forced-uighur-labor/?sh=7eafd9c21003</w:t>
        </w:r>
      </w:hyperlink>
      <w:r w:rsidRPr="007C12D1">
        <w:rPr>
          <w:rFonts w:ascii="Arial" w:eastAsia="Arial" w:hAnsi="Arial" w:cs="Arial"/>
          <w:sz w:val="24"/>
          <w:szCs w:val="24"/>
        </w:rPr>
        <w:t xml:space="preserve"> (Accessed 19 May 2022).</w:t>
      </w:r>
    </w:p>
    <w:p w14:paraId="454BB4D3" w14:textId="48A333F4" w:rsidR="40947F01" w:rsidRPr="007C12D1" w:rsidRDefault="40947F01" w:rsidP="007C12D1">
      <w:pPr>
        <w:spacing w:line="360" w:lineRule="auto"/>
        <w:jc w:val="both"/>
        <w:rPr>
          <w:rFonts w:ascii="Arial" w:hAnsi="Arial" w:cs="Arial"/>
          <w:sz w:val="24"/>
          <w:szCs w:val="24"/>
        </w:rPr>
      </w:pPr>
      <w:r w:rsidRPr="007C12D1">
        <w:rPr>
          <w:rFonts w:ascii="Arial" w:eastAsia="Arial" w:hAnsi="Arial" w:cs="Arial"/>
          <w:color w:val="222222"/>
          <w:sz w:val="24"/>
          <w:szCs w:val="24"/>
        </w:rPr>
        <w:t xml:space="preserve">Monks, K., 1992. Models of personnel management: a means of understanding the diversity of personnel </w:t>
      </w:r>
      <w:proofErr w:type="gramStart"/>
      <w:r w:rsidRPr="007C12D1">
        <w:rPr>
          <w:rFonts w:ascii="Arial" w:eastAsia="Arial" w:hAnsi="Arial" w:cs="Arial"/>
          <w:color w:val="222222"/>
          <w:sz w:val="24"/>
          <w:szCs w:val="24"/>
        </w:rPr>
        <w:t>practices?.</w:t>
      </w:r>
      <w:proofErr w:type="gramEnd"/>
      <w:r w:rsidRPr="007C12D1">
        <w:rPr>
          <w:rFonts w:ascii="Arial" w:eastAsia="Arial" w:hAnsi="Arial" w:cs="Arial"/>
          <w:color w:val="222222"/>
          <w:sz w:val="24"/>
          <w:szCs w:val="24"/>
        </w:rPr>
        <w:t xml:space="preserve"> </w:t>
      </w:r>
      <w:r w:rsidRPr="007C12D1">
        <w:rPr>
          <w:rFonts w:ascii="Arial" w:eastAsia="Times New Roman" w:hAnsi="Arial" w:cs="Arial"/>
          <w:i/>
          <w:iCs/>
          <w:sz w:val="24"/>
          <w:szCs w:val="24"/>
        </w:rPr>
        <w:t>Human Resource Management Journal</w:t>
      </w:r>
      <w:r w:rsidRPr="007C12D1">
        <w:rPr>
          <w:rFonts w:ascii="Arial" w:eastAsia="Times New Roman" w:hAnsi="Arial" w:cs="Arial"/>
          <w:sz w:val="24"/>
          <w:szCs w:val="24"/>
        </w:rPr>
        <w:t xml:space="preserve">, </w:t>
      </w:r>
      <w:r w:rsidRPr="007C12D1">
        <w:rPr>
          <w:rFonts w:ascii="Arial" w:eastAsia="Times New Roman" w:hAnsi="Arial" w:cs="Arial"/>
          <w:i/>
          <w:iCs/>
          <w:sz w:val="24"/>
          <w:szCs w:val="24"/>
        </w:rPr>
        <w:t>3</w:t>
      </w:r>
      <w:r w:rsidRPr="007C12D1">
        <w:rPr>
          <w:rFonts w:ascii="Arial" w:eastAsia="Times New Roman" w:hAnsi="Arial" w:cs="Arial"/>
          <w:sz w:val="24"/>
          <w:szCs w:val="24"/>
        </w:rPr>
        <w:t>(2), pp.29-</w:t>
      </w:r>
      <w:proofErr w:type="gramStart"/>
      <w:r w:rsidRPr="007C12D1">
        <w:rPr>
          <w:rFonts w:ascii="Arial" w:eastAsia="Times New Roman" w:hAnsi="Arial" w:cs="Arial"/>
          <w:sz w:val="24"/>
          <w:szCs w:val="24"/>
        </w:rPr>
        <w:t>41.</w:t>
      </w:r>
      <w:r w:rsidRPr="007C12D1">
        <w:rPr>
          <w:rFonts w:ascii="Arial" w:eastAsia="Arial" w:hAnsi="Arial" w:cs="Arial"/>
          <w:sz w:val="24"/>
          <w:szCs w:val="24"/>
        </w:rPr>
        <w:t>N</w:t>
      </w:r>
      <w:proofErr w:type="gramEnd"/>
    </w:p>
    <w:p w14:paraId="42E2DCE4" w14:textId="3A913B45" w:rsidR="40947F01" w:rsidRPr="007C12D1" w:rsidRDefault="40947F01" w:rsidP="007C12D1">
      <w:pPr>
        <w:spacing w:line="360" w:lineRule="auto"/>
        <w:jc w:val="both"/>
        <w:rPr>
          <w:rFonts w:ascii="Arial" w:hAnsi="Arial" w:cs="Arial"/>
          <w:sz w:val="24"/>
          <w:szCs w:val="24"/>
        </w:rPr>
      </w:pPr>
      <w:r w:rsidRPr="007C12D1">
        <w:rPr>
          <w:rFonts w:ascii="Arial" w:eastAsia="Arial" w:hAnsi="Arial" w:cs="Arial"/>
          <w:sz w:val="24"/>
          <w:szCs w:val="24"/>
        </w:rPr>
        <w:t xml:space="preserve">Office for National Statistics (2021). </w:t>
      </w:r>
      <w:r w:rsidRPr="007C12D1">
        <w:rPr>
          <w:rFonts w:ascii="Arial" w:eastAsia="Arial" w:hAnsi="Arial" w:cs="Arial"/>
          <w:i/>
          <w:iCs/>
          <w:sz w:val="24"/>
          <w:szCs w:val="24"/>
        </w:rPr>
        <w:t>Gender Pay Gap in the UK - Office for National Statistics</w:t>
      </w:r>
      <w:r w:rsidRPr="007C12D1">
        <w:rPr>
          <w:rFonts w:ascii="Arial" w:eastAsia="Arial" w:hAnsi="Arial" w:cs="Arial"/>
          <w:sz w:val="24"/>
          <w:szCs w:val="24"/>
        </w:rPr>
        <w:t xml:space="preserve">. Available at: </w:t>
      </w:r>
      <w:hyperlink r:id="rId39">
        <w:r w:rsidRPr="007C12D1">
          <w:rPr>
            <w:rStyle w:val="Hyperlink"/>
            <w:rFonts w:ascii="Arial" w:eastAsia="Arial" w:hAnsi="Arial" w:cs="Arial"/>
            <w:sz w:val="24"/>
            <w:szCs w:val="24"/>
          </w:rPr>
          <w:t>https://www.ons.gov.uk/employmentandlabourmarket/peopleinwork/earningsandworkinghours/bulletins/genderpaygapintheuk/2021</w:t>
        </w:r>
      </w:hyperlink>
      <w:r w:rsidRPr="007C12D1">
        <w:rPr>
          <w:rFonts w:ascii="Arial" w:eastAsia="Arial" w:hAnsi="Arial" w:cs="Arial"/>
          <w:sz w:val="24"/>
          <w:szCs w:val="24"/>
        </w:rPr>
        <w:t xml:space="preserve">. </w:t>
      </w:r>
    </w:p>
    <w:p w14:paraId="5B9EECD1" w14:textId="0BE48E4E" w:rsidR="40947F01" w:rsidRPr="007C12D1" w:rsidRDefault="40947F01" w:rsidP="007C12D1">
      <w:pPr>
        <w:spacing w:line="360" w:lineRule="auto"/>
        <w:jc w:val="both"/>
        <w:rPr>
          <w:rFonts w:ascii="Arial" w:hAnsi="Arial" w:cs="Arial"/>
          <w:sz w:val="24"/>
          <w:szCs w:val="24"/>
        </w:rPr>
      </w:pPr>
      <w:proofErr w:type="spellStart"/>
      <w:r w:rsidRPr="007C12D1">
        <w:rPr>
          <w:rFonts w:ascii="Arial" w:eastAsia="Arial" w:hAnsi="Arial" w:cs="Arial"/>
          <w:sz w:val="24"/>
          <w:szCs w:val="24"/>
        </w:rPr>
        <w:t>PeopleHum</w:t>
      </w:r>
      <w:proofErr w:type="spellEnd"/>
      <w:r w:rsidRPr="007C12D1">
        <w:rPr>
          <w:rFonts w:ascii="Arial" w:eastAsia="Arial" w:hAnsi="Arial" w:cs="Arial"/>
          <w:sz w:val="24"/>
          <w:szCs w:val="24"/>
        </w:rPr>
        <w:t xml:space="preserve"> (2022). </w:t>
      </w:r>
      <w:r w:rsidRPr="007C12D1">
        <w:rPr>
          <w:rFonts w:ascii="Arial" w:eastAsia="Arial" w:hAnsi="Arial" w:cs="Arial"/>
          <w:i/>
          <w:iCs/>
          <w:sz w:val="24"/>
          <w:szCs w:val="24"/>
        </w:rPr>
        <w:t>The Cons of a 4-Day Workweek</w:t>
      </w:r>
      <w:r w:rsidRPr="007C12D1">
        <w:rPr>
          <w:rFonts w:ascii="Arial" w:eastAsia="Arial" w:hAnsi="Arial" w:cs="Arial"/>
          <w:sz w:val="24"/>
          <w:szCs w:val="24"/>
        </w:rPr>
        <w:t xml:space="preserve">. Available at: </w:t>
      </w:r>
      <w:hyperlink r:id="rId40">
        <w:r w:rsidRPr="007C12D1">
          <w:rPr>
            <w:rStyle w:val="Hyperlink"/>
            <w:rFonts w:ascii="Arial" w:eastAsia="Arial" w:hAnsi="Arial" w:cs="Arial"/>
            <w:sz w:val="24"/>
            <w:szCs w:val="24"/>
          </w:rPr>
          <w:t>https://www.linkedin.com/pulse/cons-4-day-workweek-peoplehum</w:t>
        </w:r>
      </w:hyperlink>
      <w:r w:rsidRPr="007C12D1">
        <w:rPr>
          <w:rFonts w:ascii="Arial" w:eastAsia="Arial" w:hAnsi="Arial" w:cs="Arial"/>
          <w:sz w:val="24"/>
          <w:szCs w:val="24"/>
        </w:rPr>
        <w:t xml:space="preserve"> (Accessed 19 May 2022).</w:t>
      </w:r>
    </w:p>
    <w:p w14:paraId="3CE64529" w14:textId="529275B7" w:rsidR="40947F01" w:rsidRPr="007C12D1" w:rsidRDefault="40947F01" w:rsidP="007C12D1">
      <w:pPr>
        <w:spacing w:line="360" w:lineRule="auto"/>
        <w:jc w:val="both"/>
        <w:rPr>
          <w:rFonts w:ascii="Arial" w:hAnsi="Arial" w:cs="Arial"/>
          <w:sz w:val="24"/>
          <w:szCs w:val="24"/>
        </w:rPr>
      </w:pPr>
      <w:r w:rsidRPr="007C12D1">
        <w:rPr>
          <w:rFonts w:ascii="Arial" w:eastAsia="Arial" w:hAnsi="Arial" w:cs="Arial"/>
          <w:sz w:val="24"/>
          <w:szCs w:val="24"/>
        </w:rPr>
        <w:t xml:space="preserve">Pitcher, G. (2008). </w:t>
      </w:r>
      <w:r w:rsidRPr="007C12D1">
        <w:rPr>
          <w:rFonts w:ascii="Arial" w:eastAsia="Arial" w:hAnsi="Arial" w:cs="Arial"/>
          <w:i/>
          <w:iCs/>
          <w:sz w:val="24"/>
          <w:szCs w:val="24"/>
        </w:rPr>
        <w:t>Backlash against human resources business partner model as managers question results</w:t>
      </w:r>
      <w:r w:rsidRPr="007C12D1">
        <w:rPr>
          <w:rFonts w:ascii="Arial" w:eastAsia="Arial" w:hAnsi="Arial" w:cs="Arial"/>
          <w:sz w:val="24"/>
          <w:szCs w:val="24"/>
        </w:rPr>
        <w:t xml:space="preserve">. Personnel Today. Available at: </w:t>
      </w:r>
      <w:hyperlink r:id="rId41">
        <w:r w:rsidRPr="007C12D1">
          <w:rPr>
            <w:rStyle w:val="Hyperlink"/>
            <w:rFonts w:ascii="Arial" w:eastAsia="Arial" w:hAnsi="Arial" w:cs="Arial"/>
            <w:sz w:val="24"/>
            <w:szCs w:val="24"/>
          </w:rPr>
          <w:t>https://www.personneltoday.com/hr/backlash-against-human-resources-business-partner-model-as-managers-question-results/</w:t>
        </w:r>
      </w:hyperlink>
      <w:r w:rsidRPr="007C12D1">
        <w:rPr>
          <w:rFonts w:ascii="Arial" w:eastAsia="Arial" w:hAnsi="Arial" w:cs="Arial"/>
          <w:sz w:val="24"/>
          <w:szCs w:val="24"/>
        </w:rPr>
        <w:t xml:space="preserve"> (Accessed 19 May 2022).</w:t>
      </w:r>
    </w:p>
    <w:p w14:paraId="4AEAC867" w14:textId="4F3E4FD4" w:rsidR="40947F01" w:rsidRPr="007C12D1" w:rsidRDefault="40947F01" w:rsidP="007C12D1">
      <w:pPr>
        <w:spacing w:line="360" w:lineRule="auto"/>
        <w:jc w:val="both"/>
        <w:rPr>
          <w:rFonts w:ascii="Arial" w:hAnsi="Arial" w:cs="Arial"/>
          <w:sz w:val="24"/>
          <w:szCs w:val="24"/>
        </w:rPr>
      </w:pPr>
      <w:r w:rsidRPr="007C12D1">
        <w:rPr>
          <w:rFonts w:ascii="Arial" w:eastAsia="Arial" w:hAnsi="Arial" w:cs="Arial"/>
          <w:sz w:val="24"/>
          <w:szCs w:val="24"/>
        </w:rPr>
        <w:t xml:space="preserve">Porter, M (2004) </w:t>
      </w:r>
      <w:r w:rsidRPr="007C12D1">
        <w:rPr>
          <w:rFonts w:ascii="Arial" w:eastAsia="Arial" w:hAnsi="Arial" w:cs="Arial"/>
          <w:i/>
          <w:iCs/>
          <w:sz w:val="24"/>
          <w:szCs w:val="24"/>
        </w:rPr>
        <w:t xml:space="preserve">Competitive strategy: creating and sustaining superior performance. </w:t>
      </w:r>
      <w:r w:rsidRPr="007C12D1">
        <w:rPr>
          <w:rFonts w:ascii="Arial" w:eastAsia="Arial" w:hAnsi="Arial" w:cs="Arial"/>
          <w:sz w:val="24"/>
          <w:szCs w:val="24"/>
        </w:rPr>
        <w:t>2</w:t>
      </w:r>
      <w:r w:rsidRPr="007C12D1">
        <w:rPr>
          <w:rFonts w:ascii="Arial" w:eastAsia="Arial" w:hAnsi="Arial" w:cs="Arial"/>
          <w:sz w:val="24"/>
          <w:szCs w:val="24"/>
          <w:vertAlign w:val="superscript"/>
        </w:rPr>
        <w:t>nd</w:t>
      </w:r>
      <w:r w:rsidRPr="007C12D1">
        <w:rPr>
          <w:rFonts w:ascii="Arial" w:eastAsia="Arial" w:hAnsi="Arial" w:cs="Arial"/>
          <w:sz w:val="24"/>
          <w:szCs w:val="24"/>
        </w:rPr>
        <w:t xml:space="preserve"> Ed. New York: Free Press </w:t>
      </w:r>
    </w:p>
    <w:p w14:paraId="775BDF1C" w14:textId="0957037C" w:rsidR="40947F01" w:rsidRPr="007C12D1" w:rsidRDefault="40947F01" w:rsidP="007C12D1">
      <w:pPr>
        <w:spacing w:line="360" w:lineRule="auto"/>
        <w:jc w:val="both"/>
        <w:rPr>
          <w:rFonts w:ascii="Arial" w:hAnsi="Arial" w:cs="Arial"/>
          <w:sz w:val="24"/>
          <w:szCs w:val="24"/>
        </w:rPr>
      </w:pPr>
      <w:r w:rsidRPr="007C12D1">
        <w:rPr>
          <w:rFonts w:ascii="Arial" w:eastAsia="Arial" w:hAnsi="Arial" w:cs="Arial"/>
          <w:sz w:val="24"/>
          <w:szCs w:val="24"/>
        </w:rPr>
        <w:t xml:space="preserve">Powell, C., (2022) Chancellor’s Spring Statement: What does HR need to know. </w:t>
      </w:r>
      <w:r w:rsidRPr="007C12D1">
        <w:rPr>
          <w:rFonts w:ascii="Arial" w:eastAsia="Arial" w:hAnsi="Arial" w:cs="Arial"/>
          <w:i/>
          <w:iCs/>
          <w:sz w:val="24"/>
          <w:szCs w:val="24"/>
        </w:rPr>
        <w:t xml:space="preserve">People Management. </w:t>
      </w:r>
    </w:p>
    <w:p w14:paraId="676A00C2" w14:textId="3D676E72" w:rsidR="40947F01" w:rsidRPr="007C12D1" w:rsidRDefault="40947F01" w:rsidP="007C12D1">
      <w:pPr>
        <w:spacing w:line="360" w:lineRule="auto"/>
        <w:jc w:val="both"/>
        <w:rPr>
          <w:rFonts w:ascii="Arial" w:hAnsi="Arial" w:cs="Arial"/>
          <w:sz w:val="24"/>
          <w:szCs w:val="24"/>
        </w:rPr>
      </w:pPr>
      <w:r w:rsidRPr="007C12D1">
        <w:rPr>
          <w:rFonts w:ascii="Arial" w:eastAsia="Arial" w:hAnsi="Arial" w:cs="Arial"/>
          <w:sz w:val="24"/>
          <w:szCs w:val="24"/>
        </w:rPr>
        <w:lastRenderedPageBreak/>
        <w:t xml:space="preserve">Robinson, A. (2021). </w:t>
      </w:r>
      <w:r w:rsidRPr="007C12D1">
        <w:rPr>
          <w:rFonts w:ascii="Arial" w:eastAsia="Arial" w:hAnsi="Arial" w:cs="Arial"/>
          <w:i/>
          <w:iCs/>
          <w:sz w:val="24"/>
          <w:szCs w:val="24"/>
        </w:rPr>
        <w:t>14 Crucial HR Skills &amp; Competencies</w:t>
      </w:r>
      <w:r w:rsidRPr="007C12D1">
        <w:rPr>
          <w:rFonts w:ascii="Arial" w:eastAsia="Arial" w:hAnsi="Arial" w:cs="Arial"/>
          <w:sz w:val="24"/>
          <w:szCs w:val="24"/>
        </w:rPr>
        <w:t xml:space="preserve">. teambuilding.com. Available at: </w:t>
      </w:r>
      <w:hyperlink r:id="rId42">
        <w:r w:rsidRPr="007C12D1">
          <w:rPr>
            <w:rStyle w:val="Hyperlink"/>
            <w:rFonts w:ascii="Arial" w:eastAsia="Arial" w:hAnsi="Arial" w:cs="Arial"/>
            <w:sz w:val="24"/>
            <w:szCs w:val="24"/>
          </w:rPr>
          <w:t>https://teambuilding.com/blog/hr-skills</w:t>
        </w:r>
      </w:hyperlink>
      <w:r w:rsidRPr="007C12D1">
        <w:rPr>
          <w:rFonts w:ascii="Arial" w:eastAsia="Arial" w:hAnsi="Arial" w:cs="Arial"/>
          <w:sz w:val="24"/>
          <w:szCs w:val="24"/>
        </w:rPr>
        <w:t xml:space="preserve">. </w:t>
      </w:r>
    </w:p>
    <w:p w14:paraId="071690AD" w14:textId="2C43C17A" w:rsidR="40947F01" w:rsidRPr="007C12D1" w:rsidRDefault="40947F01" w:rsidP="007C12D1">
      <w:pPr>
        <w:spacing w:line="360" w:lineRule="auto"/>
        <w:jc w:val="both"/>
        <w:rPr>
          <w:rFonts w:ascii="Arial" w:hAnsi="Arial" w:cs="Arial"/>
          <w:sz w:val="24"/>
          <w:szCs w:val="24"/>
        </w:rPr>
      </w:pPr>
      <w:r w:rsidRPr="007C12D1">
        <w:rPr>
          <w:rFonts w:ascii="Arial" w:eastAsia="Arial" w:hAnsi="Arial" w:cs="Arial"/>
          <w:sz w:val="24"/>
          <w:szCs w:val="24"/>
        </w:rPr>
        <w:t xml:space="preserve">Rodgers, S. (2019). </w:t>
      </w:r>
      <w:r w:rsidRPr="007C12D1">
        <w:rPr>
          <w:rFonts w:ascii="Arial" w:eastAsia="Arial" w:hAnsi="Arial" w:cs="Arial"/>
          <w:i/>
          <w:iCs/>
          <w:sz w:val="24"/>
          <w:szCs w:val="24"/>
        </w:rPr>
        <w:t>Four-day working week becomes Labour policy</w:t>
      </w:r>
      <w:r w:rsidRPr="007C12D1">
        <w:rPr>
          <w:rFonts w:ascii="Arial" w:eastAsia="Arial" w:hAnsi="Arial" w:cs="Arial"/>
          <w:sz w:val="24"/>
          <w:szCs w:val="24"/>
        </w:rPr>
        <w:t xml:space="preserve">. [online] </w:t>
      </w:r>
      <w:proofErr w:type="spellStart"/>
      <w:r w:rsidRPr="007C12D1">
        <w:rPr>
          <w:rFonts w:ascii="Arial" w:eastAsia="Arial" w:hAnsi="Arial" w:cs="Arial"/>
          <w:sz w:val="24"/>
          <w:szCs w:val="24"/>
        </w:rPr>
        <w:t>LabourList</w:t>
      </w:r>
      <w:proofErr w:type="spellEnd"/>
      <w:r w:rsidRPr="007C12D1">
        <w:rPr>
          <w:rFonts w:ascii="Arial" w:eastAsia="Arial" w:hAnsi="Arial" w:cs="Arial"/>
          <w:sz w:val="24"/>
          <w:szCs w:val="24"/>
        </w:rPr>
        <w:t xml:space="preserve">. Available at: </w:t>
      </w:r>
      <w:hyperlink r:id="rId43">
        <w:r w:rsidRPr="007C12D1">
          <w:rPr>
            <w:rStyle w:val="Hyperlink"/>
            <w:rFonts w:ascii="Arial" w:eastAsia="Arial" w:hAnsi="Arial" w:cs="Arial"/>
            <w:sz w:val="24"/>
            <w:szCs w:val="24"/>
          </w:rPr>
          <w:t>https://labourlist.org/2019/09/four-day-working-week-becomes-labour-policy/</w:t>
        </w:r>
      </w:hyperlink>
      <w:r w:rsidRPr="007C12D1">
        <w:rPr>
          <w:rFonts w:ascii="Arial" w:eastAsia="Arial" w:hAnsi="Arial" w:cs="Arial"/>
          <w:sz w:val="24"/>
          <w:szCs w:val="24"/>
        </w:rPr>
        <w:t xml:space="preserve"> (Accessed 19 May 2022).</w:t>
      </w:r>
    </w:p>
    <w:p w14:paraId="3C67563E" w14:textId="4733EC89" w:rsidR="40947F01" w:rsidRPr="007C12D1" w:rsidRDefault="40947F01" w:rsidP="007C12D1">
      <w:pPr>
        <w:spacing w:line="360" w:lineRule="auto"/>
        <w:jc w:val="both"/>
        <w:rPr>
          <w:rFonts w:ascii="Arial" w:hAnsi="Arial" w:cs="Arial"/>
          <w:sz w:val="24"/>
          <w:szCs w:val="24"/>
        </w:rPr>
      </w:pPr>
      <w:r w:rsidRPr="007C12D1">
        <w:rPr>
          <w:rFonts w:ascii="Arial" w:eastAsia="Arial" w:hAnsi="Arial" w:cs="Arial"/>
          <w:sz w:val="24"/>
          <w:szCs w:val="24"/>
        </w:rPr>
        <w:t xml:space="preserve">RUSITH (2022). </w:t>
      </w:r>
      <w:r w:rsidRPr="007C12D1">
        <w:rPr>
          <w:rFonts w:ascii="Arial" w:eastAsia="Arial" w:hAnsi="Arial" w:cs="Arial"/>
          <w:i/>
          <w:iCs/>
          <w:sz w:val="24"/>
          <w:szCs w:val="24"/>
        </w:rPr>
        <w:t>Porter’s Five Forces: Advantages and Disadvantages</w:t>
      </w:r>
      <w:r w:rsidRPr="007C12D1">
        <w:rPr>
          <w:rFonts w:ascii="Arial" w:eastAsia="Arial" w:hAnsi="Arial" w:cs="Arial"/>
          <w:sz w:val="24"/>
          <w:szCs w:val="24"/>
        </w:rPr>
        <w:t xml:space="preserve">. [online] Learn Business Concepts. Available at: </w:t>
      </w:r>
      <w:hyperlink r:id="rId44">
        <w:r w:rsidRPr="007C12D1">
          <w:rPr>
            <w:rStyle w:val="Hyperlink"/>
            <w:rFonts w:ascii="Arial" w:eastAsia="Arial" w:hAnsi="Arial" w:cs="Arial"/>
            <w:sz w:val="24"/>
            <w:szCs w:val="24"/>
          </w:rPr>
          <w:t>https://learnbusinessconcepts.com/advantages-and-disadvantages-of-porters-five-forces/</w:t>
        </w:r>
      </w:hyperlink>
      <w:r w:rsidRPr="007C12D1">
        <w:rPr>
          <w:rFonts w:ascii="Arial" w:eastAsia="Arial" w:hAnsi="Arial" w:cs="Arial"/>
          <w:sz w:val="24"/>
          <w:szCs w:val="24"/>
        </w:rPr>
        <w:t>. (Accessed 19 May 2022).</w:t>
      </w:r>
    </w:p>
    <w:p w14:paraId="205F6853" w14:textId="4A5826B0" w:rsidR="40947F01" w:rsidRPr="007C12D1" w:rsidRDefault="40947F01" w:rsidP="007C12D1">
      <w:pPr>
        <w:spacing w:line="360" w:lineRule="auto"/>
        <w:jc w:val="both"/>
        <w:rPr>
          <w:rFonts w:ascii="Arial" w:hAnsi="Arial" w:cs="Arial"/>
          <w:sz w:val="24"/>
          <w:szCs w:val="24"/>
        </w:rPr>
      </w:pPr>
      <w:r w:rsidRPr="007C12D1">
        <w:rPr>
          <w:rFonts w:ascii="Arial" w:eastAsia="Arial" w:hAnsi="Arial" w:cs="Arial"/>
          <w:sz w:val="24"/>
          <w:szCs w:val="24"/>
        </w:rPr>
        <w:t xml:space="preserve">Sharma, M. (2021). </w:t>
      </w:r>
      <w:r w:rsidRPr="007C12D1">
        <w:rPr>
          <w:rFonts w:ascii="Arial" w:eastAsia="Arial" w:hAnsi="Arial" w:cs="Arial"/>
          <w:i/>
          <w:iCs/>
          <w:sz w:val="24"/>
          <w:szCs w:val="24"/>
        </w:rPr>
        <w:t>Pandemic challenges led HR professionals to boost their skills</w:t>
      </w:r>
      <w:r w:rsidRPr="007C12D1">
        <w:rPr>
          <w:rFonts w:ascii="Arial" w:eastAsia="Arial" w:hAnsi="Arial" w:cs="Arial"/>
          <w:sz w:val="24"/>
          <w:szCs w:val="24"/>
        </w:rPr>
        <w:t xml:space="preserve">. [online] </w:t>
      </w:r>
      <w:proofErr w:type="spellStart"/>
      <w:r w:rsidRPr="007C12D1">
        <w:rPr>
          <w:rFonts w:ascii="Arial" w:eastAsia="Arial" w:hAnsi="Arial" w:cs="Arial"/>
          <w:sz w:val="24"/>
          <w:szCs w:val="24"/>
        </w:rPr>
        <w:t>HRreview</w:t>
      </w:r>
      <w:proofErr w:type="spellEnd"/>
      <w:r w:rsidRPr="007C12D1">
        <w:rPr>
          <w:rFonts w:ascii="Arial" w:eastAsia="Arial" w:hAnsi="Arial" w:cs="Arial"/>
          <w:sz w:val="24"/>
          <w:szCs w:val="24"/>
        </w:rPr>
        <w:t xml:space="preserve">. Available at: </w:t>
      </w:r>
      <w:hyperlink r:id="rId45">
        <w:r w:rsidRPr="007C12D1">
          <w:rPr>
            <w:rStyle w:val="Hyperlink"/>
            <w:rFonts w:ascii="Arial" w:eastAsia="Arial" w:hAnsi="Arial" w:cs="Arial"/>
            <w:sz w:val="24"/>
            <w:szCs w:val="24"/>
          </w:rPr>
          <w:t>https://www.hrreview.co.uk/hr-news/pandemic-challenges-led-hr-professionals-to-boost-their-skills/138600</w:t>
        </w:r>
      </w:hyperlink>
      <w:r w:rsidRPr="007C12D1">
        <w:rPr>
          <w:rFonts w:ascii="Arial" w:eastAsia="Arial" w:hAnsi="Arial" w:cs="Arial"/>
          <w:sz w:val="24"/>
          <w:szCs w:val="24"/>
        </w:rPr>
        <w:t xml:space="preserve"> (Accessed 19 May 2022).</w:t>
      </w:r>
    </w:p>
    <w:p w14:paraId="09548949" w14:textId="652749E2" w:rsidR="40947F01" w:rsidRPr="007C12D1" w:rsidRDefault="40947F01" w:rsidP="007C12D1">
      <w:pPr>
        <w:spacing w:line="360" w:lineRule="auto"/>
        <w:jc w:val="both"/>
        <w:rPr>
          <w:rFonts w:ascii="Arial" w:hAnsi="Arial" w:cs="Arial"/>
          <w:sz w:val="24"/>
          <w:szCs w:val="24"/>
        </w:rPr>
      </w:pPr>
      <w:r w:rsidRPr="007C12D1">
        <w:rPr>
          <w:rFonts w:ascii="Arial" w:eastAsia="Arial" w:hAnsi="Arial" w:cs="Arial"/>
          <w:sz w:val="24"/>
          <w:szCs w:val="24"/>
        </w:rPr>
        <w:t xml:space="preserve">South Wales Police (2019) </w:t>
      </w:r>
      <w:r w:rsidRPr="007C12D1">
        <w:rPr>
          <w:rFonts w:ascii="Arial" w:eastAsia="Arial" w:hAnsi="Arial" w:cs="Arial"/>
          <w:i/>
          <w:iCs/>
          <w:sz w:val="24"/>
          <w:szCs w:val="24"/>
        </w:rPr>
        <w:t xml:space="preserve">Gender Pay Gap Report. </w:t>
      </w:r>
      <w:r w:rsidRPr="007C12D1">
        <w:rPr>
          <w:rFonts w:ascii="Arial" w:eastAsia="Arial" w:hAnsi="Arial" w:cs="Arial"/>
          <w:sz w:val="24"/>
          <w:szCs w:val="24"/>
        </w:rPr>
        <w:t>Internal SWP report. Unpublished</w:t>
      </w:r>
    </w:p>
    <w:p w14:paraId="017F77C9" w14:textId="33D8C602" w:rsidR="40947F01" w:rsidRPr="007C12D1" w:rsidRDefault="40947F01" w:rsidP="007C12D1">
      <w:pPr>
        <w:spacing w:line="360" w:lineRule="auto"/>
        <w:jc w:val="both"/>
        <w:rPr>
          <w:rFonts w:ascii="Arial" w:hAnsi="Arial" w:cs="Arial"/>
          <w:sz w:val="24"/>
          <w:szCs w:val="24"/>
        </w:rPr>
      </w:pPr>
      <w:r w:rsidRPr="007C12D1">
        <w:rPr>
          <w:rFonts w:ascii="Arial" w:eastAsia="Arial" w:hAnsi="Arial" w:cs="Arial"/>
          <w:sz w:val="24"/>
          <w:szCs w:val="24"/>
        </w:rPr>
        <w:t xml:space="preserve">South Wales Police (2020) </w:t>
      </w:r>
      <w:r w:rsidRPr="007C12D1">
        <w:rPr>
          <w:rFonts w:ascii="Arial" w:eastAsia="Arial" w:hAnsi="Arial" w:cs="Arial"/>
          <w:i/>
          <w:iCs/>
          <w:sz w:val="24"/>
          <w:szCs w:val="24"/>
        </w:rPr>
        <w:t xml:space="preserve">Gender Pay Gap Report. </w:t>
      </w:r>
      <w:r w:rsidRPr="007C12D1">
        <w:rPr>
          <w:rFonts w:ascii="Arial" w:eastAsia="Arial" w:hAnsi="Arial" w:cs="Arial"/>
          <w:sz w:val="24"/>
          <w:szCs w:val="24"/>
        </w:rPr>
        <w:t>Internal SWP report. Unpublished</w:t>
      </w:r>
    </w:p>
    <w:p w14:paraId="768B1C69" w14:textId="0B8B9C61" w:rsidR="40947F01" w:rsidRPr="007C12D1" w:rsidRDefault="40947F01" w:rsidP="007C12D1">
      <w:pPr>
        <w:spacing w:line="360" w:lineRule="auto"/>
        <w:jc w:val="both"/>
        <w:rPr>
          <w:rFonts w:ascii="Arial" w:hAnsi="Arial" w:cs="Arial"/>
          <w:sz w:val="24"/>
          <w:szCs w:val="24"/>
        </w:rPr>
      </w:pPr>
      <w:r w:rsidRPr="007C12D1">
        <w:rPr>
          <w:rFonts w:ascii="Arial" w:eastAsia="Arial" w:hAnsi="Arial" w:cs="Arial"/>
          <w:sz w:val="24"/>
          <w:szCs w:val="24"/>
        </w:rPr>
        <w:t xml:space="preserve">South Wales Police (2022) </w:t>
      </w:r>
      <w:r w:rsidRPr="007C12D1">
        <w:rPr>
          <w:rFonts w:ascii="Arial" w:eastAsia="Arial" w:hAnsi="Arial" w:cs="Arial"/>
          <w:i/>
          <w:iCs/>
          <w:sz w:val="24"/>
          <w:szCs w:val="24"/>
        </w:rPr>
        <w:t xml:space="preserve">Development Hub. </w:t>
      </w:r>
      <w:r w:rsidRPr="007C12D1">
        <w:rPr>
          <w:rFonts w:ascii="Arial" w:eastAsia="Arial" w:hAnsi="Arial" w:cs="Arial"/>
          <w:sz w:val="24"/>
          <w:szCs w:val="24"/>
        </w:rPr>
        <w:t>Internal SWP. Unpublished</w:t>
      </w:r>
    </w:p>
    <w:p w14:paraId="017FBC70" w14:textId="27580167" w:rsidR="40947F01" w:rsidRPr="007C12D1" w:rsidRDefault="40947F01" w:rsidP="007C12D1">
      <w:pPr>
        <w:spacing w:line="360" w:lineRule="auto"/>
        <w:jc w:val="both"/>
        <w:rPr>
          <w:rFonts w:ascii="Arial" w:hAnsi="Arial" w:cs="Arial"/>
          <w:sz w:val="24"/>
          <w:szCs w:val="24"/>
        </w:rPr>
      </w:pPr>
      <w:proofErr w:type="spellStart"/>
      <w:r w:rsidRPr="007C12D1">
        <w:rPr>
          <w:rFonts w:ascii="Arial" w:eastAsia="Arial" w:hAnsi="Arial" w:cs="Arial"/>
          <w:sz w:val="24"/>
          <w:szCs w:val="24"/>
        </w:rPr>
        <w:t>Stobierski</w:t>
      </w:r>
      <w:proofErr w:type="spellEnd"/>
      <w:r w:rsidRPr="007C12D1">
        <w:rPr>
          <w:rFonts w:ascii="Arial" w:eastAsia="Arial" w:hAnsi="Arial" w:cs="Arial"/>
          <w:sz w:val="24"/>
          <w:szCs w:val="24"/>
        </w:rPr>
        <w:t xml:space="preserve">, T. (2020). </w:t>
      </w:r>
      <w:r w:rsidRPr="007C12D1">
        <w:rPr>
          <w:rFonts w:ascii="Arial" w:eastAsia="Arial" w:hAnsi="Arial" w:cs="Arial"/>
          <w:i/>
          <w:iCs/>
          <w:sz w:val="24"/>
          <w:szCs w:val="24"/>
        </w:rPr>
        <w:t>Emergent vs. Deliberate Strategy: How &amp; When to Use Each</w:t>
      </w:r>
      <w:r w:rsidRPr="007C12D1">
        <w:rPr>
          <w:rFonts w:ascii="Arial" w:eastAsia="Arial" w:hAnsi="Arial" w:cs="Arial"/>
          <w:sz w:val="24"/>
          <w:szCs w:val="24"/>
        </w:rPr>
        <w:t xml:space="preserve">. Business Insights Blog. Available at: </w:t>
      </w:r>
      <w:hyperlink r:id="rId46" w:anchor=":~:text=Compared%20to%20a%20deliberate%20strategy%2C%20an%20emergent%20strategy">
        <w:r w:rsidRPr="007C12D1">
          <w:rPr>
            <w:rStyle w:val="Hyperlink"/>
            <w:rFonts w:ascii="Arial" w:eastAsia="Arial" w:hAnsi="Arial" w:cs="Arial"/>
            <w:sz w:val="24"/>
            <w:szCs w:val="24"/>
          </w:rPr>
          <w:t>https://online.hbs.edu/blog/post/emergent-vs-deliberate-strategy#:~:text=Compared%20to%20a%20deliberate%20strategy%2C%20an%20emergent%20strategy</w:t>
        </w:r>
      </w:hyperlink>
      <w:r w:rsidRPr="007C12D1">
        <w:rPr>
          <w:rFonts w:ascii="Arial" w:eastAsia="Arial" w:hAnsi="Arial" w:cs="Arial"/>
          <w:sz w:val="24"/>
          <w:szCs w:val="24"/>
        </w:rPr>
        <w:t xml:space="preserve">  (Accessed 19 May 2022).</w:t>
      </w:r>
    </w:p>
    <w:p w14:paraId="18571137" w14:textId="6F711B90" w:rsidR="40947F01" w:rsidRPr="007C12D1" w:rsidRDefault="40947F01" w:rsidP="007C12D1">
      <w:pPr>
        <w:spacing w:line="360" w:lineRule="auto"/>
        <w:jc w:val="both"/>
        <w:rPr>
          <w:rFonts w:ascii="Arial" w:hAnsi="Arial" w:cs="Arial"/>
          <w:sz w:val="24"/>
          <w:szCs w:val="24"/>
        </w:rPr>
      </w:pPr>
      <w:r w:rsidRPr="007C12D1">
        <w:rPr>
          <w:rFonts w:ascii="Arial" w:eastAsia="Arial" w:hAnsi="Arial" w:cs="Arial"/>
          <w:sz w:val="24"/>
          <w:szCs w:val="24"/>
        </w:rPr>
        <w:t xml:space="preserve">Travis, A. (2011). </w:t>
      </w:r>
      <w:r w:rsidRPr="007C12D1">
        <w:rPr>
          <w:rFonts w:ascii="Arial" w:eastAsia="Arial" w:hAnsi="Arial" w:cs="Arial"/>
          <w:i/>
          <w:iCs/>
          <w:sz w:val="24"/>
          <w:szCs w:val="24"/>
        </w:rPr>
        <w:t>White male culture dominates police, says equality review</w:t>
      </w:r>
      <w:r w:rsidRPr="007C12D1">
        <w:rPr>
          <w:rFonts w:ascii="Arial" w:eastAsia="Arial" w:hAnsi="Arial" w:cs="Arial"/>
          <w:sz w:val="24"/>
          <w:szCs w:val="24"/>
        </w:rPr>
        <w:t xml:space="preserve">. [online] the Guardian. Available at: </w:t>
      </w:r>
      <w:hyperlink r:id="rId47">
        <w:r w:rsidRPr="007C12D1">
          <w:rPr>
            <w:rStyle w:val="Hyperlink"/>
            <w:rFonts w:ascii="Arial" w:eastAsia="Arial" w:hAnsi="Arial" w:cs="Arial"/>
            <w:sz w:val="24"/>
            <w:szCs w:val="24"/>
          </w:rPr>
          <w:t>https://www.theguardian.com/uk/2011/apr/05/white-male-culture-dominates-police</w:t>
        </w:r>
      </w:hyperlink>
      <w:r w:rsidRPr="007C12D1">
        <w:rPr>
          <w:rFonts w:ascii="Arial" w:eastAsia="Arial" w:hAnsi="Arial" w:cs="Arial"/>
          <w:sz w:val="24"/>
          <w:szCs w:val="24"/>
        </w:rPr>
        <w:t>. (Accessed 19 May 2022).</w:t>
      </w:r>
    </w:p>
    <w:p w14:paraId="2E353420" w14:textId="29CE06F8" w:rsidR="40947F01" w:rsidRPr="007C12D1" w:rsidRDefault="40947F01" w:rsidP="007C12D1">
      <w:pPr>
        <w:spacing w:line="360" w:lineRule="auto"/>
        <w:jc w:val="both"/>
        <w:rPr>
          <w:rFonts w:ascii="Arial" w:hAnsi="Arial" w:cs="Arial"/>
          <w:sz w:val="24"/>
          <w:szCs w:val="24"/>
        </w:rPr>
      </w:pPr>
      <w:r w:rsidRPr="007C12D1">
        <w:rPr>
          <w:rFonts w:ascii="Arial" w:eastAsia="Arial" w:hAnsi="Arial" w:cs="Arial"/>
          <w:color w:val="222222"/>
          <w:sz w:val="24"/>
          <w:szCs w:val="24"/>
        </w:rPr>
        <w:t xml:space="preserve">Ulrich, D. and Brockbank, W., (2005) </w:t>
      </w:r>
      <w:r w:rsidRPr="007C12D1">
        <w:rPr>
          <w:rFonts w:ascii="Arial" w:eastAsia="Times New Roman" w:hAnsi="Arial" w:cs="Arial"/>
          <w:i/>
          <w:iCs/>
          <w:sz w:val="24"/>
          <w:szCs w:val="24"/>
        </w:rPr>
        <w:t>The HR value proposition</w:t>
      </w:r>
      <w:r w:rsidRPr="007C12D1">
        <w:rPr>
          <w:rFonts w:ascii="Arial" w:eastAsia="Times New Roman" w:hAnsi="Arial" w:cs="Arial"/>
          <w:sz w:val="24"/>
          <w:szCs w:val="24"/>
        </w:rPr>
        <w:t>. Harvard Business Press</w:t>
      </w:r>
    </w:p>
    <w:p w14:paraId="7CF12609" w14:textId="75669A55" w:rsidR="40947F01" w:rsidRPr="007C12D1" w:rsidRDefault="40947F01" w:rsidP="007C12D1">
      <w:pPr>
        <w:spacing w:line="360" w:lineRule="auto"/>
        <w:jc w:val="both"/>
        <w:rPr>
          <w:rFonts w:ascii="Arial" w:hAnsi="Arial" w:cs="Arial"/>
          <w:sz w:val="24"/>
          <w:szCs w:val="24"/>
        </w:rPr>
      </w:pPr>
      <w:proofErr w:type="spellStart"/>
      <w:r w:rsidRPr="007C12D1">
        <w:rPr>
          <w:rFonts w:ascii="Arial" w:eastAsia="Arial" w:hAnsi="Arial" w:cs="Arial"/>
          <w:color w:val="3A3A3A"/>
          <w:sz w:val="24"/>
          <w:szCs w:val="24"/>
        </w:rPr>
        <w:t>Wisniewska</w:t>
      </w:r>
      <w:proofErr w:type="spellEnd"/>
      <w:r w:rsidRPr="007C12D1">
        <w:rPr>
          <w:rFonts w:ascii="Arial" w:eastAsia="Arial" w:hAnsi="Arial" w:cs="Arial"/>
          <w:color w:val="3A3A3A"/>
          <w:sz w:val="24"/>
          <w:szCs w:val="24"/>
        </w:rPr>
        <w:t xml:space="preserve">, A., (2021) ‘UK companies’ gender pay gap reporting drops’, </w:t>
      </w:r>
      <w:r w:rsidRPr="007C12D1">
        <w:rPr>
          <w:rFonts w:ascii="Arial" w:eastAsia="Arial" w:hAnsi="Arial" w:cs="Arial"/>
          <w:i/>
          <w:iCs/>
          <w:color w:val="3A3A3A"/>
          <w:sz w:val="24"/>
          <w:szCs w:val="24"/>
        </w:rPr>
        <w:t>FT.com</w:t>
      </w:r>
      <w:r w:rsidRPr="007C12D1">
        <w:rPr>
          <w:rFonts w:ascii="Arial" w:eastAsia="Arial" w:hAnsi="Arial" w:cs="Arial"/>
          <w:color w:val="3A3A3A"/>
          <w:sz w:val="24"/>
          <w:szCs w:val="24"/>
        </w:rPr>
        <w:t xml:space="preserve"> [Preprint].</w:t>
      </w:r>
    </w:p>
    <w:p w14:paraId="249A5D15" w14:textId="62FE0443" w:rsidR="40947F01" w:rsidRPr="007C12D1" w:rsidRDefault="40947F01" w:rsidP="007C12D1">
      <w:pPr>
        <w:spacing w:line="360" w:lineRule="auto"/>
        <w:jc w:val="both"/>
        <w:rPr>
          <w:rFonts w:ascii="Arial" w:hAnsi="Arial" w:cs="Arial"/>
          <w:sz w:val="24"/>
          <w:szCs w:val="24"/>
        </w:rPr>
      </w:pPr>
    </w:p>
    <w:p w14:paraId="696AA68F" w14:textId="12731A0B" w:rsidR="41F06BF5" w:rsidRPr="007C12D1" w:rsidRDefault="41F06BF5" w:rsidP="007C12D1">
      <w:pPr>
        <w:spacing w:line="360" w:lineRule="auto"/>
        <w:jc w:val="both"/>
        <w:rPr>
          <w:rFonts w:ascii="Arial" w:hAnsi="Arial" w:cs="Arial"/>
          <w:sz w:val="24"/>
          <w:szCs w:val="24"/>
        </w:rPr>
      </w:pPr>
      <w:r w:rsidRPr="007C12D1">
        <w:rPr>
          <w:rFonts w:ascii="Arial" w:hAnsi="Arial" w:cs="Arial"/>
          <w:sz w:val="24"/>
          <w:szCs w:val="24"/>
        </w:rPr>
        <w:t xml:space="preserve"> </w:t>
      </w:r>
    </w:p>
    <w:sectPr w:rsidR="41F06BF5" w:rsidRPr="007C12D1" w:rsidSect="007C12D1">
      <w:pgSz w:w="11906" w:h="16838"/>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814FD89" w14:textId="77777777" w:rsidR="00004A6B" w:rsidRDefault="00004A6B" w:rsidP="00004A6B">
      <w:pPr>
        <w:spacing w:after="0" w:line="240" w:lineRule="auto"/>
      </w:pPr>
      <w:r>
        <w:separator/>
      </w:r>
    </w:p>
  </w:endnote>
  <w:endnote w:type="continuationSeparator" w:id="0">
    <w:p w14:paraId="7CDED2F7" w14:textId="77777777" w:rsidR="00004A6B" w:rsidRDefault="00004A6B" w:rsidP="00004A6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E883293" w14:textId="77777777" w:rsidR="00004A6B" w:rsidRDefault="00004A6B" w:rsidP="00004A6B">
      <w:pPr>
        <w:spacing w:after="0" w:line="240" w:lineRule="auto"/>
      </w:pPr>
      <w:r>
        <w:separator/>
      </w:r>
    </w:p>
  </w:footnote>
  <w:footnote w:type="continuationSeparator" w:id="0">
    <w:p w14:paraId="46455413" w14:textId="77777777" w:rsidR="00004A6B" w:rsidRDefault="00004A6B" w:rsidP="00004A6B">
      <w:pPr>
        <w:spacing w:after="0" w:line="240" w:lineRule="auto"/>
      </w:pPr>
      <w:r>
        <w:continuationSeparator/>
      </w:r>
    </w:p>
  </w:footnote>
</w:footnotes>
</file>

<file path=word/intelligence.xml><?xml version="1.0" encoding="utf-8"?>
<int:Intelligence xmlns:int="http://schemas.microsoft.com/office/intelligence/2019/intelligence">
  <int:IntelligenceSettings/>
  <int:Manifest>
    <int:ParagraphRange paragraphId="1698472847" textId="1972508877" start="499" length="11" invalidationStart="499" invalidationLength="11" id="cjig0Try"/>
    <int:ParagraphRange paragraphId="1842332602" textId="1820843724" start="189" length="10" invalidationStart="189" invalidationLength="10" id="nqnWq9S3"/>
    <int:ParagraphRange paragraphId="1842332602" textId="1820843724" start="449" length="3" invalidationStart="449" invalidationLength="3" id="8kifdqLb"/>
  </int:Manifest>
  <int:Observations>
    <int:Content id="cjig0Try">
      <int:Rejection type="LegacyProofing"/>
    </int:Content>
    <int:Content id="nqnWq9S3">
      <int:Rejection type="LegacyProofing"/>
    </int:Content>
    <int:Content id="8kifdqLb">
      <int:Rejection type="LegacyProofing"/>
    </int:Content>
  </int:Observations>
</int: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24E3F59"/>
    <w:rsid w:val="00004A6B"/>
    <w:rsid w:val="0047B400"/>
    <w:rsid w:val="006801E4"/>
    <w:rsid w:val="007C12D1"/>
    <w:rsid w:val="00A94A40"/>
    <w:rsid w:val="00FF3E21"/>
    <w:rsid w:val="014EE4A6"/>
    <w:rsid w:val="01683C24"/>
    <w:rsid w:val="0198F568"/>
    <w:rsid w:val="01BA1F80"/>
    <w:rsid w:val="01CD1195"/>
    <w:rsid w:val="01E38461"/>
    <w:rsid w:val="024EAE41"/>
    <w:rsid w:val="0261BA18"/>
    <w:rsid w:val="02BA57ED"/>
    <w:rsid w:val="032F253A"/>
    <w:rsid w:val="0335AC43"/>
    <w:rsid w:val="035BBE15"/>
    <w:rsid w:val="03623A86"/>
    <w:rsid w:val="037AAD44"/>
    <w:rsid w:val="03C61636"/>
    <w:rsid w:val="03CDFC46"/>
    <w:rsid w:val="041ED137"/>
    <w:rsid w:val="043ED3D5"/>
    <w:rsid w:val="04408A8D"/>
    <w:rsid w:val="0489EB67"/>
    <w:rsid w:val="04901104"/>
    <w:rsid w:val="049FDCE6"/>
    <w:rsid w:val="04BCFD73"/>
    <w:rsid w:val="04FD9178"/>
    <w:rsid w:val="05867387"/>
    <w:rsid w:val="05DC5AEE"/>
    <w:rsid w:val="05E4DC26"/>
    <w:rsid w:val="060BDD8E"/>
    <w:rsid w:val="062A7A24"/>
    <w:rsid w:val="063A5FF2"/>
    <w:rsid w:val="0673EE6F"/>
    <w:rsid w:val="067C2420"/>
    <w:rsid w:val="068DB6A8"/>
    <w:rsid w:val="06B6F584"/>
    <w:rsid w:val="06D07929"/>
    <w:rsid w:val="06D97923"/>
    <w:rsid w:val="06FDB6F8"/>
    <w:rsid w:val="078018D5"/>
    <w:rsid w:val="07F6180A"/>
    <w:rsid w:val="087709C8"/>
    <w:rsid w:val="08FCE059"/>
    <w:rsid w:val="09B14F74"/>
    <w:rsid w:val="09C5576A"/>
    <w:rsid w:val="0A44BB16"/>
    <w:rsid w:val="0A50CB63"/>
    <w:rsid w:val="0A8E5F78"/>
    <w:rsid w:val="0A9E4655"/>
    <w:rsid w:val="0AAFCC11"/>
    <w:rsid w:val="0B05E38F"/>
    <w:rsid w:val="0B1ECC25"/>
    <w:rsid w:val="0B2C3EF7"/>
    <w:rsid w:val="0B4F9543"/>
    <w:rsid w:val="0B59E685"/>
    <w:rsid w:val="0B6127CB"/>
    <w:rsid w:val="0B7C346F"/>
    <w:rsid w:val="0BBB737F"/>
    <w:rsid w:val="0C430B79"/>
    <w:rsid w:val="0C67D70B"/>
    <w:rsid w:val="0CC9892D"/>
    <w:rsid w:val="0D1A73C3"/>
    <w:rsid w:val="0D2FD4CB"/>
    <w:rsid w:val="0D53DE10"/>
    <w:rsid w:val="0DA241B0"/>
    <w:rsid w:val="0DB65021"/>
    <w:rsid w:val="0DE76CD3"/>
    <w:rsid w:val="0DEFEE0B"/>
    <w:rsid w:val="0E1E74F9"/>
    <w:rsid w:val="0E2C497A"/>
    <w:rsid w:val="0E467630"/>
    <w:rsid w:val="0E785EEA"/>
    <w:rsid w:val="0F32AAC4"/>
    <w:rsid w:val="0F83132B"/>
    <w:rsid w:val="0F8B2ABA"/>
    <w:rsid w:val="0FC819DB"/>
    <w:rsid w:val="103498EE"/>
    <w:rsid w:val="1035E226"/>
    <w:rsid w:val="1055C03B"/>
    <w:rsid w:val="105DD7CA"/>
    <w:rsid w:val="10A5B59A"/>
    <w:rsid w:val="10EB1D49"/>
    <w:rsid w:val="11278ECD"/>
    <w:rsid w:val="117D1299"/>
    <w:rsid w:val="1220231D"/>
    <w:rsid w:val="124E3F59"/>
    <w:rsid w:val="12BADDF6"/>
    <w:rsid w:val="131B07E5"/>
    <w:rsid w:val="1339491A"/>
    <w:rsid w:val="136C39B0"/>
    <w:rsid w:val="13708CEA"/>
    <w:rsid w:val="1372F5E8"/>
    <w:rsid w:val="13A1E110"/>
    <w:rsid w:val="13EF5501"/>
    <w:rsid w:val="142F20F1"/>
    <w:rsid w:val="143541BE"/>
    <w:rsid w:val="14389D7C"/>
    <w:rsid w:val="1441586D"/>
    <w:rsid w:val="14DF604F"/>
    <w:rsid w:val="150C5D4B"/>
    <w:rsid w:val="1522C3A7"/>
    <w:rsid w:val="156255C5"/>
    <w:rsid w:val="158B2562"/>
    <w:rsid w:val="15BBB3FB"/>
    <w:rsid w:val="15D32342"/>
    <w:rsid w:val="15F53EE1"/>
    <w:rsid w:val="15FA6C3E"/>
    <w:rsid w:val="163DA492"/>
    <w:rsid w:val="165083BC"/>
    <w:rsid w:val="16A73CAB"/>
    <w:rsid w:val="16B3D2E8"/>
    <w:rsid w:val="16C9AA1F"/>
    <w:rsid w:val="16CD194E"/>
    <w:rsid w:val="16E2B70F"/>
    <w:rsid w:val="16FEE145"/>
    <w:rsid w:val="172E5018"/>
    <w:rsid w:val="17498C34"/>
    <w:rsid w:val="1806073A"/>
    <w:rsid w:val="18479859"/>
    <w:rsid w:val="187A3436"/>
    <w:rsid w:val="18904A0F"/>
    <w:rsid w:val="18B0FAD6"/>
    <w:rsid w:val="18E348D6"/>
    <w:rsid w:val="194C7AE0"/>
    <w:rsid w:val="19754554"/>
    <w:rsid w:val="19AEAE25"/>
    <w:rsid w:val="19B2CD55"/>
    <w:rsid w:val="19DCDA97"/>
    <w:rsid w:val="19E29013"/>
    <w:rsid w:val="19E368BA"/>
    <w:rsid w:val="1A0CA796"/>
    <w:rsid w:val="1A368207"/>
    <w:rsid w:val="1A5ADEE0"/>
    <w:rsid w:val="1A95AC27"/>
    <w:rsid w:val="1AB046D2"/>
    <w:rsid w:val="1B56E1F2"/>
    <w:rsid w:val="1B8055FD"/>
    <w:rsid w:val="1BD984CF"/>
    <w:rsid w:val="1C301BC2"/>
    <w:rsid w:val="1C4053A3"/>
    <w:rsid w:val="1C4B3328"/>
    <w:rsid w:val="1C69ADC2"/>
    <w:rsid w:val="1C77E5DE"/>
    <w:rsid w:val="1C92276D"/>
    <w:rsid w:val="1CEA7234"/>
    <w:rsid w:val="1D6E22C9"/>
    <w:rsid w:val="1D9D919C"/>
    <w:rsid w:val="1DC6C5E0"/>
    <w:rsid w:val="1DCA5F07"/>
    <w:rsid w:val="1E0D9B21"/>
    <w:rsid w:val="1E21B8BC"/>
    <w:rsid w:val="1E2F78D1"/>
    <w:rsid w:val="1E644E34"/>
    <w:rsid w:val="1E6772A8"/>
    <w:rsid w:val="1EB671DD"/>
    <w:rsid w:val="1EC9BFD9"/>
    <w:rsid w:val="1EE018B9"/>
    <w:rsid w:val="1F112591"/>
    <w:rsid w:val="1F4F0E73"/>
    <w:rsid w:val="1F629641"/>
    <w:rsid w:val="1F83B7F5"/>
    <w:rsid w:val="1F9C2127"/>
    <w:rsid w:val="1FBD891D"/>
    <w:rsid w:val="20034309"/>
    <w:rsid w:val="2052423E"/>
    <w:rsid w:val="20A50F6D"/>
    <w:rsid w:val="20A5C38B"/>
    <w:rsid w:val="20EA6488"/>
    <w:rsid w:val="2113C4C6"/>
    <w:rsid w:val="2125574E"/>
    <w:rsid w:val="213D1EE5"/>
    <w:rsid w:val="217210BF"/>
    <w:rsid w:val="217237FD"/>
    <w:rsid w:val="2195579E"/>
    <w:rsid w:val="21ADB962"/>
    <w:rsid w:val="21C14A4C"/>
    <w:rsid w:val="2248C653"/>
    <w:rsid w:val="226DDE4B"/>
    <w:rsid w:val="227DD79E"/>
    <w:rsid w:val="22AF9527"/>
    <w:rsid w:val="22C94FBA"/>
    <w:rsid w:val="22DC3453"/>
    <w:rsid w:val="2359B3B8"/>
    <w:rsid w:val="23AB724D"/>
    <w:rsid w:val="23BEA562"/>
    <w:rsid w:val="23C6DDB4"/>
    <w:rsid w:val="23DCB02F"/>
    <w:rsid w:val="2409A15A"/>
    <w:rsid w:val="24227F96"/>
    <w:rsid w:val="242FFCC2"/>
    <w:rsid w:val="243E00BB"/>
    <w:rsid w:val="24DC5BBC"/>
    <w:rsid w:val="24F8EB0E"/>
    <w:rsid w:val="2533D217"/>
    <w:rsid w:val="25788090"/>
    <w:rsid w:val="25806715"/>
    <w:rsid w:val="2582D608"/>
    <w:rsid w:val="25A7500D"/>
    <w:rsid w:val="25D85ECE"/>
    <w:rsid w:val="25F8C871"/>
    <w:rsid w:val="2637C07B"/>
    <w:rsid w:val="264D7F29"/>
    <w:rsid w:val="269C6674"/>
    <w:rsid w:val="26C183C2"/>
    <w:rsid w:val="26E3130F"/>
    <w:rsid w:val="271450F1"/>
    <w:rsid w:val="271C3776"/>
    <w:rsid w:val="276BEF10"/>
    <w:rsid w:val="2775A17D"/>
    <w:rsid w:val="279B550A"/>
    <w:rsid w:val="27BA687F"/>
    <w:rsid w:val="2815CD7E"/>
    <w:rsid w:val="28264582"/>
    <w:rsid w:val="28308BD0"/>
    <w:rsid w:val="28F5766D"/>
    <w:rsid w:val="293856B9"/>
    <w:rsid w:val="299E0881"/>
    <w:rsid w:val="29ACF528"/>
    <w:rsid w:val="29AFCCDF"/>
    <w:rsid w:val="29E60C56"/>
    <w:rsid w:val="29F92484"/>
    <w:rsid w:val="2A22CB60"/>
    <w:rsid w:val="2A6AA930"/>
    <w:rsid w:val="2A79A86B"/>
    <w:rsid w:val="2A9F3E46"/>
    <w:rsid w:val="2AAE712F"/>
    <w:rsid w:val="2AB3BD77"/>
    <w:rsid w:val="2AE70955"/>
    <w:rsid w:val="2AEB8F8A"/>
    <w:rsid w:val="2AFF840F"/>
    <w:rsid w:val="2B94F4E5"/>
    <w:rsid w:val="2B955CE5"/>
    <w:rsid w:val="2C2E665C"/>
    <w:rsid w:val="2C33F4C9"/>
    <w:rsid w:val="2C5E64F3"/>
    <w:rsid w:val="2C6FD176"/>
    <w:rsid w:val="2CBAC32D"/>
    <w:rsid w:val="2CBD7A3A"/>
    <w:rsid w:val="2CCEFCBB"/>
    <w:rsid w:val="2D312D46"/>
    <w:rsid w:val="2DB1492D"/>
    <w:rsid w:val="2DD14F62"/>
    <w:rsid w:val="2DFA3554"/>
    <w:rsid w:val="2E119624"/>
    <w:rsid w:val="2E29AA03"/>
    <w:rsid w:val="2E7179A4"/>
    <w:rsid w:val="2EAD4727"/>
    <w:rsid w:val="2F25BF23"/>
    <w:rsid w:val="2F6B115A"/>
    <w:rsid w:val="2F72AF69"/>
    <w:rsid w:val="2F9605B5"/>
    <w:rsid w:val="2F986971"/>
    <w:rsid w:val="2FB95EF9"/>
    <w:rsid w:val="301F0E63"/>
    <w:rsid w:val="303C257D"/>
    <w:rsid w:val="30920CE4"/>
    <w:rsid w:val="30D807BF"/>
    <w:rsid w:val="30E831B4"/>
    <w:rsid w:val="310765EC"/>
    <w:rsid w:val="3108F024"/>
    <w:rsid w:val="31862B1F"/>
    <w:rsid w:val="3190494D"/>
    <w:rsid w:val="31B5BED2"/>
    <w:rsid w:val="31BADEC4"/>
    <w:rsid w:val="31E1321C"/>
    <w:rsid w:val="3207CDD1"/>
    <w:rsid w:val="321F71EB"/>
    <w:rsid w:val="32365E7D"/>
    <w:rsid w:val="325081FE"/>
    <w:rsid w:val="326ACC66"/>
    <w:rsid w:val="32A5A6FF"/>
    <w:rsid w:val="32C094C9"/>
    <w:rsid w:val="32CDA677"/>
    <w:rsid w:val="32FD1B26"/>
    <w:rsid w:val="335E9CAB"/>
    <w:rsid w:val="33AA36ED"/>
    <w:rsid w:val="33AE2580"/>
    <w:rsid w:val="33FAC17F"/>
    <w:rsid w:val="34069CC7"/>
    <w:rsid w:val="340CE5FA"/>
    <w:rsid w:val="343AF057"/>
    <w:rsid w:val="3446208C"/>
    <w:rsid w:val="34747B3D"/>
    <w:rsid w:val="34D1E153"/>
    <w:rsid w:val="34FD9180"/>
    <w:rsid w:val="3546074E"/>
    <w:rsid w:val="355DA031"/>
    <w:rsid w:val="359466D1"/>
    <w:rsid w:val="35E7F6D3"/>
    <w:rsid w:val="3659D4AC"/>
    <w:rsid w:val="3661A573"/>
    <w:rsid w:val="366DB1B4"/>
    <w:rsid w:val="36963D6D"/>
    <w:rsid w:val="36A11ECA"/>
    <w:rsid w:val="36B28A3E"/>
    <w:rsid w:val="37014E68"/>
    <w:rsid w:val="3709CFA0"/>
    <w:rsid w:val="371C8FC6"/>
    <w:rsid w:val="371E029A"/>
    <w:rsid w:val="372B7B05"/>
    <w:rsid w:val="377DC14E"/>
    <w:rsid w:val="38A53BC7"/>
    <w:rsid w:val="38B3790C"/>
    <w:rsid w:val="38B9D2FB"/>
    <w:rsid w:val="38D0DC1A"/>
    <w:rsid w:val="3977146B"/>
    <w:rsid w:val="39A55276"/>
    <w:rsid w:val="39B92CB3"/>
    <w:rsid w:val="3A1735D4"/>
    <w:rsid w:val="3A25EB07"/>
    <w:rsid w:val="3A311154"/>
    <w:rsid w:val="3A417062"/>
    <w:rsid w:val="3A68CD12"/>
    <w:rsid w:val="3A7DCBD1"/>
    <w:rsid w:val="3AD12287"/>
    <w:rsid w:val="3AF8019A"/>
    <w:rsid w:val="3B12E4CC"/>
    <w:rsid w:val="3BA20B25"/>
    <w:rsid w:val="3BF0FA24"/>
    <w:rsid w:val="3C93D1FB"/>
    <w:rsid w:val="3C9765CC"/>
    <w:rsid w:val="3CB49867"/>
    <w:rsid w:val="3D4F2353"/>
    <w:rsid w:val="3D708FEC"/>
    <w:rsid w:val="3D78ACEA"/>
    <w:rsid w:val="3D86EA2F"/>
    <w:rsid w:val="3D8CCA85"/>
    <w:rsid w:val="3DDA132C"/>
    <w:rsid w:val="3E02F451"/>
    <w:rsid w:val="3E14E7E9"/>
    <w:rsid w:val="3E4B85CA"/>
    <w:rsid w:val="3EA473C6"/>
    <w:rsid w:val="3EDAD07D"/>
    <w:rsid w:val="3F0C604D"/>
    <w:rsid w:val="3F3C98CA"/>
    <w:rsid w:val="3FE38BB4"/>
    <w:rsid w:val="3FE6FAE3"/>
    <w:rsid w:val="3FF21669"/>
    <w:rsid w:val="40770680"/>
    <w:rsid w:val="40947F01"/>
    <w:rsid w:val="40E51FCF"/>
    <w:rsid w:val="413A9513"/>
    <w:rsid w:val="4183268C"/>
    <w:rsid w:val="418AAD37"/>
    <w:rsid w:val="4192AFED"/>
    <w:rsid w:val="419415CB"/>
    <w:rsid w:val="41F06BF5"/>
    <w:rsid w:val="4210F915"/>
    <w:rsid w:val="425040D4"/>
    <w:rsid w:val="426B3182"/>
    <w:rsid w:val="4288DDB6"/>
    <w:rsid w:val="42AADE01"/>
    <w:rsid w:val="42B6B1D8"/>
    <w:rsid w:val="4303137F"/>
    <w:rsid w:val="435D7F43"/>
    <w:rsid w:val="43631F76"/>
    <w:rsid w:val="439B13CD"/>
    <w:rsid w:val="43BE181A"/>
    <w:rsid w:val="43CA7B86"/>
    <w:rsid w:val="43EA9EE7"/>
    <w:rsid w:val="43EC1135"/>
    <w:rsid w:val="441D7A1E"/>
    <w:rsid w:val="444495CE"/>
    <w:rsid w:val="44958064"/>
    <w:rsid w:val="449EE3E0"/>
    <w:rsid w:val="44B9C712"/>
    <w:rsid w:val="44C5878C"/>
    <w:rsid w:val="44CBB68D"/>
    <w:rsid w:val="44EB78DE"/>
    <w:rsid w:val="450066E1"/>
    <w:rsid w:val="45314F46"/>
    <w:rsid w:val="453EFAB1"/>
    <w:rsid w:val="45410CDB"/>
    <w:rsid w:val="45B890F2"/>
    <w:rsid w:val="45C07E78"/>
    <w:rsid w:val="460D470B"/>
    <w:rsid w:val="46305FC4"/>
    <w:rsid w:val="4633B9C3"/>
    <w:rsid w:val="465E58F8"/>
    <w:rsid w:val="46708FD5"/>
    <w:rsid w:val="469C3742"/>
    <w:rsid w:val="46D2AF4D"/>
    <w:rsid w:val="472E27BD"/>
    <w:rsid w:val="475263D3"/>
    <w:rsid w:val="47546153"/>
    <w:rsid w:val="47AFA58F"/>
    <w:rsid w:val="4807AA89"/>
    <w:rsid w:val="480C6036"/>
    <w:rsid w:val="483561C2"/>
    <w:rsid w:val="486765D0"/>
    <w:rsid w:val="4868F008"/>
    <w:rsid w:val="48819E19"/>
    <w:rsid w:val="488703C7"/>
    <w:rsid w:val="48C9F81E"/>
    <w:rsid w:val="48F031B4"/>
    <w:rsid w:val="48F04931"/>
    <w:rsid w:val="491368D2"/>
    <w:rsid w:val="4944E7CD"/>
    <w:rsid w:val="49982F61"/>
    <w:rsid w:val="499F27B0"/>
    <w:rsid w:val="49C45D01"/>
    <w:rsid w:val="49F127B2"/>
    <w:rsid w:val="4A05A6E3"/>
    <w:rsid w:val="4A0E5D31"/>
    <w:rsid w:val="4A147DFE"/>
    <w:rsid w:val="4A8A0495"/>
    <w:rsid w:val="4AB2ACF4"/>
    <w:rsid w:val="4AB8F4FF"/>
    <w:rsid w:val="4ABA66AE"/>
    <w:rsid w:val="4ABE9C8F"/>
    <w:rsid w:val="4ACD7E18"/>
    <w:rsid w:val="4AD3C623"/>
    <w:rsid w:val="4B0E2564"/>
    <w:rsid w:val="4B211C91"/>
    <w:rsid w:val="4B71BEB1"/>
    <w:rsid w:val="4B8CF813"/>
    <w:rsid w:val="4BB3AA1D"/>
    <w:rsid w:val="4C15880F"/>
    <w:rsid w:val="4C25D4F6"/>
    <w:rsid w:val="4C27D276"/>
    <w:rsid w:val="4C27E9F3"/>
    <w:rsid w:val="4C74C5A0"/>
    <w:rsid w:val="4C7BD56C"/>
    <w:rsid w:val="4D26B4B5"/>
    <w:rsid w:val="4D550F3C"/>
    <w:rsid w:val="4DC184AD"/>
    <w:rsid w:val="4DC39316"/>
    <w:rsid w:val="4DF77D54"/>
    <w:rsid w:val="4E3B3ED8"/>
    <w:rsid w:val="4E45C626"/>
    <w:rsid w:val="4E5CA07D"/>
    <w:rsid w:val="4E5DC3B0"/>
    <w:rsid w:val="4EC28516"/>
    <w:rsid w:val="4EDDC132"/>
    <w:rsid w:val="4EE7EF21"/>
    <w:rsid w:val="4F6CF5BA"/>
    <w:rsid w:val="4F8113DB"/>
    <w:rsid w:val="4FDB6557"/>
    <w:rsid w:val="4FDE0D96"/>
    <w:rsid w:val="501027B9"/>
    <w:rsid w:val="502C0777"/>
    <w:rsid w:val="506E615E"/>
    <w:rsid w:val="507401ED"/>
    <w:rsid w:val="5086FF95"/>
    <w:rsid w:val="508E10C4"/>
    <w:rsid w:val="50BD87D1"/>
    <w:rsid w:val="50D0C25C"/>
    <w:rsid w:val="50DC9C41"/>
    <w:rsid w:val="51361E32"/>
    <w:rsid w:val="517735B8"/>
    <w:rsid w:val="517D66E8"/>
    <w:rsid w:val="520A31BF"/>
    <w:rsid w:val="520F5802"/>
    <w:rsid w:val="5221A106"/>
    <w:rsid w:val="523D470B"/>
    <w:rsid w:val="5265045E"/>
    <w:rsid w:val="52F57D06"/>
    <w:rsid w:val="52F5BA6F"/>
    <w:rsid w:val="5347C87B"/>
    <w:rsid w:val="53D488A1"/>
    <w:rsid w:val="540CFA3C"/>
    <w:rsid w:val="543A9A54"/>
    <w:rsid w:val="55AA8572"/>
    <w:rsid w:val="55D8D16E"/>
    <w:rsid w:val="56052E19"/>
    <w:rsid w:val="5658C591"/>
    <w:rsid w:val="56E429EB"/>
    <w:rsid w:val="56EACB55"/>
    <w:rsid w:val="57438B98"/>
    <w:rsid w:val="574C390D"/>
    <w:rsid w:val="577272A3"/>
    <w:rsid w:val="5791EB1B"/>
    <w:rsid w:val="57BF7AFD"/>
    <w:rsid w:val="57C728BC"/>
    <w:rsid w:val="58685A81"/>
    <w:rsid w:val="587FFA4C"/>
    <w:rsid w:val="58BDDF86"/>
    <w:rsid w:val="58E25823"/>
    <w:rsid w:val="58E8096E"/>
    <w:rsid w:val="58EF6515"/>
    <w:rsid w:val="590C4584"/>
    <w:rsid w:val="5938EFF8"/>
    <w:rsid w:val="599359CE"/>
    <w:rsid w:val="5A1BCAAD"/>
    <w:rsid w:val="5A30A2FA"/>
    <w:rsid w:val="5A77F1BB"/>
    <w:rsid w:val="5A7B2C5A"/>
    <w:rsid w:val="5A7DF695"/>
    <w:rsid w:val="5B1E17FE"/>
    <w:rsid w:val="5B5870EE"/>
    <w:rsid w:val="5BBE3C78"/>
    <w:rsid w:val="5BF8F48F"/>
    <w:rsid w:val="5C0AE150"/>
    <w:rsid w:val="5C13C21C"/>
    <w:rsid w:val="5C19F8E5"/>
    <w:rsid w:val="5C6066C5"/>
    <w:rsid w:val="5C7BA2B4"/>
    <w:rsid w:val="5CCAFA90"/>
    <w:rsid w:val="5D536B6F"/>
    <w:rsid w:val="5D6D8BCE"/>
    <w:rsid w:val="5DC08E83"/>
    <w:rsid w:val="5E1018C0"/>
    <w:rsid w:val="5E63D776"/>
    <w:rsid w:val="5E71D57A"/>
    <w:rsid w:val="5E9B9A35"/>
    <w:rsid w:val="5F357520"/>
    <w:rsid w:val="5FF18921"/>
    <w:rsid w:val="601602A0"/>
    <w:rsid w:val="6017A561"/>
    <w:rsid w:val="603154A4"/>
    <w:rsid w:val="60376A96"/>
    <w:rsid w:val="60504915"/>
    <w:rsid w:val="608C72AE"/>
    <w:rsid w:val="609BB005"/>
    <w:rsid w:val="609DA8C9"/>
    <w:rsid w:val="60A4348E"/>
    <w:rsid w:val="60C62F6A"/>
    <w:rsid w:val="60CB5A69"/>
    <w:rsid w:val="61169E4C"/>
    <w:rsid w:val="616E0B02"/>
    <w:rsid w:val="6190F0EA"/>
    <w:rsid w:val="61CD2505"/>
    <w:rsid w:val="6226DC92"/>
    <w:rsid w:val="6261FFCB"/>
    <w:rsid w:val="6285762A"/>
    <w:rsid w:val="62B327CA"/>
    <w:rsid w:val="632929E3"/>
    <w:rsid w:val="63DCCD52"/>
    <w:rsid w:val="63E45FCE"/>
    <w:rsid w:val="63EB041C"/>
    <w:rsid w:val="63FDD02C"/>
    <w:rsid w:val="642D6B55"/>
    <w:rsid w:val="643287DD"/>
    <w:rsid w:val="643B1B90"/>
    <w:rsid w:val="64871BFA"/>
    <w:rsid w:val="64D318FA"/>
    <w:rsid w:val="6546D9D9"/>
    <w:rsid w:val="655E7D54"/>
    <w:rsid w:val="65789DB3"/>
    <w:rsid w:val="65BDC394"/>
    <w:rsid w:val="65F6D4CD"/>
    <w:rsid w:val="6686E6E5"/>
    <w:rsid w:val="66C760A2"/>
    <w:rsid w:val="67023B3B"/>
    <w:rsid w:val="67146E14"/>
    <w:rsid w:val="6722A4DE"/>
    <w:rsid w:val="6770279D"/>
    <w:rsid w:val="678698ED"/>
    <w:rsid w:val="67CE1F92"/>
    <w:rsid w:val="67D401D1"/>
    <w:rsid w:val="68978493"/>
    <w:rsid w:val="68A70654"/>
    <w:rsid w:val="68D9E68A"/>
    <w:rsid w:val="68F8C4E9"/>
    <w:rsid w:val="6922694E"/>
    <w:rsid w:val="695A25BC"/>
    <w:rsid w:val="695C3EBD"/>
    <w:rsid w:val="696F57E6"/>
    <w:rsid w:val="69A0A5AA"/>
    <w:rsid w:val="69EC223A"/>
    <w:rsid w:val="69FF0164"/>
    <w:rsid w:val="6A75B6EB"/>
    <w:rsid w:val="6A83847C"/>
    <w:rsid w:val="6AB49154"/>
    <w:rsid w:val="6B9AD1C5"/>
    <w:rsid w:val="6BCD0617"/>
    <w:rsid w:val="6BFF7302"/>
    <w:rsid w:val="6C5061B5"/>
    <w:rsid w:val="6C5F787E"/>
    <w:rsid w:val="6CD4E7B1"/>
    <w:rsid w:val="6CFCA504"/>
    <w:rsid w:val="6CFCC541"/>
    <w:rsid w:val="6D0341DC"/>
    <w:rsid w:val="6D12529F"/>
    <w:rsid w:val="6D630374"/>
    <w:rsid w:val="6D7DDE6C"/>
    <w:rsid w:val="6D8ECEE4"/>
    <w:rsid w:val="6DB8C575"/>
    <w:rsid w:val="6DD3A8A7"/>
    <w:rsid w:val="6E1C2B6B"/>
    <w:rsid w:val="6E2D96DF"/>
    <w:rsid w:val="6E3CB657"/>
    <w:rsid w:val="6E9F123D"/>
    <w:rsid w:val="6EF8FC2E"/>
    <w:rsid w:val="6F80FEC4"/>
    <w:rsid w:val="703A3A13"/>
    <w:rsid w:val="703C213E"/>
    <w:rsid w:val="705868CD"/>
    <w:rsid w:val="705A3CB1"/>
    <w:rsid w:val="70707214"/>
    <w:rsid w:val="70E5EFFC"/>
    <w:rsid w:val="71007E37"/>
    <w:rsid w:val="710B4969"/>
    <w:rsid w:val="710C49A5"/>
    <w:rsid w:val="71164095"/>
    <w:rsid w:val="711709E3"/>
    <w:rsid w:val="71398774"/>
    <w:rsid w:val="71E5C3C2"/>
    <w:rsid w:val="723D005C"/>
    <w:rsid w:val="724B8F4C"/>
    <w:rsid w:val="72E4ADDF"/>
    <w:rsid w:val="72E59A3D"/>
    <w:rsid w:val="72F5A8EF"/>
    <w:rsid w:val="7334ED17"/>
    <w:rsid w:val="736C805E"/>
    <w:rsid w:val="73E27759"/>
    <w:rsid w:val="742A66C2"/>
    <w:rsid w:val="744DE157"/>
    <w:rsid w:val="74C40F27"/>
    <w:rsid w:val="74F3B98B"/>
    <w:rsid w:val="756FC7F4"/>
    <w:rsid w:val="7583300E"/>
    <w:rsid w:val="75C3D75A"/>
    <w:rsid w:val="75C63723"/>
    <w:rsid w:val="7606BFE0"/>
    <w:rsid w:val="765FDF88"/>
    <w:rsid w:val="76DB86EC"/>
    <w:rsid w:val="76E796DD"/>
    <w:rsid w:val="77101EE6"/>
    <w:rsid w:val="771F006F"/>
    <w:rsid w:val="77F7A2C7"/>
    <w:rsid w:val="787954CD"/>
    <w:rsid w:val="78B42F66"/>
    <w:rsid w:val="78D49909"/>
    <w:rsid w:val="7921527A"/>
    <w:rsid w:val="794D801A"/>
    <w:rsid w:val="796B7896"/>
    <w:rsid w:val="79F3FF8A"/>
    <w:rsid w:val="7A4AE41C"/>
    <w:rsid w:val="7A8929C7"/>
    <w:rsid w:val="7B161B2C"/>
    <w:rsid w:val="7B362EF6"/>
    <w:rsid w:val="7BCA67AC"/>
    <w:rsid w:val="7BD29632"/>
    <w:rsid w:val="7BEBD028"/>
    <w:rsid w:val="7C05ABA8"/>
    <w:rsid w:val="7C0C39CB"/>
    <w:rsid w:val="7C6ADB9D"/>
    <w:rsid w:val="7C91D958"/>
    <w:rsid w:val="7CBE74FE"/>
    <w:rsid w:val="7CD7A595"/>
    <w:rsid w:val="7D1DDEE5"/>
    <w:rsid w:val="7DAEBF63"/>
    <w:rsid w:val="7DC461F1"/>
    <w:rsid w:val="7E276086"/>
    <w:rsid w:val="7E282613"/>
    <w:rsid w:val="7E623B1F"/>
    <w:rsid w:val="7E82A4C2"/>
    <w:rsid w:val="7E8EC962"/>
    <w:rsid w:val="7E9570D2"/>
    <w:rsid w:val="7EE698D1"/>
    <w:rsid w:val="7EE8568A"/>
    <w:rsid w:val="7F02086E"/>
    <w:rsid w:val="7F262E59"/>
    <w:rsid w:val="7F6D1969"/>
    <w:rsid w:val="7F912E41"/>
    <w:rsid w:val="7F9EE160"/>
    <w:rsid w:val="7FBB5ADE"/>
    <w:rsid w:val="7FCC6BC2"/>
    <w:rsid w:val="7FF44D6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24E3F59"/>
  <w15:chartTrackingRefBased/>
  <w15:docId w15:val="{2B13F8BF-8B7A-416F-AB38-874E206972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Pr>
      <w:color w:val="0563C1" w:themeColor="hyperlink"/>
      <w:u w:val="single"/>
    </w:rPr>
  </w:style>
  <w:style w:type="paragraph" w:styleId="NoSpacing">
    <w:name w:val="No Spacing"/>
    <w:link w:val="NoSpacingChar"/>
    <w:uiPriority w:val="1"/>
    <w:qFormat/>
    <w:rsid w:val="007C12D1"/>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C12D1"/>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peopleprofession.cipd.org/profession-map/core-knowledge/change" TargetMode="External"/><Relationship Id="rId18" Type="http://schemas.openxmlformats.org/officeDocument/2006/relationships/hyperlink" Target="https://www.cipd.co.uk/knowledge/work/trends/labour-market-outlook" TargetMode="External"/><Relationship Id="rId26" Type="http://schemas.openxmlformats.org/officeDocument/2006/relationships/hyperlink" Target="https://www.gov.uk/government/collections/future-of-demographic-change" TargetMode="External"/><Relationship Id="rId39" Type="http://schemas.openxmlformats.org/officeDocument/2006/relationships/hyperlink" Target="https://www.ons.gov.uk/employmentandlabourmarket/peopleinwork/earningsandworkinghours/bulletins/genderpaygapintheuk/2021" TargetMode="External"/><Relationship Id="rId21" Type="http://schemas.openxmlformats.org/officeDocument/2006/relationships/hyperlink" Target="file:///C:/Users/swp56877/AppData/Local/Temp/MicrosoftEdgeDownloads/50105067-e27c-4948-94a5-2b99c1510a0a/labour-market-outlook-spring-2022-web_tcm18-106241.pdf" TargetMode="External"/><Relationship Id="rId34" Type="http://schemas.openxmlformats.org/officeDocument/2006/relationships/hyperlink" Target="https://www.cipd.co.uk/knowledge/strategy/resourcing/turnover-retention-factsheet" TargetMode="External"/><Relationship Id="rId42" Type="http://schemas.openxmlformats.org/officeDocument/2006/relationships/hyperlink" Target="https://teambuilding.com/blog/hr-skills" TargetMode="External"/><Relationship Id="rId47" Type="http://schemas.openxmlformats.org/officeDocument/2006/relationships/hyperlink" Target="https://www.theguardian.com/uk/2011/apr/05/white-male-culture-dominates-police" TargetMode="Externa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hyperlink" Target="https://www.cipd.co.uk/knowledge/strategy/organisational-development/pestle-analysis-factsheet" TargetMode="External"/><Relationship Id="rId29" Type="http://schemas.openxmlformats.org/officeDocument/2006/relationships/hyperlink" Target="https://www.infobasecymru.net/IAS/" TargetMode="External"/><Relationship Id="rId11" Type="http://schemas.openxmlformats.org/officeDocument/2006/relationships/hyperlink" Target="https://www.cipd.co.uk/Images/landing-transformation-change_2015-gap-theory-practice_tcm18-9050.pdf" TargetMode="External"/><Relationship Id="rId24" Type="http://schemas.openxmlformats.org/officeDocument/2006/relationships/hyperlink" Target="https://pestleanalysis.com/disadvantages-of-pestle-analysis/" TargetMode="External"/><Relationship Id="rId32" Type="http://schemas.openxmlformats.org/officeDocument/2006/relationships/hyperlink" Target="https://www.itv.com/news/wales/2022-02-14/could-a-four-day-working-week-soon-become-a-reality-in-wales" TargetMode="External"/><Relationship Id="rId37" Type="http://schemas.openxmlformats.org/officeDocument/2006/relationships/hyperlink" Target="https://doi.org/10.1057/s41293-018-00101-4" TargetMode="External"/><Relationship Id="rId40" Type="http://schemas.openxmlformats.org/officeDocument/2006/relationships/hyperlink" Target="https://www.linkedin.com/pulse/cons-4-day-workweek-peoplehum" TargetMode="External"/><Relationship Id="rId45" Type="http://schemas.openxmlformats.org/officeDocument/2006/relationships/hyperlink" Target="https://www.hrreview.co.uk/hr-news/pandemic-challenges-led-hr-professionals-to-boost-their-skills/138600" TargetMode="External"/><Relationship Id="rId5" Type="http://schemas.openxmlformats.org/officeDocument/2006/relationships/footnotes" Target="footnotes.xml"/><Relationship Id="rId15" Type="http://schemas.openxmlformats.org/officeDocument/2006/relationships/hyperlink" Target="https://www.cipd.co.uk/knowledge/strategy/hr/strategic-hrm-factsheet" TargetMode="External"/><Relationship Id="rId23" Type="http://schemas.openxmlformats.org/officeDocument/2006/relationships/hyperlink" Target="https://www.personneltoday.com/hr/peter-cheese-four-day-week-flexible-working-taskforce/" TargetMode="External"/><Relationship Id="rId28" Type="http://schemas.openxmlformats.org/officeDocument/2006/relationships/hyperlink" Target="https://www.peoplemanagement.co.uk/voices/comment/how-successfully-support-ageing-workforce" TargetMode="External"/><Relationship Id="rId36" Type="http://schemas.openxmlformats.org/officeDocument/2006/relationships/hyperlink" Target="https://www.mckinsey.com/business-functions/risk-and-resilience/our-insights/covid-19-implications-for-business" TargetMode="External"/><Relationship Id="rId49" Type="http://schemas.openxmlformats.org/officeDocument/2006/relationships/theme" Target="theme/theme1.xml"/><Relationship Id="rId10" Type="http://schemas.openxmlformats.org/officeDocument/2006/relationships/hyperlink" Target="file:///C:/Users/swp56877/AppData/Local/Temp/MicrosoftEdgeDownloads/16f9250e-df0a-4e9f-955c-619d35836cbb/Fact_Sheet___Flexible_Retirement__April_2014_.pdf" TargetMode="External"/><Relationship Id="rId19" Type="http://schemas.openxmlformats.org/officeDocument/2006/relationships/hyperlink" Target="https://www.cipd.co.uk/Images/CIPD%20submission%20to%20BEIS%20Make%20Flexible%20Working%20the%20Default%2001%2012%2021_tcm18-103756.pdf" TargetMode="External"/><Relationship Id="rId31" Type="http://schemas.openxmlformats.org/officeDocument/2006/relationships/hyperlink" Target="https://www.legislation.gov.uk/uksi/2014/1398/made" TargetMode="External"/><Relationship Id="rId44" Type="http://schemas.openxmlformats.org/officeDocument/2006/relationships/hyperlink" Target="https://learnbusinessconcepts.com/advantages-and-disadvantages-of-porters-five-forces/" TargetMode="External"/><Relationship Id="rId4" Type="http://schemas.openxmlformats.org/officeDocument/2006/relationships/webSettings" Target="webSettings.xml"/><Relationship Id="rId9" Type="http://schemas.openxmlformats.org/officeDocument/2006/relationships/hyperlink" Target="https://harperjames.co.uk/article/switching-to-a-four-day-working-week/" TargetMode="External"/><Relationship Id="rId14" Type="http://schemas.openxmlformats.org/officeDocument/2006/relationships/hyperlink" Target="https://www.cipd.co.uk/knowledge/strategy/change/management-factsheet" TargetMode="External"/><Relationship Id="rId22" Type="http://schemas.openxmlformats.org/officeDocument/2006/relationships/hyperlink" Target="https://yougov.co.uk/topics/politics/articles-reports/2014/04/16/introduce-four-day-week-say-public" TargetMode="External"/><Relationship Id="rId27" Type="http://schemas.openxmlformats.org/officeDocument/2006/relationships/hyperlink" Target="https://www.gov.uk/government/news/uk-gender-pay-gap" TargetMode="External"/><Relationship Id="rId30" Type="http://schemas.openxmlformats.org/officeDocument/2006/relationships/hyperlink" Target="https://www.bbc.co.uk/news/business-42918951" TargetMode="External"/><Relationship Id="rId35" Type="http://schemas.openxmlformats.org/officeDocument/2006/relationships/hyperlink" Target="https://www.personneltoday.com/hr/four-day-week-affordable-for-most-businesses-study-suggests/" TargetMode="External"/><Relationship Id="rId43" Type="http://schemas.openxmlformats.org/officeDocument/2006/relationships/hyperlink" Target="https://labourlist.org/2019/09/four-day-working-week-becomes-labour-policy/" TargetMode="External"/><Relationship Id="rId48" Type="http://schemas.openxmlformats.org/officeDocument/2006/relationships/fontTable" Target="fontTable.xml"/><Relationship Id="rId8" Type="http://schemas.openxmlformats.org/officeDocument/2006/relationships/image" Target="media/image2.png"/><Relationship Id="R3c4d62104107456f" Type="http://schemas.microsoft.com/office/2019/09/relationships/intelligence" Target="intelligence.xml"/><Relationship Id="rId3" Type="http://schemas.openxmlformats.org/officeDocument/2006/relationships/settings" Target="settings.xml"/><Relationship Id="rId12" Type="http://schemas.openxmlformats.org/officeDocument/2006/relationships/hyperlink" Target="https://www.cipd.co.uk/knowledge/work/trends/ageing-workforce-report" TargetMode="External"/><Relationship Id="rId17" Type="http://schemas.openxmlformats.org/officeDocument/2006/relationships/hyperlink" Target="https://www.cipd.co.uk/knowledge/strategy/organisational-development/swot-analysis-factsheet" TargetMode="External"/><Relationship Id="rId25" Type="http://schemas.openxmlformats.org/officeDocument/2006/relationships/hyperlink" Target="https://vittana.org/14-pros-and-cons-of-the-4-day-work-week" TargetMode="External"/><Relationship Id="rId33" Type="http://schemas.openxmlformats.org/officeDocument/2006/relationships/hyperlink" Target="https://www.marshcommercial.co.uk/articles/flexible-working-regulations-2014/" TargetMode="External"/><Relationship Id="rId38" Type="http://schemas.openxmlformats.org/officeDocument/2006/relationships/hyperlink" Target="https://www.forbes.com/sites/siminamistreanu/2020/03/02/study-links-nike-adidas-and-apple-to-forced-uighur-labor/?sh=7eafd9c21003" TargetMode="External"/><Relationship Id="rId46" Type="http://schemas.openxmlformats.org/officeDocument/2006/relationships/hyperlink" Target="https://online.hbs.edu/blog/post/emergent-vs-deliberate-strategy" TargetMode="External"/><Relationship Id="rId20" Type="http://schemas.openxmlformats.org/officeDocument/2006/relationships/hyperlink" Target="https://www.cipd.co.uk/knowledge/brexit-hub/workforce-trends" TargetMode="External"/><Relationship Id="rId41" Type="http://schemas.openxmlformats.org/officeDocument/2006/relationships/hyperlink" Target="https://www.personneltoday.com/hr/backlash-against-human-resources-business-partner-model-as-managers-question-results/" TargetMode="External"/><Relationship Id="rId1" Type="http://schemas.openxmlformats.org/officeDocument/2006/relationships/customXml" Target="../customXml/item1.xml"/><Relationship Id="rId6"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056FD1C8-FD53-4A49-929C-A8218B92EC0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14</Pages>
  <Words>4590</Words>
  <Characters>26165</Characters>
  <Application>Microsoft Office Word</Application>
  <DocSecurity>0</DocSecurity>
  <Lines>218</Lines>
  <Paragraphs>61</Paragraphs>
  <ScaleCrop>false</ScaleCrop>
  <HeadingPairs>
    <vt:vector size="2" baseType="variant">
      <vt:variant>
        <vt:lpstr>Title</vt:lpstr>
      </vt:variant>
      <vt:variant>
        <vt:i4>1</vt:i4>
      </vt:variant>
    </vt:vector>
  </HeadingPairs>
  <TitlesOfParts>
    <vt:vector size="1" baseType="lpstr">
      <vt:lpstr>Module title: Human resources management in context</vt:lpstr>
    </vt:vector>
  </TitlesOfParts>
  <Company/>
  <LinksUpToDate>false</LinksUpToDate>
  <CharactersWithSpaces>30694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Module title: Human resources management in context</dc:title>
  <dc:subject>Module Code: BMHR7004</dc:subject>
  <dc:creator>Sonia Green (2005385)</dc:creator>
  <cp:keywords/>
  <dc:description/>
  <cp:lastModifiedBy>Green,Sonia swp56877</cp:lastModifiedBy>
  <cp:revision>3</cp:revision>
  <dcterms:created xsi:type="dcterms:W3CDTF">2022-05-19T11:10:00Z</dcterms:created>
  <dcterms:modified xsi:type="dcterms:W3CDTF">2022-05-19T11:16:00Z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2022-05-19T11:10:21Z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2f841bc4-732e-4a12-9fbe-473d56b1c9a7</vt:lpwstr>
  </property>
  <property fmtid="{D5CDD505-2E9C-101B-9397-08002B2CF9AE}" pid="8" name="MSIP_Label_66cf8fe5-b7b7-4df7-b38d-1c61ac2f6639_ContentBits">
    <vt:lpwstr>0</vt:lpwstr>
  </property>
</Properties>
</file>