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A810C" w14:textId="6BCC93DC" w:rsidR="00577E79" w:rsidRDefault="25FBB8F9"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 xml:space="preserve">Student name and Number: Tara Spears 2131325 </w:t>
      </w:r>
    </w:p>
    <w:p w14:paraId="358CA0EA" w14:textId="5E1A7569" w:rsidR="00577E79" w:rsidRDefault="25FBB8F9"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 xml:space="preserve">Module Title and Code: </w:t>
      </w:r>
      <w:r w:rsidR="17487640" w:rsidRPr="3C5DE79D">
        <w:rPr>
          <w:rFonts w:ascii="Arial" w:eastAsia="Arial" w:hAnsi="Arial" w:cs="Arial"/>
          <w:sz w:val="22"/>
          <w:szCs w:val="22"/>
          <w:lang w:val="en-US"/>
        </w:rPr>
        <w:t>Health, Wellbeing and Sustainable Development BMHP6027</w:t>
      </w:r>
    </w:p>
    <w:p w14:paraId="35B075B6" w14:textId="12950FA8" w:rsidR="00577E79" w:rsidRDefault="17487640" w:rsidP="3C5DE79D">
      <w:pPr>
        <w:spacing w:line="360" w:lineRule="auto"/>
        <w:rPr>
          <w:rFonts w:ascii="Arial" w:eastAsia="Arial" w:hAnsi="Arial" w:cs="Arial"/>
          <w:sz w:val="22"/>
          <w:szCs w:val="22"/>
        </w:rPr>
      </w:pPr>
      <w:r w:rsidRPr="3C5DE79D">
        <w:rPr>
          <w:rFonts w:ascii="Arial" w:eastAsia="Arial" w:hAnsi="Arial" w:cs="Arial"/>
          <w:sz w:val="22"/>
          <w:szCs w:val="22"/>
        </w:rPr>
        <w:t xml:space="preserve">Assignment Title: </w:t>
      </w:r>
      <w:r w:rsidR="25FBB8F9" w:rsidRPr="3C5DE79D">
        <w:rPr>
          <w:rFonts w:ascii="Arial" w:eastAsia="Arial" w:hAnsi="Arial" w:cs="Arial"/>
          <w:sz w:val="22"/>
          <w:szCs w:val="22"/>
        </w:rPr>
        <w:t xml:space="preserve">Component 2 </w:t>
      </w:r>
      <w:r w:rsidR="6CC8F22C" w:rsidRPr="3C5DE79D">
        <w:rPr>
          <w:rFonts w:ascii="Arial" w:eastAsia="Arial" w:hAnsi="Arial" w:cs="Arial"/>
          <w:sz w:val="22"/>
          <w:szCs w:val="22"/>
        </w:rPr>
        <w:t xml:space="preserve">Written </w:t>
      </w:r>
      <w:r w:rsidR="25FBB8F9" w:rsidRPr="3C5DE79D">
        <w:rPr>
          <w:rFonts w:ascii="Arial" w:eastAsia="Arial" w:hAnsi="Arial" w:cs="Arial"/>
          <w:sz w:val="22"/>
          <w:szCs w:val="22"/>
        </w:rPr>
        <w:t xml:space="preserve">Report </w:t>
      </w:r>
    </w:p>
    <w:p w14:paraId="4B974D5A" w14:textId="01E3BD0C" w:rsidR="00577E79" w:rsidRDefault="25FBB8F9"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Lecturer's name: Tommy</w:t>
      </w:r>
    </w:p>
    <w:p w14:paraId="723839A2" w14:textId="54C3C2B7" w:rsidR="00577E79" w:rsidRDefault="7E642667" w:rsidP="3C5DE79D">
      <w:pPr>
        <w:spacing w:line="360" w:lineRule="auto"/>
        <w:rPr>
          <w:rFonts w:ascii="Arial" w:eastAsia="Arial" w:hAnsi="Arial" w:cs="Arial"/>
          <w:sz w:val="22"/>
          <w:szCs w:val="22"/>
          <w:lang w:val="en-US"/>
        </w:rPr>
      </w:pPr>
      <w:r w:rsidRPr="5E1BBDF9">
        <w:rPr>
          <w:rFonts w:ascii="Arial" w:eastAsia="Arial" w:hAnsi="Arial" w:cs="Arial"/>
          <w:sz w:val="22"/>
          <w:szCs w:val="22"/>
          <w:lang w:val="en-US"/>
        </w:rPr>
        <w:t>Word Count: 2198 words</w:t>
      </w:r>
    </w:p>
    <w:p w14:paraId="2E5AD9C2" w14:textId="032DA8E8" w:rsidR="00577E79" w:rsidRDefault="00577E79" w:rsidP="3C5DE79D">
      <w:pPr>
        <w:spacing w:line="360" w:lineRule="auto"/>
        <w:rPr>
          <w:rFonts w:ascii="Arial" w:eastAsia="Arial" w:hAnsi="Arial" w:cs="Arial"/>
          <w:sz w:val="22"/>
          <w:szCs w:val="22"/>
          <w:lang w:val="en-US"/>
        </w:rPr>
      </w:pPr>
    </w:p>
    <w:p w14:paraId="784AA023" w14:textId="3F3716FD" w:rsidR="00577E79" w:rsidRDefault="00577E79" w:rsidP="3C5DE79D">
      <w:pPr>
        <w:spacing w:line="360" w:lineRule="auto"/>
        <w:rPr>
          <w:rFonts w:ascii="Arial" w:eastAsia="Arial" w:hAnsi="Arial" w:cs="Arial"/>
          <w:sz w:val="22"/>
          <w:szCs w:val="22"/>
          <w:lang w:val="en-US"/>
        </w:rPr>
      </w:pPr>
    </w:p>
    <w:p w14:paraId="5D135FC5" w14:textId="5771307F" w:rsidR="00577E79" w:rsidRDefault="00577E79" w:rsidP="3C5DE79D">
      <w:pPr>
        <w:spacing w:line="360" w:lineRule="auto"/>
        <w:rPr>
          <w:rFonts w:ascii="Arial" w:eastAsia="Arial" w:hAnsi="Arial" w:cs="Arial"/>
          <w:sz w:val="22"/>
          <w:szCs w:val="22"/>
          <w:lang w:val="en-US"/>
        </w:rPr>
      </w:pPr>
    </w:p>
    <w:p w14:paraId="63BB0B01" w14:textId="2897C531" w:rsidR="00577E79" w:rsidRDefault="00577E79" w:rsidP="3C5DE79D">
      <w:pPr>
        <w:spacing w:line="360" w:lineRule="auto"/>
        <w:rPr>
          <w:rFonts w:ascii="Arial" w:eastAsia="Arial" w:hAnsi="Arial" w:cs="Arial"/>
          <w:sz w:val="22"/>
          <w:szCs w:val="22"/>
          <w:lang w:val="en-US"/>
        </w:rPr>
      </w:pPr>
    </w:p>
    <w:p w14:paraId="7BE9FB76" w14:textId="77777777" w:rsidR="00577E79" w:rsidRDefault="00577E79" w:rsidP="3C5DE79D">
      <w:pPr>
        <w:spacing w:line="360" w:lineRule="auto"/>
        <w:rPr>
          <w:rFonts w:ascii="Arial" w:eastAsia="Arial" w:hAnsi="Arial" w:cs="Arial"/>
          <w:sz w:val="22"/>
          <w:szCs w:val="22"/>
          <w:lang w:val="en-US"/>
        </w:rPr>
      </w:pPr>
    </w:p>
    <w:p w14:paraId="4F4000CA" w14:textId="77777777" w:rsidR="00577E79" w:rsidRDefault="00577E79" w:rsidP="3C5DE79D">
      <w:pPr>
        <w:spacing w:line="360" w:lineRule="auto"/>
        <w:rPr>
          <w:rFonts w:ascii="Arial" w:eastAsia="Arial" w:hAnsi="Arial" w:cs="Arial"/>
          <w:sz w:val="22"/>
          <w:szCs w:val="22"/>
          <w:lang w:val="en-US"/>
        </w:rPr>
      </w:pPr>
    </w:p>
    <w:p w14:paraId="445B7BBE" w14:textId="77777777" w:rsidR="00577E79" w:rsidRDefault="00577E79" w:rsidP="3C5DE79D">
      <w:pPr>
        <w:spacing w:line="360" w:lineRule="auto"/>
        <w:rPr>
          <w:rFonts w:ascii="Arial" w:eastAsia="Arial" w:hAnsi="Arial" w:cs="Arial"/>
          <w:sz w:val="22"/>
          <w:szCs w:val="22"/>
          <w:lang w:val="en-US"/>
        </w:rPr>
      </w:pPr>
    </w:p>
    <w:p w14:paraId="13532BBD" w14:textId="77777777" w:rsidR="00577E79" w:rsidRDefault="00577E79" w:rsidP="3C5DE79D">
      <w:pPr>
        <w:spacing w:line="360" w:lineRule="auto"/>
        <w:rPr>
          <w:rFonts w:ascii="Arial" w:eastAsia="Arial" w:hAnsi="Arial" w:cs="Arial"/>
          <w:sz w:val="22"/>
          <w:szCs w:val="22"/>
          <w:lang w:val="en-US"/>
        </w:rPr>
      </w:pPr>
    </w:p>
    <w:p w14:paraId="3B195CA9" w14:textId="77777777" w:rsidR="00577E79" w:rsidRDefault="00577E79" w:rsidP="3C5DE79D">
      <w:pPr>
        <w:spacing w:line="360" w:lineRule="auto"/>
        <w:rPr>
          <w:rFonts w:ascii="Arial" w:eastAsia="Arial" w:hAnsi="Arial" w:cs="Arial"/>
          <w:sz w:val="22"/>
          <w:szCs w:val="22"/>
          <w:lang w:val="en-US"/>
        </w:rPr>
      </w:pPr>
    </w:p>
    <w:p w14:paraId="6380869C" w14:textId="77777777" w:rsidR="00577E79" w:rsidRDefault="00577E79" w:rsidP="3C5DE79D">
      <w:pPr>
        <w:spacing w:line="360" w:lineRule="auto"/>
        <w:rPr>
          <w:rFonts w:ascii="Arial" w:eastAsia="Arial" w:hAnsi="Arial" w:cs="Arial"/>
          <w:sz w:val="22"/>
          <w:szCs w:val="22"/>
          <w:lang w:val="en-US"/>
        </w:rPr>
      </w:pPr>
    </w:p>
    <w:p w14:paraId="56BC643E" w14:textId="77777777" w:rsidR="00577E79" w:rsidRDefault="00577E79" w:rsidP="3C5DE79D">
      <w:pPr>
        <w:spacing w:line="360" w:lineRule="auto"/>
        <w:rPr>
          <w:rFonts w:ascii="Arial" w:eastAsia="Arial" w:hAnsi="Arial" w:cs="Arial"/>
          <w:sz w:val="22"/>
          <w:szCs w:val="22"/>
          <w:lang w:val="en-US"/>
        </w:rPr>
      </w:pPr>
    </w:p>
    <w:p w14:paraId="0678E241" w14:textId="77777777" w:rsidR="00577E79" w:rsidRDefault="00577E79" w:rsidP="3C5DE79D">
      <w:pPr>
        <w:spacing w:line="360" w:lineRule="auto"/>
        <w:rPr>
          <w:rFonts w:ascii="Arial" w:eastAsia="Arial" w:hAnsi="Arial" w:cs="Arial"/>
          <w:sz w:val="22"/>
          <w:szCs w:val="22"/>
          <w:lang w:val="en-US"/>
        </w:rPr>
      </w:pPr>
    </w:p>
    <w:p w14:paraId="3A6FEFA1" w14:textId="77777777" w:rsidR="00577E79" w:rsidRDefault="00577E79" w:rsidP="3C5DE79D">
      <w:pPr>
        <w:spacing w:line="360" w:lineRule="auto"/>
        <w:rPr>
          <w:rFonts w:ascii="Arial" w:eastAsia="Arial" w:hAnsi="Arial" w:cs="Arial"/>
          <w:sz w:val="22"/>
          <w:szCs w:val="22"/>
          <w:lang w:val="en-US"/>
        </w:rPr>
      </w:pPr>
    </w:p>
    <w:p w14:paraId="4A41E977" w14:textId="77777777" w:rsidR="00577E79" w:rsidRDefault="00577E79" w:rsidP="3C5DE79D">
      <w:pPr>
        <w:spacing w:line="360" w:lineRule="auto"/>
        <w:rPr>
          <w:rFonts w:ascii="Arial" w:eastAsia="Arial" w:hAnsi="Arial" w:cs="Arial"/>
          <w:sz w:val="22"/>
          <w:szCs w:val="22"/>
          <w:lang w:val="en-US"/>
        </w:rPr>
      </w:pPr>
    </w:p>
    <w:p w14:paraId="50309101" w14:textId="77777777" w:rsidR="00577E79" w:rsidRDefault="00577E79" w:rsidP="3C5DE79D">
      <w:pPr>
        <w:spacing w:line="360" w:lineRule="auto"/>
        <w:rPr>
          <w:rFonts w:ascii="Arial" w:eastAsia="Arial" w:hAnsi="Arial" w:cs="Arial"/>
          <w:sz w:val="22"/>
          <w:szCs w:val="22"/>
          <w:lang w:val="en-US"/>
        </w:rPr>
      </w:pPr>
    </w:p>
    <w:p w14:paraId="5EABA229" w14:textId="77777777" w:rsidR="00577E79" w:rsidRDefault="00577E79" w:rsidP="3C5DE79D">
      <w:pPr>
        <w:spacing w:line="360" w:lineRule="auto"/>
        <w:rPr>
          <w:rFonts w:ascii="Arial" w:eastAsia="Arial" w:hAnsi="Arial" w:cs="Arial"/>
          <w:sz w:val="22"/>
          <w:szCs w:val="22"/>
          <w:lang w:val="en-US"/>
        </w:rPr>
      </w:pPr>
    </w:p>
    <w:p w14:paraId="31273C08" w14:textId="77777777" w:rsidR="00577E79" w:rsidRDefault="00577E79" w:rsidP="3C5DE79D">
      <w:pPr>
        <w:spacing w:line="360" w:lineRule="auto"/>
        <w:rPr>
          <w:rFonts w:ascii="Arial" w:eastAsia="Arial" w:hAnsi="Arial" w:cs="Arial"/>
          <w:sz w:val="22"/>
          <w:szCs w:val="22"/>
          <w:lang w:val="en-US"/>
        </w:rPr>
      </w:pPr>
    </w:p>
    <w:p w14:paraId="576271DA" w14:textId="77777777" w:rsidR="00577E79" w:rsidRDefault="00577E79" w:rsidP="3C5DE79D">
      <w:pPr>
        <w:spacing w:line="360" w:lineRule="auto"/>
        <w:rPr>
          <w:rFonts w:ascii="Arial" w:eastAsia="Arial" w:hAnsi="Arial" w:cs="Arial"/>
          <w:sz w:val="22"/>
          <w:szCs w:val="22"/>
          <w:lang w:val="en-US"/>
        </w:rPr>
      </w:pPr>
    </w:p>
    <w:p w14:paraId="165C641F" w14:textId="543C82CF" w:rsidR="3C5DE79D" w:rsidRDefault="3C5DE79D" w:rsidP="3C5DE79D">
      <w:pPr>
        <w:spacing w:line="360" w:lineRule="auto"/>
        <w:rPr>
          <w:rFonts w:ascii="Arial" w:eastAsia="Arial" w:hAnsi="Arial" w:cs="Arial"/>
          <w:b/>
          <w:bCs/>
          <w:sz w:val="22"/>
          <w:szCs w:val="22"/>
          <w:lang w:val="en-US"/>
        </w:rPr>
      </w:pPr>
    </w:p>
    <w:p w14:paraId="58CD888F" w14:textId="37BF7114" w:rsidR="00577E79" w:rsidRDefault="1A0014E5" w:rsidP="3C5DE79D">
      <w:pPr>
        <w:spacing w:line="360" w:lineRule="auto"/>
        <w:rPr>
          <w:rFonts w:ascii="Arial" w:eastAsia="Arial" w:hAnsi="Arial" w:cs="Arial"/>
          <w:b/>
          <w:bCs/>
          <w:sz w:val="22"/>
          <w:szCs w:val="22"/>
          <w:lang w:val="en-US"/>
        </w:rPr>
      </w:pPr>
      <w:r w:rsidRPr="3C5DE79D">
        <w:rPr>
          <w:rFonts w:ascii="Arial" w:eastAsia="Arial" w:hAnsi="Arial" w:cs="Arial"/>
          <w:b/>
          <w:bCs/>
          <w:sz w:val="22"/>
          <w:szCs w:val="22"/>
          <w:lang w:val="en-US"/>
        </w:rPr>
        <w:t>Contents Page</w:t>
      </w:r>
    </w:p>
    <w:p w14:paraId="2248DD0B" w14:textId="77777777" w:rsidR="00577E79" w:rsidRDefault="00577E79" w:rsidP="3C5DE79D">
      <w:pPr>
        <w:spacing w:line="360" w:lineRule="auto"/>
        <w:rPr>
          <w:rFonts w:ascii="Arial" w:eastAsia="Arial" w:hAnsi="Arial" w:cs="Arial"/>
          <w:b/>
          <w:bCs/>
          <w:sz w:val="22"/>
          <w:szCs w:val="22"/>
          <w:lang w:val="en-US"/>
        </w:rPr>
      </w:pPr>
    </w:p>
    <w:p w14:paraId="2D0609CF" w14:textId="4E531A9B" w:rsidR="00577E79" w:rsidRDefault="7E2D6BCD" w:rsidP="3C5DE79D">
      <w:pPr>
        <w:spacing w:line="360" w:lineRule="auto"/>
        <w:rPr>
          <w:rFonts w:ascii="Arial" w:eastAsia="Arial" w:hAnsi="Arial" w:cs="Arial"/>
          <w:b/>
          <w:bCs/>
          <w:sz w:val="22"/>
          <w:szCs w:val="22"/>
          <w:lang w:val="en-US"/>
        </w:rPr>
      </w:pPr>
      <w:r w:rsidRPr="5E1BBDF9">
        <w:rPr>
          <w:rFonts w:ascii="Arial" w:eastAsia="Arial" w:hAnsi="Arial" w:cs="Arial"/>
          <w:b/>
          <w:bCs/>
          <w:sz w:val="22"/>
          <w:szCs w:val="22"/>
          <w:lang w:val="en-US"/>
        </w:rPr>
        <w:lastRenderedPageBreak/>
        <w:t xml:space="preserve">Introduction____________________________________________________Page </w:t>
      </w:r>
      <w:r w:rsidR="59C1E72F" w:rsidRPr="5E1BBDF9">
        <w:rPr>
          <w:rFonts w:ascii="Arial" w:eastAsia="Arial" w:hAnsi="Arial" w:cs="Arial"/>
          <w:b/>
          <w:bCs/>
          <w:sz w:val="22"/>
          <w:szCs w:val="22"/>
          <w:lang w:val="en-US"/>
        </w:rPr>
        <w:t>3</w:t>
      </w:r>
    </w:p>
    <w:p w14:paraId="7E10B820" w14:textId="38D5290E" w:rsidR="00577E79" w:rsidRDefault="7E2D6BCD" w:rsidP="3C5DE79D">
      <w:pPr>
        <w:spacing w:line="360" w:lineRule="auto"/>
        <w:rPr>
          <w:rFonts w:ascii="Arial" w:eastAsia="Arial" w:hAnsi="Arial" w:cs="Arial"/>
          <w:b/>
          <w:bCs/>
          <w:sz w:val="22"/>
          <w:szCs w:val="22"/>
          <w:lang w:val="en-US"/>
        </w:rPr>
      </w:pPr>
      <w:r w:rsidRPr="5E1BBDF9">
        <w:rPr>
          <w:rFonts w:ascii="Arial" w:eastAsia="Arial" w:hAnsi="Arial" w:cs="Arial"/>
          <w:b/>
          <w:bCs/>
          <w:sz w:val="22"/>
          <w:szCs w:val="22"/>
          <w:lang w:val="en-US"/>
        </w:rPr>
        <w:t>Section 1</w:t>
      </w:r>
      <w:r w:rsidR="7A613987" w:rsidRPr="5E1BBDF9">
        <w:rPr>
          <w:rFonts w:ascii="Arial" w:eastAsia="Arial" w:hAnsi="Arial" w:cs="Arial"/>
          <w:b/>
          <w:bCs/>
          <w:sz w:val="22"/>
          <w:szCs w:val="22"/>
          <w:lang w:val="en-US"/>
        </w:rPr>
        <w:t xml:space="preserve">: SDG 3 - Good Health and Wellbeing </w:t>
      </w:r>
      <w:r w:rsidRPr="5E1BBDF9">
        <w:rPr>
          <w:rFonts w:ascii="Arial" w:eastAsia="Arial" w:hAnsi="Arial" w:cs="Arial"/>
          <w:b/>
          <w:bCs/>
          <w:sz w:val="22"/>
          <w:szCs w:val="22"/>
          <w:lang w:val="en-US"/>
        </w:rPr>
        <w:t>______________________</w:t>
      </w:r>
      <w:r w:rsidR="1AAD02E4" w:rsidRPr="5E1BBDF9">
        <w:rPr>
          <w:rFonts w:ascii="Arial" w:eastAsia="Arial" w:hAnsi="Arial" w:cs="Arial"/>
          <w:b/>
          <w:bCs/>
          <w:sz w:val="22"/>
          <w:szCs w:val="22"/>
          <w:lang w:val="en-US"/>
        </w:rPr>
        <w:t xml:space="preserve"> P</w:t>
      </w:r>
      <w:r w:rsidR="2EB30129" w:rsidRPr="5E1BBDF9">
        <w:rPr>
          <w:rFonts w:ascii="Arial" w:eastAsia="Arial" w:hAnsi="Arial" w:cs="Arial"/>
          <w:b/>
          <w:bCs/>
          <w:sz w:val="22"/>
          <w:szCs w:val="22"/>
          <w:lang w:val="en-US"/>
        </w:rPr>
        <w:t xml:space="preserve">age </w:t>
      </w:r>
      <w:r w:rsidR="05F3E37D" w:rsidRPr="5E1BBDF9">
        <w:rPr>
          <w:rFonts w:ascii="Arial" w:eastAsia="Arial" w:hAnsi="Arial" w:cs="Arial"/>
          <w:b/>
          <w:bCs/>
          <w:sz w:val="22"/>
          <w:szCs w:val="22"/>
          <w:lang w:val="en-US"/>
        </w:rPr>
        <w:t>4</w:t>
      </w:r>
      <w:r w:rsidR="04B739EA" w:rsidRPr="5E1BBDF9">
        <w:rPr>
          <w:rFonts w:ascii="Arial" w:eastAsia="Arial" w:hAnsi="Arial" w:cs="Arial"/>
          <w:b/>
          <w:bCs/>
          <w:sz w:val="22"/>
          <w:szCs w:val="22"/>
          <w:lang w:val="en-US"/>
        </w:rPr>
        <w:t>/</w:t>
      </w:r>
      <w:r w:rsidR="7557A82F" w:rsidRPr="5E1BBDF9">
        <w:rPr>
          <w:rFonts w:ascii="Arial" w:eastAsia="Arial" w:hAnsi="Arial" w:cs="Arial"/>
          <w:b/>
          <w:bCs/>
          <w:sz w:val="22"/>
          <w:szCs w:val="22"/>
          <w:lang w:val="en-US"/>
        </w:rPr>
        <w:t>6</w:t>
      </w:r>
    </w:p>
    <w:p w14:paraId="792C26A7" w14:textId="7F148DD5" w:rsidR="34B16E88" w:rsidRDefault="7E2D6BCD" w:rsidP="3C5DE79D">
      <w:pPr>
        <w:spacing w:line="360" w:lineRule="auto"/>
        <w:rPr>
          <w:rFonts w:ascii="Arial" w:eastAsia="Arial" w:hAnsi="Arial" w:cs="Arial"/>
          <w:b/>
          <w:bCs/>
          <w:sz w:val="22"/>
          <w:szCs w:val="22"/>
        </w:rPr>
      </w:pPr>
      <w:r w:rsidRPr="5E1BBDF9">
        <w:rPr>
          <w:rFonts w:ascii="Arial" w:eastAsia="Arial" w:hAnsi="Arial" w:cs="Arial"/>
          <w:b/>
          <w:bCs/>
          <w:sz w:val="22"/>
          <w:szCs w:val="22"/>
        </w:rPr>
        <w:t>Section 2</w:t>
      </w:r>
      <w:r w:rsidR="63D37E42" w:rsidRPr="5E1BBDF9">
        <w:rPr>
          <w:rFonts w:ascii="Arial" w:eastAsia="Arial" w:hAnsi="Arial" w:cs="Arial"/>
          <w:b/>
          <w:bCs/>
          <w:sz w:val="22"/>
          <w:szCs w:val="22"/>
        </w:rPr>
        <w:t>: SDG 10 – Reduced Inequalities</w:t>
      </w:r>
      <w:r w:rsidRPr="5E1BBDF9">
        <w:rPr>
          <w:rFonts w:ascii="Arial" w:eastAsia="Arial" w:hAnsi="Arial" w:cs="Arial"/>
          <w:b/>
          <w:bCs/>
          <w:sz w:val="22"/>
          <w:szCs w:val="22"/>
        </w:rPr>
        <w:t>_____________________</w:t>
      </w:r>
      <w:r w:rsidR="3F639777" w:rsidRPr="5E1BBDF9">
        <w:rPr>
          <w:rFonts w:ascii="Arial" w:eastAsia="Arial" w:hAnsi="Arial" w:cs="Arial"/>
          <w:b/>
          <w:bCs/>
          <w:sz w:val="22"/>
          <w:szCs w:val="22"/>
        </w:rPr>
        <w:t>_</w:t>
      </w:r>
      <w:r w:rsidRPr="5E1BBDF9">
        <w:rPr>
          <w:rFonts w:ascii="Arial" w:eastAsia="Arial" w:hAnsi="Arial" w:cs="Arial"/>
          <w:b/>
          <w:bCs/>
          <w:sz w:val="22"/>
          <w:szCs w:val="22"/>
        </w:rPr>
        <w:t>_____</w:t>
      </w:r>
      <w:r w:rsidR="19A6BB0A" w:rsidRPr="5E1BBDF9">
        <w:rPr>
          <w:rFonts w:ascii="Arial" w:eastAsia="Arial" w:hAnsi="Arial" w:cs="Arial"/>
          <w:b/>
          <w:bCs/>
          <w:sz w:val="22"/>
          <w:szCs w:val="22"/>
        </w:rPr>
        <w:t>Page</w:t>
      </w:r>
      <w:r w:rsidR="4043C3E6" w:rsidRPr="5E1BBDF9">
        <w:rPr>
          <w:rFonts w:ascii="Arial" w:eastAsia="Arial" w:hAnsi="Arial" w:cs="Arial"/>
          <w:b/>
          <w:bCs/>
          <w:sz w:val="22"/>
          <w:szCs w:val="22"/>
        </w:rPr>
        <w:t xml:space="preserve"> </w:t>
      </w:r>
      <w:r w:rsidR="67A1CDC0" w:rsidRPr="5E1BBDF9">
        <w:rPr>
          <w:rFonts w:ascii="Arial" w:eastAsia="Arial" w:hAnsi="Arial" w:cs="Arial"/>
          <w:b/>
          <w:bCs/>
          <w:sz w:val="22"/>
          <w:szCs w:val="22"/>
        </w:rPr>
        <w:t>7/</w:t>
      </w:r>
      <w:r w:rsidR="4043C3E6" w:rsidRPr="5E1BBDF9">
        <w:rPr>
          <w:rFonts w:ascii="Arial" w:eastAsia="Arial" w:hAnsi="Arial" w:cs="Arial"/>
          <w:b/>
          <w:bCs/>
          <w:sz w:val="22"/>
          <w:szCs w:val="22"/>
        </w:rPr>
        <w:t>9</w:t>
      </w:r>
    </w:p>
    <w:p w14:paraId="5DC432BA" w14:textId="766D666D" w:rsidR="34B16E88" w:rsidRDefault="7E2D6BCD" w:rsidP="3C5DE79D">
      <w:pPr>
        <w:spacing w:line="360" w:lineRule="auto"/>
        <w:rPr>
          <w:rFonts w:ascii="Arial" w:eastAsia="Arial" w:hAnsi="Arial" w:cs="Arial"/>
          <w:b/>
          <w:bCs/>
          <w:sz w:val="22"/>
          <w:szCs w:val="22"/>
          <w:lang w:val="en-US"/>
        </w:rPr>
      </w:pPr>
      <w:r w:rsidRPr="5E1BBDF9">
        <w:rPr>
          <w:rFonts w:ascii="Arial" w:eastAsia="Arial" w:hAnsi="Arial" w:cs="Arial"/>
          <w:b/>
          <w:bCs/>
          <w:sz w:val="22"/>
          <w:szCs w:val="22"/>
          <w:lang w:val="en-US"/>
        </w:rPr>
        <w:t>Conclusion_____________________________________________________</w:t>
      </w:r>
      <w:r w:rsidR="036DF736" w:rsidRPr="5E1BBDF9">
        <w:rPr>
          <w:rFonts w:ascii="Arial" w:eastAsia="Arial" w:hAnsi="Arial" w:cs="Arial"/>
          <w:b/>
          <w:bCs/>
          <w:sz w:val="22"/>
          <w:szCs w:val="22"/>
          <w:lang w:val="en-US"/>
        </w:rPr>
        <w:t>Page 1</w:t>
      </w:r>
      <w:r w:rsidR="6CB1B1A7" w:rsidRPr="5E1BBDF9">
        <w:rPr>
          <w:rFonts w:ascii="Arial" w:eastAsia="Arial" w:hAnsi="Arial" w:cs="Arial"/>
          <w:b/>
          <w:bCs/>
          <w:sz w:val="22"/>
          <w:szCs w:val="22"/>
          <w:lang w:val="en-US"/>
        </w:rPr>
        <w:t>1</w:t>
      </w:r>
    </w:p>
    <w:p w14:paraId="30EBA01C" w14:textId="13F95315" w:rsidR="00577E79" w:rsidRDefault="17D3D7DF" w:rsidP="5E1BBDF9">
      <w:pPr>
        <w:spacing w:line="360" w:lineRule="auto"/>
        <w:rPr>
          <w:rFonts w:ascii="Arial" w:eastAsia="Arial" w:hAnsi="Arial" w:cs="Arial"/>
          <w:b/>
          <w:bCs/>
          <w:sz w:val="22"/>
          <w:szCs w:val="22"/>
          <w:lang w:val="en-US"/>
        </w:rPr>
      </w:pPr>
      <w:r w:rsidRPr="5E1BBDF9">
        <w:rPr>
          <w:rFonts w:ascii="Arial" w:eastAsia="Arial" w:hAnsi="Arial" w:cs="Arial"/>
          <w:b/>
          <w:bCs/>
          <w:sz w:val="22"/>
          <w:szCs w:val="22"/>
          <w:lang w:val="en-US"/>
        </w:rPr>
        <w:t>References_____________________________________________________</w:t>
      </w:r>
      <w:r w:rsidR="431C8039" w:rsidRPr="5E1BBDF9">
        <w:rPr>
          <w:rFonts w:ascii="Arial" w:eastAsia="Arial" w:hAnsi="Arial" w:cs="Arial"/>
          <w:b/>
          <w:bCs/>
          <w:sz w:val="22"/>
          <w:szCs w:val="22"/>
          <w:lang w:val="en-US"/>
        </w:rPr>
        <w:t>Page 12/14</w:t>
      </w:r>
    </w:p>
    <w:p w14:paraId="347AF408" w14:textId="77777777" w:rsidR="00577E79" w:rsidRDefault="00577E79" w:rsidP="3C5DE79D">
      <w:pPr>
        <w:spacing w:line="360" w:lineRule="auto"/>
        <w:rPr>
          <w:rFonts w:ascii="Arial" w:eastAsia="Arial" w:hAnsi="Arial" w:cs="Arial"/>
          <w:b/>
          <w:bCs/>
          <w:sz w:val="22"/>
          <w:szCs w:val="22"/>
          <w:lang w:val="en-US"/>
        </w:rPr>
      </w:pPr>
    </w:p>
    <w:p w14:paraId="0BB0C173" w14:textId="6BB35EBB" w:rsidR="00577E79" w:rsidRDefault="00577E79" w:rsidP="3C5DE79D">
      <w:pPr>
        <w:spacing w:line="360" w:lineRule="auto"/>
        <w:rPr>
          <w:rFonts w:ascii="Arial" w:eastAsia="Arial" w:hAnsi="Arial" w:cs="Arial"/>
          <w:b/>
          <w:bCs/>
          <w:sz w:val="22"/>
          <w:szCs w:val="22"/>
          <w:lang w:val="en-US"/>
        </w:rPr>
      </w:pPr>
    </w:p>
    <w:p w14:paraId="1380D699" w14:textId="77777777" w:rsidR="00577E79" w:rsidRDefault="00577E79" w:rsidP="3C5DE79D">
      <w:pPr>
        <w:spacing w:line="360" w:lineRule="auto"/>
        <w:rPr>
          <w:rFonts w:ascii="Arial" w:eastAsia="Arial" w:hAnsi="Arial" w:cs="Arial"/>
          <w:b/>
          <w:bCs/>
          <w:sz w:val="22"/>
          <w:szCs w:val="22"/>
          <w:lang w:val="en-US"/>
        </w:rPr>
      </w:pPr>
    </w:p>
    <w:p w14:paraId="57E76150" w14:textId="77777777" w:rsidR="00577E79" w:rsidRDefault="00577E79" w:rsidP="3C5DE79D">
      <w:pPr>
        <w:spacing w:line="360" w:lineRule="auto"/>
        <w:rPr>
          <w:rFonts w:ascii="Arial" w:eastAsia="Arial" w:hAnsi="Arial" w:cs="Arial"/>
          <w:b/>
          <w:bCs/>
          <w:sz w:val="22"/>
          <w:szCs w:val="22"/>
          <w:lang w:val="en-US"/>
        </w:rPr>
      </w:pPr>
    </w:p>
    <w:p w14:paraId="58F0DA36" w14:textId="77777777" w:rsidR="00577E79" w:rsidRDefault="00577E79" w:rsidP="3C5DE79D">
      <w:pPr>
        <w:spacing w:line="360" w:lineRule="auto"/>
        <w:rPr>
          <w:rFonts w:ascii="Arial" w:eastAsia="Arial" w:hAnsi="Arial" w:cs="Arial"/>
          <w:b/>
          <w:bCs/>
          <w:sz w:val="22"/>
          <w:szCs w:val="22"/>
          <w:lang w:val="en-US"/>
        </w:rPr>
      </w:pPr>
    </w:p>
    <w:p w14:paraId="5987516F" w14:textId="77777777" w:rsidR="00577E79" w:rsidRDefault="00577E79" w:rsidP="3C5DE79D">
      <w:pPr>
        <w:spacing w:line="360" w:lineRule="auto"/>
        <w:rPr>
          <w:rFonts w:ascii="Arial" w:eastAsia="Arial" w:hAnsi="Arial" w:cs="Arial"/>
          <w:b/>
          <w:bCs/>
          <w:sz w:val="22"/>
          <w:szCs w:val="22"/>
          <w:lang w:val="en-US"/>
        </w:rPr>
      </w:pPr>
    </w:p>
    <w:p w14:paraId="7767B47A" w14:textId="77777777" w:rsidR="00577E79" w:rsidRDefault="00577E79" w:rsidP="3C5DE79D">
      <w:pPr>
        <w:spacing w:line="360" w:lineRule="auto"/>
        <w:rPr>
          <w:rFonts w:ascii="Arial" w:eastAsia="Arial" w:hAnsi="Arial" w:cs="Arial"/>
          <w:b/>
          <w:bCs/>
          <w:sz w:val="22"/>
          <w:szCs w:val="22"/>
          <w:lang w:val="en-US"/>
        </w:rPr>
      </w:pPr>
    </w:p>
    <w:p w14:paraId="35702E96" w14:textId="77777777" w:rsidR="00577E79" w:rsidRDefault="00577E79" w:rsidP="3C5DE79D">
      <w:pPr>
        <w:spacing w:line="360" w:lineRule="auto"/>
        <w:rPr>
          <w:rFonts w:ascii="Arial" w:eastAsia="Arial" w:hAnsi="Arial" w:cs="Arial"/>
          <w:b/>
          <w:bCs/>
          <w:sz w:val="22"/>
          <w:szCs w:val="22"/>
          <w:lang w:val="en-US"/>
        </w:rPr>
      </w:pPr>
    </w:p>
    <w:p w14:paraId="4A3B410C" w14:textId="77777777" w:rsidR="00577E79" w:rsidRDefault="00577E79" w:rsidP="3C5DE79D">
      <w:pPr>
        <w:spacing w:line="360" w:lineRule="auto"/>
        <w:rPr>
          <w:rFonts w:ascii="Arial" w:eastAsia="Arial" w:hAnsi="Arial" w:cs="Arial"/>
          <w:b/>
          <w:bCs/>
          <w:sz w:val="22"/>
          <w:szCs w:val="22"/>
          <w:lang w:val="en-US"/>
        </w:rPr>
      </w:pPr>
    </w:p>
    <w:p w14:paraId="241D5B3A" w14:textId="77777777" w:rsidR="00577E79" w:rsidRDefault="00577E79" w:rsidP="3C5DE79D">
      <w:pPr>
        <w:spacing w:line="360" w:lineRule="auto"/>
        <w:rPr>
          <w:rFonts w:ascii="Arial" w:eastAsia="Arial" w:hAnsi="Arial" w:cs="Arial"/>
          <w:b/>
          <w:bCs/>
          <w:sz w:val="22"/>
          <w:szCs w:val="22"/>
          <w:lang w:val="en-US"/>
        </w:rPr>
      </w:pPr>
    </w:p>
    <w:p w14:paraId="0B4DEFC9" w14:textId="77777777" w:rsidR="00577E79" w:rsidRDefault="00577E79" w:rsidP="3C5DE79D">
      <w:pPr>
        <w:spacing w:line="360" w:lineRule="auto"/>
        <w:rPr>
          <w:rFonts w:ascii="Arial" w:eastAsia="Arial" w:hAnsi="Arial" w:cs="Arial"/>
          <w:b/>
          <w:bCs/>
          <w:sz w:val="22"/>
          <w:szCs w:val="22"/>
          <w:lang w:val="en-US"/>
        </w:rPr>
      </w:pPr>
    </w:p>
    <w:p w14:paraId="0EC2F338" w14:textId="77777777" w:rsidR="00577E79" w:rsidRDefault="00577E79" w:rsidP="3C5DE79D">
      <w:pPr>
        <w:spacing w:line="360" w:lineRule="auto"/>
        <w:rPr>
          <w:rFonts w:ascii="Arial" w:eastAsia="Arial" w:hAnsi="Arial" w:cs="Arial"/>
          <w:b/>
          <w:bCs/>
          <w:sz w:val="22"/>
          <w:szCs w:val="22"/>
          <w:lang w:val="en-US"/>
        </w:rPr>
      </w:pPr>
    </w:p>
    <w:p w14:paraId="648C51E6" w14:textId="77777777" w:rsidR="00577E79" w:rsidRDefault="00577E79" w:rsidP="3C5DE79D">
      <w:pPr>
        <w:spacing w:line="360" w:lineRule="auto"/>
        <w:rPr>
          <w:rFonts w:ascii="Arial" w:eastAsia="Arial" w:hAnsi="Arial" w:cs="Arial"/>
          <w:b/>
          <w:bCs/>
          <w:sz w:val="22"/>
          <w:szCs w:val="22"/>
          <w:lang w:val="en-US"/>
        </w:rPr>
      </w:pPr>
    </w:p>
    <w:p w14:paraId="7DBD72A8" w14:textId="77777777" w:rsidR="00577E79" w:rsidRDefault="00577E79" w:rsidP="3C5DE79D">
      <w:pPr>
        <w:spacing w:line="360" w:lineRule="auto"/>
        <w:rPr>
          <w:rFonts w:ascii="Arial" w:eastAsia="Arial" w:hAnsi="Arial" w:cs="Arial"/>
          <w:b/>
          <w:bCs/>
          <w:sz w:val="22"/>
          <w:szCs w:val="22"/>
          <w:lang w:val="en-US"/>
        </w:rPr>
      </w:pPr>
    </w:p>
    <w:p w14:paraId="479BE9C4" w14:textId="77777777" w:rsidR="00577E79" w:rsidRDefault="00577E79" w:rsidP="3C5DE79D">
      <w:pPr>
        <w:spacing w:line="360" w:lineRule="auto"/>
        <w:rPr>
          <w:rFonts w:ascii="Arial" w:eastAsia="Arial" w:hAnsi="Arial" w:cs="Arial"/>
          <w:b/>
          <w:bCs/>
          <w:sz w:val="22"/>
          <w:szCs w:val="22"/>
          <w:lang w:val="en-US"/>
        </w:rPr>
      </w:pPr>
    </w:p>
    <w:p w14:paraId="6C4F5AE0" w14:textId="77777777" w:rsidR="00577E79" w:rsidRDefault="00577E79" w:rsidP="3C5DE79D">
      <w:pPr>
        <w:spacing w:line="360" w:lineRule="auto"/>
        <w:rPr>
          <w:rFonts w:ascii="Arial" w:eastAsia="Arial" w:hAnsi="Arial" w:cs="Arial"/>
          <w:b/>
          <w:bCs/>
          <w:sz w:val="22"/>
          <w:szCs w:val="22"/>
          <w:lang w:val="en-US"/>
        </w:rPr>
      </w:pPr>
    </w:p>
    <w:p w14:paraId="7A155A9F" w14:textId="7C5AF505" w:rsidR="3C5DE79D" w:rsidRDefault="3C5DE79D" w:rsidP="3C5DE79D">
      <w:pPr>
        <w:spacing w:line="360" w:lineRule="auto"/>
        <w:rPr>
          <w:rFonts w:ascii="Arial" w:eastAsia="Arial" w:hAnsi="Arial" w:cs="Arial"/>
          <w:b/>
          <w:bCs/>
          <w:sz w:val="22"/>
          <w:szCs w:val="22"/>
          <w:lang w:val="en-US"/>
        </w:rPr>
      </w:pPr>
    </w:p>
    <w:p w14:paraId="6AF35605" w14:textId="78726DF4" w:rsidR="2A3B892C" w:rsidRDefault="1A0014E5" w:rsidP="3C5DE79D">
      <w:pPr>
        <w:spacing w:line="360" w:lineRule="auto"/>
        <w:rPr>
          <w:rFonts w:ascii="Arial" w:eastAsia="Arial" w:hAnsi="Arial" w:cs="Arial"/>
          <w:b/>
          <w:bCs/>
          <w:sz w:val="22"/>
          <w:szCs w:val="22"/>
          <w:lang w:val="en-US"/>
        </w:rPr>
      </w:pPr>
      <w:r w:rsidRPr="3C5DE79D">
        <w:rPr>
          <w:rFonts w:ascii="Arial" w:eastAsia="Arial" w:hAnsi="Arial" w:cs="Arial"/>
          <w:b/>
          <w:bCs/>
          <w:sz w:val="22"/>
          <w:szCs w:val="22"/>
          <w:lang w:val="en-US"/>
        </w:rPr>
        <w:t>Introduction</w:t>
      </w:r>
    </w:p>
    <w:p w14:paraId="53E3A6B1" w14:textId="5753337A" w:rsidR="61ECDF28" w:rsidRDefault="0191539F" w:rsidP="5E1BBDF9">
      <w:pPr>
        <w:spacing w:before="240" w:after="240" w:line="360" w:lineRule="auto"/>
        <w:rPr>
          <w:rFonts w:ascii="Arial" w:eastAsia="Arial" w:hAnsi="Arial" w:cs="Arial"/>
          <w:sz w:val="22"/>
          <w:szCs w:val="22"/>
          <w:lang w:val="en-US"/>
        </w:rPr>
      </w:pPr>
      <w:r w:rsidRPr="5E1BBDF9">
        <w:rPr>
          <w:rFonts w:ascii="Arial" w:eastAsia="Arial" w:hAnsi="Arial" w:cs="Arial"/>
          <w:sz w:val="22"/>
          <w:szCs w:val="22"/>
          <w:lang w:val="en-US"/>
        </w:rPr>
        <w:t xml:space="preserve">This report critically examines current health, wellbeing, and sustainability policies at local, national, and global levels. It focuses on two of the 17 Sustainable Development Goals (SDGs), </w:t>
      </w:r>
      <w:r w:rsidR="00C9C763" w:rsidRPr="5E1BBDF9">
        <w:rPr>
          <w:rFonts w:ascii="Arial" w:eastAsia="Arial" w:hAnsi="Arial" w:cs="Arial"/>
          <w:sz w:val="22"/>
          <w:szCs w:val="22"/>
          <w:lang w:val="en-US"/>
        </w:rPr>
        <w:t xml:space="preserve">these being SDG 3 - ‘Good health and wellbeing’, and SDG 10 - ‘Reduced inequalities’. The SDG’s were </w:t>
      </w:r>
      <w:r w:rsidRPr="5E1BBDF9">
        <w:rPr>
          <w:rFonts w:ascii="Arial" w:eastAsia="Arial" w:hAnsi="Arial" w:cs="Arial"/>
          <w:sz w:val="22"/>
          <w:szCs w:val="22"/>
          <w:lang w:val="en-US"/>
        </w:rPr>
        <w:t xml:space="preserve">established by the United Nations in 2015 to address global </w:t>
      </w:r>
      <w:r w:rsidRPr="5E1BBDF9">
        <w:rPr>
          <w:rFonts w:ascii="Arial" w:eastAsia="Arial" w:hAnsi="Arial" w:cs="Arial"/>
          <w:sz w:val="22"/>
          <w:szCs w:val="22"/>
          <w:lang w:val="en-US"/>
        </w:rPr>
        <w:lastRenderedPageBreak/>
        <w:t>challenges and promote sustainable development by 2030 (World Health Organization, 2026).</w:t>
      </w:r>
      <w:r w:rsidR="5BD9B888" w:rsidRPr="5E1BBDF9">
        <w:rPr>
          <w:rFonts w:ascii="Arial" w:eastAsia="Arial" w:hAnsi="Arial" w:cs="Arial"/>
          <w:sz w:val="22"/>
          <w:szCs w:val="22"/>
          <w:lang w:val="en-US"/>
        </w:rPr>
        <w:t xml:space="preserve">  </w:t>
      </w:r>
    </w:p>
    <w:p w14:paraId="2B785E3B" w14:textId="71A2FEFE" w:rsidR="61ECDF28" w:rsidRDefault="0191539F" w:rsidP="5E1BBDF9">
      <w:pPr>
        <w:spacing w:before="240" w:after="240" w:line="360" w:lineRule="auto"/>
        <w:rPr>
          <w:rFonts w:ascii="Arial" w:eastAsia="Arial" w:hAnsi="Arial" w:cs="Arial"/>
          <w:sz w:val="22"/>
          <w:szCs w:val="22"/>
          <w:lang w:val="en-US"/>
        </w:rPr>
      </w:pPr>
      <w:r w:rsidRPr="5E1BBDF9">
        <w:rPr>
          <w:rFonts w:ascii="Arial" w:eastAsia="Arial" w:hAnsi="Arial" w:cs="Arial"/>
          <w:sz w:val="22"/>
          <w:szCs w:val="22"/>
          <w:lang w:val="en-US"/>
        </w:rPr>
        <w:t xml:space="preserve">The SDGs aim to improve global conditions by reducing poverty and inequality, protecting the environment, and ensuring good health for all (World Health Organization, 2026). This report explores </w:t>
      </w:r>
      <w:r w:rsidR="12DD59A2" w:rsidRPr="5E1BBDF9">
        <w:rPr>
          <w:rFonts w:ascii="Arial" w:eastAsia="Arial" w:hAnsi="Arial" w:cs="Arial"/>
          <w:sz w:val="22"/>
          <w:szCs w:val="22"/>
          <w:lang w:val="en-US"/>
        </w:rPr>
        <w:t>the two SDG’s focusing on the health and social care sector.</w:t>
      </w:r>
    </w:p>
    <w:p w14:paraId="707145F2" w14:textId="5CAA6CB3" w:rsidR="61ECDF28" w:rsidRDefault="0191539F" w:rsidP="3C5DE79D">
      <w:pPr>
        <w:spacing w:before="240" w:after="240" w:line="360" w:lineRule="auto"/>
        <w:rPr>
          <w:rFonts w:ascii="Arial" w:eastAsia="Arial" w:hAnsi="Arial" w:cs="Arial"/>
          <w:sz w:val="22"/>
          <w:szCs w:val="22"/>
          <w:lang w:val="en-US"/>
        </w:rPr>
      </w:pPr>
      <w:r w:rsidRPr="5E1BBDF9">
        <w:rPr>
          <w:rFonts w:ascii="Arial" w:eastAsia="Arial" w:hAnsi="Arial" w:cs="Arial"/>
          <w:sz w:val="22"/>
          <w:szCs w:val="22"/>
          <w:lang w:val="en-US"/>
        </w:rPr>
        <w:t>Sustainable development plays a key role in health and social care by supporting long-term, fair, and efficient service delivery while protecting environmental resources essential for wellbeing. The SDGs support this by combining environmental, social, and economic factors—known as the “triple bottom line”—to help prevent disease, reduce inequalities, and meet present and future care needs (Royal College of Physicians, 2018; Public Health England, 2017).</w:t>
      </w:r>
    </w:p>
    <w:p w14:paraId="34F0EB84" w14:textId="330DFAD8" w:rsidR="00577E79" w:rsidRDefault="0DBE0BC5" w:rsidP="5E1BBDF9">
      <w:pPr>
        <w:spacing w:before="240" w:after="240" w:line="360" w:lineRule="auto"/>
        <w:rPr>
          <w:rFonts w:ascii="Arial" w:eastAsia="Arial" w:hAnsi="Arial" w:cs="Arial"/>
          <w:sz w:val="22"/>
          <w:szCs w:val="22"/>
          <w:lang w:val="en-US"/>
        </w:rPr>
      </w:pPr>
      <w:r w:rsidRPr="5E1BBDF9">
        <w:rPr>
          <w:rFonts w:ascii="Arial" w:eastAsia="Arial" w:hAnsi="Arial" w:cs="Arial"/>
          <w:sz w:val="22"/>
          <w:szCs w:val="22"/>
          <w:lang w:val="en-US"/>
        </w:rPr>
        <w:t>Examples of prevention-focused approaches, such as early screening, public health initiatives, and community-based care will be explored to show how SDGs are applied in practice.</w:t>
      </w:r>
    </w:p>
    <w:p w14:paraId="438CC47E" w14:textId="34B60773" w:rsidR="00577E79" w:rsidRDefault="00577E79" w:rsidP="3C5DE79D">
      <w:pPr>
        <w:spacing w:line="360" w:lineRule="auto"/>
        <w:rPr>
          <w:rFonts w:ascii="Arial" w:eastAsia="Arial" w:hAnsi="Arial" w:cs="Arial"/>
          <w:b/>
          <w:bCs/>
          <w:sz w:val="22"/>
          <w:szCs w:val="22"/>
          <w:lang w:val="en-US"/>
        </w:rPr>
      </w:pPr>
    </w:p>
    <w:p w14:paraId="5C459B9D" w14:textId="77777777" w:rsidR="00577E79" w:rsidRDefault="00577E79" w:rsidP="3C5DE79D">
      <w:pPr>
        <w:spacing w:line="360" w:lineRule="auto"/>
        <w:rPr>
          <w:rFonts w:ascii="Arial" w:eastAsia="Arial" w:hAnsi="Arial" w:cs="Arial"/>
          <w:b/>
          <w:bCs/>
          <w:sz w:val="22"/>
          <w:szCs w:val="22"/>
          <w:lang w:val="en-US"/>
        </w:rPr>
      </w:pPr>
    </w:p>
    <w:p w14:paraId="0648E82A" w14:textId="15FDADCE" w:rsidR="3C5DE79D" w:rsidRDefault="3C5DE79D" w:rsidP="3C5DE79D">
      <w:pPr>
        <w:spacing w:line="360" w:lineRule="auto"/>
        <w:rPr>
          <w:rFonts w:ascii="Arial" w:eastAsia="Arial" w:hAnsi="Arial" w:cs="Arial"/>
          <w:b/>
          <w:bCs/>
          <w:sz w:val="22"/>
          <w:szCs w:val="22"/>
          <w:lang w:val="en-US"/>
        </w:rPr>
      </w:pPr>
    </w:p>
    <w:p w14:paraId="4ED85168" w14:textId="7D286C1B" w:rsidR="3C5DE79D" w:rsidRDefault="3C5DE79D" w:rsidP="3C5DE79D">
      <w:pPr>
        <w:spacing w:line="360" w:lineRule="auto"/>
        <w:rPr>
          <w:rFonts w:ascii="Arial" w:eastAsia="Arial" w:hAnsi="Arial" w:cs="Arial"/>
          <w:b/>
          <w:bCs/>
          <w:sz w:val="22"/>
          <w:szCs w:val="22"/>
          <w:lang w:val="en-US"/>
        </w:rPr>
      </w:pPr>
    </w:p>
    <w:p w14:paraId="078732F5" w14:textId="39A536BD" w:rsidR="3C5DE79D" w:rsidRDefault="3C5DE79D" w:rsidP="3C5DE79D">
      <w:pPr>
        <w:spacing w:line="360" w:lineRule="auto"/>
        <w:rPr>
          <w:rFonts w:ascii="Arial" w:eastAsia="Arial" w:hAnsi="Arial" w:cs="Arial"/>
          <w:b/>
          <w:bCs/>
          <w:sz w:val="22"/>
          <w:szCs w:val="22"/>
          <w:lang w:val="en-US"/>
        </w:rPr>
      </w:pPr>
    </w:p>
    <w:p w14:paraId="59AF0494" w14:textId="5B218EE5" w:rsidR="3C5DE79D" w:rsidRDefault="3C5DE79D" w:rsidP="3C5DE79D">
      <w:pPr>
        <w:spacing w:line="360" w:lineRule="auto"/>
        <w:rPr>
          <w:rFonts w:ascii="Arial" w:eastAsia="Arial" w:hAnsi="Arial" w:cs="Arial"/>
          <w:b/>
          <w:bCs/>
          <w:sz w:val="22"/>
          <w:szCs w:val="22"/>
          <w:lang w:val="en-US"/>
        </w:rPr>
      </w:pPr>
    </w:p>
    <w:p w14:paraId="2FF0DE9C" w14:textId="720BE947" w:rsidR="5E1BBDF9" w:rsidRDefault="5E1BBDF9" w:rsidP="5E1BBDF9">
      <w:pPr>
        <w:spacing w:line="360" w:lineRule="auto"/>
        <w:rPr>
          <w:rFonts w:ascii="Arial" w:eastAsia="Arial" w:hAnsi="Arial" w:cs="Arial"/>
          <w:b/>
          <w:bCs/>
          <w:sz w:val="22"/>
          <w:szCs w:val="22"/>
          <w:lang w:val="en-US"/>
        </w:rPr>
      </w:pPr>
    </w:p>
    <w:p w14:paraId="2E44077A" w14:textId="5C2A6D5C" w:rsidR="3C5DE79D" w:rsidRDefault="3C5DE79D" w:rsidP="3C5DE79D">
      <w:pPr>
        <w:spacing w:line="360" w:lineRule="auto"/>
        <w:rPr>
          <w:rFonts w:ascii="Arial" w:eastAsia="Arial" w:hAnsi="Arial" w:cs="Arial"/>
          <w:b/>
          <w:bCs/>
          <w:sz w:val="22"/>
          <w:szCs w:val="22"/>
          <w:lang w:val="en-US"/>
        </w:rPr>
      </w:pPr>
    </w:p>
    <w:p w14:paraId="32B5726B" w14:textId="647135A2" w:rsidR="1A0014E5" w:rsidRDefault="1A0014E5" w:rsidP="5E1BBDF9">
      <w:pPr>
        <w:spacing w:line="360" w:lineRule="auto"/>
        <w:rPr>
          <w:rFonts w:ascii="Arial" w:eastAsia="Arial" w:hAnsi="Arial" w:cs="Arial"/>
          <w:b/>
          <w:bCs/>
          <w:sz w:val="22"/>
          <w:szCs w:val="22"/>
          <w:lang w:val="en-US"/>
        </w:rPr>
      </w:pPr>
    </w:p>
    <w:p w14:paraId="499AF830" w14:textId="5AA1A453" w:rsidR="1A0014E5" w:rsidRDefault="03CDAAB5" w:rsidP="5E1BBDF9">
      <w:pPr>
        <w:spacing w:line="360" w:lineRule="auto"/>
        <w:rPr>
          <w:rFonts w:ascii="Arial" w:eastAsia="Arial" w:hAnsi="Arial" w:cs="Arial"/>
          <w:b/>
          <w:bCs/>
          <w:sz w:val="22"/>
          <w:szCs w:val="22"/>
          <w:lang w:val="en-US"/>
        </w:rPr>
      </w:pPr>
      <w:r w:rsidRPr="5E1BBDF9">
        <w:rPr>
          <w:rFonts w:ascii="Arial" w:eastAsia="Arial" w:hAnsi="Arial" w:cs="Arial"/>
          <w:b/>
          <w:bCs/>
          <w:sz w:val="22"/>
          <w:szCs w:val="22"/>
          <w:lang w:val="en-US"/>
        </w:rPr>
        <w:t xml:space="preserve">Section 1: SDG 3 - </w:t>
      </w:r>
      <w:r w:rsidR="40EFF53D" w:rsidRPr="5E1BBDF9">
        <w:rPr>
          <w:rFonts w:ascii="Arial" w:eastAsia="Arial" w:hAnsi="Arial" w:cs="Arial"/>
          <w:b/>
          <w:bCs/>
          <w:sz w:val="22"/>
          <w:szCs w:val="22"/>
          <w:lang w:val="en-US"/>
        </w:rPr>
        <w:t>‘</w:t>
      </w:r>
      <w:r w:rsidRPr="5E1BBDF9">
        <w:rPr>
          <w:rFonts w:ascii="Arial" w:eastAsia="Arial" w:hAnsi="Arial" w:cs="Arial"/>
          <w:b/>
          <w:bCs/>
          <w:sz w:val="22"/>
          <w:szCs w:val="22"/>
          <w:lang w:val="en-US"/>
        </w:rPr>
        <w:t>Good Health and Wellbeing</w:t>
      </w:r>
      <w:r w:rsidR="431BE771" w:rsidRPr="5E1BBDF9">
        <w:rPr>
          <w:rFonts w:ascii="Arial" w:eastAsia="Arial" w:hAnsi="Arial" w:cs="Arial"/>
          <w:b/>
          <w:bCs/>
          <w:sz w:val="22"/>
          <w:szCs w:val="22"/>
          <w:lang w:val="en-US"/>
        </w:rPr>
        <w:t>’</w:t>
      </w:r>
    </w:p>
    <w:p w14:paraId="70AB5423" w14:textId="186214E2" w:rsidR="40D98C5E" w:rsidRDefault="605F74F2" w:rsidP="3C5DE79D">
      <w:pPr>
        <w:spacing w:line="360" w:lineRule="auto"/>
      </w:pPr>
      <w:r w:rsidRPr="5E1BBDF9">
        <w:rPr>
          <w:rFonts w:ascii="Arial" w:eastAsia="Arial" w:hAnsi="Arial" w:cs="Arial"/>
          <w:b/>
          <w:bCs/>
          <w:sz w:val="22"/>
          <w:szCs w:val="22"/>
          <w:u w:val="single"/>
          <w:lang w:val="en-US"/>
        </w:rPr>
        <w:t>An overview of SDG 3</w:t>
      </w:r>
      <w:r w:rsidR="588E3F54" w:rsidRPr="5E1BBDF9">
        <w:rPr>
          <w:rFonts w:ascii="Arial" w:eastAsia="Arial" w:hAnsi="Arial" w:cs="Arial"/>
          <w:b/>
          <w:bCs/>
          <w:sz w:val="22"/>
          <w:szCs w:val="22"/>
          <w:u w:val="single"/>
          <w:lang w:val="en-US"/>
        </w:rPr>
        <w:t xml:space="preserve"> </w:t>
      </w:r>
    </w:p>
    <w:p w14:paraId="35D354AF" w14:textId="0637A04F" w:rsidR="42413DF4" w:rsidRDefault="42413DF4"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 xml:space="preserve">SDG 3 </w:t>
      </w:r>
      <w:r w:rsidR="19FA99D7" w:rsidRPr="3C5DE79D">
        <w:rPr>
          <w:rFonts w:ascii="Arial" w:eastAsia="Arial" w:hAnsi="Arial" w:cs="Arial"/>
          <w:sz w:val="22"/>
          <w:szCs w:val="22"/>
          <w:lang w:val="en-US"/>
        </w:rPr>
        <w:t xml:space="preserve">focuses on good health and well-being for people of all ages. </w:t>
      </w:r>
      <w:r w:rsidR="19DB551A" w:rsidRPr="3C5DE79D">
        <w:rPr>
          <w:rFonts w:ascii="Arial" w:eastAsia="Arial" w:hAnsi="Arial" w:cs="Arial"/>
          <w:sz w:val="22"/>
          <w:szCs w:val="22"/>
          <w:lang w:val="en-US"/>
        </w:rPr>
        <w:t>H</w:t>
      </w:r>
      <w:r w:rsidR="19FA99D7" w:rsidRPr="3C5DE79D">
        <w:rPr>
          <w:rFonts w:ascii="Arial" w:eastAsia="Arial" w:hAnsi="Arial" w:cs="Arial"/>
          <w:sz w:val="22"/>
          <w:szCs w:val="22"/>
          <w:lang w:val="en-US"/>
        </w:rPr>
        <w:t>ealth is not only affected by illness and medical care. It is also influenced by social and economic factors such as housing, poverty, and education. This means health is linked to many of the other SDG</w:t>
      </w:r>
      <w:r w:rsidR="09110105" w:rsidRPr="3C5DE79D">
        <w:rPr>
          <w:rFonts w:ascii="Arial" w:eastAsia="Arial" w:hAnsi="Arial" w:cs="Arial"/>
          <w:sz w:val="22"/>
          <w:szCs w:val="22"/>
          <w:lang w:val="en-US"/>
        </w:rPr>
        <w:t>’</w:t>
      </w:r>
      <w:r w:rsidR="19FA99D7" w:rsidRPr="3C5DE79D">
        <w:rPr>
          <w:rFonts w:ascii="Arial" w:eastAsia="Arial" w:hAnsi="Arial" w:cs="Arial"/>
          <w:sz w:val="22"/>
          <w:szCs w:val="22"/>
          <w:lang w:val="en-US"/>
        </w:rPr>
        <w:t>s as well</w:t>
      </w:r>
      <w:r w:rsidR="34B3AED9" w:rsidRPr="3C5DE79D">
        <w:rPr>
          <w:rFonts w:ascii="Arial" w:eastAsia="Arial" w:hAnsi="Arial" w:cs="Arial"/>
          <w:sz w:val="22"/>
          <w:szCs w:val="22"/>
          <w:lang w:val="en-US"/>
        </w:rPr>
        <w:t xml:space="preserve"> (World Health Organization, 2026).</w:t>
      </w:r>
    </w:p>
    <w:p w14:paraId="2268042B" w14:textId="4A74E619" w:rsidR="19FA99D7" w:rsidRDefault="19FA99D7"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lastRenderedPageBreak/>
        <w:t>Healthcare workers are a key part of any health system and are essential for achieving universal health coverage</w:t>
      </w:r>
      <w:r w:rsidR="5C544202" w:rsidRPr="3C5DE79D">
        <w:rPr>
          <w:rFonts w:ascii="Arial" w:eastAsia="Arial" w:hAnsi="Arial" w:cs="Arial"/>
          <w:sz w:val="22"/>
          <w:szCs w:val="22"/>
          <w:lang w:val="en-US"/>
        </w:rPr>
        <w:t xml:space="preserve"> and SGD 3</w:t>
      </w:r>
      <w:r w:rsidRPr="3C5DE79D">
        <w:rPr>
          <w:rFonts w:ascii="Arial" w:eastAsia="Arial" w:hAnsi="Arial" w:cs="Arial"/>
          <w:sz w:val="22"/>
          <w:szCs w:val="22"/>
          <w:lang w:val="en-US"/>
        </w:rPr>
        <w:t>. Investing in staff—through hiring, management, and training—is very important to ensure people can live healthy lives and maintain well-being at every age.</w:t>
      </w:r>
      <w:r w:rsidR="13B64386" w:rsidRPr="3C5DE79D">
        <w:rPr>
          <w:rFonts w:ascii="Arial" w:eastAsia="Arial" w:hAnsi="Arial" w:cs="Arial"/>
          <w:sz w:val="22"/>
          <w:szCs w:val="22"/>
          <w:lang w:val="en-US"/>
        </w:rPr>
        <w:t xml:space="preserve"> This is where SDG 3 and health care are linked</w:t>
      </w:r>
      <w:r w:rsidR="646ECE37" w:rsidRPr="3C5DE79D">
        <w:rPr>
          <w:rFonts w:ascii="Arial" w:eastAsia="Arial" w:hAnsi="Arial" w:cs="Arial"/>
          <w:sz w:val="22"/>
          <w:szCs w:val="22"/>
          <w:lang w:val="en-US"/>
        </w:rPr>
        <w:t xml:space="preserve"> (World Health Organization, 2026).</w:t>
      </w:r>
    </w:p>
    <w:p w14:paraId="3CDF0C7E" w14:textId="7CB199C5" w:rsidR="3C5DE79D" w:rsidRDefault="3C5DE79D" w:rsidP="3C5DE79D">
      <w:pPr>
        <w:spacing w:line="360" w:lineRule="auto"/>
        <w:rPr>
          <w:rFonts w:ascii="Arial" w:eastAsia="Arial" w:hAnsi="Arial" w:cs="Arial"/>
          <w:b/>
          <w:bCs/>
          <w:sz w:val="22"/>
          <w:szCs w:val="22"/>
          <w:lang w:val="en-US"/>
        </w:rPr>
      </w:pPr>
    </w:p>
    <w:p w14:paraId="30A374B4" w14:textId="7DBEC34F" w:rsidR="646ECE37" w:rsidRDefault="2F365BD5" w:rsidP="3C5DE79D">
      <w:pPr>
        <w:spacing w:line="360" w:lineRule="auto"/>
        <w:rPr>
          <w:rFonts w:ascii="Arial" w:eastAsia="Arial" w:hAnsi="Arial" w:cs="Arial"/>
          <w:b/>
          <w:bCs/>
          <w:sz w:val="22"/>
          <w:szCs w:val="22"/>
          <w:u w:val="single"/>
        </w:rPr>
      </w:pPr>
      <w:r w:rsidRPr="5E1BBDF9">
        <w:rPr>
          <w:rFonts w:ascii="Arial" w:eastAsia="Arial" w:hAnsi="Arial" w:cs="Arial"/>
          <w:b/>
          <w:bCs/>
          <w:sz w:val="22"/>
          <w:szCs w:val="22"/>
          <w:u w:val="single"/>
        </w:rPr>
        <w:t>Local, national and global policies and initiatives linked to SDG 3</w:t>
      </w:r>
      <w:r w:rsidR="7915A5F6" w:rsidRPr="5E1BBDF9">
        <w:rPr>
          <w:rFonts w:ascii="Arial" w:eastAsia="Arial" w:hAnsi="Arial" w:cs="Arial"/>
          <w:b/>
          <w:bCs/>
          <w:sz w:val="22"/>
          <w:szCs w:val="22"/>
          <w:u w:val="single"/>
        </w:rPr>
        <w:t xml:space="preserve"> </w:t>
      </w:r>
    </w:p>
    <w:p w14:paraId="5E05A2E1" w14:textId="08CC9A51" w:rsidR="0F3369EB" w:rsidRDefault="23923741" w:rsidP="3C5DE79D">
      <w:pPr>
        <w:spacing w:after="240" w:line="360" w:lineRule="auto"/>
        <w:rPr>
          <w:rFonts w:ascii="Arial" w:eastAsia="Arial" w:hAnsi="Arial" w:cs="Arial"/>
          <w:sz w:val="22"/>
          <w:szCs w:val="22"/>
        </w:rPr>
      </w:pPr>
      <w:r w:rsidRPr="5E1BBDF9">
        <w:rPr>
          <w:rFonts w:ascii="Arial" w:eastAsia="Arial" w:hAnsi="Arial" w:cs="Arial"/>
          <w:sz w:val="22"/>
          <w:szCs w:val="22"/>
        </w:rPr>
        <w:t>At a national level, several policies and initiatives support SDG 3. The Care Act 2014 places a legal duty on local authorities to promote wellbeing, prevention, and personalised care, ensuring individuals’ rights and protection. Similarly, the Equality Act 2010 and Human Rights Act 1998 ensure that care is delivered fairly, without discrimination, and with respect for dignity and autonomy (Care Act 2014; Equality Act 2010; Human Rights Act 1998).</w:t>
      </w:r>
    </w:p>
    <w:p w14:paraId="0F989601" w14:textId="79C54268" w:rsidR="0F3369EB" w:rsidRDefault="0F3369EB"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At a local level, Integrated Care Systems (ICSs) across the Midlands aim to improve population health through prevention and place-based approaches. These reflect the Dahlgren and Whitehead (1991) model, which highlights the impact of wider determinants such as housing and environment on health. However, inequalities persist, as individuals in deprived areas experience higher illness rates and hospital admissions, showing that structural determinants are not fully addressed (UKHSA, 2025).</w:t>
      </w:r>
    </w:p>
    <w:p w14:paraId="7C9B5B38" w14:textId="724B99F5" w:rsidR="0F3369EB" w:rsidRDefault="0F3369EB"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Nationally, the NHS Long Term Plan and Core20PLUS approach aim to reduce inequalities and improve access through integrated and preventative care. These align with Marmot’s (2020) social determinants framework, emphasising early intervention and community-based services (NHS England, 2019; Age UK, 2024). Sustainability policies, including the NHS Net Zero strategy, further support SDG 3 by linking health outcomes with environmental responsibility.</w:t>
      </w:r>
    </w:p>
    <w:p w14:paraId="57A34035" w14:textId="5C98C86C" w:rsidR="0F3369EB" w:rsidRDefault="0F3369EB"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Despite this, challenges such as funding pressures and limited social care capacity restrict access, particularly in deprived areas, leading to unmet needs and poorer outcomes (Age UK, 2024; Powell et al., 2021).</w:t>
      </w:r>
    </w:p>
    <w:p w14:paraId="65A6D070" w14:textId="71F0406D" w:rsidR="0F3369EB" w:rsidRDefault="0F3369EB"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Globally, the World Health Organization’s SDG 3 Global Action Plan promotes collaboration to strengthen health systems (World Health Organization, 2019). Initiatives such as the Primary Health Care Accelerator reflect ecological models of health. However, a 2024 review found limited success, with progress constrained by resource inequalities, particularly in low-income countries, highlighting ongoing gaps in achieving SDG 3.</w:t>
      </w:r>
    </w:p>
    <w:p w14:paraId="35327680" w14:textId="774F33F3" w:rsidR="3C5DE79D" w:rsidRDefault="3C5DE79D" w:rsidP="3C5DE79D">
      <w:pPr>
        <w:spacing w:line="360" w:lineRule="auto"/>
        <w:rPr>
          <w:rFonts w:ascii="Arial" w:eastAsia="Arial" w:hAnsi="Arial" w:cs="Arial"/>
          <w:b/>
          <w:bCs/>
          <w:sz w:val="22"/>
          <w:szCs w:val="22"/>
          <w:u w:val="single"/>
        </w:rPr>
      </w:pPr>
    </w:p>
    <w:p w14:paraId="40494E06" w14:textId="7C6E3EE1" w:rsidR="1A894DBC" w:rsidRDefault="4A44D53F" w:rsidP="3C5DE79D">
      <w:pPr>
        <w:spacing w:line="360" w:lineRule="auto"/>
        <w:rPr>
          <w:rFonts w:ascii="Arial" w:eastAsia="Arial" w:hAnsi="Arial" w:cs="Arial"/>
          <w:b/>
          <w:bCs/>
          <w:sz w:val="22"/>
          <w:szCs w:val="22"/>
          <w:u w:val="single"/>
        </w:rPr>
      </w:pPr>
      <w:r w:rsidRPr="3C5DE79D">
        <w:rPr>
          <w:rFonts w:ascii="Arial" w:eastAsia="Arial" w:hAnsi="Arial" w:cs="Arial"/>
          <w:b/>
          <w:bCs/>
          <w:sz w:val="22"/>
          <w:szCs w:val="22"/>
          <w:u w:val="single"/>
        </w:rPr>
        <w:t>Local and National Examples of SDG 3</w:t>
      </w:r>
    </w:p>
    <w:p w14:paraId="71A2425F" w14:textId="27050BB1" w:rsidR="0064B05F" w:rsidRDefault="26592E7E" w:rsidP="3C5DE79D">
      <w:pPr>
        <w:spacing w:line="360" w:lineRule="auto"/>
        <w:rPr>
          <w:rFonts w:ascii="Arial" w:eastAsia="Arial" w:hAnsi="Arial" w:cs="Arial"/>
          <w:sz w:val="22"/>
          <w:szCs w:val="22"/>
        </w:rPr>
      </w:pPr>
      <w:r w:rsidRPr="5E1BBDF9">
        <w:rPr>
          <w:rFonts w:ascii="Arial" w:eastAsia="Arial" w:hAnsi="Arial" w:cs="Arial"/>
          <w:sz w:val="22"/>
          <w:szCs w:val="22"/>
        </w:rPr>
        <w:t xml:space="preserve">Here are some local and national examples of where SDG 3 </w:t>
      </w:r>
      <w:r w:rsidR="4987F902" w:rsidRPr="5E1BBDF9">
        <w:rPr>
          <w:rFonts w:ascii="Arial" w:eastAsia="Arial" w:hAnsi="Arial" w:cs="Arial"/>
          <w:sz w:val="22"/>
          <w:szCs w:val="22"/>
        </w:rPr>
        <w:t>has been</w:t>
      </w:r>
      <w:r w:rsidRPr="5E1BBDF9">
        <w:rPr>
          <w:rFonts w:ascii="Arial" w:eastAsia="Arial" w:hAnsi="Arial" w:cs="Arial"/>
          <w:sz w:val="22"/>
          <w:szCs w:val="22"/>
        </w:rPr>
        <w:t xml:space="preserve"> promoted</w:t>
      </w:r>
      <w:r w:rsidR="79179839" w:rsidRPr="5E1BBDF9">
        <w:rPr>
          <w:rFonts w:ascii="Arial" w:eastAsia="Arial" w:hAnsi="Arial" w:cs="Arial"/>
          <w:sz w:val="22"/>
          <w:szCs w:val="22"/>
        </w:rPr>
        <w:t xml:space="preserve"> through </w:t>
      </w:r>
      <w:r w:rsidR="51BBABAA" w:rsidRPr="5E1BBDF9">
        <w:rPr>
          <w:rFonts w:ascii="Arial" w:eastAsia="Arial" w:hAnsi="Arial" w:cs="Arial"/>
          <w:sz w:val="22"/>
          <w:szCs w:val="22"/>
        </w:rPr>
        <w:t xml:space="preserve">an </w:t>
      </w:r>
      <w:r w:rsidR="401DCCFD" w:rsidRPr="5E1BBDF9">
        <w:rPr>
          <w:rFonts w:ascii="Arial" w:eastAsia="Arial" w:hAnsi="Arial" w:cs="Arial"/>
          <w:sz w:val="22"/>
          <w:szCs w:val="22"/>
        </w:rPr>
        <w:t>integration</w:t>
      </w:r>
      <w:r w:rsidR="51BBABAA" w:rsidRPr="5E1BBDF9">
        <w:rPr>
          <w:rFonts w:ascii="Arial" w:eastAsia="Arial" w:hAnsi="Arial" w:cs="Arial"/>
          <w:sz w:val="22"/>
          <w:szCs w:val="22"/>
        </w:rPr>
        <w:t xml:space="preserve"> of </w:t>
      </w:r>
      <w:r w:rsidR="79179839" w:rsidRPr="5E1BBDF9">
        <w:rPr>
          <w:rFonts w:ascii="Arial" w:eastAsia="Arial" w:hAnsi="Arial" w:cs="Arial"/>
          <w:sz w:val="22"/>
          <w:szCs w:val="22"/>
        </w:rPr>
        <w:t>policies, initiatives, theories and models</w:t>
      </w:r>
      <w:r w:rsidRPr="5E1BBDF9">
        <w:rPr>
          <w:rFonts w:ascii="Arial" w:eastAsia="Arial" w:hAnsi="Arial" w:cs="Arial"/>
          <w:sz w:val="22"/>
          <w:szCs w:val="22"/>
        </w:rPr>
        <w:t>:</w:t>
      </w:r>
    </w:p>
    <w:p w14:paraId="2A5E12A8" w14:textId="4910A4BC" w:rsidR="0064B05F" w:rsidRDefault="6F749E6D" w:rsidP="3C5DE79D">
      <w:pPr>
        <w:spacing w:line="360" w:lineRule="auto"/>
        <w:rPr>
          <w:rFonts w:ascii="Arial" w:eastAsia="Arial" w:hAnsi="Arial" w:cs="Arial"/>
          <w:b/>
          <w:bCs/>
          <w:sz w:val="22"/>
          <w:szCs w:val="22"/>
        </w:rPr>
      </w:pPr>
      <w:r w:rsidRPr="3C5DE79D">
        <w:rPr>
          <w:rFonts w:ascii="Arial" w:eastAsia="Arial" w:hAnsi="Arial" w:cs="Arial"/>
          <w:b/>
          <w:bCs/>
          <w:sz w:val="22"/>
          <w:szCs w:val="22"/>
        </w:rPr>
        <w:t>Residential Care Home Setting:</w:t>
      </w:r>
    </w:p>
    <w:p w14:paraId="668963E4" w14:textId="2E1FA575" w:rsidR="4B4046DA" w:rsidRDefault="4B3AE97A"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This type of care promotes wellbeing, mental health, and social connection, aligning with SDG 3 (Good Health and Wellbeing). The King’s Fund (2024) highlights how local care homes reduce waste, improve energy efficiency, and use locally sourced food, benefiting both environmental sustainability and resident health.</w:t>
      </w:r>
    </w:p>
    <w:p w14:paraId="5F19AD93" w14:textId="368EFF25" w:rsidR="4B4046DA" w:rsidRDefault="49515ED6"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The Continuity Theory suggests older adults maintain wellbeing by preserving familiar routines and relationships (Atchley, 1989), which care homes support through structured environments and family involvement.</w:t>
      </w:r>
    </w:p>
    <w:p w14:paraId="2B9DB55D" w14:textId="29133B90" w:rsidR="4B4046DA" w:rsidRDefault="49515ED6"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The ecological model promotes multi-agency collaboration within Integrated Care Systems, recognising that health outcomes depend on coordinated action (NHS England, 2022).</w:t>
      </w:r>
    </w:p>
    <w:p w14:paraId="301956D1" w14:textId="6D8FCE53" w:rsidR="4B4046DA" w:rsidRDefault="4B3AE97A"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 xml:space="preserve">Additionally, holistic models emphasise physical, emotional, and social wellbeing, supporting person-centred care and long-term sustainability (Royal College of Physicians, 2018). Together, these approaches improve outcomes and </w:t>
      </w:r>
      <w:r w:rsidR="21222D2E" w:rsidRPr="5E1BBDF9">
        <w:rPr>
          <w:rFonts w:ascii="Arial" w:eastAsia="Arial" w:hAnsi="Arial" w:cs="Arial"/>
          <w:sz w:val="22"/>
          <w:szCs w:val="22"/>
        </w:rPr>
        <w:t>ensure good health and well-being</w:t>
      </w:r>
      <w:r w:rsidRPr="5E1BBDF9">
        <w:rPr>
          <w:rFonts w:ascii="Arial" w:eastAsia="Arial" w:hAnsi="Arial" w:cs="Arial"/>
          <w:sz w:val="22"/>
          <w:szCs w:val="22"/>
        </w:rPr>
        <w:t xml:space="preserve"> for older populations.</w:t>
      </w:r>
    </w:p>
    <w:p w14:paraId="0ED5492F" w14:textId="59A6AFAA" w:rsidR="5E1BBDF9" w:rsidRDefault="5E1BBDF9" w:rsidP="5E1BBDF9">
      <w:pPr>
        <w:spacing w:line="360" w:lineRule="auto"/>
        <w:rPr>
          <w:rFonts w:ascii="Arial" w:eastAsia="Arial" w:hAnsi="Arial" w:cs="Arial"/>
          <w:b/>
          <w:bCs/>
          <w:sz w:val="22"/>
          <w:szCs w:val="22"/>
        </w:rPr>
      </w:pPr>
    </w:p>
    <w:p w14:paraId="3876A879" w14:textId="22021264" w:rsidR="5E1BBDF9" w:rsidRDefault="5E1BBDF9" w:rsidP="5E1BBDF9">
      <w:pPr>
        <w:spacing w:line="360" w:lineRule="auto"/>
        <w:rPr>
          <w:rFonts w:ascii="Arial" w:eastAsia="Arial" w:hAnsi="Arial" w:cs="Arial"/>
          <w:b/>
          <w:bCs/>
          <w:sz w:val="22"/>
          <w:szCs w:val="22"/>
        </w:rPr>
      </w:pPr>
    </w:p>
    <w:p w14:paraId="4DAF044F" w14:textId="37B390EB" w:rsidR="448FC1C7" w:rsidRDefault="3A3CE741" w:rsidP="5E1BBDF9">
      <w:pPr>
        <w:spacing w:line="360" w:lineRule="auto"/>
        <w:rPr>
          <w:rFonts w:ascii="Arial" w:eastAsia="Arial" w:hAnsi="Arial" w:cs="Arial"/>
          <w:b/>
          <w:bCs/>
          <w:sz w:val="22"/>
          <w:szCs w:val="22"/>
        </w:rPr>
      </w:pPr>
      <w:r w:rsidRPr="5E1BBDF9">
        <w:rPr>
          <w:rFonts w:ascii="Arial" w:eastAsia="Arial" w:hAnsi="Arial" w:cs="Arial"/>
          <w:b/>
          <w:bCs/>
          <w:sz w:val="22"/>
          <w:szCs w:val="22"/>
        </w:rPr>
        <w:t>Charity Community Based Services:</w:t>
      </w:r>
    </w:p>
    <w:p w14:paraId="577BF695" w14:textId="3D46E76A" w:rsidR="5006EA6C" w:rsidRDefault="5756CB5A" w:rsidP="3C5DE79D">
      <w:pPr>
        <w:spacing w:line="360" w:lineRule="auto"/>
        <w:rPr>
          <w:rFonts w:ascii="Arial" w:eastAsia="Arial" w:hAnsi="Arial" w:cs="Arial"/>
          <w:sz w:val="22"/>
          <w:szCs w:val="22"/>
        </w:rPr>
      </w:pPr>
      <w:r w:rsidRPr="5E1BBDF9">
        <w:rPr>
          <w:rFonts w:ascii="Arial" w:eastAsia="Arial" w:hAnsi="Arial" w:cs="Arial"/>
          <w:sz w:val="22"/>
          <w:szCs w:val="22"/>
        </w:rPr>
        <w:t xml:space="preserve">Another example of where SDG 3 is promoted is through charity-based community services such as those for Dementia. </w:t>
      </w:r>
    </w:p>
    <w:p w14:paraId="4C21FFE5" w14:textId="508488AB" w:rsidR="6A30E306" w:rsidRDefault="5CD8129B" w:rsidP="3C5DE79D">
      <w:pPr>
        <w:spacing w:line="360" w:lineRule="auto"/>
        <w:rPr>
          <w:rFonts w:ascii="Arial" w:eastAsia="Arial" w:hAnsi="Arial" w:cs="Arial"/>
          <w:sz w:val="22"/>
          <w:szCs w:val="22"/>
        </w:rPr>
      </w:pPr>
      <w:r w:rsidRPr="3C5DE79D">
        <w:rPr>
          <w:rFonts w:ascii="Arial" w:eastAsia="Arial" w:hAnsi="Arial" w:cs="Arial"/>
          <w:sz w:val="22"/>
          <w:szCs w:val="22"/>
        </w:rPr>
        <w:t xml:space="preserve">Such </w:t>
      </w:r>
      <w:r w:rsidR="02C2FC87" w:rsidRPr="3C5DE79D">
        <w:rPr>
          <w:rFonts w:ascii="Arial" w:eastAsia="Arial" w:hAnsi="Arial" w:cs="Arial"/>
          <w:sz w:val="22"/>
          <w:szCs w:val="22"/>
        </w:rPr>
        <w:t xml:space="preserve">services </w:t>
      </w:r>
      <w:r w:rsidRPr="3C5DE79D">
        <w:rPr>
          <w:rFonts w:ascii="Arial" w:eastAsia="Arial" w:hAnsi="Arial" w:cs="Arial"/>
          <w:sz w:val="22"/>
          <w:szCs w:val="22"/>
        </w:rPr>
        <w:t>support the Life Course Theory which focuses on health, wellbeing, and independence in later life being shaped by accumulated experiences across the lifespan, including work, relationships, trauma, and socioeconomic conditions (Kuh et al., 2014).</w:t>
      </w:r>
    </w:p>
    <w:p w14:paraId="47E6E21A" w14:textId="4DAD8A5B" w:rsidR="1A894DBC" w:rsidRDefault="3D31E9BA" w:rsidP="3C5DE79D">
      <w:pPr>
        <w:spacing w:line="360" w:lineRule="auto"/>
        <w:rPr>
          <w:rFonts w:ascii="Arial" w:eastAsia="Arial" w:hAnsi="Arial" w:cs="Arial"/>
          <w:sz w:val="22"/>
          <w:szCs w:val="22"/>
        </w:rPr>
      </w:pPr>
      <w:r w:rsidRPr="3C5DE79D">
        <w:rPr>
          <w:rFonts w:ascii="Arial" w:eastAsia="Arial" w:hAnsi="Arial" w:cs="Arial"/>
          <w:sz w:val="22"/>
          <w:szCs w:val="22"/>
        </w:rPr>
        <w:t xml:space="preserve">The limitations of such services </w:t>
      </w:r>
      <w:r w:rsidR="6C13CF24" w:rsidRPr="3C5DE79D">
        <w:rPr>
          <w:rFonts w:ascii="Arial" w:eastAsia="Arial" w:hAnsi="Arial" w:cs="Arial"/>
          <w:sz w:val="22"/>
          <w:szCs w:val="22"/>
        </w:rPr>
        <w:t xml:space="preserve">are that there </w:t>
      </w:r>
      <w:r w:rsidR="494E6163" w:rsidRPr="3C5DE79D">
        <w:rPr>
          <w:rFonts w:ascii="Arial" w:eastAsia="Arial" w:hAnsi="Arial" w:cs="Arial"/>
          <w:sz w:val="22"/>
          <w:szCs w:val="22"/>
        </w:rPr>
        <w:t xml:space="preserve">is not enough investment and funding within Dementia Care which leads to lack of staff training, unpaid carers which impacts the NHS and its ability to achieve SDG 3. </w:t>
      </w:r>
      <w:r w:rsidRPr="3C5DE79D">
        <w:rPr>
          <w:rFonts w:ascii="Arial" w:eastAsia="Arial" w:hAnsi="Arial" w:cs="Arial"/>
          <w:sz w:val="22"/>
          <w:szCs w:val="22"/>
        </w:rPr>
        <w:t>There are many unpaid carers which impacts motivation</w:t>
      </w:r>
      <w:r w:rsidR="63C24806" w:rsidRPr="3C5DE79D">
        <w:rPr>
          <w:rFonts w:ascii="Arial" w:eastAsia="Arial" w:hAnsi="Arial" w:cs="Arial"/>
          <w:sz w:val="22"/>
          <w:szCs w:val="22"/>
        </w:rPr>
        <w:t xml:space="preserve"> (</w:t>
      </w:r>
      <w:r w:rsidRPr="3C5DE79D">
        <w:rPr>
          <w:rFonts w:ascii="Arial" w:eastAsia="Arial" w:hAnsi="Arial" w:cs="Arial"/>
          <w:sz w:val="22"/>
          <w:szCs w:val="22"/>
        </w:rPr>
        <w:t>Alzheimer's Society</w:t>
      </w:r>
      <w:r w:rsidR="58FED641" w:rsidRPr="3C5DE79D">
        <w:rPr>
          <w:rFonts w:ascii="Arial" w:eastAsia="Arial" w:hAnsi="Arial" w:cs="Arial"/>
          <w:sz w:val="22"/>
          <w:szCs w:val="22"/>
        </w:rPr>
        <w:t xml:space="preserve">, </w:t>
      </w:r>
      <w:r w:rsidRPr="3C5DE79D">
        <w:rPr>
          <w:rFonts w:ascii="Arial" w:eastAsia="Arial" w:hAnsi="Arial" w:cs="Arial"/>
          <w:sz w:val="22"/>
          <w:szCs w:val="22"/>
        </w:rPr>
        <w:t>2025)</w:t>
      </w:r>
      <w:r w:rsidR="449B9CC1" w:rsidRPr="3C5DE79D">
        <w:rPr>
          <w:rFonts w:ascii="Arial" w:eastAsia="Arial" w:hAnsi="Arial" w:cs="Arial"/>
          <w:sz w:val="22"/>
          <w:szCs w:val="22"/>
        </w:rPr>
        <w:t>.</w:t>
      </w:r>
      <w:r w:rsidRPr="3C5DE79D">
        <w:rPr>
          <w:rFonts w:ascii="Arial" w:eastAsia="Arial" w:hAnsi="Arial" w:cs="Arial"/>
          <w:sz w:val="22"/>
          <w:szCs w:val="22"/>
        </w:rPr>
        <w:t xml:space="preserve"> </w:t>
      </w:r>
    </w:p>
    <w:p w14:paraId="750C60FA" w14:textId="74258F7E" w:rsidR="3C5DE79D" w:rsidRDefault="3C5DE79D" w:rsidP="3C5DE79D">
      <w:pPr>
        <w:spacing w:line="360" w:lineRule="auto"/>
        <w:rPr>
          <w:rFonts w:ascii="Arial" w:eastAsia="Arial" w:hAnsi="Arial" w:cs="Arial"/>
          <w:sz w:val="22"/>
          <w:szCs w:val="22"/>
        </w:rPr>
      </w:pPr>
    </w:p>
    <w:p w14:paraId="41CE3A71" w14:textId="05019803" w:rsidR="00577E79" w:rsidRDefault="1A0014E5" w:rsidP="3C5DE79D">
      <w:pPr>
        <w:spacing w:line="360" w:lineRule="auto"/>
        <w:rPr>
          <w:rFonts w:ascii="Arial" w:eastAsia="Arial" w:hAnsi="Arial" w:cs="Arial"/>
          <w:b/>
          <w:bCs/>
          <w:sz w:val="22"/>
          <w:szCs w:val="22"/>
          <w:u w:val="single"/>
          <w:lang w:val="en-US"/>
        </w:rPr>
      </w:pPr>
      <w:r w:rsidRPr="3C5DE79D">
        <w:rPr>
          <w:rFonts w:ascii="Arial" w:eastAsia="Arial" w:hAnsi="Arial" w:cs="Arial"/>
          <w:b/>
          <w:bCs/>
          <w:sz w:val="22"/>
          <w:szCs w:val="22"/>
          <w:u w:val="single"/>
          <w:lang w:val="en-US"/>
        </w:rPr>
        <w:t>Recommendations</w:t>
      </w:r>
    </w:p>
    <w:p w14:paraId="658B616A" w14:textId="55DC6B9C" w:rsidR="006F601B" w:rsidRPr="00577E79" w:rsidRDefault="44EA7270" w:rsidP="3C5DE79D">
      <w:pPr>
        <w:spacing w:before="240" w:after="240" w:line="360" w:lineRule="auto"/>
        <w:rPr>
          <w:rFonts w:ascii="Arial" w:eastAsia="Arial" w:hAnsi="Arial" w:cs="Arial"/>
          <w:sz w:val="22"/>
          <w:szCs w:val="22"/>
          <w:lang w:val="en-US"/>
        </w:rPr>
      </w:pPr>
      <w:r w:rsidRPr="5E1BBDF9">
        <w:rPr>
          <w:rFonts w:ascii="Arial" w:eastAsia="Arial" w:hAnsi="Arial" w:cs="Arial"/>
          <w:sz w:val="22"/>
          <w:szCs w:val="22"/>
          <w:lang w:val="en-US"/>
        </w:rPr>
        <w:t>To improve care in residential care homes and align with SDG 3, services should focus on person-centred and supportive environments.</w:t>
      </w:r>
      <w:r w:rsidR="65E9256C" w:rsidRPr="5E1BBDF9">
        <w:rPr>
          <w:rFonts w:ascii="Arial" w:eastAsia="Arial" w:hAnsi="Arial" w:cs="Arial"/>
          <w:sz w:val="22"/>
          <w:szCs w:val="22"/>
          <w:lang w:val="en-US"/>
        </w:rPr>
        <w:t xml:space="preserve"> </w:t>
      </w:r>
      <w:r w:rsidRPr="5E1BBDF9">
        <w:rPr>
          <w:rFonts w:ascii="Arial" w:eastAsia="Arial" w:hAnsi="Arial" w:cs="Arial"/>
          <w:sz w:val="22"/>
          <w:szCs w:val="22"/>
          <w:lang w:val="en-US"/>
        </w:rPr>
        <w:t>For community and charity-based dementia services, improvements should focus on sustainability and workforce wellbeing. Social sustainability in healthcare includes preventing staff burnout, ensuring fair working conditions, and promoting inclusive environments, all of which support long-term service delivery (Public Health England, 2017).</w:t>
      </w:r>
    </w:p>
    <w:p w14:paraId="0182C27D" w14:textId="1687A458" w:rsidR="006F601B" w:rsidRPr="00577E79" w:rsidRDefault="30E903A3"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t>In line with the NHS Long Term Plan, increased training for staff caring for people with dementia is essential to improve quality of care and outcomes (NHS England, 2019). Greater funding is also needed to support interventions such as peer support, respite activities, and wellbeing initiatives for unpaid carers, helping to reduce stress and improve resilience.</w:t>
      </w:r>
    </w:p>
    <w:p w14:paraId="30D20EB2" w14:textId="309F74EA" w:rsidR="006F601B" w:rsidRPr="00577E79" w:rsidRDefault="30E903A3"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t>Additionally, community-led initiatives such as fundraising events can strengthen support networks and contribute to sustainable service provision. Overall, these improvements promote better health outcomes, enhance wellbeing, and support the long-term sustainability of care services in line with SDG 3.</w:t>
      </w:r>
    </w:p>
    <w:p w14:paraId="3EAAE1CE" w14:textId="3301B6B5" w:rsidR="3C5DE79D" w:rsidRDefault="3C5DE79D" w:rsidP="5E1BBDF9">
      <w:pPr>
        <w:spacing w:line="360" w:lineRule="auto"/>
        <w:rPr>
          <w:rFonts w:ascii="Arial" w:eastAsia="Arial" w:hAnsi="Arial" w:cs="Arial"/>
          <w:sz w:val="22"/>
          <w:szCs w:val="22"/>
          <w:lang w:val="en-US"/>
        </w:rPr>
      </w:pPr>
    </w:p>
    <w:p w14:paraId="7CDFDC75" w14:textId="2D567444" w:rsidR="5E1BBDF9" w:rsidRDefault="5E1BBDF9" w:rsidP="5E1BBDF9">
      <w:pPr>
        <w:spacing w:line="360" w:lineRule="auto"/>
        <w:rPr>
          <w:rFonts w:ascii="Arial" w:eastAsia="Arial" w:hAnsi="Arial" w:cs="Arial"/>
          <w:sz w:val="22"/>
          <w:szCs w:val="22"/>
          <w:lang w:val="en-US"/>
        </w:rPr>
      </w:pPr>
    </w:p>
    <w:p w14:paraId="21DDB698" w14:textId="3D75465F" w:rsidR="5E1BBDF9" w:rsidRDefault="5E1BBDF9" w:rsidP="5E1BBDF9">
      <w:pPr>
        <w:spacing w:line="360" w:lineRule="auto"/>
        <w:rPr>
          <w:rFonts w:ascii="Arial" w:eastAsia="Arial" w:hAnsi="Arial" w:cs="Arial"/>
          <w:sz w:val="22"/>
          <w:szCs w:val="22"/>
          <w:lang w:val="en-US"/>
        </w:rPr>
      </w:pPr>
    </w:p>
    <w:p w14:paraId="6E6CC127" w14:textId="5A3866BE" w:rsidR="1A0014E5" w:rsidRDefault="1A0014E5" w:rsidP="3C5DE79D">
      <w:pPr>
        <w:spacing w:line="360" w:lineRule="auto"/>
        <w:rPr>
          <w:rFonts w:ascii="Arial" w:eastAsia="Arial" w:hAnsi="Arial" w:cs="Arial"/>
          <w:b/>
          <w:bCs/>
          <w:sz w:val="22"/>
          <w:szCs w:val="22"/>
          <w:lang w:val="en-US"/>
        </w:rPr>
      </w:pPr>
      <w:r w:rsidRPr="3C5DE79D">
        <w:rPr>
          <w:rFonts w:ascii="Arial" w:eastAsia="Arial" w:hAnsi="Arial" w:cs="Arial"/>
          <w:b/>
          <w:bCs/>
          <w:sz w:val="22"/>
          <w:szCs w:val="22"/>
          <w:lang w:val="en-US"/>
        </w:rPr>
        <w:t xml:space="preserve">Section 2: </w:t>
      </w:r>
      <w:r w:rsidR="2A27EA20" w:rsidRPr="3C5DE79D">
        <w:rPr>
          <w:rFonts w:ascii="Arial" w:eastAsia="Arial" w:hAnsi="Arial" w:cs="Arial"/>
          <w:b/>
          <w:bCs/>
          <w:sz w:val="22"/>
          <w:szCs w:val="22"/>
          <w:lang w:val="en-US"/>
        </w:rPr>
        <w:t xml:space="preserve">SDG 10 – </w:t>
      </w:r>
      <w:r w:rsidR="031123F3" w:rsidRPr="3C5DE79D">
        <w:rPr>
          <w:rFonts w:ascii="Arial" w:eastAsia="Arial" w:hAnsi="Arial" w:cs="Arial"/>
          <w:b/>
          <w:bCs/>
          <w:sz w:val="22"/>
          <w:szCs w:val="22"/>
          <w:lang w:val="en-US"/>
        </w:rPr>
        <w:t>‘</w:t>
      </w:r>
      <w:r w:rsidR="2A27EA20" w:rsidRPr="3C5DE79D">
        <w:rPr>
          <w:rFonts w:ascii="Arial" w:eastAsia="Arial" w:hAnsi="Arial" w:cs="Arial"/>
          <w:b/>
          <w:bCs/>
          <w:sz w:val="22"/>
          <w:szCs w:val="22"/>
          <w:lang w:val="en-US"/>
        </w:rPr>
        <w:t>Reduced Inequalities</w:t>
      </w:r>
      <w:r w:rsidR="031123F3" w:rsidRPr="3C5DE79D">
        <w:rPr>
          <w:rFonts w:ascii="Arial" w:eastAsia="Arial" w:hAnsi="Arial" w:cs="Arial"/>
          <w:b/>
          <w:bCs/>
          <w:sz w:val="22"/>
          <w:szCs w:val="22"/>
          <w:lang w:val="en-US"/>
        </w:rPr>
        <w:t>’</w:t>
      </w:r>
    </w:p>
    <w:p w14:paraId="5BF50D11" w14:textId="766A8E89" w:rsidR="3518734B" w:rsidRDefault="25AE3DFB" w:rsidP="3C5DE79D">
      <w:pPr>
        <w:spacing w:line="360" w:lineRule="auto"/>
        <w:rPr>
          <w:rFonts w:ascii="Arial" w:eastAsia="Arial" w:hAnsi="Arial" w:cs="Arial"/>
          <w:b/>
          <w:bCs/>
          <w:sz w:val="22"/>
          <w:szCs w:val="22"/>
          <w:u w:val="single"/>
          <w:lang w:val="en-US"/>
        </w:rPr>
      </w:pPr>
      <w:r w:rsidRPr="5E1BBDF9">
        <w:rPr>
          <w:rFonts w:ascii="Arial" w:eastAsia="Arial" w:hAnsi="Arial" w:cs="Arial"/>
          <w:b/>
          <w:bCs/>
          <w:sz w:val="22"/>
          <w:szCs w:val="22"/>
          <w:u w:val="single"/>
          <w:lang w:val="en-US"/>
        </w:rPr>
        <w:t xml:space="preserve">An </w:t>
      </w:r>
      <w:r w:rsidR="03CDAAB5" w:rsidRPr="5E1BBDF9">
        <w:rPr>
          <w:rFonts w:ascii="Arial" w:eastAsia="Arial" w:hAnsi="Arial" w:cs="Arial"/>
          <w:b/>
          <w:bCs/>
          <w:sz w:val="22"/>
          <w:szCs w:val="22"/>
          <w:u w:val="single"/>
          <w:lang w:val="en-US"/>
        </w:rPr>
        <w:t>Overview of SDG</w:t>
      </w:r>
      <w:r w:rsidR="1E38E14D" w:rsidRPr="5E1BBDF9">
        <w:rPr>
          <w:rFonts w:ascii="Arial" w:eastAsia="Arial" w:hAnsi="Arial" w:cs="Arial"/>
          <w:b/>
          <w:bCs/>
          <w:sz w:val="22"/>
          <w:szCs w:val="22"/>
          <w:u w:val="single"/>
          <w:lang w:val="en-US"/>
        </w:rPr>
        <w:t xml:space="preserve"> </w:t>
      </w:r>
      <w:r w:rsidR="45EDE86F" w:rsidRPr="5E1BBDF9">
        <w:rPr>
          <w:rFonts w:ascii="Arial" w:eastAsia="Arial" w:hAnsi="Arial" w:cs="Arial"/>
          <w:b/>
          <w:bCs/>
          <w:sz w:val="22"/>
          <w:szCs w:val="22"/>
          <w:u w:val="single"/>
          <w:lang w:val="en-US"/>
        </w:rPr>
        <w:t>10</w:t>
      </w:r>
    </w:p>
    <w:p w14:paraId="2D0E89F1" w14:textId="54A16C30" w:rsidR="3A9A9FF9" w:rsidRDefault="3A9A9FF9" w:rsidP="3C5DE79D">
      <w:pPr>
        <w:spacing w:after="240" w:line="360" w:lineRule="auto"/>
        <w:rPr>
          <w:rFonts w:ascii="Arial" w:eastAsia="Arial" w:hAnsi="Arial" w:cs="Arial"/>
          <w:sz w:val="22"/>
          <w:szCs w:val="22"/>
          <w:lang w:val="en-US"/>
        </w:rPr>
      </w:pPr>
      <w:r w:rsidRPr="3C5DE79D">
        <w:rPr>
          <w:rFonts w:ascii="Arial" w:eastAsia="Arial" w:hAnsi="Arial" w:cs="Arial"/>
          <w:sz w:val="22"/>
          <w:szCs w:val="22"/>
          <w:lang w:val="en-US"/>
        </w:rPr>
        <w:t>SDG 10 aims to reduce inequalities within and between countries, including promoting safe and well-managed migration policies. Health inequalities remain a major issue, particularly in Europe, where environmental risks contribute to around 15% of the disease burden (World Health Organization, 2023). These risks, such as pollution, poor sanitation, lack of clean energy, and unsafe housing, disproportionately affect disadvantaged groups, worsening existing inequalities (World Health Organization, 2023).</w:t>
      </w:r>
    </w:p>
    <w:p w14:paraId="377ED9B4" w14:textId="0968B0C6" w:rsidR="3A9A9FF9" w:rsidRDefault="58E61A6B" w:rsidP="3C5DE79D">
      <w:pPr>
        <w:spacing w:before="240" w:after="240" w:line="360" w:lineRule="auto"/>
        <w:rPr>
          <w:rFonts w:ascii="Arial" w:eastAsia="Arial" w:hAnsi="Arial" w:cs="Arial"/>
          <w:sz w:val="22"/>
          <w:szCs w:val="22"/>
          <w:lang w:val="en-US"/>
        </w:rPr>
      </w:pPr>
      <w:r w:rsidRPr="5E1BBDF9">
        <w:rPr>
          <w:rFonts w:ascii="Arial" w:eastAsia="Arial" w:hAnsi="Arial" w:cs="Arial"/>
          <w:sz w:val="22"/>
          <w:szCs w:val="22"/>
          <w:lang w:val="en-US"/>
        </w:rPr>
        <w:t xml:space="preserve">Ethnic health disparities also highlight the importance of SDG 10. In the UK, ethnic minority groups experience poorer access to healthcare and unequal treatment outcomes (Bécares et al., 2021). Barriers such as language differences, discrimination, and culturally </w:t>
      </w:r>
      <w:r w:rsidRPr="5E1BBDF9">
        <w:rPr>
          <w:rFonts w:ascii="Arial" w:eastAsia="Arial" w:hAnsi="Arial" w:cs="Arial"/>
          <w:sz w:val="22"/>
          <w:szCs w:val="22"/>
          <w:lang w:val="en-US"/>
        </w:rPr>
        <w:lastRenderedPageBreak/>
        <w:t>inappropriate services further limit access. Additionally, fewer GP resources in diverse areas and longer waiting times contribute to lower treatment uptake (Morley et al., 2025).</w:t>
      </w:r>
    </w:p>
    <w:p w14:paraId="3318219E" w14:textId="7A765C54" w:rsidR="3C5DE79D" w:rsidRDefault="3C5DE79D" w:rsidP="3C5DE79D">
      <w:pPr>
        <w:spacing w:line="360" w:lineRule="auto"/>
        <w:rPr>
          <w:rFonts w:ascii="Arial" w:eastAsia="Arial" w:hAnsi="Arial" w:cs="Arial"/>
          <w:sz w:val="22"/>
          <w:szCs w:val="22"/>
          <w:lang w:val="en-US"/>
        </w:rPr>
      </w:pPr>
    </w:p>
    <w:p w14:paraId="0BEAFCC1" w14:textId="6DD4BB80" w:rsidR="066B2093" w:rsidRDefault="2011FFBA" w:rsidP="3C5DE79D">
      <w:pPr>
        <w:spacing w:line="360" w:lineRule="auto"/>
        <w:rPr>
          <w:rFonts w:ascii="Arial" w:eastAsia="Arial" w:hAnsi="Arial" w:cs="Arial"/>
          <w:b/>
          <w:bCs/>
          <w:sz w:val="22"/>
          <w:szCs w:val="22"/>
          <w:u w:val="single"/>
        </w:rPr>
      </w:pPr>
      <w:r w:rsidRPr="5E1BBDF9">
        <w:rPr>
          <w:rFonts w:ascii="Arial" w:eastAsia="Arial" w:hAnsi="Arial" w:cs="Arial"/>
          <w:b/>
          <w:bCs/>
          <w:sz w:val="22"/>
          <w:szCs w:val="22"/>
          <w:u w:val="single"/>
        </w:rPr>
        <w:t>Local, national and global policies and initiatives linked to SDG 10</w:t>
      </w:r>
    </w:p>
    <w:p w14:paraId="40D5D6B6" w14:textId="6FAB2354" w:rsidR="6BBED950" w:rsidRDefault="21429309" w:rsidP="3C5DE79D">
      <w:pPr>
        <w:spacing w:after="240" w:line="360" w:lineRule="auto"/>
        <w:rPr>
          <w:rFonts w:ascii="Arial" w:eastAsia="Arial" w:hAnsi="Arial" w:cs="Arial"/>
          <w:sz w:val="22"/>
          <w:szCs w:val="22"/>
        </w:rPr>
      </w:pPr>
      <w:r w:rsidRPr="5E1BBDF9">
        <w:rPr>
          <w:rFonts w:ascii="Arial" w:eastAsia="Arial" w:hAnsi="Arial" w:cs="Arial"/>
          <w:sz w:val="22"/>
          <w:szCs w:val="22"/>
        </w:rPr>
        <w:t>Locally, policies targeting inequality focus on social determinants such as housing, employment, and access to services. Midlands-based initiatives aim to reduce disparities through targeted community interventions. However, regional disparities remain significant. Inequalities in access to care and health outcomes persist across different areas and populations, suggesting that local policies are limited by inconsistent funding and capacity.</w:t>
      </w:r>
    </w:p>
    <w:p w14:paraId="54DD0F79" w14:textId="3B4DD556" w:rsidR="79F050D8" w:rsidRDefault="79F050D8" w:rsidP="3C5DE79D">
      <w:pPr>
        <w:spacing w:line="360" w:lineRule="auto"/>
        <w:rPr>
          <w:rFonts w:ascii="Arial" w:eastAsia="Arial" w:hAnsi="Arial" w:cs="Arial"/>
          <w:sz w:val="22"/>
          <w:szCs w:val="22"/>
        </w:rPr>
      </w:pPr>
      <w:r w:rsidRPr="3C5DE79D">
        <w:rPr>
          <w:rFonts w:ascii="Arial" w:eastAsia="Arial" w:hAnsi="Arial" w:cs="Arial"/>
          <w:sz w:val="22"/>
          <w:szCs w:val="22"/>
        </w:rPr>
        <w:t>National policy such as the NHS Long Term Plan put funding in to areas such as integrated, community-based and preventative services, empowering individuals through coordinated health and social care, improving access, and supporting independent living and reducing health disparities and inequalities (NHS England, 2019; Age UK, 2024).</w:t>
      </w:r>
    </w:p>
    <w:p w14:paraId="12EB486C" w14:textId="1B07F223" w:rsidR="6BBED950" w:rsidRDefault="6BBED950"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Evidence shows that inequalities remain widespread, particularly among deprived and ethnic minority populations. Structural issues such as austerity and unequal resource distribution have limited progress, reinforcing Marmot’s argument that health inequalities are socially determined (Marmot, 2020; UKHSA, 2025).</w:t>
      </w:r>
    </w:p>
    <w:p w14:paraId="51A547D1" w14:textId="18504517" w:rsidR="2272F641" w:rsidRDefault="2272F64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Globally, SDG 10 focuses on reducing inequalities between and within countries, including migration and economic disparities. International initiatives emphasise inclusion, equity, and access to resources. However, global inequality has increased due to factors such as conflict and economic instability, disproportionately affecting vulnerable populations (University of Sheffield, 2025).</w:t>
      </w:r>
    </w:p>
    <w:p w14:paraId="237CF4DB" w14:textId="6FC760B3" w:rsidR="006F601B" w:rsidRDefault="6075A6CA" w:rsidP="3C5DE79D">
      <w:pPr>
        <w:spacing w:line="360" w:lineRule="auto"/>
        <w:rPr>
          <w:rFonts w:ascii="Arial" w:eastAsia="Arial" w:hAnsi="Arial" w:cs="Arial"/>
          <w:sz w:val="22"/>
          <w:szCs w:val="22"/>
        </w:rPr>
      </w:pPr>
      <w:r w:rsidRPr="5E1BBDF9">
        <w:rPr>
          <w:rFonts w:ascii="Arial" w:eastAsia="Arial" w:hAnsi="Arial" w:cs="Arial"/>
          <w:sz w:val="22"/>
          <w:szCs w:val="22"/>
        </w:rPr>
        <w:t>The challenges of such polices and initiatives is so</w:t>
      </w:r>
      <w:r w:rsidR="283E593E" w:rsidRPr="5E1BBDF9">
        <w:rPr>
          <w:rFonts w:ascii="Arial" w:eastAsia="Arial" w:hAnsi="Arial" w:cs="Arial"/>
          <w:sz w:val="22"/>
          <w:szCs w:val="22"/>
        </w:rPr>
        <w:t xml:space="preserve">cial care underfunding </w:t>
      </w:r>
      <w:r w:rsidR="438B0DF6" w:rsidRPr="5E1BBDF9">
        <w:rPr>
          <w:rFonts w:ascii="Arial" w:eastAsia="Arial" w:hAnsi="Arial" w:cs="Arial"/>
          <w:sz w:val="22"/>
          <w:szCs w:val="22"/>
        </w:rPr>
        <w:t>and</w:t>
      </w:r>
      <w:r w:rsidR="283E593E" w:rsidRPr="5E1BBDF9">
        <w:rPr>
          <w:rFonts w:ascii="Arial" w:eastAsia="Arial" w:hAnsi="Arial" w:cs="Arial"/>
          <w:sz w:val="22"/>
          <w:szCs w:val="22"/>
        </w:rPr>
        <w:t xml:space="preserve"> unmet needs</w:t>
      </w:r>
      <w:r w:rsidR="005BA3CF" w:rsidRPr="5E1BBDF9">
        <w:rPr>
          <w:rFonts w:ascii="Arial" w:eastAsia="Arial" w:hAnsi="Arial" w:cs="Arial"/>
          <w:sz w:val="22"/>
          <w:szCs w:val="22"/>
        </w:rPr>
        <w:t xml:space="preserve"> leading to issues of an implementation gap</w:t>
      </w:r>
      <w:r w:rsidR="040ED90D" w:rsidRPr="5E1BBDF9">
        <w:rPr>
          <w:rFonts w:ascii="Arial" w:eastAsia="Arial" w:hAnsi="Arial" w:cs="Arial"/>
          <w:sz w:val="22"/>
          <w:szCs w:val="22"/>
        </w:rPr>
        <w:t>. Even though there are such policies in place</w:t>
      </w:r>
      <w:r w:rsidR="283E593E" w:rsidRPr="5E1BBDF9">
        <w:rPr>
          <w:rFonts w:ascii="Arial" w:eastAsia="Arial" w:hAnsi="Arial" w:cs="Arial"/>
          <w:sz w:val="22"/>
          <w:szCs w:val="22"/>
        </w:rPr>
        <w:t xml:space="preserve"> policy goals, social care capacity and funding gaps </w:t>
      </w:r>
      <w:r w:rsidR="0088ADC0" w:rsidRPr="5E1BBDF9">
        <w:rPr>
          <w:rFonts w:ascii="Arial" w:eastAsia="Arial" w:hAnsi="Arial" w:cs="Arial"/>
          <w:sz w:val="22"/>
          <w:szCs w:val="22"/>
        </w:rPr>
        <w:t>still prevent</w:t>
      </w:r>
      <w:r w:rsidR="283E593E" w:rsidRPr="5E1BBDF9">
        <w:rPr>
          <w:rFonts w:ascii="Arial" w:eastAsia="Arial" w:hAnsi="Arial" w:cs="Arial"/>
          <w:sz w:val="22"/>
          <w:szCs w:val="22"/>
        </w:rPr>
        <w:t xml:space="preserve"> access to certain services, leading to unmet basic support needs and inequalities, especially for older people</w:t>
      </w:r>
      <w:r w:rsidR="187E7E32" w:rsidRPr="5E1BBDF9">
        <w:rPr>
          <w:rFonts w:ascii="Arial" w:eastAsia="Arial" w:hAnsi="Arial" w:cs="Arial"/>
          <w:sz w:val="22"/>
          <w:szCs w:val="22"/>
        </w:rPr>
        <w:t xml:space="preserve">, </w:t>
      </w:r>
      <w:r w:rsidR="283E593E" w:rsidRPr="5E1BBDF9">
        <w:rPr>
          <w:rFonts w:ascii="Arial" w:eastAsia="Arial" w:hAnsi="Arial" w:cs="Arial"/>
          <w:sz w:val="22"/>
          <w:szCs w:val="22"/>
        </w:rPr>
        <w:t xml:space="preserve">those with complex multimorbidity </w:t>
      </w:r>
      <w:r w:rsidR="1FA21085" w:rsidRPr="5E1BBDF9">
        <w:rPr>
          <w:rFonts w:ascii="Arial" w:eastAsia="Arial" w:hAnsi="Arial" w:cs="Arial"/>
          <w:sz w:val="22"/>
          <w:szCs w:val="22"/>
        </w:rPr>
        <w:t>and p</w:t>
      </w:r>
      <w:r w:rsidR="69AC2D2D" w:rsidRPr="5E1BBDF9">
        <w:rPr>
          <w:rFonts w:ascii="Arial" w:eastAsia="Arial" w:hAnsi="Arial" w:cs="Arial"/>
          <w:sz w:val="22"/>
          <w:szCs w:val="22"/>
        </w:rPr>
        <w:t xml:space="preserve">eople with </w:t>
      </w:r>
      <w:r w:rsidR="212B7061" w:rsidRPr="5E1BBDF9">
        <w:rPr>
          <w:rFonts w:ascii="Arial" w:eastAsia="Arial" w:hAnsi="Arial" w:cs="Arial"/>
          <w:sz w:val="22"/>
          <w:szCs w:val="22"/>
        </w:rPr>
        <w:t>disabilities</w:t>
      </w:r>
      <w:r w:rsidR="69AC2D2D" w:rsidRPr="5E1BBDF9">
        <w:rPr>
          <w:rFonts w:ascii="Arial" w:eastAsia="Arial" w:hAnsi="Arial" w:cs="Arial"/>
          <w:sz w:val="22"/>
          <w:szCs w:val="22"/>
        </w:rPr>
        <w:t xml:space="preserve"> </w:t>
      </w:r>
      <w:r w:rsidR="283E593E" w:rsidRPr="5E1BBDF9">
        <w:rPr>
          <w:rFonts w:ascii="Arial" w:eastAsia="Arial" w:hAnsi="Arial" w:cs="Arial"/>
          <w:sz w:val="22"/>
          <w:szCs w:val="22"/>
        </w:rPr>
        <w:t>(Age UK, 2024; Powell et al., 2021).</w:t>
      </w:r>
      <w:r w:rsidR="6871CF4E" w:rsidRPr="5E1BBDF9">
        <w:rPr>
          <w:rFonts w:ascii="Arial" w:eastAsia="Arial" w:hAnsi="Arial" w:cs="Arial"/>
          <w:sz w:val="22"/>
          <w:szCs w:val="22"/>
        </w:rPr>
        <w:t xml:space="preserve"> Evidence shows that people in the most deprived areas are almost twice as likely to be hospitalised for infectious diseases, highlighting persistent health inequalities (UKHSA, 2025). </w:t>
      </w:r>
    </w:p>
    <w:p w14:paraId="0C2D1412" w14:textId="2ADE96D1" w:rsidR="006F601B" w:rsidRDefault="774052F8" w:rsidP="5E1BBDF9">
      <w:pPr>
        <w:spacing w:line="360" w:lineRule="auto"/>
        <w:rPr>
          <w:rFonts w:ascii="Arial" w:eastAsia="Arial" w:hAnsi="Arial" w:cs="Arial"/>
          <w:b/>
          <w:bCs/>
          <w:sz w:val="22"/>
          <w:szCs w:val="22"/>
          <w:u w:val="single"/>
        </w:rPr>
      </w:pPr>
      <w:r w:rsidRPr="5E1BBDF9">
        <w:rPr>
          <w:rFonts w:ascii="Arial" w:eastAsia="Arial" w:hAnsi="Arial" w:cs="Arial"/>
          <w:b/>
          <w:bCs/>
          <w:sz w:val="22"/>
          <w:szCs w:val="22"/>
          <w:u w:val="single"/>
        </w:rPr>
        <w:t>Local and National Examples of SDG 10</w:t>
      </w:r>
      <w:r w:rsidR="1356AC28" w:rsidRPr="5E1BBDF9">
        <w:rPr>
          <w:rFonts w:ascii="Arial" w:eastAsia="Arial" w:hAnsi="Arial" w:cs="Arial"/>
          <w:b/>
          <w:bCs/>
          <w:sz w:val="22"/>
          <w:szCs w:val="22"/>
          <w:u w:val="single"/>
        </w:rPr>
        <w:t xml:space="preserve"> </w:t>
      </w:r>
    </w:p>
    <w:p w14:paraId="4417A505" w14:textId="5947E17E" w:rsidR="7047B27A" w:rsidRDefault="7047B27A" w:rsidP="3C5DE79D">
      <w:pPr>
        <w:spacing w:line="360" w:lineRule="auto"/>
        <w:rPr>
          <w:rFonts w:ascii="Arial" w:eastAsia="Arial" w:hAnsi="Arial" w:cs="Arial"/>
          <w:sz w:val="22"/>
          <w:szCs w:val="22"/>
        </w:rPr>
      </w:pPr>
      <w:r w:rsidRPr="3C5DE79D">
        <w:rPr>
          <w:rFonts w:ascii="Arial" w:eastAsia="Arial" w:hAnsi="Arial" w:cs="Arial"/>
          <w:sz w:val="22"/>
          <w:szCs w:val="22"/>
        </w:rPr>
        <w:lastRenderedPageBreak/>
        <w:t>This section of the report will critically evaluate examples through which SDG 10 is promoted.</w:t>
      </w:r>
      <w:r w:rsidR="06202F95" w:rsidRPr="3C5DE79D">
        <w:rPr>
          <w:rFonts w:ascii="Arial" w:eastAsia="Arial" w:hAnsi="Arial" w:cs="Arial"/>
          <w:sz w:val="22"/>
          <w:szCs w:val="22"/>
        </w:rPr>
        <w:t xml:space="preserve"> </w:t>
      </w:r>
    </w:p>
    <w:p w14:paraId="024F1BBE" w14:textId="10D7EBD6" w:rsidR="40E5D953" w:rsidRDefault="40E5D953" w:rsidP="3C5DE79D">
      <w:pPr>
        <w:spacing w:line="360" w:lineRule="auto"/>
        <w:rPr>
          <w:rFonts w:ascii="Arial" w:eastAsia="Arial" w:hAnsi="Arial" w:cs="Arial"/>
          <w:b/>
          <w:bCs/>
          <w:sz w:val="22"/>
          <w:szCs w:val="22"/>
        </w:rPr>
      </w:pPr>
      <w:r w:rsidRPr="3C5DE79D">
        <w:rPr>
          <w:rFonts w:ascii="Arial" w:eastAsia="Arial" w:hAnsi="Arial" w:cs="Arial"/>
          <w:b/>
          <w:bCs/>
          <w:sz w:val="22"/>
          <w:szCs w:val="22"/>
        </w:rPr>
        <w:t>Community Diagnostic Centres – Breast Screening Hubs:</w:t>
      </w:r>
    </w:p>
    <w:p w14:paraId="4EAE89C5" w14:textId="6602475A" w:rsidR="78DD6CDD" w:rsidRDefault="4782A895" w:rsidP="3C5DE79D">
      <w:pPr>
        <w:spacing w:after="240" w:line="360" w:lineRule="auto"/>
        <w:rPr>
          <w:rFonts w:ascii="Arial" w:eastAsia="Arial" w:hAnsi="Arial" w:cs="Arial"/>
          <w:sz w:val="22"/>
          <w:szCs w:val="22"/>
        </w:rPr>
      </w:pPr>
      <w:r w:rsidRPr="5E1BBDF9">
        <w:rPr>
          <w:rFonts w:ascii="Arial" w:eastAsia="Arial" w:hAnsi="Arial" w:cs="Arial"/>
          <w:sz w:val="22"/>
          <w:szCs w:val="22"/>
        </w:rPr>
        <w:t>Community Diagnostic Centres (CDCs) support sustainability by providing local services, reducing travel, carbon emissions, and improving access (NHS England, 2024). Mobile breast screening hubs are a key example, helping to reduce health inequalities by improving access for vulnerable groups and supporting early detection. This aligns with SDG 10, which aims to reduce inequalities and ensure no one is left behind.</w:t>
      </w:r>
    </w:p>
    <w:p w14:paraId="684EB128" w14:textId="1A7CCBC5" w:rsidR="78DD6CDD" w:rsidRDefault="4782A895"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The initiative is supported by the Health Belief Model (HBM), which suggests that increasing awareness and confidence encourages individuals to engage in health behaviours (Verywellmind, 2025). By bringing services into communities, these hubs empower women, particularly those from deprived or ethnic minority backgrounds, to access screening.</w:t>
      </w:r>
    </w:p>
    <w:p w14:paraId="1AF669A9" w14:textId="454194EF" w:rsidR="78DD6CDD" w:rsidRDefault="78DD6CDD"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For example, Newcastle Hospitals Charity introduced mobile screening units to improve accessibility and sustainability (Newcastle Hospitals Charity, 2025). However, challenges such as stigma, fear, and cultural barriers may still limit uptake, highlighting ongoing inequalities.</w:t>
      </w:r>
    </w:p>
    <w:p w14:paraId="4330B052" w14:textId="41147710" w:rsidR="3C5DE79D" w:rsidRDefault="3C5DE79D" w:rsidP="3C5DE79D">
      <w:pPr>
        <w:spacing w:line="360" w:lineRule="auto"/>
        <w:rPr>
          <w:rFonts w:ascii="Arial" w:eastAsia="Arial" w:hAnsi="Arial" w:cs="Arial"/>
          <w:b/>
          <w:bCs/>
          <w:sz w:val="22"/>
          <w:szCs w:val="22"/>
        </w:rPr>
      </w:pPr>
    </w:p>
    <w:p w14:paraId="1A8A5423" w14:textId="2ED8C0B7" w:rsidR="2B6DA3B1" w:rsidRDefault="2B6DA3B1" w:rsidP="3C5DE79D">
      <w:pPr>
        <w:spacing w:line="360" w:lineRule="auto"/>
        <w:rPr>
          <w:rFonts w:ascii="Arial" w:eastAsia="Arial" w:hAnsi="Arial" w:cs="Arial"/>
          <w:b/>
          <w:bCs/>
          <w:sz w:val="22"/>
          <w:szCs w:val="22"/>
        </w:rPr>
      </w:pPr>
      <w:r w:rsidRPr="3C5DE79D">
        <w:rPr>
          <w:rFonts w:ascii="Arial" w:eastAsia="Arial" w:hAnsi="Arial" w:cs="Arial"/>
          <w:b/>
          <w:bCs/>
          <w:sz w:val="22"/>
          <w:szCs w:val="22"/>
        </w:rPr>
        <w:t>‘Meals on Wheels UK’:</w:t>
      </w:r>
    </w:p>
    <w:p w14:paraId="67CBB8F1" w14:textId="366EA1FD" w:rsidR="566AEEDC" w:rsidRDefault="566AEEDC" w:rsidP="3C5DE79D">
      <w:pPr>
        <w:spacing w:after="240" w:line="360" w:lineRule="auto"/>
        <w:rPr>
          <w:rFonts w:ascii="Arial" w:eastAsia="Arial" w:hAnsi="Arial" w:cs="Arial"/>
          <w:sz w:val="22"/>
          <w:szCs w:val="22"/>
        </w:rPr>
      </w:pPr>
      <w:r w:rsidRPr="3C5DE79D">
        <w:rPr>
          <w:rFonts w:ascii="Arial" w:eastAsia="Arial" w:hAnsi="Arial" w:cs="Arial"/>
          <w:sz w:val="22"/>
          <w:szCs w:val="22"/>
        </w:rPr>
        <w:t>The service provided by Meals on Wheels UK aims to reduce inequalities for older people and those with disabilities by supporting independent living within communities (Meals on Wheels UK, 2026). It operates across local, regional, and national levels, providing essential support to vulnerable groups.</w:t>
      </w:r>
    </w:p>
    <w:p w14:paraId="5E6C908E" w14:textId="7D215F33" w:rsidR="566AEEDC" w:rsidRDefault="1CA9985A"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The service reflects Socioemotional Selectivity Theory, as regular contact during meal deliveries helps reduce loneliness and improve emotional wellbeing (Carstensen, 2021), also supporting SDG 3. It promotes equal access to services regardless of age or disability, aligning with the Equality Act 2010 and contributing to SDG 10 by reducing discrimination.</w:t>
      </w:r>
    </w:p>
    <w:p w14:paraId="224FE31B" w14:textId="3BDF27DD" w:rsidR="566AEEDC" w:rsidRDefault="1CA9985A"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However, barriers remain, including limited public awareness, despite over 20 million UK adults potentially benefiting. Information is often outdated, contradicting the Care Act 2014, which emphasises accessible service information.</w:t>
      </w:r>
    </w:p>
    <w:p w14:paraId="7F30A8C4" w14:textId="40FF5ED6" w:rsidR="566AEEDC" w:rsidRDefault="1CA9985A"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lastRenderedPageBreak/>
        <w:t>Additional challenges include funding cuts, service closures</w:t>
      </w:r>
      <w:r w:rsidR="45F99B8A" w:rsidRPr="5E1BBDF9">
        <w:rPr>
          <w:rFonts w:ascii="Arial" w:eastAsia="Arial" w:hAnsi="Arial" w:cs="Arial"/>
          <w:sz w:val="22"/>
          <w:szCs w:val="22"/>
        </w:rPr>
        <w:t>, digital exclusion</w:t>
      </w:r>
      <w:r w:rsidRPr="5E1BBDF9">
        <w:rPr>
          <w:rFonts w:ascii="Arial" w:eastAsia="Arial" w:hAnsi="Arial" w:cs="Arial"/>
          <w:sz w:val="22"/>
          <w:szCs w:val="22"/>
        </w:rPr>
        <w:t>, and lack of government recognition, limiting the service’s ability to expand and fully address inequalities (Meals on Wheels UK, 2026).</w:t>
      </w:r>
    </w:p>
    <w:p w14:paraId="2C0AD971" w14:textId="1277A2F2" w:rsidR="3C5DE79D" w:rsidRDefault="3C5DE79D" w:rsidP="3C5DE79D">
      <w:pPr>
        <w:spacing w:line="360" w:lineRule="auto"/>
        <w:rPr>
          <w:rFonts w:ascii="Arial" w:eastAsia="Arial" w:hAnsi="Arial" w:cs="Arial"/>
          <w:sz w:val="22"/>
          <w:szCs w:val="22"/>
        </w:rPr>
      </w:pPr>
    </w:p>
    <w:p w14:paraId="047B0EB3" w14:textId="1F4E6119" w:rsidR="006F601B" w:rsidRDefault="1A0014E5" w:rsidP="3C5DE79D">
      <w:pPr>
        <w:spacing w:line="360" w:lineRule="auto"/>
        <w:rPr>
          <w:rFonts w:ascii="Arial" w:eastAsia="Arial" w:hAnsi="Arial" w:cs="Arial"/>
          <w:b/>
          <w:bCs/>
          <w:sz w:val="22"/>
          <w:szCs w:val="22"/>
          <w:u w:val="single"/>
        </w:rPr>
      </w:pPr>
      <w:r w:rsidRPr="3C5DE79D">
        <w:rPr>
          <w:rFonts w:ascii="Arial" w:eastAsia="Arial" w:hAnsi="Arial" w:cs="Arial"/>
          <w:b/>
          <w:bCs/>
          <w:sz w:val="22"/>
          <w:szCs w:val="22"/>
          <w:u w:val="single"/>
          <w:lang w:val="en-US"/>
        </w:rPr>
        <w:t>Recommendations</w:t>
      </w:r>
    </w:p>
    <w:p w14:paraId="0EC57B6B" w14:textId="59BAF1BC" w:rsidR="006F601B" w:rsidRDefault="17BEDA7B" w:rsidP="3C5DE79D">
      <w:pPr>
        <w:spacing w:after="240" w:line="360" w:lineRule="auto"/>
        <w:rPr>
          <w:rFonts w:ascii="Arial" w:eastAsia="Arial" w:hAnsi="Arial" w:cs="Arial"/>
          <w:sz w:val="22"/>
          <w:szCs w:val="22"/>
        </w:rPr>
      </w:pPr>
      <w:r w:rsidRPr="3C5DE79D">
        <w:rPr>
          <w:rFonts w:ascii="Arial" w:eastAsia="Arial" w:hAnsi="Arial" w:cs="Arial"/>
          <w:sz w:val="22"/>
          <w:szCs w:val="22"/>
        </w:rPr>
        <w:t>To reduce inequalities and support SDG 10, targeted actions are required. This includes collecting and analysing data to better understand environmental health inequalities and inform policy decisions. Countries also need guidance, resources, and technical support to address these issues, while ensuring fairness is embedded in national policies and SDG strategies (World Health Organization, 2023).</w:t>
      </w:r>
    </w:p>
    <w:p w14:paraId="294ADCFC" w14:textId="7160266B" w:rsidR="006F601B" w:rsidRDefault="7D218F3F"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At a national level, there must be a shift from hospital-based care to primary and community services to improve sustainability and access. The King’s Fund (2024) highlights that community-based approaches, such as diagnostic hubs, can deliver more efficient and preventative care. Without this shift, increasing demand may place unsustainable pressure on hospitals, leading to higher costs and environmental impact. Strong political leadership is essential to drive this change (The King’s Fund, 2024).</w:t>
      </w:r>
      <w:r w:rsidR="5E6B764A" w:rsidRPr="5E1BBDF9">
        <w:rPr>
          <w:rFonts w:ascii="Arial" w:eastAsia="Arial" w:hAnsi="Arial" w:cs="Arial"/>
          <w:sz w:val="22"/>
          <w:szCs w:val="22"/>
        </w:rPr>
        <w:t xml:space="preserve"> </w:t>
      </w:r>
      <w:r w:rsidRPr="5E1BBDF9">
        <w:rPr>
          <w:rFonts w:ascii="Arial" w:eastAsia="Arial" w:hAnsi="Arial" w:cs="Arial"/>
          <w:sz w:val="22"/>
          <w:szCs w:val="22"/>
        </w:rPr>
        <w:t>For services like Meals on Wheels UK, increased funding would allow more staff recruitment and improved social interaction, reducing isolation</w:t>
      </w:r>
      <w:r w:rsidR="333EA742" w:rsidRPr="5E1BBDF9">
        <w:rPr>
          <w:rFonts w:ascii="Arial" w:eastAsia="Arial" w:hAnsi="Arial" w:cs="Arial"/>
          <w:sz w:val="22"/>
          <w:szCs w:val="22"/>
        </w:rPr>
        <w:t xml:space="preserve"> </w:t>
      </w:r>
      <w:r w:rsidRPr="5E1BBDF9">
        <w:rPr>
          <w:rFonts w:ascii="Arial" w:eastAsia="Arial" w:hAnsi="Arial" w:cs="Arial"/>
          <w:sz w:val="22"/>
          <w:szCs w:val="22"/>
        </w:rPr>
        <w:t>(NHS England, 2023).</w:t>
      </w:r>
    </w:p>
    <w:p w14:paraId="588D20CD" w14:textId="5BDAF659" w:rsidR="006F601B" w:rsidRDefault="17BEDA7B"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Additionally, better staff training, multilingual services, and outreach initiatives can improve access for diverse populations (Morley et al., 2025). Integrated, person-centred care models remain vital to reducing inequalities and supporting long-term sustainability (NHS England, 2019; Turner and Walker, 2021).</w:t>
      </w:r>
    </w:p>
    <w:p w14:paraId="4C2AB476" w14:textId="25238164" w:rsidR="006F601B" w:rsidRDefault="006F601B" w:rsidP="3C5DE79D">
      <w:pPr>
        <w:spacing w:line="360" w:lineRule="auto"/>
        <w:rPr>
          <w:rFonts w:ascii="Arial" w:eastAsia="Arial" w:hAnsi="Arial" w:cs="Arial"/>
          <w:sz w:val="22"/>
          <w:szCs w:val="22"/>
        </w:rPr>
      </w:pPr>
    </w:p>
    <w:p w14:paraId="542658A7" w14:textId="49943CCD" w:rsidR="006F601B" w:rsidRDefault="006F601B" w:rsidP="3C5DE79D">
      <w:pPr>
        <w:spacing w:line="360" w:lineRule="auto"/>
        <w:rPr>
          <w:rFonts w:ascii="Arial" w:eastAsia="Arial" w:hAnsi="Arial" w:cs="Arial"/>
          <w:sz w:val="22"/>
          <w:szCs w:val="22"/>
        </w:rPr>
      </w:pPr>
    </w:p>
    <w:p w14:paraId="36823583" w14:textId="6863D5CE" w:rsidR="006F601B" w:rsidRDefault="006F601B" w:rsidP="3C5DE79D">
      <w:pPr>
        <w:spacing w:line="360" w:lineRule="auto"/>
        <w:rPr>
          <w:rFonts w:ascii="Arial" w:eastAsia="Arial" w:hAnsi="Arial" w:cs="Arial"/>
          <w:sz w:val="22"/>
          <w:szCs w:val="22"/>
        </w:rPr>
      </w:pPr>
    </w:p>
    <w:p w14:paraId="28E79E00" w14:textId="53C0D04E" w:rsidR="006F601B" w:rsidRDefault="006F601B" w:rsidP="3C5DE79D">
      <w:pPr>
        <w:spacing w:line="360" w:lineRule="auto"/>
        <w:rPr>
          <w:rFonts w:ascii="Arial" w:eastAsia="Arial" w:hAnsi="Arial" w:cs="Arial"/>
          <w:sz w:val="22"/>
          <w:szCs w:val="22"/>
        </w:rPr>
      </w:pPr>
    </w:p>
    <w:p w14:paraId="22BBC531" w14:textId="6670B84F" w:rsidR="006F601B" w:rsidRDefault="006F601B" w:rsidP="3C5DE79D">
      <w:pPr>
        <w:spacing w:line="360" w:lineRule="auto"/>
        <w:rPr>
          <w:rFonts w:ascii="Arial" w:eastAsia="Arial" w:hAnsi="Arial" w:cs="Arial"/>
          <w:sz w:val="22"/>
          <w:szCs w:val="22"/>
        </w:rPr>
      </w:pPr>
    </w:p>
    <w:p w14:paraId="6DA885D6" w14:textId="6DE9030A" w:rsidR="006F601B" w:rsidRDefault="006F601B" w:rsidP="3C5DE79D">
      <w:pPr>
        <w:spacing w:line="360" w:lineRule="auto"/>
        <w:rPr>
          <w:rFonts w:ascii="Arial" w:eastAsia="Arial" w:hAnsi="Arial" w:cs="Arial"/>
          <w:sz w:val="22"/>
          <w:szCs w:val="22"/>
        </w:rPr>
      </w:pPr>
    </w:p>
    <w:p w14:paraId="61AD3303" w14:textId="3688C388" w:rsidR="006F601B" w:rsidRDefault="006F601B" w:rsidP="3C5DE79D">
      <w:pPr>
        <w:spacing w:line="360" w:lineRule="auto"/>
        <w:rPr>
          <w:rFonts w:ascii="Arial" w:eastAsia="Arial" w:hAnsi="Arial" w:cs="Arial"/>
          <w:sz w:val="22"/>
          <w:szCs w:val="22"/>
        </w:rPr>
      </w:pPr>
    </w:p>
    <w:p w14:paraId="5EAFC9AA" w14:textId="11025F62" w:rsidR="006F601B" w:rsidRDefault="006F601B" w:rsidP="3C5DE79D">
      <w:pPr>
        <w:spacing w:line="360" w:lineRule="auto"/>
        <w:rPr>
          <w:rFonts w:ascii="Arial" w:eastAsia="Arial" w:hAnsi="Arial" w:cs="Arial"/>
          <w:sz w:val="22"/>
          <w:szCs w:val="22"/>
        </w:rPr>
      </w:pPr>
    </w:p>
    <w:p w14:paraId="3CF25F05" w14:textId="6BF1A96B" w:rsidR="006F601B" w:rsidRDefault="006F601B" w:rsidP="3C5DE79D">
      <w:pPr>
        <w:spacing w:line="360" w:lineRule="auto"/>
        <w:rPr>
          <w:rFonts w:ascii="Arial" w:eastAsia="Arial" w:hAnsi="Arial" w:cs="Arial"/>
          <w:sz w:val="22"/>
          <w:szCs w:val="22"/>
        </w:rPr>
      </w:pPr>
    </w:p>
    <w:p w14:paraId="76356786" w14:textId="29B24E6B" w:rsidR="006F601B" w:rsidRDefault="006F601B" w:rsidP="3C5DE79D">
      <w:pPr>
        <w:spacing w:line="360" w:lineRule="auto"/>
        <w:rPr>
          <w:rFonts w:ascii="Arial" w:eastAsia="Arial" w:hAnsi="Arial" w:cs="Arial"/>
          <w:sz w:val="22"/>
          <w:szCs w:val="22"/>
        </w:rPr>
      </w:pPr>
    </w:p>
    <w:p w14:paraId="33E3C8BC" w14:textId="5B66AA8B" w:rsidR="5E1BBDF9" w:rsidRDefault="5E1BBDF9" w:rsidP="5E1BBDF9">
      <w:pPr>
        <w:spacing w:line="360" w:lineRule="auto"/>
        <w:rPr>
          <w:rFonts w:ascii="Arial" w:eastAsia="Arial" w:hAnsi="Arial" w:cs="Arial"/>
          <w:sz w:val="22"/>
          <w:szCs w:val="22"/>
        </w:rPr>
      </w:pPr>
    </w:p>
    <w:p w14:paraId="48EE863E" w14:textId="68EFF7D3" w:rsidR="5E1BBDF9" w:rsidRDefault="5E1BBDF9" w:rsidP="5E1BBDF9">
      <w:pPr>
        <w:spacing w:line="360" w:lineRule="auto"/>
        <w:rPr>
          <w:rFonts w:ascii="Arial" w:eastAsia="Arial" w:hAnsi="Arial" w:cs="Arial"/>
          <w:sz w:val="22"/>
          <w:szCs w:val="22"/>
        </w:rPr>
      </w:pPr>
    </w:p>
    <w:p w14:paraId="1A57F664" w14:textId="4B0B09B2" w:rsidR="5E1BBDF9" w:rsidRDefault="5E1BBDF9" w:rsidP="5E1BBDF9">
      <w:pPr>
        <w:spacing w:line="360" w:lineRule="auto"/>
        <w:rPr>
          <w:rFonts w:ascii="Arial" w:eastAsia="Arial" w:hAnsi="Arial" w:cs="Arial"/>
          <w:sz w:val="22"/>
          <w:szCs w:val="22"/>
        </w:rPr>
      </w:pPr>
    </w:p>
    <w:p w14:paraId="370D1F65" w14:textId="6E71DECC" w:rsidR="5E1BBDF9" w:rsidRDefault="5E1BBDF9" w:rsidP="5E1BBDF9">
      <w:pPr>
        <w:spacing w:line="360" w:lineRule="auto"/>
        <w:rPr>
          <w:rFonts w:ascii="Arial" w:eastAsia="Arial" w:hAnsi="Arial" w:cs="Arial"/>
          <w:sz w:val="22"/>
          <w:szCs w:val="22"/>
        </w:rPr>
      </w:pPr>
    </w:p>
    <w:p w14:paraId="2BD2C36E" w14:textId="67746E53" w:rsidR="5E1BBDF9" w:rsidRDefault="5E1BBDF9" w:rsidP="5E1BBDF9">
      <w:pPr>
        <w:spacing w:line="360" w:lineRule="auto"/>
        <w:rPr>
          <w:rFonts w:ascii="Arial" w:eastAsia="Arial" w:hAnsi="Arial" w:cs="Arial"/>
          <w:sz w:val="22"/>
          <w:szCs w:val="22"/>
        </w:rPr>
      </w:pPr>
    </w:p>
    <w:p w14:paraId="71E306E4" w14:textId="322DABD0" w:rsidR="5E1BBDF9" w:rsidRDefault="5E1BBDF9" w:rsidP="5E1BBDF9">
      <w:pPr>
        <w:spacing w:line="360" w:lineRule="auto"/>
        <w:rPr>
          <w:rFonts w:ascii="Arial" w:eastAsia="Arial" w:hAnsi="Arial" w:cs="Arial"/>
          <w:sz w:val="22"/>
          <w:szCs w:val="22"/>
        </w:rPr>
      </w:pPr>
    </w:p>
    <w:p w14:paraId="1AA81F70" w14:textId="53EED76F" w:rsidR="5E1BBDF9" w:rsidRDefault="5E1BBDF9" w:rsidP="5E1BBDF9">
      <w:pPr>
        <w:spacing w:line="360" w:lineRule="auto"/>
        <w:rPr>
          <w:rFonts w:ascii="Arial" w:eastAsia="Arial" w:hAnsi="Arial" w:cs="Arial"/>
          <w:sz w:val="22"/>
          <w:szCs w:val="22"/>
        </w:rPr>
      </w:pPr>
    </w:p>
    <w:p w14:paraId="02E9022D" w14:textId="6FCCDDB6" w:rsidR="006F601B" w:rsidRDefault="006F601B" w:rsidP="3C5DE79D">
      <w:pPr>
        <w:spacing w:line="360" w:lineRule="auto"/>
        <w:rPr>
          <w:rFonts w:ascii="Arial" w:eastAsia="Arial" w:hAnsi="Arial" w:cs="Arial"/>
          <w:sz w:val="22"/>
          <w:szCs w:val="22"/>
        </w:rPr>
      </w:pPr>
    </w:p>
    <w:p w14:paraId="4CD8A224" w14:textId="1685A317" w:rsidR="5E1BBDF9" w:rsidRDefault="5E1BBDF9" w:rsidP="5E1BBDF9">
      <w:pPr>
        <w:spacing w:line="360" w:lineRule="auto"/>
        <w:rPr>
          <w:rFonts w:ascii="Arial" w:eastAsia="Arial" w:hAnsi="Arial" w:cs="Arial"/>
          <w:b/>
          <w:bCs/>
          <w:sz w:val="22"/>
          <w:szCs w:val="22"/>
          <w:u w:val="single"/>
          <w:lang w:val="en-US"/>
        </w:rPr>
      </w:pPr>
    </w:p>
    <w:p w14:paraId="662F6C0F" w14:textId="242C840F" w:rsidR="006F601B" w:rsidRPr="006F601B" w:rsidRDefault="296B6370" w:rsidP="3C5DE79D">
      <w:pPr>
        <w:spacing w:line="360" w:lineRule="auto"/>
        <w:rPr>
          <w:rFonts w:ascii="Arial" w:eastAsia="Arial" w:hAnsi="Arial" w:cs="Arial"/>
          <w:b/>
          <w:bCs/>
          <w:sz w:val="22"/>
          <w:szCs w:val="22"/>
          <w:u w:val="single"/>
          <w:lang w:val="en-US"/>
        </w:rPr>
      </w:pPr>
      <w:r w:rsidRPr="3C5DE79D">
        <w:rPr>
          <w:rFonts w:ascii="Arial" w:eastAsia="Arial" w:hAnsi="Arial" w:cs="Arial"/>
          <w:b/>
          <w:bCs/>
          <w:sz w:val="22"/>
          <w:szCs w:val="22"/>
          <w:u w:val="single"/>
          <w:lang w:val="en-US"/>
        </w:rPr>
        <w:t>Conclusion</w:t>
      </w:r>
    </w:p>
    <w:p w14:paraId="7A9A2BD4" w14:textId="08075DEA" w:rsidR="006F601B" w:rsidRDefault="2090DF24" w:rsidP="3C5DE79D">
      <w:pPr>
        <w:spacing w:before="240" w:after="240" w:line="360" w:lineRule="auto"/>
        <w:rPr>
          <w:rFonts w:ascii="Arial" w:eastAsia="Arial" w:hAnsi="Arial" w:cs="Arial"/>
          <w:sz w:val="22"/>
          <w:szCs w:val="22"/>
        </w:rPr>
      </w:pPr>
      <w:r w:rsidRPr="5E1BBDF9">
        <w:rPr>
          <w:rFonts w:ascii="Arial" w:eastAsia="Arial" w:hAnsi="Arial" w:cs="Arial"/>
          <w:sz w:val="22"/>
          <w:szCs w:val="22"/>
        </w:rPr>
        <w:t>Although action is being taken at local, national, and global levels to achieve SDG 3 and SDG 10, important gaps still remain. The UK healthcare system can support these goals by delivering services that improve population health while also promoting environmental responsibility, social fairness, and long-term economic sustainability, helping to reduce future demand and costs (NHS England, 2022). Sustainable development is vital to ensure that health and social care services meet current needs without affecting future generations.</w:t>
      </w:r>
    </w:p>
    <w:p w14:paraId="1BA67B8A" w14:textId="77D2354E" w:rsidR="006F601B" w:rsidRDefault="0A08EF1E"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By combining environmental responsibility, social equity, and economic efficiency, the NHS can help reduce inequalities, improve overall health outcomes, and build a more resilient system for the future (NHS England, 2019). Theories and models discussed in this report also support sustainable service design by focusing on prevention, integrated care, and person-centred approaches, which can lower long-term demand and improve health equality (Marmot, 2020).</w:t>
      </w:r>
    </w:p>
    <w:p w14:paraId="41A3597C" w14:textId="7E490FF9" w:rsidR="006F601B" w:rsidRDefault="0A08EF1E"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In addition, policies encourage moving away from hospital-based care towards community and preventative services, making care more accessible and environmentally sustainable (The King’s Fund, 2024). However, challenges such as digital exclusion, limited funding, and ethnic health inequalities continue to restrict fair access. Addressing these issues requires increased investment, inclusive planning, and better allocation of resources based on need (Marmot, 2020).</w:t>
      </w:r>
    </w:p>
    <w:p w14:paraId="1062264F" w14:textId="1F09FEE9" w:rsidR="006F601B" w:rsidRDefault="006F601B" w:rsidP="3C5DE79D">
      <w:pPr>
        <w:spacing w:line="360" w:lineRule="auto"/>
        <w:rPr>
          <w:rFonts w:ascii="Arial" w:eastAsia="Arial" w:hAnsi="Arial" w:cs="Arial"/>
          <w:sz w:val="22"/>
          <w:szCs w:val="22"/>
        </w:rPr>
      </w:pPr>
    </w:p>
    <w:p w14:paraId="3B5852D2" w14:textId="28298AE5" w:rsidR="006F601B" w:rsidRDefault="006F601B" w:rsidP="3C5DE79D">
      <w:pPr>
        <w:spacing w:line="360" w:lineRule="auto"/>
        <w:rPr>
          <w:rFonts w:ascii="Arial" w:eastAsia="Arial" w:hAnsi="Arial" w:cs="Arial"/>
          <w:sz w:val="22"/>
          <w:szCs w:val="22"/>
        </w:rPr>
      </w:pPr>
    </w:p>
    <w:p w14:paraId="05BBF7E2" w14:textId="77777777" w:rsidR="006F601B" w:rsidRDefault="006F601B" w:rsidP="3C5DE79D">
      <w:pPr>
        <w:spacing w:line="360" w:lineRule="auto"/>
        <w:rPr>
          <w:rFonts w:ascii="Arial" w:eastAsia="Arial" w:hAnsi="Arial" w:cs="Arial"/>
          <w:sz w:val="22"/>
          <w:szCs w:val="22"/>
        </w:rPr>
      </w:pPr>
    </w:p>
    <w:p w14:paraId="75CB212E" w14:textId="77777777" w:rsidR="006F601B" w:rsidRDefault="006F601B" w:rsidP="3C5DE79D">
      <w:pPr>
        <w:spacing w:line="360" w:lineRule="auto"/>
        <w:rPr>
          <w:rFonts w:ascii="Arial" w:eastAsia="Arial" w:hAnsi="Arial" w:cs="Arial"/>
          <w:sz w:val="22"/>
          <w:szCs w:val="22"/>
        </w:rPr>
      </w:pPr>
    </w:p>
    <w:p w14:paraId="7926F3A6" w14:textId="77777777" w:rsidR="006F601B" w:rsidRDefault="006F601B" w:rsidP="3C5DE79D">
      <w:pPr>
        <w:spacing w:line="360" w:lineRule="auto"/>
        <w:rPr>
          <w:rFonts w:ascii="Arial" w:eastAsia="Arial" w:hAnsi="Arial" w:cs="Arial"/>
          <w:sz w:val="22"/>
          <w:szCs w:val="22"/>
        </w:rPr>
      </w:pPr>
    </w:p>
    <w:p w14:paraId="451B982D" w14:textId="77777777" w:rsidR="006F601B" w:rsidRDefault="006F601B" w:rsidP="3C5DE79D">
      <w:pPr>
        <w:spacing w:line="360" w:lineRule="auto"/>
        <w:rPr>
          <w:rFonts w:ascii="Arial" w:eastAsia="Arial" w:hAnsi="Arial" w:cs="Arial"/>
          <w:sz w:val="22"/>
          <w:szCs w:val="22"/>
        </w:rPr>
      </w:pPr>
    </w:p>
    <w:p w14:paraId="664814B7" w14:textId="77777777" w:rsidR="006F601B" w:rsidRDefault="006F601B" w:rsidP="3C5DE79D">
      <w:pPr>
        <w:spacing w:line="360" w:lineRule="auto"/>
        <w:rPr>
          <w:rFonts w:ascii="Arial" w:eastAsia="Arial" w:hAnsi="Arial" w:cs="Arial"/>
          <w:sz w:val="22"/>
          <w:szCs w:val="22"/>
        </w:rPr>
      </w:pPr>
    </w:p>
    <w:p w14:paraId="0BF73C54" w14:textId="03D28F7C" w:rsidR="006F601B" w:rsidRDefault="006F601B" w:rsidP="3C5DE79D">
      <w:pPr>
        <w:spacing w:line="360" w:lineRule="auto"/>
        <w:rPr>
          <w:rFonts w:ascii="Arial" w:eastAsia="Arial" w:hAnsi="Arial" w:cs="Arial"/>
          <w:sz w:val="22"/>
          <w:szCs w:val="22"/>
        </w:rPr>
      </w:pPr>
    </w:p>
    <w:p w14:paraId="21663A1C" w14:textId="6587AF92" w:rsidR="5E1BBDF9" w:rsidRDefault="5E1BBDF9" w:rsidP="5E1BBDF9">
      <w:pPr>
        <w:spacing w:line="360" w:lineRule="auto"/>
        <w:rPr>
          <w:rFonts w:ascii="Arial" w:eastAsia="Arial" w:hAnsi="Arial" w:cs="Arial"/>
          <w:b/>
          <w:bCs/>
          <w:sz w:val="22"/>
          <w:szCs w:val="22"/>
          <w:lang w:val="en-US"/>
        </w:rPr>
      </w:pPr>
    </w:p>
    <w:p w14:paraId="73757611" w14:textId="5CDF83E0" w:rsidR="006F601B" w:rsidRDefault="296B6370" w:rsidP="3C5DE79D">
      <w:pPr>
        <w:spacing w:line="360" w:lineRule="auto"/>
        <w:rPr>
          <w:rFonts w:ascii="Arial" w:eastAsia="Arial" w:hAnsi="Arial" w:cs="Arial"/>
          <w:b/>
          <w:bCs/>
          <w:sz w:val="22"/>
          <w:szCs w:val="22"/>
          <w:lang w:val="en-US"/>
        </w:rPr>
      </w:pPr>
      <w:r w:rsidRPr="3C5DE79D">
        <w:rPr>
          <w:rFonts w:ascii="Arial" w:eastAsia="Arial" w:hAnsi="Arial" w:cs="Arial"/>
          <w:b/>
          <w:bCs/>
          <w:sz w:val="22"/>
          <w:szCs w:val="22"/>
          <w:lang w:val="en-US"/>
        </w:rPr>
        <w:t>Reference List</w:t>
      </w:r>
    </w:p>
    <w:p w14:paraId="713767BE" w14:textId="4E7E7E8B" w:rsidR="68A0272E" w:rsidRDefault="2F0F885E" w:rsidP="5E1BBDF9">
      <w:pPr>
        <w:spacing w:line="360" w:lineRule="auto"/>
        <w:rPr>
          <w:rFonts w:ascii="Arial" w:eastAsia="Arial" w:hAnsi="Arial" w:cs="Arial"/>
          <w:sz w:val="22"/>
          <w:szCs w:val="22"/>
        </w:rPr>
      </w:pPr>
      <w:r w:rsidRPr="5E1BBDF9">
        <w:rPr>
          <w:rFonts w:ascii="Arial" w:eastAsia="Arial" w:hAnsi="Arial" w:cs="Arial"/>
          <w:sz w:val="22"/>
          <w:szCs w:val="22"/>
        </w:rPr>
        <w:t>NHS England (2019) </w:t>
      </w:r>
      <w:r w:rsidRPr="5E1BBDF9">
        <w:rPr>
          <w:rFonts w:ascii="Arial" w:eastAsia="Arial" w:hAnsi="Arial" w:cs="Arial"/>
          <w:i/>
          <w:iCs/>
          <w:sz w:val="22"/>
          <w:szCs w:val="22"/>
        </w:rPr>
        <w:t>The NHS Long Term Plan</w:t>
      </w:r>
      <w:r w:rsidRPr="5E1BBDF9">
        <w:rPr>
          <w:rFonts w:ascii="Arial" w:eastAsia="Arial" w:hAnsi="Arial" w:cs="Arial"/>
          <w:sz w:val="22"/>
          <w:szCs w:val="22"/>
        </w:rPr>
        <w:t>. London: NHS England. Available at: </w:t>
      </w:r>
      <w:hyperlink r:id="rId10">
        <w:r w:rsidRPr="5E1BBDF9">
          <w:rPr>
            <w:rStyle w:val="Hyperlink"/>
            <w:rFonts w:ascii="Arial" w:eastAsia="Arial" w:hAnsi="Arial" w:cs="Arial"/>
            <w:sz w:val="22"/>
            <w:szCs w:val="22"/>
          </w:rPr>
          <w:t>https://www.longtermplan.nhs.uk/</w:t>
        </w:r>
      </w:hyperlink>
      <w:r w:rsidRPr="5E1BBDF9">
        <w:rPr>
          <w:rFonts w:ascii="Arial" w:eastAsia="Arial" w:hAnsi="Arial" w:cs="Arial"/>
          <w:sz w:val="22"/>
          <w:szCs w:val="22"/>
        </w:rPr>
        <w:t> (Accessed: 9 January 2026).</w:t>
      </w:r>
    </w:p>
    <w:p w14:paraId="630E3B15" w14:textId="6BA78E8B" w:rsidR="68A0272E" w:rsidRDefault="2F0F885E" w:rsidP="5E1BBDF9">
      <w:pPr>
        <w:spacing w:line="360" w:lineRule="auto"/>
        <w:rPr>
          <w:rFonts w:ascii="Arial" w:eastAsia="Arial" w:hAnsi="Arial" w:cs="Arial"/>
          <w:sz w:val="22"/>
          <w:szCs w:val="22"/>
        </w:rPr>
      </w:pPr>
      <w:r w:rsidRPr="5E1BBDF9">
        <w:rPr>
          <w:rFonts w:ascii="Arial" w:eastAsia="Arial" w:hAnsi="Arial" w:cs="Arial"/>
          <w:sz w:val="22"/>
          <w:szCs w:val="22"/>
        </w:rPr>
        <w:t>Turner, A. and Walker, B. (2021) ‘The social and policy implications of population ageing in developed countries’, </w:t>
      </w:r>
      <w:r w:rsidRPr="5E1BBDF9">
        <w:rPr>
          <w:rFonts w:ascii="Arial" w:eastAsia="Arial" w:hAnsi="Arial" w:cs="Arial"/>
          <w:i/>
          <w:iCs/>
          <w:sz w:val="22"/>
          <w:szCs w:val="22"/>
        </w:rPr>
        <w:t>Journal of Population Studies</w:t>
      </w:r>
      <w:r w:rsidRPr="5E1BBDF9">
        <w:rPr>
          <w:rFonts w:ascii="Arial" w:eastAsia="Arial" w:hAnsi="Arial" w:cs="Arial"/>
          <w:sz w:val="22"/>
          <w:szCs w:val="22"/>
        </w:rPr>
        <w:t>, 15(4), pp. 223–245.</w:t>
      </w:r>
    </w:p>
    <w:p w14:paraId="22698144" w14:textId="5321ECD4" w:rsidR="550AE122" w:rsidRDefault="550AE122" w:rsidP="3C5DE79D">
      <w:pPr>
        <w:spacing w:after="240" w:line="360" w:lineRule="auto"/>
        <w:rPr>
          <w:rFonts w:ascii="Arial" w:eastAsia="Arial" w:hAnsi="Arial" w:cs="Arial"/>
          <w:sz w:val="22"/>
          <w:szCs w:val="22"/>
          <w:lang w:val="en-US"/>
        </w:rPr>
      </w:pPr>
      <w:r w:rsidRPr="3C5DE79D">
        <w:rPr>
          <w:rFonts w:ascii="Arial" w:eastAsia="Arial" w:hAnsi="Arial" w:cs="Arial"/>
          <w:sz w:val="22"/>
          <w:szCs w:val="22"/>
          <w:lang w:val="en-US"/>
        </w:rPr>
        <w:t xml:space="preserve">Dahlgren, G. and Whitehead, M. (1991) </w:t>
      </w:r>
      <w:r w:rsidRPr="3C5DE79D">
        <w:rPr>
          <w:rFonts w:ascii="Arial" w:eastAsia="Arial" w:hAnsi="Arial" w:cs="Arial"/>
          <w:i/>
          <w:iCs/>
          <w:sz w:val="22"/>
          <w:szCs w:val="22"/>
          <w:lang w:val="en-US"/>
        </w:rPr>
        <w:t>Policies and strategies to promote social equity in health</w:t>
      </w:r>
      <w:r w:rsidRPr="3C5DE79D">
        <w:rPr>
          <w:rFonts w:ascii="Arial" w:eastAsia="Arial" w:hAnsi="Arial" w:cs="Arial"/>
          <w:sz w:val="22"/>
          <w:szCs w:val="22"/>
          <w:lang w:val="en-US"/>
        </w:rPr>
        <w:t>. Stockholm: Institute for Futures Studies.</w:t>
      </w:r>
    </w:p>
    <w:p w14:paraId="1FE868E7" w14:textId="600999B3" w:rsidR="550AE122" w:rsidRDefault="550AE122"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t xml:space="preserve">Marmot, M. (2020) </w:t>
      </w:r>
      <w:r w:rsidRPr="3C5DE79D">
        <w:rPr>
          <w:rFonts w:ascii="Arial" w:eastAsia="Arial" w:hAnsi="Arial" w:cs="Arial"/>
          <w:i/>
          <w:iCs/>
          <w:sz w:val="22"/>
          <w:szCs w:val="22"/>
          <w:lang w:val="en-US"/>
        </w:rPr>
        <w:t>Health Equity in England: The Marmot Review 10 Years On</w:t>
      </w:r>
      <w:r w:rsidRPr="3C5DE79D">
        <w:rPr>
          <w:rFonts w:ascii="Arial" w:eastAsia="Arial" w:hAnsi="Arial" w:cs="Arial"/>
          <w:sz w:val="22"/>
          <w:szCs w:val="22"/>
          <w:lang w:val="en-US"/>
        </w:rPr>
        <w:t>. London: Institute of Health Equity.</w:t>
      </w:r>
    </w:p>
    <w:p w14:paraId="2A936940" w14:textId="19C43DC4" w:rsidR="550AE122" w:rsidRDefault="550AE122"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t xml:space="preserve">UK Health Security Agency (2025) </w:t>
      </w:r>
      <w:r w:rsidRPr="3C5DE79D">
        <w:rPr>
          <w:rFonts w:ascii="Arial" w:eastAsia="Arial" w:hAnsi="Arial" w:cs="Arial"/>
          <w:i/>
          <w:iCs/>
          <w:sz w:val="22"/>
          <w:szCs w:val="22"/>
          <w:lang w:val="en-US"/>
        </w:rPr>
        <w:t>Health inequalities in health protection report</w:t>
      </w:r>
      <w:r w:rsidRPr="3C5DE79D">
        <w:rPr>
          <w:rFonts w:ascii="Arial" w:eastAsia="Arial" w:hAnsi="Arial" w:cs="Arial"/>
          <w:sz w:val="22"/>
          <w:szCs w:val="22"/>
          <w:lang w:val="en-US"/>
        </w:rPr>
        <w:t xml:space="preserve">. Available at: </w:t>
      </w:r>
      <w:hyperlink r:id="rId11">
        <w:r w:rsidRPr="3C5DE79D">
          <w:rPr>
            <w:rStyle w:val="Hyperlink"/>
            <w:rFonts w:ascii="Arial" w:eastAsia="Arial" w:hAnsi="Arial" w:cs="Arial"/>
            <w:sz w:val="22"/>
            <w:szCs w:val="22"/>
            <w:lang w:val="en-US"/>
          </w:rPr>
          <w:t>https://www.gov.uk/government/publications/health-inequalities-in-health-protection-report</w:t>
        </w:r>
      </w:hyperlink>
      <w:r w:rsidRPr="3C5DE79D">
        <w:rPr>
          <w:rFonts w:ascii="Arial" w:eastAsia="Arial" w:hAnsi="Arial" w:cs="Arial"/>
          <w:sz w:val="22"/>
          <w:szCs w:val="22"/>
          <w:lang w:val="en-US"/>
        </w:rPr>
        <w:t xml:space="preserve"> (Accessed: 26 March 2026).</w:t>
      </w:r>
    </w:p>
    <w:p w14:paraId="1CB1BB96" w14:textId="2034E653" w:rsidR="550AE122" w:rsidRDefault="550AE122"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t xml:space="preserve">University of Sheffield (2025) </w:t>
      </w:r>
      <w:r w:rsidRPr="3C5DE79D">
        <w:rPr>
          <w:rFonts w:ascii="Arial" w:eastAsia="Arial" w:hAnsi="Arial" w:cs="Arial"/>
          <w:i/>
          <w:iCs/>
          <w:sz w:val="22"/>
          <w:szCs w:val="22"/>
          <w:lang w:val="en-US"/>
        </w:rPr>
        <w:t>SDG 10: Reduced inequalities</w:t>
      </w:r>
      <w:r w:rsidRPr="3C5DE79D">
        <w:rPr>
          <w:rFonts w:ascii="Arial" w:eastAsia="Arial" w:hAnsi="Arial" w:cs="Arial"/>
          <w:sz w:val="22"/>
          <w:szCs w:val="22"/>
          <w:lang w:val="en-US"/>
        </w:rPr>
        <w:t xml:space="preserve">. Available at: </w:t>
      </w:r>
      <w:hyperlink r:id="rId12">
        <w:r w:rsidRPr="3C5DE79D">
          <w:rPr>
            <w:rStyle w:val="Hyperlink"/>
            <w:rFonts w:ascii="Arial" w:eastAsia="Arial" w:hAnsi="Arial" w:cs="Arial"/>
            <w:sz w:val="22"/>
            <w:szCs w:val="22"/>
            <w:lang w:val="en-US"/>
          </w:rPr>
          <w:t>https://sheffield.ac.uk/sustainability/sustainable-development-goals/sdg10-reduced-inequalities</w:t>
        </w:r>
      </w:hyperlink>
      <w:r w:rsidRPr="3C5DE79D">
        <w:rPr>
          <w:rFonts w:ascii="Arial" w:eastAsia="Arial" w:hAnsi="Arial" w:cs="Arial"/>
          <w:sz w:val="22"/>
          <w:szCs w:val="22"/>
          <w:lang w:val="en-US"/>
        </w:rPr>
        <w:t xml:space="preserve"> (Accessed: 26 March 2026).</w:t>
      </w:r>
    </w:p>
    <w:p w14:paraId="7749FFCF" w14:textId="7276DF68" w:rsidR="550AE122" w:rsidRDefault="550AE122"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t xml:space="preserve">World Health Organization (2019) </w:t>
      </w:r>
      <w:r w:rsidRPr="3C5DE79D">
        <w:rPr>
          <w:rFonts w:ascii="Arial" w:eastAsia="Arial" w:hAnsi="Arial" w:cs="Arial"/>
          <w:i/>
          <w:iCs/>
          <w:sz w:val="22"/>
          <w:szCs w:val="22"/>
          <w:lang w:val="en-US"/>
        </w:rPr>
        <w:t>Global Action Plan for Healthy Lives and Well-being for All</w:t>
      </w:r>
      <w:r w:rsidRPr="3C5DE79D">
        <w:rPr>
          <w:rFonts w:ascii="Arial" w:eastAsia="Arial" w:hAnsi="Arial" w:cs="Arial"/>
          <w:sz w:val="22"/>
          <w:szCs w:val="22"/>
          <w:lang w:val="en-US"/>
        </w:rPr>
        <w:t xml:space="preserve">. Available at: </w:t>
      </w:r>
      <w:hyperlink r:id="rId13">
        <w:r w:rsidRPr="3C5DE79D">
          <w:rPr>
            <w:rStyle w:val="Hyperlink"/>
            <w:rFonts w:ascii="Arial" w:eastAsia="Arial" w:hAnsi="Arial" w:cs="Arial"/>
            <w:sz w:val="22"/>
            <w:szCs w:val="22"/>
            <w:lang w:val="en-US"/>
          </w:rPr>
          <w:t>https://www.who.int/initiatives/sdg3-global-action-plan</w:t>
        </w:r>
      </w:hyperlink>
      <w:r w:rsidRPr="3C5DE79D">
        <w:rPr>
          <w:rFonts w:ascii="Arial" w:eastAsia="Arial" w:hAnsi="Arial" w:cs="Arial"/>
          <w:sz w:val="22"/>
          <w:szCs w:val="22"/>
          <w:lang w:val="en-US"/>
        </w:rPr>
        <w:t xml:space="preserve"> (Accessed: 26 March 2026).</w:t>
      </w:r>
    </w:p>
    <w:p w14:paraId="6F77302D" w14:textId="7D1CC4E0" w:rsidR="550AE122" w:rsidRDefault="550AE122" w:rsidP="3C5DE79D">
      <w:pPr>
        <w:spacing w:before="240" w:after="240" w:line="360" w:lineRule="auto"/>
        <w:rPr>
          <w:rFonts w:ascii="Arial" w:eastAsia="Arial" w:hAnsi="Arial" w:cs="Arial"/>
          <w:sz w:val="22"/>
          <w:szCs w:val="22"/>
          <w:lang w:val="en-US"/>
        </w:rPr>
      </w:pPr>
      <w:r w:rsidRPr="3C5DE79D">
        <w:rPr>
          <w:rFonts w:ascii="Arial" w:eastAsia="Arial" w:hAnsi="Arial" w:cs="Arial"/>
          <w:sz w:val="22"/>
          <w:szCs w:val="22"/>
          <w:lang w:val="en-US"/>
        </w:rPr>
        <w:lastRenderedPageBreak/>
        <w:t xml:space="preserve">NHS England (2022) </w:t>
      </w:r>
      <w:r w:rsidRPr="3C5DE79D">
        <w:rPr>
          <w:rFonts w:ascii="Arial" w:eastAsia="Arial" w:hAnsi="Arial" w:cs="Arial"/>
          <w:i/>
          <w:iCs/>
          <w:sz w:val="22"/>
          <w:szCs w:val="22"/>
          <w:lang w:val="en-US"/>
        </w:rPr>
        <w:t>Delivering a Net Zero National Health Service</w:t>
      </w:r>
      <w:r w:rsidRPr="3C5DE79D">
        <w:rPr>
          <w:rFonts w:ascii="Arial" w:eastAsia="Arial" w:hAnsi="Arial" w:cs="Arial"/>
          <w:sz w:val="22"/>
          <w:szCs w:val="22"/>
          <w:lang w:val="en-US"/>
        </w:rPr>
        <w:t xml:space="preserve">. Available at: </w:t>
      </w:r>
      <w:hyperlink r:id="rId14">
        <w:r w:rsidRPr="3C5DE79D">
          <w:rPr>
            <w:rStyle w:val="Hyperlink"/>
            <w:rFonts w:ascii="Arial" w:eastAsia="Arial" w:hAnsi="Arial" w:cs="Arial"/>
            <w:sz w:val="22"/>
            <w:szCs w:val="22"/>
            <w:lang w:val="en-US"/>
          </w:rPr>
          <w:t>https://www.england.nhs.uk/greenernhs/</w:t>
        </w:r>
      </w:hyperlink>
      <w:r w:rsidRPr="3C5DE79D">
        <w:rPr>
          <w:rFonts w:ascii="Arial" w:eastAsia="Arial" w:hAnsi="Arial" w:cs="Arial"/>
          <w:sz w:val="22"/>
          <w:szCs w:val="22"/>
          <w:lang w:val="en-US"/>
        </w:rPr>
        <w:t xml:space="preserve"> (Accessed: 26 March 2026).</w:t>
      </w:r>
    </w:p>
    <w:p w14:paraId="67F69A0F" w14:textId="4E410AF9" w:rsidR="642275D1" w:rsidRDefault="4F0A9A26" w:rsidP="5E1BBDF9">
      <w:pPr>
        <w:spacing w:line="360" w:lineRule="auto"/>
        <w:rPr>
          <w:rFonts w:ascii="Arial" w:eastAsia="Arial" w:hAnsi="Arial" w:cs="Arial"/>
          <w:sz w:val="22"/>
          <w:szCs w:val="22"/>
        </w:rPr>
      </w:pPr>
      <w:hyperlink r:id="rId15">
        <w:r w:rsidRPr="5E1BBDF9">
          <w:rPr>
            <w:rStyle w:val="Hyperlink"/>
            <w:rFonts w:ascii="Arial" w:eastAsia="Arial" w:hAnsi="Arial" w:cs="Arial"/>
            <w:sz w:val="22"/>
            <w:szCs w:val="22"/>
          </w:rPr>
          <w:t>https://www.verywellmind.com/health-belief-model-3132721</w:t>
        </w:r>
      </w:hyperlink>
    </w:p>
    <w:p w14:paraId="0EF40FE9" w14:textId="35F45E3F" w:rsidR="5948DF87" w:rsidRDefault="40D126D8" w:rsidP="5E1BBDF9">
      <w:pPr>
        <w:spacing w:line="360" w:lineRule="auto"/>
        <w:rPr>
          <w:rFonts w:ascii="Arial" w:eastAsia="Arial" w:hAnsi="Arial" w:cs="Arial"/>
          <w:sz w:val="22"/>
          <w:szCs w:val="22"/>
        </w:rPr>
      </w:pPr>
      <w:r w:rsidRPr="5E1BBDF9">
        <w:rPr>
          <w:rFonts w:ascii="Arial" w:eastAsia="Arial" w:hAnsi="Arial" w:cs="Arial"/>
          <w:sz w:val="22"/>
          <w:szCs w:val="22"/>
        </w:rPr>
        <w:t>Age UK, 2024; Powell et al., 2021).</w:t>
      </w:r>
    </w:p>
    <w:p w14:paraId="455D6F49" w14:textId="1241574F" w:rsidR="5948DF87" w:rsidRDefault="40D126D8" w:rsidP="5E1BBDF9">
      <w:pPr>
        <w:spacing w:line="360" w:lineRule="auto"/>
        <w:rPr>
          <w:rFonts w:ascii="Arial" w:eastAsia="Arial" w:hAnsi="Arial" w:cs="Arial"/>
          <w:sz w:val="22"/>
          <w:szCs w:val="22"/>
        </w:rPr>
      </w:pPr>
      <w:r w:rsidRPr="5E1BBDF9">
        <w:rPr>
          <w:rFonts w:ascii="Arial" w:eastAsia="Arial" w:hAnsi="Arial" w:cs="Arial"/>
          <w:sz w:val="22"/>
          <w:szCs w:val="22"/>
        </w:rPr>
        <w:t>(NHS England, 2019; Age UK, 2024).</w:t>
      </w:r>
    </w:p>
    <w:p w14:paraId="05EAF13A" w14:textId="6FB4F6EF" w:rsidR="5948DF87" w:rsidRDefault="5948DF87" w:rsidP="3C5DE79D">
      <w:pPr>
        <w:spacing w:line="360" w:lineRule="auto"/>
        <w:rPr>
          <w:rFonts w:ascii="Arial" w:eastAsia="Arial" w:hAnsi="Arial" w:cs="Arial"/>
          <w:sz w:val="22"/>
          <w:szCs w:val="22"/>
        </w:rPr>
      </w:pPr>
      <w:r w:rsidRPr="3C5DE79D">
        <w:rPr>
          <w:rFonts w:ascii="Arial" w:eastAsia="Arial" w:hAnsi="Arial" w:cs="Arial"/>
          <w:sz w:val="22"/>
          <w:szCs w:val="22"/>
        </w:rPr>
        <w:t>(Care Act 2014; Equality Act 2010; Human Rights Act 1998).</w:t>
      </w:r>
    </w:p>
    <w:p w14:paraId="1327F0AE" w14:textId="789CBD33" w:rsidR="5948DF87" w:rsidRDefault="5948DF87"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(Marmot, 2020)</w:t>
      </w:r>
    </w:p>
    <w:p w14:paraId="3BCE0F9D" w14:textId="6B9C8924" w:rsidR="5948DF87" w:rsidRDefault="5948DF87"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(Royal College of Physicians, 2018; Public Health England, 2017)</w:t>
      </w:r>
    </w:p>
    <w:p w14:paraId="65CAA733" w14:textId="7DC9D640" w:rsidR="60162C0F" w:rsidRDefault="60162C0F" w:rsidP="3C5DE79D">
      <w:pPr>
        <w:spacing w:line="360" w:lineRule="auto"/>
        <w:rPr>
          <w:rFonts w:ascii="Arial" w:eastAsia="Arial" w:hAnsi="Arial" w:cs="Arial"/>
          <w:sz w:val="22"/>
          <w:szCs w:val="22"/>
          <w:lang w:val="en-US"/>
        </w:rPr>
      </w:pPr>
      <w:r w:rsidRPr="3C5DE79D">
        <w:rPr>
          <w:rFonts w:ascii="Arial" w:eastAsia="Arial" w:hAnsi="Arial" w:cs="Arial"/>
          <w:sz w:val="22"/>
          <w:szCs w:val="22"/>
          <w:lang w:val="en-US"/>
        </w:rPr>
        <w:t xml:space="preserve">World Health Organization (2019) </w:t>
      </w:r>
      <w:r w:rsidRPr="3C5DE79D">
        <w:rPr>
          <w:rFonts w:ascii="Arial" w:eastAsia="Arial" w:hAnsi="Arial" w:cs="Arial"/>
          <w:i/>
          <w:iCs/>
          <w:sz w:val="22"/>
          <w:szCs w:val="22"/>
          <w:lang w:val="en-US"/>
        </w:rPr>
        <w:t>Stronger collaboration, better health: Global action plan for healthy lives and well-being for all</w:t>
      </w:r>
      <w:r w:rsidRPr="3C5DE79D">
        <w:rPr>
          <w:rFonts w:ascii="Arial" w:eastAsia="Arial" w:hAnsi="Arial" w:cs="Arial"/>
          <w:sz w:val="22"/>
          <w:szCs w:val="22"/>
          <w:lang w:val="en-US"/>
        </w:rPr>
        <w:t xml:space="preserve">. Available at: </w:t>
      </w:r>
      <w:hyperlink r:id="rId16">
        <w:r w:rsidRPr="3C5DE79D">
          <w:rPr>
            <w:rStyle w:val="Hyperlink"/>
            <w:rFonts w:ascii="Arial" w:eastAsia="Arial" w:hAnsi="Arial" w:cs="Arial"/>
            <w:sz w:val="22"/>
            <w:szCs w:val="22"/>
            <w:lang w:val="en-US"/>
          </w:rPr>
          <w:t>WHO Global Action Plan page</w:t>
        </w:r>
      </w:hyperlink>
      <w:r w:rsidRPr="3C5DE79D">
        <w:rPr>
          <w:rFonts w:ascii="Arial" w:eastAsia="Arial" w:hAnsi="Arial" w:cs="Arial"/>
          <w:sz w:val="22"/>
          <w:szCs w:val="22"/>
          <w:lang w:val="en-US"/>
        </w:rPr>
        <w:t xml:space="preserve"> (Accessed: 25 March 2026).</w:t>
      </w:r>
    </w:p>
    <w:p w14:paraId="27A466AD" w14:textId="467F7F47" w:rsidR="2A3B892C" w:rsidRDefault="1F256456" w:rsidP="5E1BBDF9">
      <w:pPr>
        <w:spacing w:line="360" w:lineRule="auto"/>
        <w:rPr>
          <w:rFonts w:ascii="Arial" w:eastAsia="Arial" w:hAnsi="Arial" w:cs="Arial"/>
          <w:sz w:val="22"/>
          <w:szCs w:val="22"/>
          <w:lang w:val="en-US"/>
        </w:rPr>
      </w:pPr>
      <w:r w:rsidRPr="5E1BBDF9">
        <w:rPr>
          <w:rFonts w:ascii="Arial" w:eastAsia="Arial" w:hAnsi="Arial" w:cs="Arial"/>
          <w:sz w:val="22"/>
          <w:szCs w:val="22"/>
          <w:lang w:val="en-US"/>
        </w:rPr>
        <w:t>World Health Organization (2023). Environmental health inequalities. [online]. Available at:</w:t>
      </w:r>
    </w:p>
    <w:p w14:paraId="6584B0B8" w14:textId="2A7E5E1C" w:rsidR="2A3B892C" w:rsidRDefault="7C593496" w:rsidP="3C5DE79D">
      <w:pPr>
        <w:spacing w:line="360" w:lineRule="auto"/>
        <w:rPr>
          <w:rFonts w:ascii="Arial" w:eastAsia="Arial" w:hAnsi="Arial" w:cs="Arial"/>
          <w:sz w:val="22"/>
          <w:szCs w:val="22"/>
          <w:lang w:val="en-US"/>
        </w:rPr>
      </w:pPr>
      <w:hyperlink r:id="rId17">
        <w:r w:rsidRPr="3C5DE79D">
          <w:rPr>
            <w:rStyle w:val="Hyperlink"/>
            <w:rFonts w:ascii="Arial" w:eastAsia="Arial" w:hAnsi="Arial" w:cs="Arial"/>
            <w:sz w:val="22"/>
            <w:szCs w:val="22"/>
            <w:lang w:val="en-US"/>
          </w:rPr>
          <w:t>https://www.who.int/europe/news-room/fact-sheets/item/environmental-health-inequalities</w:t>
        </w:r>
      </w:hyperlink>
      <w:r w:rsidRPr="3C5DE79D">
        <w:rPr>
          <w:rFonts w:ascii="Arial" w:eastAsia="Arial" w:hAnsi="Arial" w:cs="Arial"/>
          <w:sz w:val="22"/>
          <w:szCs w:val="22"/>
          <w:lang w:val="en-US"/>
        </w:rPr>
        <w:t xml:space="preserve">. </w:t>
      </w:r>
      <w:r w:rsidR="1051DEA3" w:rsidRPr="3C5DE79D">
        <w:rPr>
          <w:rFonts w:ascii="Arial" w:eastAsia="Arial" w:hAnsi="Arial" w:cs="Arial"/>
          <w:sz w:val="22"/>
          <w:szCs w:val="22"/>
          <w:lang w:val="en-US"/>
        </w:rPr>
        <w:t>[</w:t>
      </w:r>
      <w:r w:rsidRPr="3C5DE79D">
        <w:rPr>
          <w:rFonts w:ascii="Arial" w:eastAsia="Arial" w:hAnsi="Arial" w:cs="Arial"/>
          <w:sz w:val="22"/>
          <w:szCs w:val="22"/>
          <w:lang w:val="en-US"/>
        </w:rPr>
        <w:t>Accessed on 20 March 2026</w:t>
      </w:r>
      <w:r w:rsidR="533693FC" w:rsidRPr="3C5DE79D">
        <w:rPr>
          <w:rFonts w:ascii="Arial" w:eastAsia="Arial" w:hAnsi="Arial" w:cs="Arial"/>
          <w:sz w:val="22"/>
          <w:szCs w:val="22"/>
          <w:lang w:val="en-US"/>
        </w:rPr>
        <w:t>]</w:t>
      </w:r>
    </w:p>
    <w:p w14:paraId="21FF077E" w14:textId="33DD9DBC" w:rsidR="6D8010B4" w:rsidRDefault="756BFE65" w:rsidP="5E1BBDF9">
      <w:pPr>
        <w:spacing w:line="360" w:lineRule="auto"/>
        <w:rPr>
          <w:rFonts w:ascii="Arial" w:eastAsia="Arial" w:hAnsi="Arial" w:cs="Arial"/>
          <w:sz w:val="22"/>
          <w:szCs w:val="22"/>
          <w:lang w:val="en-US"/>
        </w:rPr>
      </w:pPr>
      <w:r w:rsidRPr="5E1BBDF9">
        <w:rPr>
          <w:rFonts w:ascii="Arial" w:eastAsia="Arial" w:hAnsi="Arial" w:cs="Arial"/>
          <w:color w:val="000000" w:themeColor="text1"/>
          <w:sz w:val="22"/>
          <w:szCs w:val="22"/>
          <w:lang w:val="en-US"/>
        </w:rPr>
        <w:t xml:space="preserve">World Health Organization (2026). Sustainable Development Goals. [ONLINE]. Available at: </w:t>
      </w:r>
      <w:hyperlink r:id="rId18">
        <w:r w:rsidRPr="5E1BBDF9">
          <w:rPr>
            <w:rStyle w:val="Hyperlink"/>
            <w:rFonts w:ascii="Arial" w:eastAsia="Arial" w:hAnsi="Arial" w:cs="Arial"/>
            <w:sz w:val="22"/>
            <w:szCs w:val="22"/>
          </w:rPr>
          <w:t>https://www.who.int/europe/about-us/our-work/sustainable-development-goals</w:t>
        </w:r>
      </w:hyperlink>
    </w:p>
    <w:p w14:paraId="4F1FEAAB" w14:textId="5D47710D" w:rsidR="6D8010B4" w:rsidRDefault="47E2047E" w:rsidP="3C5DE79D">
      <w:pPr>
        <w:spacing w:line="360" w:lineRule="auto"/>
        <w:rPr>
          <w:rFonts w:ascii="Arial" w:eastAsia="Arial" w:hAnsi="Arial" w:cs="Arial"/>
          <w:sz w:val="22"/>
          <w:szCs w:val="22"/>
          <w:lang w:val="en-US"/>
        </w:rPr>
      </w:pPr>
      <w:r w:rsidRPr="3C5DE79D">
        <w:rPr>
          <w:rFonts w:ascii="Arial" w:eastAsia="Arial" w:hAnsi="Arial" w:cs="Arial"/>
          <w:color w:val="000000" w:themeColor="text1"/>
          <w:sz w:val="22"/>
          <w:szCs w:val="22"/>
          <w:lang w:val="en-US"/>
        </w:rPr>
        <w:t xml:space="preserve"> [Accessed on 10th February 2026]</w:t>
      </w:r>
    </w:p>
    <w:p w14:paraId="09A3080B" w14:textId="41D793C1" w:rsidR="2A3B892C" w:rsidRDefault="3A2C61EB" w:rsidP="3C5DE79D">
      <w:pPr>
        <w:spacing w:line="360" w:lineRule="auto"/>
        <w:rPr>
          <w:rFonts w:ascii="Arial" w:eastAsia="Arial" w:hAnsi="Arial" w:cs="Arial"/>
          <w:sz w:val="22"/>
          <w:szCs w:val="22"/>
        </w:rPr>
      </w:pPr>
      <w:r w:rsidRPr="3C5DE79D">
        <w:rPr>
          <w:rFonts w:ascii="Arial" w:eastAsia="Arial" w:hAnsi="Arial" w:cs="Arial"/>
          <w:sz w:val="22"/>
          <w:szCs w:val="22"/>
        </w:rPr>
        <w:t xml:space="preserve">World Health Organization (2023) </w:t>
      </w:r>
      <w:r w:rsidRPr="3C5DE79D">
        <w:rPr>
          <w:rFonts w:ascii="Arial" w:eastAsia="Arial" w:hAnsi="Arial" w:cs="Arial"/>
          <w:i/>
          <w:iCs/>
          <w:sz w:val="22"/>
          <w:szCs w:val="22"/>
        </w:rPr>
        <w:t>SDG3 Global Action Plan: Progress and lessons learned</w:t>
      </w:r>
      <w:r w:rsidRPr="3C5DE79D">
        <w:rPr>
          <w:rFonts w:ascii="Arial" w:eastAsia="Arial" w:hAnsi="Arial" w:cs="Arial"/>
          <w:sz w:val="22"/>
          <w:szCs w:val="22"/>
        </w:rPr>
        <w:t xml:space="preserve">. Available at: </w:t>
      </w:r>
      <w:hyperlink r:id="rId19">
        <w:r w:rsidRPr="3C5DE79D">
          <w:rPr>
            <w:rStyle w:val="Hyperlink"/>
            <w:rFonts w:ascii="Arial" w:eastAsia="Arial" w:hAnsi="Arial" w:cs="Arial"/>
            <w:sz w:val="22"/>
            <w:szCs w:val="22"/>
          </w:rPr>
          <w:t>https://www.who.int/initiatives/sdg3-global-action-plan</w:t>
        </w:r>
      </w:hyperlink>
      <w:r w:rsidRPr="3C5DE79D">
        <w:rPr>
          <w:rFonts w:ascii="Arial" w:eastAsia="Arial" w:hAnsi="Arial" w:cs="Arial"/>
          <w:sz w:val="22"/>
          <w:szCs w:val="22"/>
        </w:rPr>
        <w:t xml:space="preserve"> (Accessed: 26 March 2026).</w:t>
      </w:r>
    </w:p>
    <w:p w14:paraId="7100C510" w14:textId="04AEA6A4" w:rsidR="69EF84B1" w:rsidRDefault="6BA9975F" w:rsidP="5E1BBDF9">
      <w:pPr>
        <w:spacing w:line="360" w:lineRule="auto"/>
        <w:rPr>
          <w:rFonts w:ascii="Arial" w:eastAsia="Arial" w:hAnsi="Arial" w:cs="Arial"/>
          <w:sz w:val="22"/>
          <w:szCs w:val="22"/>
        </w:rPr>
      </w:pPr>
      <w:r w:rsidRPr="5E1BBDF9">
        <w:rPr>
          <w:rFonts w:ascii="Arial" w:eastAsia="Arial" w:hAnsi="Arial" w:cs="Arial"/>
          <w:sz w:val="22"/>
          <w:szCs w:val="22"/>
        </w:rPr>
        <w:t xml:space="preserve">World Health Organization (2024) </w:t>
      </w:r>
      <w:r w:rsidRPr="5E1BBDF9">
        <w:rPr>
          <w:rFonts w:ascii="Arial" w:eastAsia="Arial" w:hAnsi="Arial" w:cs="Arial"/>
          <w:i/>
          <w:iCs/>
          <w:sz w:val="22"/>
          <w:szCs w:val="22"/>
        </w:rPr>
        <w:t>Stronger collaboration, better health: Global Action Plan for Healthy Lives and Well-being for All – progress report</w:t>
      </w:r>
      <w:r w:rsidRPr="5E1BBDF9">
        <w:rPr>
          <w:rFonts w:ascii="Arial" w:eastAsia="Arial" w:hAnsi="Arial" w:cs="Arial"/>
          <w:sz w:val="22"/>
          <w:szCs w:val="22"/>
        </w:rPr>
        <w:t xml:space="preserve">. Available at: </w:t>
      </w:r>
      <w:hyperlink r:id="rId20">
        <w:r w:rsidRPr="5E1BBDF9">
          <w:rPr>
            <w:rStyle w:val="Hyperlink"/>
            <w:rFonts w:ascii="Arial" w:eastAsia="Arial" w:hAnsi="Arial" w:cs="Arial"/>
            <w:sz w:val="22"/>
            <w:szCs w:val="22"/>
          </w:rPr>
          <w:t>https://www.who.int/initiatives/sdg3-global-action-plan</w:t>
        </w:r>
      </w:hyperlink>
      <w:r w:rsidRPr="5E1BBDF9">
        <w:rPr>
          <w:rFonts w:ascii="Arial" w:eastAsia="Arial" w:hAnsi="Arial" w:cs="Arial"/>
          <w:sz w:val="22"/>
          <w:szCs w:val="22"/>
        </w:rPr>
        <w:t xml:space="preserve"> (Accessed: 26 March 2026).</w:t>
      </w:r>
    </w:p>
    <w:p w14:paraId="7F5B7B6D" w14:textId="12DFF53E" w:rsidR="49624131" w:rsidRDefault="25DBF3CC" w:rsidP="5E1BBDF9">
      <w:pPr>
        <w:spacing w:after="240" w:line="360" w:lineRule="auto"/>
        <w:rPr>
          <w:rFonts w:ascii="Arial" w:eastAsia="Arial" w:hAnsi="Arial" w:cs="Arial"/>
          <w:sz w:val="22"/>
          <w:szCs w:val="22"/>
        </w:rPr>
      </w:pPr>
      <w:r w:rsidRPr="5E1BBDF9">
        <w:rPr>
          <w:rFonts w:ascii="Arial" w:eastAsia="Arial" w:hAnsi="Arial" w:cs="Arial"/>
          <w:sz w:val="22"/>
          <w:szCs w:val="22"/>
        </w:rPr>
        <w:t xml:space="preserve">Midlands Innovation (2025) </w:t>
      </w:r>
      <w:r w:rsidRPr="5E1BBDF9">
        <w:rPr>
          <w:rFonts w:ascii="Arial" w:eastAsia="Arial" w:hAnsi="Arial" w:cs="Arial"/>
          <w:i/>
          <w:iCs/>
          <w:sz w:val="22"/>
          <w:szCs w:val="22"/>
        </w:rPr>
        <w:t>Midlands Health and Care Inequalities Policy Commission</w:t>
      </w:r>
      <w:r w:rsidRPr="5E1BBDF9">
        <w:rPr>
          <w:rFonts w:ascii="Arial" w:eastAsia="Arial" w:hAnsi="Arial" w:cs="Arial"/>
          <w:sz w:val="22"/>
          <w:szCs w:val="22"/>
        </w:rPr>
        <w:t xml:space="preserve">. Available at: </w:t>
      </w:r>
      <w:hyperlink r:id="rId21">
        <w:r w:rsidRPr="5E1BBDF9">
          <w:rPr>
            <w:rStyle w:val="Hyperlink"/>
            <w:rFonts w:ascii="Arial" w:eastAsia="Arial" w:hAnsi="Arial" w:cs="Arial"/>
            <w:sz w:val="22"/>
            <w:szCs w:val="22"/>
          </w:rPr>
          <w:t>https://mihealth.org.uk/commission/</w:t>
        </w:r>
      </w:hyperlink>
      <w:r w:rsidRPr="5E1BBDF9">
        <w:rPr>
          <w:rFonts w:ascii="Arial" w:eastAsia="Arial" w:hAnsi="Arial" w:cs="Arial"/>
          <w:sz w:val="22"/>
          <w:szCs w:val="22"/>
        </w:rPr>
        <w:t xml:space="preserve"> (Accessed: 26 March 2026).</w:t>
      </w:r>
    </w:p>
    <w:p w14:paraId="23DE0C1B" w14:textId="4155A03E"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NHS England (2026) </w:t>
      </w:r>
      <w:r w:rsidRPr="3C5DE79D">
        <w:rPr>
          <w:rFonts w:ascii="Arial" w:eastAsia="Arial" w:hAnsi="Arial" w:cs="Arial"/>
          <w:i/>
          <w:iCs/>
          <w:sz w:val="22"/>
          <w:szCs w:val="22"/>
        </w:rPr>
        <w:t>NHS England’s statement on information on health inequalities</w:t>
      </w:r>
      <w:r w:rsidRPr="3C5DE79D">
        <w:rPr>
          <w:rFonts w:ascii="Arial" w:eastAsia="Arial" w:hAnsi="Arial" w:cs="Arial"/>
          <w:sz w:val="22"/>
          <w:szCs w:val="22"/>
        </w:rPr>
        <w:t xml:space="preserve">. Available at: </w:t>
      </w:r>
      <w:hyperlink r:id="rId22">
        <w:r w:rsidRPr="3C5DE79D">
          <w:rPr>
            <w:rStyle w:val="Hyperlink"/>
            <w:rFonts w:ascii="Arial" w:eastAsia="Arial" w:hAnsi="Arial" w:cs="Arial"/>
            <w:sz w:val="22"/>
            <w:szCs w:val="22"/>
          </w:rPr>
          <w:t>https://www.england.nhs.uk/long-read/nhs-englands-statement-on-information-on-health-inequalities/</w:t>
        </w:r>
      </w:hyperlink>
      <w:r w:rsidRPr="3C5DE79D">
        <w:rPr>
          <w:rFonts w:ascii="Arial" w:eastAsia="Arial" w:hAnsi="Arial" w:cs="Arial"/>
          <w:sz w:val="22"/>
          <w:szCs w:val="22"/>
        </w:rPr>
        <w:t xml:space="preserve"> (Accessed: 26 March 2026).</w:t>
      </w:r>
    </w:p>
    <w:p w14:paraId="43A7AD04" w14:textId="07E3E815"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lastRenderedPageBreak/>
        <w:t xml:space="preserve">Public Health England (2021) </w:t>
      </w:r>
      <w:r w:rsidRPr="3C5DE79D">
        <w:rPr>
          <w:rFonts w:ascii="Arial" w:eastAsia="Arial" w:hAnsi="Arial" w:cs="Arial"/>
          <w:i/>
          <w:iCs/>
          <w:sz w:val="22"/>
          <w:szCs w:val="22"/>
        </w:rPr>
        <w:t>Health disparities and health inequalities: applying All Our Health</w:t>
      </w:r>
      <w:r w:rsidRPr="3C5DE79D">
        <w:rPr>
          <w:rFonts w:ascii="Arial" w:eastAsia="Arial" w:hAnsi="Arial" w:cs="Arial"/>
          <w:sz w:val="22"/>
          <w:szCs w:val="22"/>
        </w:rPr>
        <w:t xml:space="preserve">. Available at: </w:t>
      </w:r>
      <w:hyperlink r:id="rId23">
        <w:r w:rsidRPr="3C5DE79D">
          <w:rPr>
            <w:rStyle w:val="Hyperlink"/>
            <w:rFonts w:ascii="Arial" w:eastAsia="Arial" w:hAnsi="Arial" w:cs="Arial"/>
            <w:sz w:val="22"/>
            <w:szCs w:val="22"/>
          </w:rPr>
          <w:t>https://www.gov.uk/government/publications/health-disparities-and-health-inequalities-applying-all-our-health</w:t>
        </w:r>
      </w:hyperlink>
      <w:r w:rsidRPr="3C5DE79D">
        <w:rPr>
          <w:rFonts w:ascii="Arial" w:eastAsia="Arial" w:hAnsi="Arial" w:cs="Arial"/>
          <w:sz w:val="22"/>
          <w:szCs w:val="22"/>
        </w:rPr>
        <w:t xml:space="preserve"> (Accessed: 26 March 2026).</w:t>
      </w:r>
    </w:p>
    <w:p w14:paraId="4D922EC2" w14:textId="6E06F553"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UK Health Security Agency (2025) </w:t>
      </w:r>
      <w:r w:rsidRPr="3C5DE79D">
        <w:rPr>
          <w:rFonts w:ascii="Arial" w:eastAsia="Arial" w:hAnsi="Arial" w:cs="Arial"/>
          <w:i/>
          <w:iCs/>
          <w:sz w:val="22"/>
          <w:szCs w:val="22"/>
        </w:rPr>
        <w:t>Health inequalities in health protection report</w:t>
      </w:r>
      <w:r w:rsidRPr="3C5DE79D">
        <w:rPr>
          <w:rFonts w:ascii="Arial" w:eastAsia="Arial" w:hAnsi="Arial" w:cs="Arial"/>
          <w:sz w:val="22"/>
          <w:szCs w:val="22"/>
        </w:rPr>
        <w:t xml:space="preserve">. Available at: </w:t>
      </w:r>
      <w:hyperlink r:id="rId24">
        <w:r w:rsidRPr="3C5DE79D">
          <w:rPr>
            <w:rStyle w:val="Hyperlink"/>
            <w:rFonts w:ascii="Arial" w:eastAsia="Arial" w:hAnsi="Arial" w:cs="Arial"/>
            <w:sz w:val="22"/>
            <w:szCs w:val="22"/>
          </w:rPr>
          <w:t>https://www.gov.uk/government/publications/health-inequalities-in-health-protection-report</w:t>
        </w:r>
      </w:hyperlink>
      <w:r w:rsidRPr="3C5DE79D">
        <w:rPr>
          <w:rFonts w:ascii="Arial" w:eastAsia="Arial" w:hAnsi="Arial" w:cs="Arial"/>
          <w:sz w:val="22"/>
          <w:szCs w:val="22"/>
        </w:rPr>
        <w:t xml:space="preserve"> (Accessed: 26 March 2026).</w:t>
      </w:r>
    </w:p>
    <w:p w14:paraId="6A303947" w14:textId="1CE5FFC2"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Marmot, M. (2020) </w:t>
      </w:r>
      <w:r w:rsidRPr="3C5DE79D">
        <w:rPr>
          <w:rFonts w:ascii="Arial" w:eastAsia="Arial" w:hAnsi="Arial" w:cs="Arial"/>
          <w:i/>
          <w:iCs/>
          <w:sz w:val="22"/>
          <w:szCs w:val="22"/>
        </w:rPr>
        <w:t>Health Equity in England: The Marmot Review 10 Years On</w:t>
      </w:r>
      <w:r w:rsidRPr="3C5DE79D">
        <w:rPr>
          <w:rFonts w:ascii="Arial" w:eastAsia="Arial" w:hAnsi="Arial" w:cs="Arial"/>
          <w:sz w:val="22"/>
          <w:szCs w:val="22"/>
        </w:rPr>
        <w:t>. London: Institute of Health Equity.</w:t>
      </w:r>
    </w:p>
    <w:p w14:paraId="37F00FE7" w14:textId="13CBD5FB"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Local Government Association (2021) </w:t>
      </w:r>
      <w:r w:rsidRPr="3C5DE79D">
        <w:rPr>
          <w:rFonts w:ascii="Arial" w:eastAsia="Arial" w:hAnsi="Arial" w:cs="Arial"/>
          <w:i/>
          <w:iCs/>
          <w:sz w:val="22"/>
          <w:szCs w:val="22"/>
        </w:rPr>
        <w:t>Inclusive economies and healthy futures</w:t>
      </w:r>
      <w:r w:rsidRPr="3C5DE79D">
        <w:rPr>
          <w:rFonts w:ascii="Arial" w:eastAsia="Arial" w:hAnsi="Arial" w:cs="Arial"/>
          <w:sz w:val="22"/>
          <w:szCs w:val="22"/>
        </w:rPr>
        <w:t xml:space="preserve">. Available at: </w:t>
      </w:r>
      <w:hyperlink r:id="rId25">
        <w:r w:rsidRPr="3C5DE79D">
          <w:rPr>
            <w:rStyle w:val="Hyperlink"/>
            <w:rFonts w:ascii="Arial" w:eastAsia="Arial" w:hAnsi="Arial" w:cs="Arial"/>
            <w:sz w:val="22"/>
            <w:szCs w:val="22"/>
          </w:rPr>
          <w:t>https://www.local.gov.uk/publications/inclusive-economies-and-healthy-futures-supporting-place-based-action-reduce-health</w:t>
        </w:r>
      </w:hyperlink>
      <w:r w:rsidRPr="3C5DE79D">
        <w:rPr>
          <w:rFonts w:ascii="Arial" w:eastAsia="Arial" w:hAnsi="Arial" w:cs="Arial"/>
          <w:sz w:val="22"/>
          <w:szCs w:val="22"/>
        </w:rPr>
        <w:t xml:space="preserve"> (Accessed: 26 March 2026).</w:t>
      </w:r>
    </w:p>
    <w:p w14:paraId="23311600" w14:textId="06588C09" w:rsidR="49624131" w:rsidRDefault="49624131" w:rsidP="3C5DE79D">
      <w:pPr>
        <w:spacing w:after="240" w:line="360" w:lineRule="auto"/>
        <w:rPr>
          <w:rFonts w:ascii="Arial" w:eastAsia="Arial" w:hAnsi="Arial" w:cs="Arial"/>
          <w:sz w:val="22"/>
          <w:szCs w:val="22"/>
        </w:rPr>
      </w:pPr>
      <w:r w:rsidRPr="3C5DE79D">
        <w:rPr>
          <w:rFonts w:ascii="Arial" w:eastAsia="Arial" w:hAnsi="Arial" w:cs="Arial"/>
          <w:sz w:val="22"/>
          <w:szCs w:val="22"/>
        </w:rPr>
        <w:t xml:space="preserve">Midlands Innovation (2025) </w:t>
      </w:r>
      <w:r w:rsidRPr="3C5DE79D">
        <w:rPr>
          <w:rFonts w:ascii="Arial" w:eastAsia="Arial" w:hAnsi="Arial" w:cs="Arial"/>
          <w:i/>
          <w:iCs/>
          <w:sz w:val="22"/>
          <w:szCs w:val="22"/>
        </w:rPr>
        <w:t>Midlands Health and Care Inequalities Policy Commission</w:t>
      </w:r>
      <w:r w:rsidRPr="3C5DE79D">
        <w:rPr>
          <w:rFonts w:ascii="Arial" w:eastAsia="Arial" w:hAnsi="Arial" w:cs="Arial"/>
          <w:sz w:val="22"/>
          <w:szCs w:val="22"/>
        </w:rPr>
        <w:t xml:space="preserve">. Available at: </w:t>
      </w:r>
      <w:hyperlink r:id="rId26">
        <w:r w:rsidRPr="3C5DE79D">
          <w:rPr>
            <w:rStyle w:val="Hyperlink"/>
            <w:rFonts w:ascii="Arial" w:eastAsia="Arial" w:hAnsi="Arial" w:cs="Arial"/>
            <w:sz w:val="22"/>
            <w:szCs w:val="22"/>
          </w:rPr>
          <w:t>https://mihealth.org.uk/commission/</w:t>
        </w:r>
      </w:hyperlink>
      <w:r w:rsidRPr="3C5DE79D">
        <w:rPr>
          <w:rFonts w:ascii="Arial" w:eastAsia="Arial" w:hAnsi="Arial" w:cs="Arial"/>
          <w:sz w:val="22"/>
          <w:szCs w:val="22"/>
        </w:rPr>
        <w:t xml:space="preserve"> (Accessed: 26 March 2026).</w:t>
      </w:r>
    </w:p>
    <w:p w14:paraId="1B881D6F" w14:textId="78BB6D38"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NHS England (2022) </w:t>
      </w:r>
      <w:r w:rsidRPr="3C5DE79D">
        <w:rPr>
          <w:rFonts w:ascii="Arial" w:eastAsia="Arial" w:hAnsi="Arial" w:cs="Arial"/>
          <w:i/>
          <w:iCs/>
          <w:sz w:val="22"/>
          <w:szCs w:val="22"/>
        </w:rPr>
        <w:t>Delivering a ‘Net Zero’ National Health Service</w:t>
      </w:r>
      <w:r w:rsidRPr="3C5DE79D">
        <w:rPr>
          <w:rFonts w:ascii="Arial" w:eastAsia="Arial" w:hAnsi="Arial" w:cs="Arial"/>
          <w:sz w:val="22"/>
          <w:szCs w:val="22"/>
        </w:rPr>
        <w:t xml:space="preserve">. Available at: </w:t>
      </w:r>
      <w:hyperlink r:id="rId27">
        <w:r w:rsidRPr="3C5DE79D">
          <w:rPr>
            <w:rStyle w:val="Hyperlink"/>
            <w:rFonts w:ascii="Arial" w:eastAsia="Arial" w:hAnsi="Arial" w:cs="Arial"/>
            <w:sz w:val="22"/>
            <w:szCs w:val="22"/>
          </w:rPr>
          <w:t>https://www.england.nhs.uk/greenernhs/</w:t>
        </w:r>
      </w:hyperlink>
      <w:r w:rsidRPr="3C5DE79D">
        <w:rPr>
          <w:rFonts w:ascii="Arial" w:eastAsia="Arial" w:hAnsi="Arial" w:cs="Arial"/>
          <w:sz w:val="22"/>
          <w:szCs w:val="22"/>
        </w:rPr>
        <w:t xml:space="preserve"> (Accessed: 26 March 2026).</w:t>
      </w:r>
    </w:p>
    <w:p w14:paraId="5CBF54B8" w14:textId="289F2990"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NHS England (2026) </w:t>
      </w:r>
      <w:r w:rsidRPr="3C5DE79D">
        <w:rPr>
          <w:rFonts w:ascii="Arial" w:eastAsia="Arial" w:hAnsi="Arial" w:cs="Arial"/>
          <w:i/>
          <w:iCs/>
          <w:sz w:val="22"/>
          <w:szCs w:val="22"/>
        </w:rPr>
        <w:t>NHS England’s statement on health inequalities</w:t>
      </w:r>
      <w:r w:rsidRPr="3C5DE79D">
        <w:rPr>
          <w:rFonts w:ascii="Arial" w:eastAsia="Arial" w:hAnsi="Arial" w:cs="Arial"/>
          <w:sz w:val="22"/>
          <w:szCs w:val="22"/>
        </w:rPr>
        <w:t xml:space="preserve">. Available at: </w:t>
      </w:r>
      <w:hyperlink r:id="rId28">
        <w:r w:rsidRPr="3C5DE79D">
          <w:rPr>
            <w:rStyle w:val="Hyperlink"/>
            <w:rFonts w:ascii="Arial" w:eastAsia="Arial" w:hAnsi="Arial" w:cs="Arial"/>
            <w:sz w:val="22"/>
            <w:szCs w:val="22"/>
          </w:rPr>
          <w:t>https://www.england.nhs.uk/</w:t>
        </w:r>
      </w:hyperlink>
      <w:r w:rsidRPr="3C5DE79D">
        <w:rPr>
          <w:rFonts w:ascii="Arial" w:eastAsia="Arial" w:hAnsi="Arial" w:cs="Arial"/>
          <w:sz w:val="22"/>
          <w:szCs w:val="22"/>
        </w:rPr>
        <w:t xml:space="preserve"> (Accessed: 26 March 2026).</w:t>
      </w:r>
    </w:p>
    <w:p w14:paraId="030F2366" w14:textId="066CC53E"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UK Health Security Agency (2025) </w:t>
      </w:r>
      <w:r w:rsidRPr="3C5DE79D">
        <w:rPr>
          <w:rFonts w:ascii="Arial" w:eastAsia="Arial" w:hAnsi="Arial" w:cs="Arial"/>
          <w:i/>
          <w:iCs/>
          <w:sz w:val="22"/>
          <w:szCs w:val="22"/>
        </w:rPr>
        <w:t>Health inequalities in health protection report</w:t>
      </w:r>
      <w:r w:rsidRPr="3C5DE79D">
        <w:rPr>
          <w:rFonts w:ascii="Arial" w:eastAsia="Arial" w:hAnsi="Arial" w:cs="Arial"/>
          <w:sz w:val="22"/>
          <w:szCs w:val="22"/>
        </w:rPr>
        <w:t xml:space="preserve">. Available at: </w:t>
      </w:r>
      <w:hyperlink r:id="rId29">
        <w:r w:rsidRPr="3C5DE79D">
          <w:rPr>
            <w:rStyle w:val="Hyperlink"/>
            <w:rFonts w:ascii="Arial" w:eastAsia="Arial" w:hAnsi="Arial" w:cs="Arial"/>
            <w:sz w:val="22"/>
            <w:szCs w:val="22"/>
          </w:rPr>
          <w:t>https://www.gov.uk/government/publications/health-inequalities-in-health-protection-report</w:t>
        </w:r>
      </w:hyperlink>
      <w:r w:rsidRPr="3C5DE79D">
        <w:rPr>
          <w:rFonts w:ascii="Arial" w:eastAsia="Arial" w:hAnsi="Arial" w:cs="Arial"/>
          <w:sz w:val="22"/>
          <w:szCs w:val="22"/>
        </w:rPr>
        <w:t xml:space="preserve"> (Accessed: 26 March 2026).</w:t>
      </w:r>
    </w:p>
    <w:p w14:paraId="23971F66" w14:textId="6120CC9B"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Marmot, M. (2020) </w:t>
      </w:r>
      <w:r w:rsidRPr="3C5DE79D">
        <w:rPr>
          <w:rFonts w:ascii="Arial" w:eastAsia="Arial" w:hAnsi="Arial" w:cs="Arial"/>
          <w:i/>
          <w:iCs/>
          <w:sz w:val="22"/>
          <w:szCs w:val="22"/>
        </w:rPr>
        <w:t>Health Equity in England: The Marmot Review 10 Years On</w:t>
      </w:r>
      <w:r w:rsidRPr="3C5DE79D">
        <w:rPr>
          <w:rFonts w:ascii="Arial" w:eastAsia="Arial" w:hAnsi="Arial" w:cs="Arial"/>
          <w:sz w:val="22"/>
          <w:szCs w:val="22"/>
        </w:rPr>
        <w:t>. London: Institute of Health Equity.</w:t>
      </w:r>
    </w:p>
    <w:p w14:paraId="7D4A230F" w14:textId="12671FE5"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Dahlgren, G. and Whitehead, M. (1991) </w:t>
      </w:r>
      <w:r w:rsidRPr="3C5DE79D">
        <w:rPr>
          <w:rFonts w:ascii="Arial" w:eastAsia="Arial" w:hAnsi="Arial" w:cs="Arial"/>
          <w:i/>
          <w:iCs/>
          <w:sz w:val="22"/>
          <w:szCs w:val="22"/>
        </w:rPr>
        <w:t>Policies and strategies to promote social equity in health</w:t>
      </w:r>
      <w:r w:rsidRPr="3C5DE79D">
        <w:rPr>
          <w:rFonts w:ascii="Arial" w:eastAsia="Arial" w:hAnsi="Arial" w:cs="Arial"/>
          <w:sz w:val="22"/>
          <w:szCs w:val="22"/>
        </w:rPr>
        <w:t>. Stockholm: Institute for Futures Studies.</w:t>
      </w:r>
    </w:p>
    <w:p w14:paraId="6CC3D1B9" w14:textId="77723113" w:rsidR="49624131" w:rsidRDefault="49624131" w:rsidP="3C5DE79D">
      <w:pPr>
        <w:spacing w:before="240" w:after="240" w:line="360" w:lineRule="auto"/>
        <w:rPr>
          <w:rFonts w:ascii="Arial" w:eastAsia="Arial" w:hAnsi="Arial" w:cs="Arial"/>
          <w:sz w:val="22"/>
          <w:szCs w:val="22"/>
        </w:rPr>
      </w:pPr>
      <w:r w:rsidRPr="3C5DE79D">
        <w:rPr>
          <w:rFonts w:ascii="Arial" w:eastAsia="Arial" w:hAnsi="Arial" w:cs="Arial"/>
          <w:sz w:val="22"/>
          <w:szCs w:val="22"/>
        </w:rPr>
        <w:t xml:space="preserve">World Health Organization (2019) </w:t>
      </w:r>
      <w:r w:rsidRPr="3C5DE79D">
        <w:rPr>
          <w:rFonts w:ascii="Arial" w:eastAsia="Arial" w:hAnsi="Arial" w:cs="Arial"/>
          <w:i/>
          <w:iCs/>
          <w:sz w:val="22"/>
          <w:szCs w:val="22"/>
        </w:rPr>
        <w:t>Global Action Plan for Healthy Lives and Well-being for All</w:t>
      </w:r>
      <w:r w:rsidRPr="3C5DE79D">
        <w:rPr>
          <w:rFonts w:ascii="Arial" w:eastAsia="Arial" w:hAnsi="Arial" w:cs="Arial"/>
          <w:sz w:val="22"/>
          <w:szCs w:val="22"/>
        </w:rPr>
        <w:t xml:space="preserve">. Available at: </w:t>
      </w:r>
      <w:hyperlink r:id="rId30">
        <w:r w:rsidRPr="3C5DE79D">
          <w:rPr>
            <w:rStyle w:val="Hyperlink"/>
            <w:rFonts w:ascii="Arial" w:eastAsia="Arial" w:hAnsi="Arial" w:cs="Arial"/>
            <w:sz w:val="22"/>
            <w:szCs w:val="22"/>
          </w:rPr>
          <w:t>https://www.who.int/initiatives/sdg3-global-action-plan</w:t>
        </w:r>
      </w:hyperlink>
      <w:r w:rsidRPr="3C5DE79D">
        <w:rPr>
          <w:rFonts w:ascii="Arial" w:eastAsia="Arial" w:hAnsi="Arial" w:cs="Arial"/>
          <w:sz w:val="22"/>
          <w:szCs w:val="22"/>
        </w:rPr>
        <w:t xml:space="preserve"> (Accessed: 26 March 2026).</w:t>
      </w:r>
    </w:p>
    <w:p w14:paraId="63D1F64B" w14:textId="7B2F6503" w:rsidR="3C5DE79D" w:rsidRDefault="3C5DE79D" w:rsidP="3C5DE79D">
      <w:pPr>
        <w:spacing w:line="360" w:lineRule="auto"/>
        <w:rPr>
          <w:rFonts w:ascii="Arial" w:eastAsia="Arial" w:hAnsi="Arial" w:cs="Arial"/>
          <w:sz w:val="22"/>
          <w:szCs w:val="22"/>
        </w:rPr>
      </w:pPr>
    </w:p>
    <w:sectPr w:rsidR="3C5DE79D">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4668A" w14:textId="77777777" w:rsidR="00613097" w:rsidRDefault="00613097">
      <w:pPr>
        <w:spacing w:after="0" w:line="240" w:lineRule="auto"/>
      </w:pPr>
      <w:r>
        <w:separator/>
      </w:r>
    </w:p>
  </w:endnote>
  <w:endnote w:type="continuationSeparator" w:id="0">
    <w:p w14:paraId="33C82409" w14:textId="77777777" w:rsidR="00613097" w:rsidRDefault="00613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Sans-Serif">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A894DBC" w14:paraId="29F4D4B0" w14:textId="77777777" w:rsidTr="1A894DBC">
      <w:trPr>
        <w:trHeight w:val="300"/>
      </w:trPr>
      <w:tc>
        <w:tcPr>
          <w:tcW w:w="3005" w:type="dxa"/>
        </w:tcPr>
        <w:p w14:paraId="7F9C7052" w14:textId="7CB344B4" w:rsidR="1A894DBC" w:rsidRDefault="1A894DBC" w:rsidP="1A894DBC">
          <w:pPr>
            <w:pStyle w:val="Header"/>
            <w:ind w:left="-115"/>
          </w:pPr>
        </w:p>
      </w:tc>
      <w:tc>
        <w:tcPr>
          <w:tcW w:w="3005" w:type="dxa"/>
        </w:tcPr>
        <w:p w14:paraId="707D4BF2" w14:textId="6542B16A" w:rsidR="1A894DBC" w:rsidRDefault="1A894DBC" w:rsidP="1A894DBC">
          <w:pPr>
            <w:pStyle w:val="Header"/>
            <w:jc w:val="center"/>
          </w:pPr>
        </w:p>
      </w:tc>
      <w:tc>
        <w:tcPr>
          <w:tcW w:w="3005" w:type="dxa"/>
        </w:tcPr>
        <w:p w14:paraId="34538E97" w14:textId="31CE93DB" w:rsidR="1A894DBC" w:rsidRDefault="1A894DBC" w:rsidP="1A894DBC">
          <w:pPr>
            <w:pStyle w:val="Header"/>
            <w:ind w:right="-115"/>
            <w:jc w:val="right"/>
          </w:pPr>
          <w:r>
            <w:fldChar w:fldCharType="begin"/>
          </w:r>
          <w:r>
            <w:instrText>PAGE</w:instrText>
          </w:r>
          <w:r>
            <w:fldChar w:fldCharType="separate"/>
          </w:r>
          <w:r w:rsidR="00E075BA">
            <w:rPr>
              <w:noProof/>
            </w:rPr>
            <w:t>1</w:t>
          </w:r>
          <w:r>
            <w:fldChar w:fldCharType="end"/>
          </w:r>
        </w:p>
      </w:tc>
    </w:tr>
  </w:tbl>
  <w:p w14:paraId="54D3CB22" w14:textId="020A13C1" w:rsidR="1A894DBC" w:rsidRDefault="1A894DBC" w:rsidP="1A894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EBE61" w14:textId="77777777" w:rsidR="00613097" w:rsidRDefault="00613097">
      <w:pPr>
        <w:spacing w:after="0" w:line="240" w:lineRule="auto"/>
      </w:pPr>
      <w:r>
        <w:separator/>
      </w:r>
    </w:p>
  </w:footnote>
  <w:footnote w:type="continuationSeparator" w:id="0">
    <w:p w14:paraId="3FC861B5" w14:textId="77777777" w:rsidR="00613097" w:rsidRDefault="00613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A894DBC" w14:paraId="544DFE76" w14:textId="77777777" w:rsidTr="1A894DBC">
      <w:trPr>
        <w:trHeight w:val="300"/>
      </w:trPr>
      <w:tc>
        <w:tcPr>
          <w:tcW w:w="3005" w:type="dxa"/>
        </w:tcPr>
        <w:p w14:paraId="25F959FE" w14:textId="1630222C" w:rsidR="1A894DBC" w:rsidRDefault="1A894DBC" w:rsidP="1A894DBC">
          <w:pPr>
            <w:pStyle w:val="Header"/>
            <w:ind w:left="-115"/>
          </w:pPr>
        </w:p>
      </w:tc>
      <w:tc>
        <w:tcPr>
          <w:tcW w:w="3005" w:type="dxa"/>
        </w:tcPr>
        <w:p w14:paraId="6320C252" w14:textId="257A8B68" w:rsidR="1A894DBC" w:rsidRDefault="1A894DBC" w:rsidP="1A894DBC">
          <w:pPr>
            <w:pStyle w:val="Header"/>
            <w:jc w:val="center"/>
          </w:pPr>
        </w:p>
      </w:tc>
      <w:tc>
        <w:tcPr>
          <w:tcW w:w="3005" w:type="dxa"/>
        </w:tcPr>
        <w:p w14:paraId="59220017" w14:textId="2A3313F9" w:rsidR="1A894DBC" w:rsidRDefault="1A894DBC" w:rsidP="1A894DBC">
          <w:pPr>
            <w:pStyle w:val="Header"/>
            <w:ind w:right="-115"/>
            <w:jc w:val="right"/>
          </w:pPr>
        </w:p>
      </w:tc>
    </w:tr>
  </w:tbl>
  <w:p w14:paraId="1652B82C" w14:textId="1C1FC9A5" w:rsidR="1A894DBC" w:rsidRDefault="1A894DBC" w:rsidP="1A894DBC">
    <w:pPr>
      <w:pStyle w:val="Header"/>
    </w:pPr>
  </w:p>
</w:hdr>
</file>

<file path=word/intelligence2.xml><?xml version="1.0" encoding="utf-8"?>
<int2:intelligence xmlns:int2="http://schemas.microsoft.com/office/intelligence/2020/intelligence" xmlns:oel="http://schemas.microsoft.com/office/2019/extlst">
  <int2:observations>
    <int2:textHash int2:hashCode="AL0zBiBBN+77PH" int2:id="eqybG4e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166E9"/>
    <w:multiLevelType w:val="hybridMultilevel"/>
    <w:tmpl w:val="DB0C130A"/>
    <w:lvl w:ilvl="0" w:tplc="CA163D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656A2"/>
    <w:multiLevelType w:val="hybridMultilevel"/>
    <w:tmpl w:val="FFFFFFFF"/>
    <w:lvl w:ilvl="0" w:tplc="4F98E79E">
      <w:start w:val="1"/>
      <w:numFmt w:val="bullet"/>
      <w:lvlText w:val=""/>
      <w:lvlJc w:val="left"/>
      <w:pPr>
        <w:ind w:left="720" w:hanging="360"/>
      </w:pPr>
      <w:rPr>
        <w:rFonts w:ascii="Calibri,Sans-Serif" w:hAnsi="Calibri,Sans-Serif" w:hint="default"/>
      </w:rPr>
    </w:lvl>
    <w:lvl w:ilvl="1" w:tplc="4912C4C2">
      <w:start w:val="1"/>
      <w:numFmt w:val="bullet"/>
      <w:lvlText w:val="o"/>
      <w:lvlJc w:val="left"/>
      <w:pPr>
        <w:ind w:left="1440" w:hanging="360"/>
      </w:pPr>
      <w:rPr>
        <w:rFonts w:ascii="Courier New" w:hAnsi="Courier New" w:hint="default"/>
      </w:rPr>
    </w:lvl>
    <w:lvl w:ilvl="2" w:tplc="F0A0F42A">
      <w:start w:val="1"/>
      <w:numFmt w:val="bullet"/>
      <w:lvlText w:val=""/>
      <w:lvlJc w:val="left"/>
      <w:pPr>
        <w:ind w:left="2160" w:hanging="360"/>
      </w:pPr>
      <w:rPr>
        <w:rFonts w:ascii="Wingdings" w:hAnsi="Wingdings" w:hint="default"/>
      </w:rPr>
    </w:lvl>
    <w:lvl w:ilvl="3" w:tplc="968CF1AA">
      <w:start w:val="1"/>
      <w:numFmt w:val="bullet"/>
      <w:lvlText w:val=""/>
      <w:lvlJc w:val="left"/>
      <w:pPr>
        <w:ind w:left="2880" w:hanging="360"/>
      </w:pPr>
      <w:rPr>
        <w:rFonts w:ascii="Symbol" w:hAnsi="Symbol" w:hint="default"/>
      </w:rPr>
    </w:lvl>
    <w:lvl w:ilvl="4" w:tplc="BADAE4DE">
      <w:start w:val="1"/>
      <w:numFmt w:val="bullet"/>
      <w:lvlText w:val="o"/>
      <w:lvlJc w:val="left"/>
      <w:pPr>
        <w:ind w:left="3600" w:hanging="360"/>
      </w:pPr>
      <w:rPr>
        <w:rFonts w:ascii="Courier New" w:hAnsi="Courier New" w:hint="default"/>
      </w:rPr>
    </w:lvl>
    <w:lvl w:ilvl="5" w:tplc="D9542426">
      <w:start w:val="1"/>
      <w:numFmt w:val="bullet"/>
      <w:lvlText w:val=""/>
      <w:lvlJc w:val="left"/>
      <w:pPr>
        <w:ind w:left="4320" w:hanging="360"/>
      </w:pPr>
      <w:rPr>
        <w:rFonts w:ascii="Wingdings" w:hAnsi="Wingdings" w:hint="default"/>
      </w:rPr>
    </w:lvl>
    <w:lvl w:ilvl="6" w:tplc="29B6B9AA">
      <w:start w:val="1"/>
      <w:numFmt w:val="bullet"/>
      <w:lvlText w:val=""/>
      <w:lvlJc w:val="left"/>
      <w:pPr>
        <w:ind w:left="5040" w:hanging="360"/>
      </w:pPr>
      <w:rPr>
        <w:rFonts w:ascii="Symbol" w:hAnsi="Symbol" w:hint="default"/>
      </w:rPr>
    </w:lvl>
    <w:lvl w:ilvl="7" w:tplc="3A38C558">
      <w:start w:val="1"/>
      <w:numFmt w:val="bullet"/>
      <w:lvlText w:val="o"/>
      <w:lvlJc w:val="left"/>
      <w:pPr>
        <w:ind w:left="5760" w:hanging="360"/>
      </w:pPr>
      <w:rPr>
        <w:rFonts w:ascii="Courier New" w:hAnsi="Courier New" w:hint="default"/>
      </w:rPr>
    </w:lvl>
    <w:lvl w:ilvl="8" w:tplc="701E8CB8">
      <w:start w:val="1"/>
      <w:numFmt w:val="bullet"/>
      <w:lvlText w:val=""/>
      <w:lvlJc w:val="left"/>
      <w:pPr>
        <w:ind w:left="6480" w:hanging="360"/>
      </w:pPr>
      <w:rPr>
        <w:rFonts w:ascii="Wingdings" w:hAnsi="Wingdings" w:hint="default"/>
      </w:rPr>
    </w:lvl>
  </w:abstractNum>
  <w:abstractNum w:abstractNumId="2" w15:restartNumberingAfterBreak="0">
    <w:nsid w:val="0B861C55"/>
    <w:multiLevelType w:val="hybridMultilevel"/>
    <w:tmpl w:val="FFFFFFFF"/>
    <w:lvl w:ilvl="0" w:tplc="8F5C4B7A">
      <w:start w:val="1"/>
      <w:numFmt w:val="bullet"/>
      <w:lvlText w:val=""/>
      <w:lvlJc w:val="left"/>
      <w:pPr>
        <w:ind w:left="720" w:hanging="360"/>
      </w:pPr>
      <w:rPr>
        <w:rFonts w:ascii="Symbol" w:hAnsi="Symbol" w:hint="default"/>
      </w:rPr>
    </w:lvl>
    <w:lvl w:ilvl="1" w:tplc="EB000A76">
      <w:start w:val="1"/>
      <w:numFmt w:val="bullet"/>
      <w:lvlText w:val="o"/>
      <w:lvlJc w:val="left"/>
      <w:pPr>
        <w:ind w:left="1440" w:hanging="360"/>
      </w:pPr>
      <w:rPr>
        <w:rFonts w:ascii="Courier New" w:hAnsi="Courier New" w:hint="default"/>
      </w:rPr>
    </w:lvl>
    <w:lvl w:ilvl="2" w:tplc="C1BCE060">
      <w:start w:val="1"/>
      <w:numFmt w:val="bullet"/>
      <w:lvlText w:val=""/>
      <w:lvlJc w:val="left"/>
      <w:pPr>
        <w:ind w:left="2160" w:hanging="360"/>
      </w:pPr>
      <w:rPr>
        <w:rFonts w:ascii="Wingdings" w:hAnsi="Wingdings" w:hint="default"/>
      </w:rPr>
    </w:lvl>
    <w:lvl w:ilvl="3" w:tplc="6BA052A6">
      <w:start w:val="1"/>
      <w:numFmt w:val="bullet"/>
      <w:lvlText w:val=""/>
      <w:lvlJc w:val="left"/>
      <w:pPr>
        <w:ind w:left="2880" w:hanging="360"/>
      </w:pPr>
      <w:rPr>
        <w:rFonts w:ascii="Symbol" w:hAnsi="Symbol" w:hint="default"/>
      </w:rPr>
    </w:lvl>
    <w:lvl w:ilvl="4" w:tplc="22C68B10">
      <w:start w:val="1"/>
      <w:numFmt w:val="bullet"/>
      <w:lvlText w:val="o"/>
      <w:lvlJc w:val="left"/>
      <w:pPr>
        <w:ind w:left="3600" w:hanging="360"/>
      </w:pPr>
      <w:rPr>
        <w:rFonts w:ascii="Courier New" w:hAnsi="Courier New" w:hint="default"/>
      </w:rPr>
    </w:lvl>
    <w:lvl w:ilvl="5" w:tplc="84C28E24">
      <w:start w:val="1"/>
      <w:numFmt w:val="bullet"/>
      <w:lvlText w:val=""/>
      <w:lvlJc w:val="left"/>
      <w:pPr>
        <w:ind w:left="4320" w:hanging="360"/>
      </w:pPr>
      <w:rPr>
        <w:rFonts w:ascii="Wingdings" w:hAnsi="Wingdings" w:hint="default"/>
      </w:rPr>
    </w:lvl>
    <w:lvl w:ilvl="6" w:tplc="60A0559C">
      <w:start w:val="1"/>
      <w:numFmt w:val="bullet"/>
      <w:lvlText w:val=""/>
      <w:lvlJc w:val="left"/>
      <w:pPr>
        <w:ind w:left="5040" w:hanging="360"/>
      </w:pPr>
      <w:rPr>
        <w:rFonts w:ascii="Symbol" w:hAnsi="Symbol" w:hint="default"/>
      </w:rPr>
    </w:lvl>
    <w:lvl w:ilvl="7" w:tplc="9ADEA6F8">
      <w:start w:val="1"/>
      <w:numFmt w:val="bullet"/>
      <w:lvlText w:val="o"/>
      <w:lvlJc w:val="left"/>
      <w:pPr>
        <w:ind w:left="5760" w:hanging="360"/>
      </w:pPr>
      <w:rPr>
        <w:rFonts w:ascii="Courier New" w:hAnsi="Courier New" w:hint="default"/>
      </w:rPr>
    </w:lvl>
    <w:lvl w:ilvl="8" w:tplc="0EA40BE2">
      <w:start w:val="1"/>
      <w:numFmt w:val="bullet"/>
      <w:lvlText w:val=""/>
      <w:lvlJc w:val="left"/>
      <w:pPr>
        <w:ind w:left="6480" w:hanging="360"/>
      </w:pPr>
      <w:rPr>
        <w:rFonts w:ascii="Wingdings" w:hAnsi="Wingdings" w:hint="default"/>
      </w:rPr>
    </w:lvl>
  </w:abstractNum>
  <w:abstractNum w:abstractNumId="3" w15:restartNumberingAfterBreak="0">
    <w:nsid w:val="0DA696F7"/>
    <w:multiLevelType w:val="hybridMultilevel"/>
    <w:tmpl w:val="FFFFFFFF"/>
    <w:lvl w:ilvl="0" w:tplc="D64CC10C">
      <w:start w:val="1"/>
      <w:numFmt w:val="bullet"/>
      <w:lvlText w:val=""/>
      <w:lvlJc w:val="left"/>
      <w:pPr>
        <w:ind w:left="720" w:hanging="360"/>
      </w:pPr>
      <w:rPr>
        <w:rFonts w:ascii="Calibri,Sans-Serif" w:hAnsi="Calibri,Sans-Serif" w:hint="default"/>
      </w:rPr>
    </w:lvl>
    <w:lvl w:ilvl="1" w:tplc="79F06B00">
      <w:start w:val="1"/>
      <w:numFmt w:val="bullet"/>
      <w:lvlText w:val="o"/>
      <w:lvlJc w:val="left"/>
      <w:pPr>
        <w:ind w:left="1440" w:hanging="360"/>
      </w:pPr>
      <w:rPr>
        <w:rFonts w:ascii="Courier New" w:hAnsi="Courier New" w:hint="default"/>
      </w:rPr>
    </w:lvl>
    <w:lvl w:ilvl="2" w:tplc="4CC0C986">
      <w:start w:val="1"/>
      <w:numFmt w:val="bullet"/>
      <w:lvlText w:val=""/>
      <w:lvlJc w:val="left"/>
      <w:pPr>
        <w:ind w:left="2160" w:hanging="360"/>
      </w:pPr>
      <w:rPr>
        <w:rFonts w:ascii="Wingdings" w:hAnsi="Wingdings" w:hint="default"/>
      </w:rPr>
    </w:lvl>
    <w:lvl w:ilvl="3" w:tplc="C16006DA">
      <w:start w:val="1"/>
      <w:numFmt w:val="bullet"/>
      <w:lvlText w:val=""/>
      <w:lvlJc w:val="left"/>
      <w:pPr>
        <w:ind w:left="2880" w:hanging="360"/>
      </w:pPr>
      <w:rPr>
        <w:rFonts w:ascii="Symbol" w:hAnsi="Symbol" w:hint="default"/>
      </w:rPr>
    </w:lvl>
    <w:lvl w:ilvl="4" w:tplc="4E543AE4">
      <w:start w:val="1"/>
      <w:numFmt w:val="bullet"/>
      <w:lvlText w:val="o"/>
      <w:lvlJc w:val="left"/>
      <w:pPr>
        <w:ind w:left="3600" w:hanging="360"/>
      </w:pPr>
      <w:rPr>
        <w:rFonts w:ascii="Courier New" w:hAnsi="Courier New" w:hint="default"/>
      </w:rPr>
    </w:lvl>
    <w:lvl w:ilvl="5" w:tplc="984076F4">
      <w:start w:val="1"/>
      <w:numFmt w:val="bullet"/>
      <w:lvlText w:val=""/>
      <w:lvlJc w:val="left"/>
      <w:pPr>
        <w:ind w:left="4320" w:hanging="360"/>
      </w:pPr>
      <w:rPr>
        <w:rFonts w:ascii="Wingdings" w:hAnsi="Wingdings" w:hint="default"/>
      </w:rPr>
    </w:lvl>
    <w:lvl w:ilvl="6" w:tplc="C96247F6">
      <w:start w:val="1"/>
      <w:numFmt w:val="bullet"/>
      <w:lvlText w:val=""/>
      <w:lvlJc w:val="left"/>
      <w:pPr>
        <w:ind w:left="5040" w:hanging="360"/>
      </w:pPr>
      <w:rPr>
        <w:rFonts w:ascii="Symbol" w:hAnsi="Symbol" w:hint="default"/>
      </w:rPr>
    </w:lvl>
    <w:lvl w:ilvl="7" w:tplc="1F7080B6">
      <w:start w:val="1"/>
      <w:numFmt w:val="bullet"/>
      <w:lvlText w:val="o"/>
      <w:lvlJc w:val="left"/>
      <w:pPr>
        <w:ind w:left="5760" w:hanging="360"/>
      </w:pPr>
      <w:rPr>
        <w:rFonts w:ascii="Courier New" w:hAnsi="Courier New" w:hint="default"/>
      </w:rPr>
    </w:lvl>
    <w:lvl w:ilvl="8" w:tplc="3B268938">
      <w:start w:val="1"/>
      <w:numFmt w:val="bullet"/>
      <w:lvlText w:val=""/>
      <w:lvlJc w:val="left"/>
      <w:pPr>
        <w:ind w:left="6480" w:hanging="360"/>
      </w:pPr>
      <w:rPr>
        <w:rFonts w:ascii="Wingdings" w:hAnsi="Wingdings" w:hint="default"/>
      </w:rPr>
    </w:lvl>
  </w:abstractNum>
  <w:abstractNum w:abstractNumId="4" w15:restartNumberingAfterBreak="0">
    <w:nsid w:val="0FC058D3"/>
    <w:multiLevelType w:val="hybridMultilevel"/>
    <w:tmpl w:val="FFFFFFFF"/>
    <w:lvl w:ilvl="0" w:tplc="09682918">
      <w:start w:val="1"/>
      <w:numFmt w:val="bullet"/>
      <w:lvlText w:val=""/>
      <w:lvlJc w:val="left"/>
      <w:pPr>
        <w:ind w:left="720" w:hanging="360"/>
      </w:pPr>
      <w:rPr>
        <w:rFonts w:ascii="Calibri,Sans-Serif" w:hAnsi="Calibri,Sans-Serif" w:hint="default"/>
      </w:rPr>
    </w:lvl>
    <w:lvl w:ilvl="1" w:tplc="FF1C8C82">
      <w:start w:val="1"/>
      <w:numFmt w:val="bullet"/>
      <w:lvlText w:val="o"/>
      <w:lvlJc w:val="left"/>
      <w:pPr>
        <w:ind w:left="1440" w:hanging="360"/>
      </w:pPr>
      <w:rPr>
        <w:rFonts w:ascii="Courier New" w:hAnsi="Courier New" w:hint="default"/>
      </w:rPr>
    </w:lvl>
    <w:lvl w:ilvl="2" w:tplc="DD025472">
      <w:start w:val="1"/>
      <w:numFmt w:val="bullet"/>
      <w:lvlText w:val=""/>
      <w:lvlJc w:val="left"/>
      <w:pPr>
        <w:ind w:left="2160" w:hanging="360"/>
      </w:pPr>
      <w:rPr>
        <w:rFonts w:ascii="Wingdings" w:hAnsi="Wingdings" w:hint="default"/>
      </w:rPr>
    </w:lvl>
    <w:lvl w:ilvl="3" w:tplc="FE906C78">
      <w:start w:val="1"/>
      <w:numFmt w:val="bullet"/>
      <w:lvlText w:val=""/>
      <w:lvlJc w:val="left"/>
      <w:pPr>
        <w:ind w:left="2880" w:hanging="360"/>
      </w:pPr>
      <w:rPr>
        <w:rFonts w:ascii="Symbol" w:hAnsi="Symbol" w:hint="default"/>
      </w:rPr>
    </w:lvl>
    <w:lvl w:ilvl="4" w:tplc="9B963D36">
      <w:start w:val="1"/>
      <w:numFmt w:val="bullet"/>
      <w:lvlText w:val="o"/>
      <w:lvlJc w:val="left"/>
      <w:pPr>
        <w:ind w:left="3600" w:hanging="360"/>
      </w:pPr>
      <w:rPr>
        <w:rFonts w:ascii="Courier New" w:hAnsi="Courier New" w:hint="default"/>
      </w:rPr>
    </w:lvl>
    <w:lvl w:ilvl="5" w:tplc="D51664BC">
      <w:start w:val="1"/>
      <w:numFmt w:val="bullet"/>
      <w:lvlText w:val=""/>
      <w:lvlJc w:val="left"/>
      <w:pPr>
        <w:ind w:left="4320" w:hanging="360"/>
      </w:pPr>
      <w:rPr>
        <w:rFonts w:ascii="Wingdings" w:hAnsi="Wingdings" w:hint="default"/>
      </w:rPr>
    </w:lvl>
    <w:lvl w:ilvl="6" w:tplc="E8300BB6">
      <w:start w:val="1"/>
      <w:numFmt w:val="bullet"/>
      <w:lvlText w:val=""/>
      <w:lvlJc w:val="left"/>
      <w:pPr>
        <w:ind w:left="5040" w:hanging="360"/>
      </w:pPr>
      <w:rPr>
        <w:rFonts w:ascii="Symbol" w:hAnsi="Symbol" w:hint="default"/>
      </w:rPr>
    </w:lvl>
    <w:lvl w:ilvl="7" w:tplc="B66032DC">
      <w:start w:val="1"/>
      <w:numFmt w:val="bullet"/>
      <w:lvlText w:val="o"/>
      <w:lvlJc w:val="left"/>
      <w:pPr>
        <w:ind w:left="5760" w:hanging="360"/>
      </w:pPr>
      <w:rPr>
        <w:rFonts w:ascii="Courier New" w:hAnsi="Courier New" w:hint="default"/>
      </w:rPr>
    </w:lvl>
    <w:lvl w:ilvl="8" w:tplc="AB9AA294">
      <w:start w:val="1"/>
      <w:numFmt w:val="bullet"/>
      <w:lvlText w:val=""/>
      <w:lvlJc w:val="left"/>
      <w:pPr>
        <w:ind w:left="6480" w:hanging="360"/>
      </w:pPr>
      <w:rPr>
        <w:rFonts w:ascii="Wingdings" w:hAnsi="Wingdings" w:hint="default"/>
      </w:rPr>
    </w:lvl>
  </w:abstractNum>
  <w:abstractNum w:abstractNumId="5" w15:restartNumberingAfterBreak="0">
    <w:nsid w:val="1B3C0B71"/>
    <w:multiLevelType w:val="hybridMultilevel"/>
    <w:tmpl w:val="FFFFFFFF"/>
    <w:lvl w:ilvl="0" w:tplc="2FE6F008">
      <w:start w:val="1"/>
      <w:numFmt w:val="bullet"/>
      <w:lvlText w:val=""/>
      <w:lvlJc w:val="left"/>
      <w:pPr>
        <w:ind w:left="720" w:hanging="360"/>
      </w:pPr>
      <w:rPr>
        <w:rFonts w:ascii="Calibri,Sans-Serif" w:hAnsi="Calibri,Sans-Serif" w:hint="default"/>
      </w:rPr>
    </w:lvl>
    <w:lvl w:ilvl="1" w:tplc="E2E87F00">
      <w:start w:val="1"/>
      <w:numFmt w:val="bullet"/>
      <w:lvlText w:val="o"/>
      <w:lvlJc w:val="left"/>
      <w:pPr>
        <w:ind w:left="1440" w:hanging="360"/>
      </w:pPr>
      <w:rPr>
        <w:rFonts w:ascii="Courier New" w:hAnsi="Courier New" w:hint="default"/>
      </w:rPr>
    </w:lvl>
    <w:lvl w:ilvl="2" w:tplc="A7BC420A">
      <w:start w:val="1"/>
      <w:numFmt w:val="bullet"/>
      <w:lvlText w:val=""/>
      <w:lvlJc w:val="left"/>
      <w:pPr>
        <w:ind w:left="2160" w:hanging="360"/>
      </w:pPr>
      <w:rPr>
        <w:rFonts w:ascii="Wingdings" w:hAnsi="Wingdings" w:hint="default"/>
      </w:rPr>
    </w:lvl>
    <w:lvl w:ilvl="3" w:tplc="C5A83FF2">
      <w:start w:val="1"/>
      <w:numFmt w:val="bullet"/>
      <w:lvlText w:val=""/>
      <w:lvlJc w:val="left"/>
      <w:pPr>
        <w:ind w:left="2880" w:hanging="360"/>
      </w:pPr>
      <w:rPr>
        <w:rFonts w:ascii="Symbol" w:hAnsi="Symbol" w:hint="default"/>
      </w:rPr>
    </w:lvl>
    <w:lvl w:ilvl="4" w:tplc="847C0F0A">
      <w:start w:val="1"/>
      <w:numFmt w:val="bullet"/>
      <w:lvlText w:val="o"/>
      <w:lvlJc w:val="left"/>
      <w:pPr>
        <w:ind w:left="3600" w:hanging="360"/>
      </w:pPr>
      <w:rPr>
        <w:rFonts w:ascii="Courier New" w:hAnsi="Courier New" w:hint="default"/>
      </w:rPr>
    </w:lvl>
    <w:lvl w:ilvl="5" w:tplc="55CA91E4">
      <w:start w:val="1"/>
      <w:numFmt w:val="bullet"/>
      <w:lvlText w:val=""/>
      <w:lvlJc w:val="left"/>
      <w:pPr>
        <w:ind w:left="4320" w:hanging="360"/>
      </w:pPr>
      <w:rPr>
        <w:rFonts w:ascii="Wingdings" w:hAnsi="Wingdings" w:hint="default"/>
      </w:rPr>
    </w:lvl>
    <w:lvl w:ilvl="6" w:tplc="4EDCDA30">
      <w:start w:val="1"/>
      <w:numFmt w:val="bullet"/>
      <w:lvlText w:val=""/>
      <w:lvlJc w:val="left"/>
      <w:pPr>
        <w:ind w:left="5040" w:hanging="360"/>
      </w:pPr>
      <w:rPr>
        <w:rFonts w:ascii="Symbol" w:hAnsi="Symbol" w:hint="default"/>
      </w:rPr>
    </w:lvl>
    <w:lvl w:ilvl="7" w:tplc="E0AE26C0">
      <w:start w:val="1"/>
      <w:numFmt w:val="bullet"/>
      <w:lvlText w:val="o"/>
      <w:lvlJc w:val="left"/>
      <w:pPr>
        <w:ind w:left="5760" w:hanging="360"/>
      </w:pPr>
      <w:rPr>
        <w:rFonts w:ascii="Courier New" w:hAnsi="Courier New" w:hint="default"/>
      </w:rPr>
    </w:lvl>
    <w:lvl w:ilvl="8" w:tplc="FA064A3C">
      <w:start w:val="1"/>
      <w:numFmt w:val="bullet"/>
      <w:lvlText w:val=""/>
      <w:lvlJc w:val="left"/>
      <w:pPr>
        <w:ind w:left="6480" w:hanging="360"/>
      </w:pPr>
      <w:rPr>
        <w:rFonts w:ascii="Wingdings" w:hAnsi="Wingdings" w:hint="default"/>
      </w:rPr>
    </w:lvl>
  </w:abstractNum>
  <w:abstractNum w:abstractNumId="6" w15:restartNumberingAfterBreak="0">
    <w:nsid w:val="1DCE291F"/>
    <w:multiLevelType w:val="hybridMultilevel"/>
    <w:tmpl w:val="D2FC9D08"/>
    <w:lvl w:ilvl="0" w:tplc="EA3E134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F4647F"/>
    <w:multiLevelType w:val="hybridMultilevel"/>
    <w:tmpl w:val="FFFFFFFF"/>
    <w:lvl w:ilvl="0" w:tplc="E70C6D10">
      <w:start w:val="1"/>
      <w:numFmt w:val="bullet"/>
      <w:lvlText w:val=""/>
      <w:lvlJc w:val="left"/>
      <w:pPr>
        <w:ind w:left="720" w:hanging="360"/>
      </w:pPr>
      <w:rPr>
        <w:rFonts w:ascii="Symbol" w:hAnsi="Symbol" w:hint="default"/>
      </w:rPr>
    </w:lvl>
    <w:lvl w:ilvl="1" w:tplc="6B089B8A">
      <w:start w:val="1"/>
      <w:numFmt w:val="bullet"/>
      <w:lvlText w:val="o"/>
      <w:lvlJc w:val="left"/>
      <w:pPr>
        <w:ind w:left="1440" w:hanging="360"/>
      </w:pPr>
      <w:rPr>
        <w:rFonts w:ascii="Courier New" w:hAnsi="Courier New" w:hint="default"/>
      </w:rPr>
    </w:lvl>
    <w:lvl w:ilvl="2" w:tplc="94366EE0">
      <w:start w:val="1"/>
      <w:numFmt w:val="bullet"/>
      <w:lvlText w:val=""/>
      <w:lvlJc w:val="left"/>
      <w:pPr>
        <w:ind w:left="2160" w:hanging="360"/>
      </w:pPr>
      <w:rPr>
        <w:rFonts w:ascii="Wingdings" w:hAnsi="Wingdings" w:hint="default"/>
      </w:rPr>
    </w:lvl>
    <w:lvl w:ilvl="3" w:tplc="09382D60">
      <w:start w:val="1"/>
      <w:numFmt w:val="bullet"/>
      <w:lvlText w:val=""/>
      <w:lvlJc w:val="left"/>
      <w:pPr>
        <w:ind w:left="2880" w:hanging="360"/>
      </w:pPr>
      <w:rPr>
        <w:rFonts w:ascii="Symbol" w:hAnsi="Symbol" w:hint="default"/>
      </w:rPr>
    </w:lvl>
    <w:lvl w:ilvl="4" w:tplc="0BB0D6B6">
      <w:start w:val="1"/>
      <w:numFmt w:val="bullet"/>
      <w:lvlText w:val="o"/>
      <w:lvlJc w:val="left"/>
      <w:pPr>
        <w:ind w:left="3600" w:hanging="360"/>
      </w:pPr>
      <w:rPr>
        <w:rFonts w:ascii="Courier New" w:hAnsi="Courier New" w:hint="default"/>
      </w:rPr>
    </w:lvl>
    <w:lvl w:ilvl="5" w:tplc="B7A2672E">
      <w:start w:val="1"/>
      <w:numFmt w:val="bullet"/>
      <w:lvlText w:val=""/>
      <w:lvlJc w:val="left"/>
      <w:pPr>
        <w:ind w:left="4320" w:hanging="360"/>
      </w:pPr>
      <w:rPr>
        <w:rFonts w:ascii="Wingdings" w:hAnsi="Wingdings" w:hint="default"/>
      </w:rPr>
    </w:lvl>
    <w:lvl w:ilvl="6" w:tplc="E27EA772">
      <w:start w:val="1"/>
      <w:numFmt w:val="bullet"/>
      <w:lvlText w:val=""/>
      <w:lvlJc w:val="left"/>
      <w:pPr>
        <w:ind w:left="5040" w:hanging="360"/>
      </w:pPr>
      <w:rPr>
        <w:rFonts w:ascii="Symbol" w:hAnsi="Symbol" w:hint="default"/>
      </w:rPr>
    </w:lvl>
    <w:lvl w:ilvl="7" w:tplc="4BB60392">
      <w:start w:val="1"/>
      <w:numFmt w:val="bullet"/>
      <w:lvlText w:val="o"/>
      <w:lvlJc w:val="left"/>
      <w:pPr>
        <w:ind w:left="5760" w:hanging="360"/>
      </w:pPr>
      <w:rPr>
        <w:rFonts w:ascii="Courier New" w:hAnsi="Courier New" w:hint="default"/>
      </w:rPr>
    </w:lvl>
    <w:lvl w:ilvl="8" w:tplc="41CEE02E">
      <w:start w:val="1"/>
      <w:numFmt w:val="bullet"/>
      <w:lvlText w:val=""/>
      <w:lvlJc w:val="left"/>
      <w:pPr>
        <w:ind w:left="6480" w:hanging="360"/>
      </w:pPr>
      <w:rPr>
        <w:rFonts w:ascii="Wingdings" w:hAnsi="Wingdings" w:hint="default"/>
      </w:rPr>
    </w:lvl>
  </w:abstractNum>
  <w:abstractNum w:abstractNumId="8" w15:restartNumberingAfterBreak="0">
    <w:nsid w:val="31F6560E"/>
    <w:multiLevelType w:val="hybridMultilevel"/>
    <w:tmpl w:val="41D84DDE"/>
    <w:lvl w:ilvl="0" w:tplc="ABC66E28">
      <w:start w:val="1"/>
      <w:numFmt w:val="bullet"/>
      <w:lvlText w:val="•"/>
      <w:lvlJc w:val="left"/>
      <w:pPr>
        <w:tabs>
          <w:tab w:val="num" w:pos="720"/>
        </w:tabs>
        <w:ind w:left="720" w:hanging="360"/>
      </w:pPr>
      <w:rPr>
        <w:rFonts w:ascii="Arial" w:hAnsi="Arial" w:hint="default"/>
      </w:rPr>
    </w:lvl>
    <w:lvl w:ilvl="1" w:tplc="67AA60D8" w:tentative="1">
      <w:start w:val="1"/>
      <w:numFmt w:val="bullet"/>
      <w:lvlText w:val="•"/>
      <w:lvlJc w:val="left"/>
      <w:pPr>
        <w:tabs>
          <w:tab w:val="num" w:pos="1440"/>
        </w:tabs>
        <w:ind w:left="1440" w:hanging="360"/>
      </w:pPr>
      <w:rPr>
        <w:rFonts w:ascii="Arial" w:hAnsi="Arial" w:hint="default"/>
      </w:rPr>
    </w:lvl>
    <w:lvl w:ilvl="2" w:tplc="C61E1144" w:tentative="1">
      <w:start w:val="1"/>
      <w:numFmt w:val="bullet"/>
      <w:lvlText w:val="•"/>
      <w:lvlJc w:val="left"/>
      <w:pPr>
        <w:tabs>
          <w:tab w:val="num" w:pos="2160"/>
        </w:tabs>
        <w:ind w:left="2160" w:hanging="360"/>
      </w:pPr>
      <w:rPr>
        <w:rFonts w:ascii="Arial" w:hAnsi="Arial" w:hint="default"/>
      </w:rPr>
    </w:lvl>
    <w:lvl w:ilvl="3" w:tplc="B5CE2494" w:tentative="1">
      <w:start w:val="1"/>
      <w:numFmt w:val="bullet"/>
      <w:lvlText w:val="•"/>
      <w:lvlJc w:val="left"/>
      <w:pPr>
        <w:tabs>
          <w:tab w:val="num" w:pos="2880"/>
        </w:tabs>
        <w:ind w:left="2880" w:hanging="360"/>
      </w:pPr>
      <w:rPr>
        <w:rFonts w:ascii="Arial" w:hAnsi="Arial" w:hint="default"/>
      </w:rPr>
    </w:lvl>
    <w:lvl w:ilvl="4" w:tplc="8FD0945C" w:tentative="1">
      <w:start w:val="1"/>
      <w:numFmt w:val="bullet"/>
      <w:lvlText w:val="•"/>
      <w:lvlJc w:val="left"/>
      <w:pPr>
        <w:tabs>
          <w:tab w:val="num" w:pos="3600"/>
        </w:tabs>
        <w:ind w:left="3600" w:hanging="360"/>
      </w:pPr>
      <w:rPr>
        <w:rFonts w:ascii="Arial" w:hAnsi="Arial" w:hint="default"/>
      </w:rPr>
    </w:lvl>
    <w:lvl w:ilvl="5" w:tplc="FD624D02" w:tentative="1">
      <w:start w:val="1"/>
      <w:numFmt w:val="bullet"/>
      <w:lvlText w:val="•"/>
      <w:lvlJc w:val="left"/>
      <w:pPr>
        <w:tabs>
          <w:tab w:val="num" w:pos="4320"/>
        </w:tabs>
        <w:ind w:left="4320" w:hanging="360"/>
      </w:pPr>
      <w:rPr>
        <w:rFonts w:ascii="Arial" w:hAnsi="Arial" w:hint="default"/>
      </w:rPr>
    </w:lvl>
    <w:lvl w:ilvl="6" w:tplc="A608337E" w:tentative="1">
      <w:start w:val="1"/>
      <w:numFmt w:val="bullet"/>
      <w:lvlText w:val="•"/>
      <w:lvlJc w:val="left"/>
      <w:pPr>
        <w:tabs>
          <w:tab w:val="num" w:pos="5040"/>
        </w:tabs>
        <w:ind w:left="5040" w:hanging="360"/>
      </w:pPr>
      <w:rPr>
        <w:rFonts w:ascii="Arial" w:hAnsi="Arial" w:hint="default"/>
      </w:rPr>
    </w:lvl>
    <w:lvl w:ilvl="7" w:tplc="EA7E8F0C" w:tentative="1">
      <w:start w:val="1"/>
      <w:numFmt w:val="bullet"/>
      <w:lvlText w:val="•"/>
      <w:lvlJc w:val="left"/>
      <w:pPr>
        <w:tabs>
          <w:tab w:val="num" w:pos="5760"/>
        </w:tabs>
        <w:ind w:left="5760" w:hanging="360"/>
      </w:pPr>
      <w:rPr>
        <w:rFonts w:ascii="Arial" w:hAnsi="Arial" w:hint="default"/>
      </w:rPr>
    </w:lvl>
    <w:lvl w:ilvl="8" w:tplc="343C6C2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5506C89"/>
    <w:multiLevelType w:val="hybridMultilevel"/>
    <w:tmpl w:val="FFFFFFFF"/>
    <w:lvl w:ilvl="0" w:tplc="70943D7E">
      <w:start w:val="1"/>
      <w:numFmt w:val="bullet"/>
      <w:lvlText w:val=""/>
      <w:lvlJc w:val="left"/>
      <w:pPr>
        <w:ind w:left="720" w:hanging="360"/>
      </w:pPr>
      <w:rPr>
        <w:rFonts w:ascii="Symbol" w:hAnsi="Symbol" w:hint="default"/>
      </w:rPr>
    </w:lvl>
    <w:lvl w:ilvl="1" w:tplc="5F9C7552">
      <w:start w:val="1"/>
      <w:numFmt w:val="bullet"/>
      <w:lvlText w:val="o"/>
      <w:lvlJc w:val="left"/>
      <w:pPr>
        <w:ind w:left="1440" w:hanging="360"/>
      </w:pPr>
      <w:rPr>
        <w:rFonts w:ascii="Courier New" w:hAnsi="Courier New" w:hint="default"/>
      </w:rPr>
    </w:lvl>
    <w:lvl w:ilvl="2" w:tplc="4CACD77C">
      <w:start w:val="1"/>
      <w:numFmt w:val="bullet"/>
      <w:lvlText w:val=""/>
      <w:lvlJc w:val="left"/>
      <w:pPr>
        <w:ind w:left="2160" w:hanging="360"/>
      </w:pPr>
      <w:rPr>
        <w:rFonts w:ascii="Wingdings" w:hAnsi="Wingdings" w:hint="default"/>
      </w:rPr>
    </w:lvl>
    <w:lvl w:ilvl="3" w:tplc="495CE5C6">
      <w:start w:val="1"/>
      <w:numFmt w:val="bullet"/>
      <w:lvlText w:val=""/>
      <w:lvlJc w:val="left"/>
      <w:pPr>
        <w:ind w:left="2880" w:hanging="360"/>
      </w:pPr>
      <w:rPr>
        <w:rFonts w:ascii="Symbol" w:hAnsi="Symbol" w:hint="default"/>
      </w:rPr>
    </w:lvl>
    <w:lvl w:ilvl="4" w:tplc="60949E48">
      <w:start w:val="1"/>
      <w:numFmt w:val="bullet"/>
      <w:lvlText w:val="o"/>
      <w:lvlJc w:val="left"/>
      <w:pPr>
        <w:ind w:left="3600" w:hanging="360"/>
      </w:pPr>
      <w:rPr>
        <w:rFonts w:ascii="Courier New" w:hAnsi="Courier New" w:hint="default"/>
      </w:rPr>
    </w:lvl>
    <w:lvl w:ilvl="5" w:tplc="D7683D16">
      <w:start w:val="1"/>
      <w:numFmt w:val="bullet"/>
      <w:lvlText w:val=""/>
      <w:lvlJc w:val="left"/>
      <w:pPr>
        <w:ind w:left="4320" w:hanging="360"/>
      </w:pPr>
      <w:rPr>
        <w:rFonts w:ascii="Wingdings" w:hAnsi="Wingdings" w:hint="default"/>
      </w:rPr>
    </w:lvl>
    <w:lvl w:ilvl="6" w:tplc="E1702F80">
      <w:start w:val="1"/>
      <w:numFmt w:val="bullet"/>
      <w:lvlText w:val=""/>
      <w:lvlJc w:val="left"/>
      <w:pPr>
        <w:ind w:left="5040" w:hanging="360"/>
      </w:pPr>
      <w:rPr>
        <w:rFonts w:ascii="Symbol" w:hAnsi="Symbol" w:hint="default"/>
      </w:rPr>
    </w:lvl>
    <w:lvl w:ilvl="7" w:tplc="89BC8FFA">
      <w:start w:val="1"/>
      <w:numFmt w:val="bullet"/>
      <w:lvlText w:val="o"/>
      <w:lvlJc w:val="left"/>
      <w:pPr>
        <w:ind w:left="5760" w:hanging="360"/>
      </w:pPr>
      <w:rPr>
        <w:rFonts w:ascii="Courier New" w:hAnsi="Courier New" w:hint="default"/>
      </w:rPr>
    </w:lvl>
    <w:lvl w:ilvl="8" w:tplc="FDE62C48">
      <w:start w:val="1"/>
      <w:numFmt w:val="bullet"/>
      <w:lvlText w:val=""/>
      <w:lvlJc w:val="left"/>
      <w:pPr>
        <w:ind w:left="6480" w:hanging="360"/>
      </w:pPr>
      <w:rPr>
        <w:rFonts w:ascii="Wingdings" w:hAnsi="Wingdings" w:hint="default"/>
      </w:rPr>
    </w:lvl>
  </w:abstractNum>
  <w:abstractNum w:abstractNumId="10" w15:restartNumberingAfterBreak="0">
    <w:nsid w:val="3A953613"/>
    <w:multiLevelType w:val="hybridMultilevel"/>
    <w:tmpl w:val="7762498C"/>
    <w:lvl w:ilvl="0" w:tplc="E0D85F8E">
      <w:start w:val="1"/>
      <w:numFmt w:val="bullet"/>
      <w:lvlText w:val="•"/>
      <w:lvlJc w:val="left"/>
      <w:pPr>
        <w:tabs>
          <w:tab w:val="num" w:pos="720"/>
        </w:tabs>
        <w:ind w:left="720" w:hanging="360"/>
      </w:pPr>
      <w:rPr>
        <w:rFonts w:ascii="Arial" w:hAnsi="Arial" w:hint="default"/>
      </w:rPr>
    </w:lvl>
    <w:lvl w:ilvl="1" w:tplc="54861774" w:tentative="1">
      <w:start w:val="1"/>
      <w:numFmt w:val="bullet"/>
      <w:lvlText w:val="•"/>
      <w:lvlJc w:val="left"/>
      <w:pPr>
        <w:tabs>
          <w:tab w:val="num" w:pos="1440"/>
        </w:tabs>
        <w:ind w:left="1440" w:hanging="360"/>
      </w:pPr>
      <w:rPr>
        <w:rFonts w:ascii="Arial" w:hAnsi="Arial" w:hint="default"/>
      </w:rPr>
    </w:lvl>
    <w:lvl w:ilvl="2" w:tplc="3252FF12" w:tentative="1">
      <w:start w:val="1"/>
      <w:numFmt w:val="bullet"/>
      <w:lvlText w:val="•"/>
      <w:lvlJc w:val="left"/>
      <w:pPr>
        <w:tabs>
          <w:tab w:val="num" w:pos="2160"/>
        </w:tabs>
        <w:ind w:left="2160" w:hanging="360"/>
      </w:pPr>
      <w:rPr>
        <w:rFonts w:ascii="Arial" w:hAnsi="Arial" w:hint="default"/>
      </w:rPr>
    </w:lvl>
    <w:lvl w:ilvl="3" w:tplc="EC54119E" w:tentative="1">
      <w:start w:val="1"/>
      <w:numFmt w:val="bullet"/>
      <w:lvlText w:val="•"/>
      <w:lvlJc w:val="left"/>
      <w:pPr>
        <w:tabs>
          <w:tab w:val="num" w:pos="2880"/>
        </w:tabs>
        <w:ind w:left="2880" w:hanging="360"/>
      </w:pPr>
      <w:rPr>
        <w:rFonts w:ascii="Arial" w:hAnsi="Arial" w:hint="default"/>
      </w:rPr>
    </w:lvl>
    <w:lvl w:ilvl="4" w:tplc="3F8A1408" w:tentative="1">
      <w:start w:val="1"/>
      <w:numFmt w:val="bullet"/>
      <w:lvlText w:val="•"/>
      <w:lvlJc w:val="left"/>
      <w:pPr>
        <w:tabs>
          <w:tab w:val="num" w:pos="3600"/>
        </w:tabs>
        <w:ind w:left="3600" w:hanging="360"/>
      </w:pPr>
      <w:rPr>
        <w:rFonts w:ascii="Arial" w:hAnsi="Arial" w:hint="default"/>
      </w:rPr>
    </w:lvl>
    <w:lvl w:ilvl="5" w:tplc="E034D810" w:tentative="1">
      <w:start w:val="1"/>
      <w:numFmt w:val="bullet"/>
      <w:lvlText w:val="•"/>
      <w:lvlJc w:val="left"/>
      <w:pPr>
        <w:tabs>
          <w:tab w:val="num" w:pos="4320"/>
        </w:tabs>
        <w:ind w:left="4320" w:hanging="360"/>
      </w:pPr>
      <w:rPr>
        <w:rFonts w:ascii="Arial" w:hAnsi="Arial" w:hint="default"/>
      </w:rPr>
    </w:lvl>
    <w:lvl w:ilvl="6" w:tplc="72CEC878" w:tentative="1">
      <w:start w:val="1"/>
      <w:numFmt w:val="bullet"/>
      <w:lvlText w:val="•"/>
      <w:lvlJc w:val="left"/>
      <w:pPr>
        <w:tabs>
          <w:tab w:val="num" w:pos="5040"/>
        </w:tabs>
        <w:ind w:left="5040" w:hanging="360"/>
      </w:pPr>
      <w:rPr>
        <w:rFonts w:ascii="Arial" w:hAnsi="Arial" w:hint="default"/>
      </w:rPr>
    </w:lvl>
    <w:lvl w:ilvl="7" w:tplc="4E4AE9B6" w:tentative="1">
      <w:start w:val="1"/>
      <w:numFmt w:val="bullet"/>
      <w:lvlText w:val="•"/>
      <w:lvlJc w:val="left"/>
      <w:pPr>
        <w:tabs>
          <w:tab w:val="num" w:pos="5760"/>
        </w:tabs>
        <w:ind w:left="5760" w:hanging="360"/>
      </w:pPr>
      <w:rPr>
        <w:rFonts w:ascii="Arial" w:hAnsi="Arial" w:hint="default"/>
      </w:rPr>
    </w:lvl>
    <w:lvl w:ilvl="8" w:tplc="B268F55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E591F4B"/>
    <w:multiLevelType w:val="hybridMultilevel"/>
    <w:tmpl w:val="AE381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412BC8"/>
    <w:multiLevelType w:val="hybridMultilevel"/>
    <w:tmpl w:val="FFFFFFFF"/>
    <w:lvl w:ilvl="0" w:tplc="65003398">
      <w:start w:val="1"/>
      <w:numFmt w:val="bullet"/>
      <w:lvlText w:val=""/>
      <w:lvlJc w:val="left"/>
      <w:pPr>
        <w:ind w:left="720" w:hanging="360"/>
      </w:pPr>
      <w:rPr>
        <w:rFonts w:ascii="Calibri,Sans-Serif" w:hAnsi="Calibri,Sans-Serif" w:hint="default"/>
      </w:rPr>
    </w:lvl>
    <w:lvl w:ilvl="1" w:tplc="B47A2084">
      <w:start w:val="1"/>
      <w:numFmt w:val="bullet"/>
      <w:lvlText w:val="o"/>
      <w:lvlJc w:val="left"/>
      <w:pPr>
        <w:ind w:left="1440" w:hanging="360"/>
      </w:pPr>
      <w:rPr>
        <w:rFonts w:ascii="Courier New" w:hAnsi="Courier New" w:hint="default"/>
      </w:rPr>
    </w:lvl>
    <w:lvl w:ilvl="2" w:tplc="B584154E">
      <w:start w:val="1"/>
      <w:numFmt w:val="bullet"/>
      <w:lvlText w:val=""/>
      <w:lvlJc w:val="left"/>
      <w:pPr>
        <w:ind w:left="2160" w:hanging="360"/>
      </w:pPr>
      <w:rPr>
        <w:rFonts w:ascii="Wingdings" w:hAnsi="Wingdings" w:hint="default"/>
      </w:rPr>
    </w:lvl>
    <w:lvl w:ilvl="3" w:tplc="A4DE5896">
      <w:start w:val="1"/>
      <w:numFmt w:val="bullet"/>
      <w:lvlText w:val=""/>
      <w:lvlJc w:val="left"/>
      <w:pPr>
        <w:ind w:left="2880" w:hanging="360"/>
      </w:pPr>
      <w:rPr>
        <w:rFonts w:ascii="Symbol" w:hAnsi="Symbol" w:hint="default"/>
      </w:rPr>
    </w:lvl>
    <w:lvl w:ilvl="4" w:tplc="E250CE3E">
      <w:start w:val="1"/>
      <w:numFmt w:val="bullet"/>
      <w:lvlText w:val="o"/>
      <w:lvlJc w:val="left"/>
      <w:pPr>
        <w:ind w:left="3600" w:hanging="360"/>
      </w:pPr>
      <w:rPr>
        <w:rFonts w:ascii="Courier New" w:hAnsi="Courier New" w:hint="default"/>
      </w:rPr>
    </w:lvl>
    <w:lvl w:ilvl="5" w:tplc="C4605332">
      <w:start w:val="1"/>
      <w:numFmt w:val="bullet"/>
      <w:lvlText w:val=""/>
      <w:lvlJc w:val="left"/>
      <w:pPr>
        <w:ind w:left="4320" w:hanging="360"/>
      </w:pPr>
      <w:rPr>
        <w:rFonts w:ascii="Wingdings" w:hAnsi="Wingdings" w:hint="default"/>
      </w:rPr>
    </w:lvl>
    <w:lvl w:ilvl="6" w:tplc="1982D898">
      <w:start w:val="1"/>
      <w:numFmt w:val="bullet"/>
      <w:lvlText w:val=""/>
      <w:lvlJc w:val="left"/>
      <w:pPr>
        <w:ind w:left="5040" w:hanging="360"/>
      </w:pPr>
      <w:rPr>
        <w:rFonts w:ascii="Symbol" w:hAnsi="Symbol" w:hint="default"/>
      </w:rPr>
    </w:lvl>
    <w:lvl w:ilvl="7" w:tplc="BDFCED88">
      <w:start w:val="1"/>
      <w:numFmt w:val="bullet"/>
      <w:lvlText w:val="o"/>
      <w:lvlJc w:val="left"/>
      <w:pPr>
        <w:ind w:left="5760" w:hanging="360"/>
      </w:pPr>
      <w:rPr>
        <w:rFonts w:ascii="Courier New" w:hAnsi="Courier New" w:hint="default"/>
      </w:rPr>
    </w:lvl>
    <w:lvl w:ilvl="8" w:tplc="F9165BFA">
      <w:start w:val="1"/>
      <w:numFmt w:val="bullet"/>
      <w:lvlText w:val=""/>
      <w:lvlJc w:val="left"/>
      <w:pPr>
        <w:ind w:left="6480" w:hanging="360"/>
      </w:pPr>
      <w:rPr>
        <w:rFonts w:ascii="Wingdings" w:hAnsi="Wingdings" w:hint="default"/>
      </w:rPr>
    </w:lvl>
  </w:abstractNum>
  <w:abstractNum w:abstractNumId="13" w15:restartNumberingAfterBreak="0">
    <w:nsid w:val="477926CB"/>
    <w:multiLevelType w:val="hybridMultilevel"/>
    <w:tmpl w:val="1EA60880"/>
    <w:lvl w:ilvl="0" w:tplc="563CC2DC">
      <w:start w:val="1"/>
      <w:numFmt w:val="decimal"/>
      <w:lvlText w:val="%1."/>
      <w:lvlJc w:val="left"/>
      <w:pPr>
        <w:ind w:left="720" w:hanging="360"/>
      </w:pPr>
    </w:lvl>
    <w:lvl w:ilvl="1" w:tplc="E2A8CE04">
      <w:start w:val="1"/>
      <w:numFmt w:val="lowerLetter"/>
      <w:lvlText w:val="%2."/>
      <w:lvlJc w:val="left"/>
      <w:pPr>
        <w:ind w:left="1440" w:hanging="360"/>
      </w:pPr>
    </w:lvl>
    <w:lvl w:ilvl="2" w:tplc="F7E6DE1E">
      <w:start w:val="1"/>
      <w:numFmt w:val="lowerRoman"/>
      <w:lvlText w:val="%3."/>
      <w:lvlJc w:val="right"/>
      <w:pPr>
        <w:ind w:left="2160" w:hanging="180"/>
      </w:pPr>
    </w:lvl>
    <w:lvl w:ilvl="3" w:tplc="CC86A79C">
      <w:start w:val="1"/>
      <w:numFmt w:val="decimal"/>
      <w:lvlText w:val="%4."/>
      <w:lvlJc w:val="left"/>
      <w:pPr>
        <w:ind w:left="2880" w:hanging="360"/>
      </w:pPr>
    </w:lvl>
    <w:lvl w:ilvl="4" w:tplc="78C458C6">
      <w:start w:val="1"/>
      <w:numFmt w:val="lowerLetter"/>
      <w:lvlText w:val="%5."/>
      <w:lvlJc w:val="left"/>
      <w:pPr>
        <w:ind w:left="3600" w:hanging="360"/>
      </w:pPr>
    </w:lvl>
    <w:lvl w:ilvl="5" w:tplc="FEC455EE">
      <w:start w:val="1"/>
      <w:numFmt w:val="lowerRoman"/>
      <w:lvlText w:val="%6."/>
      <w:lvlJc w:val="right"/>
      <w:pPr>
        <w:ind w:left="4320" w:hanging="180"/>
      </w:pPr>
    </w:lvl>
    <w:lvl w:ilvl="6" w:tplc="15E67482">
      <w:start w:val="1"/>
      <w:numFmt w:val="decimal"/>
      <w:lvlText w:val="%7."/>
      <w:lvlJc w:val="left"/>
      <w:pPr>
        <w:ind w:left="5040" w:hanging="360"/>
      </w:pPr>
    </w:lvl>
    <w:lvl w:ilvl="7" w:tplc="2CEEF518">
      <w:start w:val="1"/>
      <w:numFmt w:val="lowerLetter"/>
      <w:lvlText w:val="%8."/>
      <w:lvlJc w:val="left"/>
      <w:pPr>
        <w:ind w:left="5760" w:hanging="360"/>
      </w:pPr>
    </w:lvl>
    <w:lvl w:ilvl="8" w:tplc="54302F6C">
      <w:start w:val="1"/>
      <w:numFmt w:val="lowerRoman"/>
      <w:lvlText w:val="%9."/>
      <w:lvlJc w:val="right"/>
      <w:pPr>
        <w:ind w:left="6480" w:hanging="180"/>
      </w:pPr>
    </w:lvl>
  </w:abstractNum>
  <w:abstractNum w:abstractNumId="14" w15:restartNumberingAfterBreak="0">
    <w:nsid w:val="4BA3CF4E"/>
    <w:multiLevelType w:val="hybridMultilevel"/>
    <w:tmpl w:val="FFFFFFFF"/>
    <w:lvl w:ilvl="0" w:tplc="37C27080">
      <w:start w:val="1"/>
      <w:numFmt w:val="bullet"/>
      <w:lvlText w:val=""/>
      <w:lvlJc w:val="left"/>
      <w:pPr>
        <w:ind w:left="720" w:hanging="360"/>
      </w:pPr>
      <w:rPr>
        <w:rFonts w:ascii="Calibri,Sans-Serif" w:hAnsi="Calibri,Sans-Serif" w:hint="default"/>
      </w:rPr>
    </w:lvl>
    <w:lvl w:ilvl="1" w:tplc="4E1A9F4A">
      <w:start w:val="1"/>
      <w:numFmt w:val="bullet"/>
      <w:lvlText w:val="o"/>
      <w:lvlJc w:val="left"/>
      <w:pPr>
        <w:ind w:left="1440" w:hanging="360"/>
      </w:pPr>
      <w:rPr>
        <w:rFonts w:ascii="Courier New" w:hAnsi="Courier New" w:hint="default"/>
      </w:rPr>
    </w:lvl>
    <w:lvl w:ilvl="2" w:tplc="40926F7A">
      <w:start w:val="1"/>
      <w:numFmt w:val="bullet"/>
      <w:lvlText w:val=""/>
      <w:lvlJc w:val="left"/>
      <w:pPr>
        <w:ind w:left="2160" w:hanging="360"/>
      </w:pPr>
      <w:rPr>
        <w:rFonts w:ascii="Wingdings" w:hAnsi="Wingdings" w:hint="default"/>
      </w:rPr>
    </w:lvl>
    <w:lvl w:ilvl="3" w:tplc="2F7026B2">
      <w:start w:val="1"/>
      <w:numFmt w:val="bullet"/>
      <w:lvlText w:val=""/>
      <w:lvlJc w:val="left"/>
      <w:pPr>
        <w:ind w:left="2880" w:hanging="360"/>
      </w:pPr>
      <w:rPr>
        <w:rFonts w:ascii="Symbol" w:hAnsi="Symbol" w:hint="default"/>
      </w:rPr>
    </w:lvl>
    <w:lvl w:ilvl="4" w:tplc="CEAC2CD8">
      <w:start w:val="1"/>
      <w:numFmt w:val="bullet"/>
      <w:lvlText w:val="o"/>
      <w:lvlJc w:val="left"/>
      <w:pPr>
        <w:ind w:left="3600" w:hanging="360"/>
      </w:pPr>
      <w:rPr>
        <w:rFonts w:ascii="Courier New" w:hAnsi="Courier New" w:hint="default"/>
      </w:rPr>
    </w:lvl>
    <w:lvl w:ilvl="5" w:tplc="E4C0200A">
      <w:start w:val="1"/>
      <w:numFmt w:val="bullet"/>
      <w:lvlText w:val=""/>
      <w:lvlJc w:val="left"/>
      <w:pPr>
        <w:ind w:left="4320" w:hanging="360"/>
      </w:pPr>
      <w:rPr>
        <w:rFonts w:ascii="Wingdings" w:hAnsi="Wingdings" w:hint="default"/>
      </w:rPr>
    </w:lvl>
    <w:lvl w:ilvl="6" w:tplc="8290769E">
      <w:start w:val="1"/>
      <w:numFmt w:val="bullet"/>
      <w:lvlText w:val=""/>
      <w:lvlJc w:val="left"/>
      <w:pPr>
        <w:ind w:left="5040" w:hanging="360"/>
      </w:pPr>
      <w:rPr>
        <w:rFonts w:ascii="Symbol" w:hAnsi="Symbol" w:hint="default"/>
      </w:rPr>
    </w:lvl>
    <w:lvl w:ilvl="7" w:tplc="23E6853E">
      <w:start w:val="1"/>
      <w:numFmt w:val="bullet"/>
      <w:lvlText w:val="o"/>
      <w:lvlJc w:val="left"/>
      <w:pPr>
        <w:ind w:left="5760" w:hanging="360"/>
      </w:pPr>
      <w:rPr>
        <w:rFonts w:ascii="Courier New" w:hAnsi="Courier New" w:hint="default"/>
      </w:rPr>
    </w:lvl>
    <w:lvl w:ilvl="8" w:tplc="08C4ACF0">
      <w:start w:val="1"/>
      <w:numFmt w:val="bullet"/>
      <w:lvlText w:val=""/>
      <w:lvlJc w:val="left"/>
      <w:pPr>
        <w:ind w:left="6480" w:hanging="360"/>
      </w:pPr>
      <w:rPr>
        <w:rFonts w:ascii="Wingdings" w:hAnsi="Wingdings" w:hint="default"/>
      </w:rPr>
    </w:lvl>
  </w:abstractNum>
  <w:abstractNum w:abstractNumId="15" w15:restartNumberingAfterBreak="0">
    <w:nsid w:val="4EE441A0"/>
    <w:multiLevelType w:val="hybridMultilevel"/>
    <w:tmpl w:val="AE3813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0F01872"/>
    <w:multiLevelType w:val="hybridMultilevel"/>
    <w:tmpl w:val="FFFFFFFF"/>
    <w:lvl w:ilvl="0" w:tplc="2ECEFFA6">
      <w:start w:val="1"/>
      <w:numFmt w:val="decimal"/>
      <w:lvlText w:val="%1)"/>
      <w:lvlJc w:val="left"/>
      <w:pPr>
        <w:ind w:left="720" w:hanging="360"/>
      </w:pPr>
    </w:lvl>
    <w:lvl w:ilvl="1" w:tplc="2CE6EAD0">
      <w:start w:val="1"/>
      <w:numFmt w:val="lowerLetter"/>
      <w:lvlText w:val="%2."/>
      <w:lvlJc w:val="left"/>
      <w:pPr>
        <w:ind w:left="1440" w:hanging="360"/>
      </w:pPr>
    </w:lvl>
    <w:lvl w:ilvl="2" w:tplc="B10A41BE">
      <w:start w:val="1"/>
      <w:numFmt w:val="lowerRoman"/>
      <w:lvlText w:val="%3."/>
      <w:lvlJc w:val="right"/>
      <w:pPr>
        <w:ind w:left="2160" w:hanging="180"/>
      </w:pPr>
    </w:lvl>
    <w:lvl w:ilvl="3" w:tplc="64207600">
      <w:start w:val="1"/>
      <w:numFmt w:val="decimal"/>
      <w:lvlText w:val="%4."/>
      <w:lvlJc w:val="left"/>
      <w:pPr>
        <w:ind w:left="2880" w:hanging="360"/>
      </w:pPr>
    </w:lvl>
    <w:lvl w:ilvl="4" w:tplc="4DF630E0">
      <w:start w:val="1"/>
      <w:numFmt w:val="lowerLetter"/>
      <w:lvlText w:val="%5."/>
      <w:lvlJc w:val="left"/>
      <w:pPr>
        <w:ind w:left="3600" w:hanging="360"/>
      </w:pPr>
    </w:lvl>
    <w:lvl w:ilvl="5" w:tplc="802A41C2">
      <w:start w:val="1"/>
      <w:numFmt w:val="lowerRoman"/>
      <w:lvlText w:val="%6."/>
      <w:lvlJc w:val="right"/>
      <w:pPr>
        <w:ind w:left="4320" w:hanging="180"/>
      </w:pPr>
    </w:lvl>
    <w:lvl w:ilvl="6" w:tplc="3C2A9CCE">
      <w:start w:val="1"/>
      <w:numFmt w:val="decimal"/>
      <w:lvlText w:val="%7."/>
      <w:lvlJc w:val="left"/>
      <w:pPr>
        <w:ind w:left="5040" w:hanging="360"/>
      </w:pPr>
    </w:lvl>
    <w:lvl w:ilvl="7" w:tplc="0D3C2672">
      <w:start w:val="1"/>
      <w:numFmt w:val="lowerLetter"/>
      <w:lvlText w:val="%8."/>
      <w:lvlJc w:val="left"/>
      <w:pPr>
        <w:ind w:left="5760" w:hanging="360"/>
      </w:pPr>
    </w:lvl>
    <w:lvl w:ilvl="8" w:tplc="362215B2">
      <w:start w:val="1"/>
      <w:numFmt w:val="lowerRoman"/>
      <w:lvlText w:val="%9."/>
      <w:lvlJc w:val="right"/>
      <w:pPr>
        <w:ind w:left="6480" w:hanging="180"/>
      </w:pPr>
    </w:lvl>
  </w:abstractNum>
  <w:abstractNum w:abstractNumId="17" w15:restartNumberingAfterBreak="0">
    <w:nsid w:val="6DC859CB"/>
    <w:multiLevelType w:val="hybridMultilevel"/>
    <w:tmpl w:val="A820521E"/>
    <w:lvl w:ilvl="0" w:tplc="D8B89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BB7A43"/>
    <w:multiLevelType w:val="hybridMultilevel"/>
    <w:tmpl w:val="66BCB914"/>
    <w:lvl w:ilvl="0" w:tplc="E0F80DB6">
      <w:start w:val="1"/>
      <w:numFmt w:val="bullet"/>
      <w:lvlText w:val="•"/>
      <w:lvlJc w:val="left"/>
      <w:pPr>
        <w:tabs>
          <w:tab w:val="num" w:pos="720"/>
        </w:tabs>
        <w:ind w:left="720" w:hanging="360"/>
      </w:pPr>
      <w:rPr>
        <w:rFonts w:ascii="Arial" w:hAnsi="Arial" w:hint="default"/>
      </w:rPr>
    </w:lvl>
    <w:lvl w:ilvl="1" w:tplc="416E8996" w:tentative="1">
      <w:start w:val="1"/>
      <w:numFmt w:val="bullet"/>
      <w:lvlText w:val="•"/>
      <w:lvlJc w:val="left"/>
      <w:pPr>
        <w:tabs>
          <w:tab w:val="num" w:pos="1440"/>
        </w:tabs>
        <w:ind w:left="1440" w:hanging="360"/>
      </w:pPr>
      <w:rPr>
        <w:rFonts w:ascii="Arial" w:hAnsi="Arial" w:hint="default"/>
      </w:rPr>
    </w:lvl>
    <w:lvl w:ilvl="2" w:tplc="B428172C" w:tentative="1">
      <w:start w:val="1"/>
      <w:numFmt w:val="bullet"/>
      <w:lvlText w:val="•"/>
      <w:lvlJc w:val="left"/>
      <w:pPr>
        <w:tabs>
          <w:tab w:val="num" w:pos="2160"/>
        </w:tabs>
        <w:ind w:left="2160" w:hanging="360"/>
      </w:pPr>
      <w:rPr>
        <w:rFonts w:ascii="Arial" w:hAnsi="Arial" w:hint="default"/>
      </w:rPr>
    </w:lvl>
    <w:lvl w:ilvl="3" w:tplc="757A2B66" w:tentative="1">
      <w:start w:val="1"/>
      <w:numFmt w:val="bullet"/>
      <w:lvlText w:val="•"/>
      <w:lvlJc w:val="left"/>
      <w:pPr>
        <w:tabs>
          <w:tab w:val="num" w:pos="2880"/>
        </w:tabs>
        <w:ind w:left="2880" w:hanging="360"/>
      </w:pPr>
      <w:rPr>
        <w:rFonts w:ascii="Arial" w:hAnsi="Arial" w:hint="default"/>
      </w:rPr>
    </w:lvl>
    <w:lvl w:ilvl="4" w:tplc="4B86A3D6" w:tentative="1">
      <w:start w:val="1"/>
      <w:numFmt w:val="bullet"/>
      <w:lvlText w:val="•"/>
      <w:lvlJc w:val="left"/>
      <w:pPr>
        <w:tabs>
          <w:tab w:val="num" w:pos="3600"/>
        </w:tabs>
        <w:ind w:left="3600" w:hanging="360"/>
      </w:pPr>
      <w:rPr>
        <w:rFonts w:ascii="Arial" w:hAnsi="Arial" w:hint="default"/>
      </w:rPr>
    </w:lvl>
    <w:lvl w:ilvl="5" w:tplc="B262F9E0" w:tentative="1">
      <w:start w:val="1"/>
      <w:numFmt w:val="bullet"/>
      <w:lvlText w:val="•"/>
      <w:lvlJc w:val="left"/>
      <w:pPr>
        <w:tabs>
          <w:tab w:val="num" w:pos="4320"/>
        </w:tabs>
        <w:ind w:left="4320" w:hanging="360"/>
      </w:pPr>
      <w:rPr>
        <w:rFonts w:ascii="Arial" w:hAnsi="Arial" w:hint="default"/>
      </w:rPr>
    </w:lvl>
    <w:lvl w:ilvl="6" w:tplc="8F94BDD2" w:tentative="1">
      <w:start w:val="1"/>
      <w:numFmt w:val="bullet"/>
      <w:lvlText w:val="•"/>
      <w:lvlJc w:val="left"/>
      <w:pPr>
        <w:tabs>
          <w:tab w:val="num" w:pos="5040"/>
        </w:tabs>
        <w:ind w:left="5040" w:hanging="360"/>
      </w:pPr>
      <w:rPr>
        <w:rFonts w:ascii="Arial" w:hAnsi="Arial" w:hint="default"/>
      </w:rPr>
    </w:lvl>
    <w:lvl w:ilvl="7" w:tplc="9B466F6C" w:tentative="1">
      <w:start w:val="1"/>
      <w:numFmt w:val="bullet"/>
      <w:lvlText w:val="•"/>
      <w:lvlJc w:val="left"/>
      <w:pPr>
        <w:tabs>
          <w:tab w:val="num" w:pos="5760"/>
        </w:tabs>
        <w:ind w:left="5760" w:hanging="360"/>
      </w:pPr>
      <w:rPr>
        <w:rFonts w:ascii="Arial" w:hAnsi="Arial" w:hint="default"/>
      </w:rPr>
    </w:lvl>
    <w:lvl w:ilvl="8" w:tplc="0DDE81B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B873E0F"/>
    <w:multiLevelType w:val="hybridMultilevel"/>
    <w:tmpl w:val="E7182862"/>
    <w:lvl w:ilvl="0" w:tplc="7AF0B188">
      <w:start w:val="1"/>
      <w:numFmt w:val="bullet"/>
      <w:lvlText w:val="-"/>
      <w:lvlJc w:val="left"/>
      <w:pPr>
        <w:tabs>
          <w:tab w:val="num" w:pos="720"/>
        </w:tabs>
        <w:ind w:left="720" w:hanging="360"/>
      </w:pPr>
      <w:rPr>
        <w:rFonts w:ascii="Calibri" w:hAnsi="Calibri" w:hint="default"/>
      </w:rPr>
    </w:lvl>
    <w:lvl w:ilvl="1" w:tplc="3C76F4BC" w:tentative="1">
      <w:start w:val="1"/>
      <w:numFmt w:val="bullet"/>
      <w:lvlText w:val="-"/>
      <w:lvlJc w:val="left"/>
      <w:pPr>
        <w:tabs>
          <w:tab w:val="num" w:pos="1440"/>
        </w:tabs>
        <w:ind w:left="1440" w:hanging="360"/>
      </w:pPr>
      <w:rPr>
        <w:rFonts w:ascii="Calibri" w:hAnsi="Calibri" w:hint="default"/>
      </w:rPr>
    </w:lvl>
    <w:lvl w:ilvl="2" w:tplc="597C8696" w:tentative="1">
      <w:start w:val="1"/>
      <w:numFmt w:val="bullet"/>
      <w:lvlText w:val="-"/>
      <w:lvlJc w:val="left"/>
      <w:pPr>
        <w:tabs>
          <w:tab w:val="num" w:pos="2160"/>
        </w:tabs>
        <w:ind w:left="2160" w:hanging="360"/>
      </w:pPr>
      <w:rPr>
        <w:rFonts w:ascii="Calibri" w:hAnsi="Calibri" w:hint="default"/>
      </w:rPr>
    </w:lvl>
    <w:lvl w:ilvl="3" w:tplc="C60A1982" w:tentative="1">
      <w:start w:val="1"/>
      <w:numFmt w:val="bullet"/>
      <w:lvlText w:val="-"/>
      <w:lvlJc w:val="left"/>
      <w:pPr>
        <w:tabs>
          <w:tab w:val="num" w:pos="2880"/>
        </w:tabs>
        <w:ind w:left="2880" w:hanging="360"/>
      </w:pPr>
      <w:rPr>
        <w:rFonts w:ascii="Calibri" w:hAnsi="Calibri" w:hint="default"/>
      </w:rPr>
    </w:lvl>
    <w:lvl w:ilvl="4" w:tplc="D47ADBCC" w:tentative="1">
      <w:start w:val="1"/>
      <w:numFmt w:val="bullet"/>
      <w:lvlText w:val="-"/>
      <w:lvlJc w:val="left"/>
      <w:pPr>
        <w:tabs>
          <w:tab w:val="num" w:pos="3600"/>
        </w:tabs>
        <w:ind w:left="3600" w:hanging="360"/>
      </w:pPr>
      <w:rPr>
        <w:rFonts w:ascii="Calibri" w:hAnsi="Calibri" w:hint="default"/>
      </w:rPr>
    </w:lvl>
    <w:lvl w:ilvl="5" w:tplc="D99A8240" w:tentative="1">
      <w:start w:val="1"/>
      <w:numFmt w:val="bullet"/>
      <w:lvlText w:val="-"/>
      <w:lvlJc w:val="left"/>
      <w:pPr>
        <w:tabs>
          <w:tab w:val="num" w:pos="4320"/>
        </w:tabs>
        <w:ind w:left="4320" w:hanging="360"/>
      </w:pPr>
      <w:rPr>
        <w:rFonts w:ascii="Calibri" w:hAnsi="Calibri" w:hint="default"/>
      </w:rPr>
    </w:lvl>
    <w:lvl w:ilvl="6" w:tplc="5F300CF6" w:tentative="1">
      <w:start w:val="1"/>
      <w:numFmt w:val="bullet"/>
      <w:lvlText w:val="-"/>
      <w:lvlJc w:val="left"/>
      <w:pPr>
        <w:tabs>
          <w:tab w:val="num" w:pos="5040"/>
        </w:tabs>
        <w:ind w:left="5040" w:hanging="360"/>
      </w:pPr>
      <w:rPr>
        <w:rFonts w:ascii="Calibri" w:hAnsi="Calibri" w:hint="default"/>
      </w:rPr>
    </w:lvl>
    <w:lvl w:ilvl="7" w:tplc="93C430EE" w:tentative="1">
      <w:start w:val="1"/>
      <w:numFmt w:val="bullet"/>
      <w:lvlText w:val="-"/>
      <w:lvlJc w:val="left"/>
      <w:pPr>
        <w:tabs>
          <w:tab w:val="num" w:pos="5760"/>
        </w:tabs>
        <w:ind w:left="5760" w:hanging="360"/>
      </w:pPr>
      <w:rPr>
        <w:rFonts w:ascii="Calibri" w:hAnsi="Calibri" w:hint="default"/>
      </w:rPr>
    </w:lvl>
    <w:lvl w:ilvl="8" w:tplc="6044ACD6" w:tentative="1">
      <w:start w:val="1"/>
      <w:numFmt w:val="bullet"/>
      <w:lvlText w:val="-"/>
      <w:lvlJc w:val="left"/>
      <w:pPr>
        <w:tabs>
          <w:tab w:val="num" w:pos="6480"/>
        </w:tabs>
        <w:ind w:left="6480" w:hanging="360"/>
      </w:pPr>
      <w:rPr>
        <w:rFonts w:ascii="Calibri" w:hAnsi="Calibri" w:hint="default"/>
      </w:rPr>
    </w:lvl>
  </w:abstractNum>
  <w:abstractNum w:abstractNumId="20" w15:restartNumberingAfterBreak="0">
    <w:nsid w:val="7CD00BF1"/>
    <w:multiLevelType w:val="hybridMultilevel"/>
    <w:tmpl w:val="729413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503578">
    <w:abstractNumId w:val="13"/>
  </w:num>
  <w:num w:numId="2" w16cid:durableId="1718234764">
    <w:abstractNumId w:val="7"/>
  </w:num>
  <w:num w:numId="3" w16cid:durableId="1701740333">
    <w:abstractNumId w:val="2"/>
  </w:num>
  <w:num w:numId="4" w16cid:durableId="882138593">
    <w:abstractNumId w:val="1"/>
  </w:num>
  <w:num w:numId="5" w16cid:durableId="1453672197">
    <w:abstractNumId w:val="4"/>
  </w:num>
  <w:num w:numId="6" w16cid:durableId="1540899509">
    <w:abstractNumId w:val="9"/>
  </w:num>
  <w:num w:numId="7" w16cid:durableId="622270628">
    <w:abstractNumId w:val="5"/>
  </w:num>
  <w:num w:numId="8" w16cid:durableId="1668558231">
    <w:abstractNumId w:val="3"/>
  </w:num>
  <w:num w:numId="9" w16cid:durableId="180629809">
    <w:abstractNumId w:val="14"/>
  </w:num>
  <w:num w:numId="10" w16cid:durableId="1582711833">
    <w:abstractNumId w:val="12"/>
  </w:num>
  <w:num w:numId="11" w16cid:durableId="1996716977">
    <w:abstractNumId w:val="16"/>
  </w:num>
  <w:num w:numId="12" w16cid:durableId="615715483">
    <w:abstractNumId w:val="0"/>
  </w:num>
  <w:num w:numId="13" w16cid:durableId="1982609312">
    <w:abstractNumId w:val="20"/>
  </w:num>
  <w:num w:numId="14" w16cid:durableId="1531070881">
    <w:abstractNumId w:val="6"/>
  </w:num>
  <w:num w:numId="15" w16cid:durableId="1769227070">
    <w:abstractNumId w:val="17"/>
  </w:num>
  <w:num w:numId="16" w16cid:durableId="557017130">
    <w:abstractNumId w:val="11"/>
  </w:num>
  <w:num w:numId="17" w16cid:durableId="1337879818">
    <w:abstractNumId w:val="15"/>
  </w:num>
  <w:num w:numId="18" w16cid:durableId="503783963">
    <w:abstractNumId w:val="19"/>
  </w:num>
  <w:num w:numId="19" w16cid:durableId="1954630337">
    <w:abstractNumId w:val="18"/>
  </w:num>
  <w:num w:numId="20" w16cid:durableId="1225412911">
    <w:abstractNumId w:val="10"/>
  </w:num>
  <w:num w:numId="21" w16cid:durableId="10620259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79"/>
    <w:rsid w:val="00015816"/>
    <w:rsid w:val="000734C1"/>
    <w:rsid w:val="00085B15"/>
    <w:rsid w:val="00094452"/>
    <w:rsid w:val="000B460D"/>
    <w:rsid w:val="000CDC94"/>
    <w:rsid w:val="0010636E"/>
    <w:rsid w:val="00110030"/>
    <w:rsid w:val="00145A68"/>
    <w:rsid w:val="001842C9"/>
    <w:rsid w:val="00194B9A"/>
    <w:rsid w:val="001A3692"/>
    <w:rsid w:val="001C3FE0"/>
    <w:rsid w:val="001E75AA"/>
    <w:rsid w:val="002510E9"/>
    <w:rsid w:val="0025175C"/>
    <w:rsid w:val="00252E45"/>
    <w:rsid w:val="00261B3A"/>
    <w:rsid w:val="00266CA3"/>
    <w:rsid w:val="00280091"/>
    <w:rsid w:val="002815A5"/>
    <w:rsid w:val="00297426"/>
    <w:rsid w:val="002C355F"/>
    <w:rsid w:val="002F763B"/>
    <w:rsid w:val="00316A01"/>
    <w:rsid w:val="003837AD"/>
    <w:rsid w:val="003A1789"/>
    <w:rsid w:val="003B779F"/>
    <w:rsid w:val="003C738A"/>
    <w:rsid w:val="00435467"/>
    <w:rsid w:val="00445BF6"/>
    <w:rsid w:val="00445C46"/>
    <w:rsid w:val="00447195"/>
    <w:rsid w:val="00502EC6"/>
    <w:rsid w:val="00525736"/>
    <w:rsid w:val="00546D90"/>
    <w:rsid w:val="00577E79"/>
    <w:rsid w:val="005BA3CF"/>
    <w:rsid w:val="00613097"/>
    <w:rsid w:val="006244B2"/>
    <w:rsid w:val="00626210"/>
    <w:rsid w:val="00646297"/>
    <w:rsid w:val="0064B05F"/>
    <w:rsid w:val="006631EF"/>
    <w:rsid w:val="006B4E31"/>
    <w:rsid w:val="006C3D22"/>
    <w:rsid w:val="006C67DA"/>
    <w:rsid w:val="006E0799"/>
    <w:rsid w:val="006E3825"/>
    <w:rsid w:val="006F601B"/>
    <w:rsid w:val="0070053D"/>
    <w:rsid w:val="0071420B"/>
    <w:rsid w:val="00714A1A"/>
    <w:rsid w:val="00728170"/>
    <w:rsid w:val="00772971"/>
    <w:rsid w:val="007975F7"/>
    <w:rsid w:val="0083156F"/>
    <w:rsid w:val="0088ADC0"/>
    <w:rsid w:val="008A47F5"/>
    <w:rsid w:val="008E7F9E"/>
    <w:rsid w:val="00941CE1"/>
    <w:rsid w:val="0098062E"/>
    <w:rsid w:val="00997292"/>
    <w:rsid w:val="009C48B2"/>
    <w:rsid w:val="009E2ACE"/>
    <w:rsid w:val="00A2453D"/>
    <w:rsid w:val="00AD7F63"/>
    <w:rsid w:val="00AE5818"/>
    <w:rsid w:val="00B1576A"/>
    <w:rsid w:val="00B24B9A"/>
    <w:rsid w:val="00B40AA5"/>
    <w:rsid w:val="00BB357E"/>
    <w:rsid w:val="00BE4CEA"/>
    <w:rsid w:val="00BF0E71"/>
    <w:rsid w:val="00BF32F3"/>
    <w:rsid w:val="00C46E66"/>
    <w:rsid w:val="00C6573E"/>
    <w:rsid w:val="00C79335"/>
    <w:rsid w:val="00C81D92"/>
    <w:rsid w:val="00C9C763"/>
    <w:rsid w:val="00CA35EC"/>
    <w:rsid w:val="00CC5A64"/>
    <w:rsid w:val="00CD1158"/>
    <w:rsid w:val="00CD5F1B"/>
    <w:rsid w:val="00D07B9B"/>
    <w:rsid w:val="00D12853"/>
    <w:rsid w:val="00D37E0D"/>
    <w:rsid w:val="00DA19C5"/>
    <w:rsid w:val="00DF1E94"/>
    <w:rsid w:val="00E0053C"/>
    <w:rsid w:val="00E075BA"/>
    <w:rsid w:val="00E20F73"/>
    <w:rsid w:val="00E33C45"/>
    <w:rsid w:val="00E41BB1"/>
    <w:rsid w:val="00E54BF0"/>
    <w:rsid w:val="00E572FC"/>
    <w:rsid w:val="00EF4C58"/>
    <w:rsid w:val="00F307CA"/>
    <w:rsid w:val="00F44E23"/>
    <w:rsid w:val="00FA4E86"/>
    <w:rsid w:val="00FB491F"/>
    <w:rsid w:val="00FB5504"/>
    <w:rsid w:val="00FE04B3"/>
    <w:rsid w:val="010FD591"/>
    <w:rsid w:val="0110189C"/>
    <w:rsid w:val="017D1FCE"/>
    <w:rsid w:val="0191539F"/>
    <w:rsid w:val="01A45EA8"/>
    <w:rsid w:val="01BB41CC"/>
    <w:rsid w:val="01F8C4C9"/>
    <w:rsid w:val="0206F1B9"/>
    <w:rsid w:val="0232F0AA"/>
    <w:rsid w:val="024A3D15"/>
    <w:rsid w:val="0265FD6E"/>
    <w:rsid w:val="02C2FC87"/>
    <w:rsid w:val="02E84D85"/>
    <w:rsid w:val="02F39F23"/>
    <w:rsid w:val="031123F3"/>
    <w:rsid w:val="033D05A6"/>
    <w:rsid w:val="033F4373"/>
    <w:rsid w:val="036DF736"/>
    <w:rsid w:val="03CDAAB5"/>
    <w:rsid w:val="03D6C8D9"/>
    <w:rsid w:val="040ED90D"/>
    <w:rsid w:val="0434DF8F"/>
    <w:rsid w:val="0465B957"/>
    <w:rsid w:val="04B739EA"/>
    <w:rsid w:val="04D73DD0"/>
    <w:rsid w:val="05065A36"/>
    <w:rsid w:val="055B9FD4"/>
    <w:rsid w:val="0568D1F5"/>
    <w:rsid w:val="058C17B8"/>
    <w:rsid w:val="059EBC95"/>
    <w:rsid w:val="05A991AD"/>
    <w:rsid w:val="05C46E91"/>
    <w:rsid w:val="05EA4924"/>
    <w:rsid w:val="05EBABF3"/>
    <w:rsid w:val="05F3E37D"/>
    <w:rsid w:val="06202F95"/>
    <w:rsid w:val="06247E4E"/>
    <w:rsid w:val="063074B7"/>
    <w:rsid w:val="0656E05F"/>
    <w:rsid w:val="066B2093"/>
    <w:rsid w:val="06EB2C50"/>
    <w:rsid w:val="073B268C"/>
    <w:rsid w:val="079B1DFD"/>
    <w:rsid w:val="07C60752"/>
    <w:rsid w:val="0896063B"/>
    <w:rsid w:val="08C5CB11"/>
    <w:rsid w:val="08EC9677"/>
    <w:rsid w:val="08F25079"/>
    <w:rsid w:val="090D32ED"/>
    <w:rsid w:val="09110105"/>
    <w:rsid w:val="09C548B3"/>
    <w:rsid w:val="0A08EF1E"/>
    <w:rsid w:val="0A0C7938"/>
    <w:rsid w:val="0A2B3F68"/>
    <w:rsid w:val="0A64FF1A"/>
    <w:rsid w:val="0A7AF83F"/>
    <w:rsid w:val="0A896C18"/>
    <w:rsid w:val="0A904843"/>
    <w:rsid w:val="0A94F420"/>
    <w:rsid w:val="0AF96AF1"/>
    <w:rsid w:val="0B3F9D04"/>
    <w:rsid w:val="0B9B677F"/>
    <w:rsid w:val="0BB7115E"/>
    <w:rsid w:val="0C39C643"/>
    <w:rsid w:val="0CC09B97"/>
    <w:rsid w:val="0CE7705B"/>
    <w:rsid w:val="0D702069"/>
    <w:rsid w:val="0D85BFB4"/>
    <w:rsid w:val="0D9E92D2"/>
    <w:rsid w:val="0DBE0BC5"/>
    <w:rsid w:val="0DFD90C4"/>
    <w:rsid w:val="0E0E00EF"/>
    <w:rsid w:val="0E1D9E87"/>
    <w:rsid w:val="0E59C521"/>
    <w:rsid w:val="0E5A9278"/>
    <w:rsid w:val="0E927DDB"/>
    <w:rsid w:val="0EA7295E"/>
    <w:rsid w:val="0EC87209"/>
    <w:rsid w:val="0ECB6AD6"/>
    <w:rsid w:val="0F3369EB"/>
    <w:rsid w:val="0F65E885"/>
    <w:rsid w:val="0F814BCF"/>
    <w:rsid w:val="0FD90F30"/>
    <w:rsid w:val="0FF6FBC9"/>
    <w:rsid w:val="10260C75"/>
    <w:rsid w:val="102DDFFC"/>
    <w:rsid w:val="1046D4FE"/>
    <w:rsid w:val="104DCD88"/>
    <w:rsid w:val="1051DEA3"/>
    <w:rsid w:val="10E34255"/>
    <w:rsid w:val="10EFA366"/>
    <w:rsid w:val="119D2FED"/>
    <w:rsid w:val="11BE3729"/>
    <w:rsid w:val="12545B1A"/>
    <w:rsid w:val="12CE593C"/>
    <w:rsid w:val="12DD59A2"/>
    <w:rsid w:val="12EC198D"/>
    <w:rsid w:val="1316FE60"/>
    <w:rsid w:val="1346956A"/>
    <w:rsid w:val="1348A9D3"/>
    <w:rsid w:val="1356AC28"/>
    <w:rsid w:val="1373FB5B"/>
    <w:rsid w:val="13827D7A"/>
    <w:rsid w:val="13B64386"/>
    <w:rsid w:val="13E4A5DE"/>
    <w:rsid w:val="1410D6AE"/>
    <w:rsid w:val="14359068"/>
    <w:rsid w:val="14470978"/>
    <w:rsid w:val="1452693E"/>
    <w:rsid w:val="14AB1544"/>
    <w:rsid w:val="153492DB"/>
    <w:rsid w:val="158E39C1"/>
    <w:rsid w:val="15B5F0A0"/>
    <w:rsid w:val="15EAE5A9"/>
    <w:rsid w:val="15EF3449"/>
    <w:rsid w:val="1608647D"/>
    <w:rsid w:val="161CEEAD"/>
    <w:rsid w:val="1651F8E3"/>
    <w:rsid w:val="16A48D0F"/>
    <w:rsid w:val="16B6BC48"/>
    <w:rsid w:val="16E36B20"/>
    <w:rsid w:val="16F25A1A"/>
    <w:rsid w:val="17487640"/>
    <w:rsid w:val="174AD6D2"/>
    <w:rsid w:val="17736A13"/>
    <w:rsid w:val="1780CAFF"/>
    <w:rsid w:val="1787B544"/>
    <w:rsid w:val="17ABE280"/>
    <w:rsid w:val="17BEDA7B"/>
    <w:rsid w:val="17D3D7DF"/>
    <w:rsid w:val="17E35CB3"/>
    <w:rsid w:val="17EC594F"/>
    <w:rsid w:val="1866F971"/>
    <w:rsid w:val="187E7E32"/>
    <w:rsid w:val="18993617"/>
    <w:rsid w:val="191051C1"/>
    <w:rsid w:val="196177D7"/>
    <w:rsid w:val="199F9409"/>
    <w:rsid w:val="19A6BB0A"/>
    <w:rsid w:val="19B074FE"/>
    <w:rsid w:val="19DB551A"/>
    <w:rsid w:val="19DD2650"/>
    <w:rsid w:val="19FA99D7"/>
    <w:rsid w:val="1A0014E5"/>
    <w:rsid w:val="1A894DBC"/>
    <w:rsid w:val="1A955708"/>
    <w:rsid w:val="1AAD02E4"/>
    <w:rsid w:val="1B7D47C3"/>
    <w:rsid w:val="1BB7BF0D"/>
    <w:rsid w:val="1C3F3680"/>
    <w:rsid w:val="1C49A454"/>
    <w:rsid w:val="1C55689E"/>
    <w:rsid w:val="1C84CDF8"/>
    <w:rsid w:val="1CA9985A"/>
    <w:rsid w:val="1D23837A"/>
    <w:rsid w:val="1D556CDE"/>
    <w:rsid w:val="1D672DDA"/>
    <w:rsid w:val="1D8FD974"/>
    <w:rsid w:val="1D957563"/>
    <w:rsid w:val="1DBDB614"/>
    <w:rsid w:val="1E1A9C84"/>
    <w:rsid w:val="1E38E14D"/>
    <w:rsid w:val="1E46A52C"/>
    <w:rsid w:val="1EE4B4B0"/>
    <w:rsid w:val="1EF01688"/>
    <w:rsid w:val="1F01FFED"/>
    <w:rsid w:val="1F256456"/>
    <w:rsid w:val="1F2992E7"/>
    <w:rsid w:val="1FA21085"/>
    <w:rsid w:val="200A5DB7"/>
    <w:rsid w:val="2011FFBA"/>
    <w:rsid w:val="203DECA3"/>
    <w:rsid w:val="206FB2C2"/>
    <w:rsid w:val="20791FE9"/>
    <w:rsid w:val="208D9745"/>
    <w:rsid w:val="2090DF24"/>
    <w:rsid w:val="20A3E477"/>
    <w:rsid w:val="20F29D96"/>
    <w:rsid w:val="20F3423F"/>
    <w:rsid w:val="21222D2E"/>
    <w:rsid w:val="212B7061"/>
    <w:rsid w:val="21429309"/>
    <w:rsid w:val="21EAF9FE"/>
    <w:rsid w:val="22496358"/>
    <w:rsid w:val="225A7998"/>
    <w:rsid w:val="2272F641"/>
    <w:rsid w:val="22A4855D"/>
    <w:rsid w:val="22C86E8E"/>
    <w:rsid w:val="22F670ED"/>
    <w:rsid w:val="23923741"/>
    <w:rsid w:val="23B32124"/>
    <w:rsid w:val="23C7F5AB"/>
    <w:rsid w:val="23CF3755"/>
    <w:rsid w:val="249F2E52"/>
    <w:rsid w:val="24F2318B"/>
    <w:rsid w:val="259F57EF"/>
    <w:rsid w:val="25AE3DFB"/>
    <w:rsid w:val="25DBF3CC"/>
    <w:rsid w:val="25E64CFF"/>
    <w:rsid w:val="25FBB8F9"/>
    <w:rsid w:val="260BC4FD"/>
    <w:rsid w:val="2627B407"/>
    <w:rsid w:val="26592E7E"/>
    <w:rsid w:val="267121EA"/>
    <w:rsid w:val="267E2C69"/>
    <w:rsid w:val="27780C75"/>
    <w:rsid w:val="283E593E"/>
    <w:rsid w:val="283EA1F5"/>
    <w:rsid w:val="2856EF71"/>
    <w:rsid w:val="28B82799"/>
    <w:rsid w:val="291B749A"/>
    <w:rsid w:val="296B6370"/>
    <w:rsid w:val="298F6489"/>
    <w:rsid w:val="29B8A4DA"/>
    <w:rsid w:val="29C9FFE0"/>
    <w:rsid w:val="2A03078D"/>
    <w:rsid w:val="2A09B8C7"/>
    <w:rsid w:val="2A27EA20"/>
    <w:rsid w:val="2A3B892C"/>
    <w:rsid w:val="2A3E4C09"/>
    <w:rsid w:val="2A79C78A"/>
    <w:rsid w:val="2A88C05C"/>
    <w:rsid w:val="2ABCA2B7"/>
    <w:rsid w:val="2ABE9638"/>
    <w:rsid w:val="2AFF49C8"/>
    <w:rsid w:val="2B175111"/>
    <w:rsid w:val="2B6DA3B1"/>
    <w:rsid w:val="2BB0973A"/>
    <w:rsid w:val="2C2FC4D8"/>
    <w:rsid w:val="2C4F1E80"/>
    <w:rsid w:val="2C54D07F"/>
    <w:rsid w:val="2C87FBE3"/>
    <w:rsid w:val="2CE33368"/>
    <w:rsid w:val="2D382423"/>
    <w:rsid w:val="2E19099F"/>
    <w:rsid w:val="2E330F62"/>
    <w:rsid w:val="2EB30129"/>
    <w:rsid w:val="2EBC8D67"/>
    <w:rsid w:val="2EE27971"/>
    <w:rsid w:val="2EEBFD9F"/>
    <w:rsid w:val="2EEFEE72"/>
    <w:rsid w:val="2F0CB931"/>
    <w:rsid w:val="2F0F885E"/>
    <w:rsid w:val="2F365BD5"/>
    <w:rsid w:val="2F5D365F"/>
    <w:rsid w:val="2F99555A"/>
    <w:rsid w:val="2FB62B04"/>
    <w:rsid w:val="2FFF8BFB"/>
    <w:rsid w:val="30B320CB"/>
    <w:rsid w:val="30DC31DD"/>
    <w:rsid w:val="30E903A3"/>
    <w:rsid w:val="30EE37FA"/>
    <w:rsid w:val="319AB477"/>
    <w:rsid w:val="31F091DD"/>
    <w:rsid w:val="3268C4AB"/>
    <w:rsid w:val="333EA742"/>
    <w:rsid w:val="3369D060"/>
    <w:rsid w:val="33745720"/>
    <w:rsid w:val="34367A1C"/>
    <w:rsid w:val="34517D96"/>
    <w:rsid w:val="3466C335"/>
    <w:rsid w:val="34B16E88"/>
    <w:rsid w:val="34B3AED9"/>
    <w:rsid w:val="34C58169"/>
    <w:rsid w:val="34C5D016"/>
    <w:rsid w:val="3503CBF6"/>
    <w:rsid w:val="3518734B"/>
    <w:rsid w:val="35E0762C"/>
    <w:rsid w:val="3632DDDB"/>
    <w:rsid w:val="3649AD71"/>
    <w:rsid w:val="366D545F"/>
    <w:rsid w:val="368D02B2"/>
    <w:rsid w:val="36EB02F8"/>
    <w:rsid w:val="3767AEB7"/>
    <w:rsid w:val="377D7564"/>
    <w:rsid w:val="379FAD16"/>
    <w:rsid w:val="37CC550E"/>
    <w:rsid w:val="37EF64DF"/>
    <w:rsid w:val="3828EA1B"/>
    <w:rsid w:val="385E8679"/>
    <w:rsid w:val="38B85A58"/>
    <w:rsid w:val="38DD0F2D"/>
    <w:rsid w:val="38DDF4BE"/>
    <w:rsid w:val="38E2C750"/>
    <w:rsid w:val="3916B99D"/>
    <w:rsid w:val="3922AE3D"/>
    <w:rsid w:val="392BBA0C"/>
    <w:rsid w:val="39560A55"/>
    <w:rsid w:val="395AB4E9"/>
    <w:rsid w:val="39AE2762"/>
    <w:rsid w:val="39AEBA3C"/>
    <w:rsid w:val="39E22118"/>
    <w:rsid w:val="3A19D5F8"/>
    <w:rsid w:val="3A2C61EB"/>
    <w:rsid w:val="3A3CE741"/>
    <w:rsid w:val="3A4A0B05"/>
    <w:rsid w:val="3A87430F"/>
    <w:rsid w:val="3A9A9FF9"/>
    <w:rsid w:val="3AB2C94A"/>
    <w:rsid w:val="3AF6E26B"/>
    <w:rsid w:val="3B303B5E"/>
    <w:rsid w:val="3C229C19"/>
    <w:rsid w:val="3C3BBE4D"/>
    <w:rsid w:val="3C5DE79D"/>
    <w:rsid w:val="3C9EE294"/>
    <w:rsid w:val="3CAFF3C1"/>
    <w:rsid w:val="3CBA77D4"/>
    <w:rsid w:val="3CC77C51"/>
    <w:rsid w:val="3CD529EE"/>
    <w:rsid w:val="3D0411D2"/>
    <w:rsid w:val="3D31E9BA"/>
    <w:rsid w:val="3D3249FF"/>
    <w:rsid w:val="3D47FDCC"/>
    <w:rsid w:val="3D57AE19"/>
    <w:rsid w:val="3DD51519"/>
    <w:rsid w:val="3DD56327"/>
    <w:rsid w:val="3DD86B8E"/>
    <w:rsid w:val="3E604184"/>
    <w:rsid w:val="3EAA6AF4"/>
    <w:rsid w:val="3F0A794A"/>
    <w:rsid w:val="3F4A124D"/>
    <w:rsid w:val="3F639777"/>
    <w:rsid w:val="3F952D63"/>
    <w:rsid w:val="3F9F2F5E"/>
    <w:rsid w:val="3FA9E1E1"/>
    <w:rsid w:val="3FBD171E"/>
    <w:rsid w:val="3FDC3C78"/>
    <w:rsid w:val="3FF6583C"/>
    <w:rsid w:val="401DCCFD"/>
    <w:rsid w:val="402032EF"/>
    <w:rsid w:val="4043C3E6"/>
    <w:rsid w:val="4048C657"/>
    <w:rsid w:val="4074A160"/>
    <w:rsid w:val="407E563D"/>
    <w:rsid w:val="40D126D8"/>
    <w:rsid w:val="40D98C5E"/>
    <w:rsid w:val="40E5D953"/>
    <w:rsid w:val="40E9998E"/>
    <w:rsid w:val="40EFF53D"/>
    <w:rsid w:val="413CD528"/>
    <w:rsid w:val="415D7F70"/>
    <w:rsid w:val="416B5962"/>
    <w:rsid w:val="418C357B"/>
    <w:rsid w:val="42413DF4"/>
    <w:rsid w:val="42F173F6"/>
    <w:rsid w:val="431BE771"/>
    <w:rsid w:val="431C8039"/>
    <w:rsid w:val="438B0DF6"/>
    <w:rsid w:val="43A48C09"/>
    <w:rsid w:val="43C049F3"/>
    <w:rsid w:val="43CA23AA"/>
    <w:rsid w:val="43EB91F6"/>
    <w:rsid w:val="43F15FED"/>
    <w:rsid w:val="441551E3"/>
    <w:rsid w:val="448FC1C7"/>
    <w:rsid w:val="449B9CC1"/>
    <w:rsid w:val="44D9D8A8"/>
    <w:rsid w:val="44DC8144"/>
    <w:rsid w:val="44EA5A42"/>
    <w:rsid w:val="44EA7270"/>
    <w:rsid w:val="44EAF78D"/>
    <w:rsid w:val="44F4EBF6"/>
    <w:rsid w:val="44FE3026"/>
    <w:rsid w:val="4528BE60"/>
    <w:rsid w:val="453E4326"/>
    <w:rsid w:val="45507210"/>
    <w:rsid w:val="4580C815"/>
    <w:rsid w:val="45EDE86F"/>
    <w:rsid w:val="45F99B8A"/>
    <w:rsid w:val="46034ABC"/>
    <w:rsid w:val="46675301"/>
    <w:rsid w:val="46FBA8DD"/>
    <w:rsid w:val="46FD69BD"/>
    <w:rsid w:val="46FF270C"/>
    <w:rsid w:val="47004982"/>
    <w:rsid w:val="47058ED2"/>
    <w:rsid w:val="470FA5D7"/>
    <w:rsid w:val="474EA8D9"/>
    <w:rsid w:val="4751F160"/>
    <w:rsid w:val="4781BE0A"/>
    <w:rsid w:val="4782A895"/>
    <w:rsid w:val="478A4033"/>
    <w:rsid w:val="47D6D18E"/>
    <w:rsid w:val="47E2047E"/>
    <w:rsid w:val="47F695E7"/>
    <w:rsid w:val="481652BF"/>
    <w:rsid w:val="481BD784"/>
    <w:rsid w:val="4881678A"/>
    <w:rsid w:val="48F0D00C"/>
    <w:rsid w:val="49207A11"/>
    <w:rsid w:val="494354A2"/>
    <w:rsid w:val="494E6163"/>
    <w:rsid w:val="49515ED6"/>
    <w:rsid w:val="49624131"/>
    <w:rsid w:val="4987F902"/>
    <w:rsid w:val="4A2769D2"/>
    <w:rsid w:val="4A360E39"/>
    <w:rsid w:val="4A44D53F"/>
    <w:rsid w:val="4A685F6F"/>
    <w:rsid w:val="4AC812BC"/>
    <w:rsid w:val="4AFC0039"/>
    <w:rsid w:val="4B3A46D5"/>
    <w:rsid w:val="4B3AE97A"/>
    <w:rsid w:val="4B4046DA"/>
    <w:rsid w:val="4BAF5EFE"/>
    <w:rsid w:val="4C3F364B"/>
    <w:rsid w:val="4CA8056E"/>
    <w:rsid w:val="4CCE8FF6"/>
    <w:rsid w:val="4D0DC546"/>
    <w:rsid w:val="4D4CFFF6"/>
    <w:rsid w:val="4DAB5EDA"/>
    <w:rsid w:val="4DCF9644"/>
    <w:rsid w:val="4E0BA84C"/>
    <w:rsid w:val="4E0CA9CC"/>
    <w:rsid w:val="4E96353C"/>
    <w:rsid w:val="4EDEC7E1"/>
    <w:rsid w:val="4EF0676E"/>
    <w:rsid w:val="4F0A9A26"/>
    <w:rsid w:val="4F2E648C"/>
    <w:rsid w:val="4F414035"/>
    <w:rsid w:val="4F5D3708"/>
    <w:rsid w:val="4F5D5F11"/>
    <w:rsid w:val="4F941802"/>
    <w:rsid w:val="4FCDCB48"/>
    <w:rsid w:val="4FDDCC04"/>
    <w:rsid w:val="4FF5CD08"/>
    <w:rsid w:val="5006EA6C"/>
    <w:rsid w:val="5060A7CF"/>
    <w:rsid w:val="510E5666"/>
    <w:rsid w:val="51BBABAA"/>
    <w:rsid w:val="51CEFEE5"/>
    <w:rsid w:val="520F1716"/>
    <w:rsid w:val="530E5F9F"/>
    <w:rsid w:val="533693FC"/>
    <w:rsid w:val="535FB279"/>
    <w:rsid w:val="537966F2"/>
    <w:rsid w:val="5380DC6D"/>
    <w:rsid w:val="53C104FE"/>
    <w:rsid w:val="53EAD5C9"/>
    <w:rsid w:val="53EB0587"/>
    <w:rsid w:val="540A9CBC"/>
    <w:rsid w:val="543D122E"/>
    <w:rsid w:val="543EDE19"/>
    <w:rsid w:val="54AB774A"/>
    <w:rsid w:val="54C7CE8E"/>
    <w:rsid w:val="54F20E45"/>
    <w:rsid w:val="550AE122"/>
    <w:rsid w:val="5520C7C6"/>
    <w:rsid w:val="552B6BCB"/>
    <w:rsid w:val="55368009"/>
    <w:rsid w:val="5589D61B"/>
    <w:rsid w:val="55B98B80"/>
    <w:rsid w:val="55BCE7F9"/>
    <w:rsid w:val="55C82683"/>
    <w:rsid w:val="55DDD41C"/>
    <w:rsid w:val="55E1337D"/>
    <w:rsid w:val="562DB810"/>
    <w:rsid w:val="566AEEDC"/>
    <w:rsid w:val="566CA87E"/>
    <w:rsid w:val="567D2341"/>
    <w:rsid w:val="569F30F3"/>
    <w:rsid w:val="56CCA085"/>
    <w:rsid w:val="56F0C7A4"/>
    <w:rsid w:val="570D9BFA"/>
    <w:rsid w:val="5729B0B1"/>
    <w:rsid w:val="572A98E7"/>
    <w:rsid w:val="5756CB5A"/>
    <w:rsid w:val="5760A13E"/>
    <w:rsid w:val="576DF12C"/>
    <w:rsid w:val="57A9451C"/>
    <w:rsid w:val="580E8B53"/>
    <w:rsid w:val="588E3F54"/>
    <w:rsid w:val="58BA6F14"/>
    <w:rsid w:val="58E61A6B"/>
    <w:rsid w:val="58FED641"/>
    <w:rsid w:val="5932A0C3"/>
    <w:rsid w:val="5948DF87"/>
    <w:rsid w:val="595AC775"/>
    <w:rsid w:val="596476C3"/>
    <w:rsid w:val="59C1E72F"/>
    <w:rsid w:val="59E213D8"/>
    <w:rsid w:val="5A06ACAD"/>
    <w:rsid w:val="5A658E6E"/>
    <w:rsid w:val="5A714434"/>
    <w:rsid w:val="5A79A084"/>
    <w:rsid w:val="5AD7F405"/>
    <w:rsid w:val="5B076973"/>
    <w:rsid w:val="5B136CD2"/>
    <w:rsid w:val="5B350978"/>
    <w:rsid w:val="5B4F2E92"/>
    <w:rsid w:val="5B6C5CBC"/>
    <w:rsid w:val="5BB52E44"/>
    <w:rsid w:val="5BD9B888"/>
    <w:rsid w:val="5C524AD5"/>
    <w:rsid w:val="5C544202"/>
    <w:rsid w:val="5CD8129B"/>
    <w:rsid w:val="5CF899D5"/>
    <w:rsid w:val="5D8F0C30"/>
    <w:rsid w:val="5E1BBDF9"/>
    <w:rsid w:val="5E65F18C"/>
    <w:rsid w:val="5E6B764A"/>
    <w:rsid w:val="5EA38419"/>
    <w:rsid w:val="5EAA1EAF"/>
    <w:rsid w:val="5ED7B270"/>
    <w:rsid w:val="5F02C5FB"/>
    <w:rsid w:val="5F2BA226"/>
    <w:rsid w:val="5F47F4B0"/>
    <w:rsid w:val="5F6612B9"/>
    <w:rsid w:val="5F665EE2"/>
    <w:rsid w:val="5F7139AA"/>
    <w:rsid w:val="5FE76803"/>
    <w:rsid w:val="5FF97983"/>
    <w:rsid w:val="60162C0F"/>
    <w:rsid w:val="605F74F2"/>
    <w:rsid w:val="6075A6CA"/>
    <w:rsid w:val="607F593A"/>
    <w:rsid w:val="60835D37"/>
    <w:rsid w:val="6105320E"/>
    <w:rsid w:val="613A31F5"/>
    <w:rsid w:val="615197EF"/>
    <w:rsid w:val="61B2916A"/>
    <w:rsid w:val="61C0848B"/>
    <w:rsid w:val="61C37219"/>
    <w:rsid w:val="61CF6067"/>
    <w:rsid w:val="61E56422"/>
    <w:rsid w:val="61ECDF28"/>
    <w:rsid w:val="628F8A2B"/>
    <w:rsid w:val="629B4290"/>
    <w:rsid w:val="62F246D1"/>
    <w:rsid w:val="63204D95"/>
    <w:rsid w:val="63232D58"/>
    <w:rsid w:val="6356D8EC"/>
    <w:rsid w:val="639DB5AF"/>
    <w:rsid w:val="63C24806"/>
    <w:rsid w:val="63D37E42"/>
    <w:rsid w:val="642275D1"/>
    <w:rsid w:val="6459999B"/>
    <w:rsid w:val="646D3657"/>
    <w:rsid w:val="646ECE37"/>
    <w:rsid w:val="64806886"/>
    <w:rsid w:val="64AAFA20"/>
    <w:rsid w:val="64C3FCC0"/>
    <w:rsid w:val="653C34D9"/>
    <w:rsid w:val="653DE9B7"/>
    <w:rsid w:val="655848D6"/>
    <w:rsid w:val="6560518F"/>
    <w:rsid w:val="657915FF"/>
    <w:rsid w:val="65E9256C"/>
    <w:rsid w:val="66618A5E"/>
    <w:rsid w:val="66B1FBAE"/>
    <w:rsid w:val="66F12B77"/>
    <w:rsid w:val="6721F629"/>
    <w:rsid w:val="674A7B2B"/>
    <w:rsid w:val="67A1CDC0"/>
    <w:rsid w:val="67A762BD"/>
    <w:rsid w:val="67E15774"/>
    <w:rsid w:val="681F987E"/>
    <w:rsid w:val="684284D3"/>
    <w:rsid w:val="6871CF4E"/>
    <w:rsid w:val="68A0272E"/>
    <w:rsid w:val="68D5FBA4"/>
    <w:rsid w:val="693B65FD"/>
    <w:rsid w:val="693C48C5"/>
    <w:rsid w:val="69524309"/>
    <w:rsid w:val="6954FA38"/>
    <w:rsid w:val="69641919"/>
    <w:rsid w:val="696AB4A5"/>
    <w:rsid w:val="698D613D"/>
    <w:rsid w:val="69AC2D2D"/>
    <w:rsid w:val="69D560FC"/>
    <w:rsid w:val="69EF84B1"/>
    <w:rsid w:val="6A30E306"/>
    <w:rsid w:val="6B0CAE6B"/>
    <w:rsid w:val="6B27867B"/>
    <w:rsid w:val="6B43C4BB"/>
    <w:rsid w:val="6B685F10"/>
    <w:rsid w:val="6B90AE6D"/>
    <w:rsid w:val="6BA9975F"/>
    <w:rsid w:val="6BBED950"/>
    <w:rsid w:val="6C13CF24"/>
    <w:rsid w:val="6C62F33D"/>
    <w:rsid w:val="6C79AE5A"/>
    <w:rsid w:val="6CB1B1A7"/>
    <w:rsid w:val="6CBFDDD6"/>
    <w:rsid w:val="6CC8F22C"/>
    <w:rsid w:val="6CD7D338"/>
    <w:rsid w:val="6CEA6211"/>
    <w:rsid w:val="6D306C07"/>
    <w:rsid w:val="6D5760F0"/>
    <w:rsid w:val="6D8010B4"/>
    <w:rsid w:val="6D943DC0"/>
    <w:rsid w:val="6DD9F423"/>
    <w:rsid w:val="6DE5BDAD"/>
    <w:rsid w:val="6E1F4D2D"/>
    <w:rsid w:val="6E1F958A"/>
    <w:rsid w:val="6E500BDE"/>
    <w:rsid w:val="6EA33073"/>
    <w:rsid w:val="6EA85650"/>
    <w:rsid w:val="6F098B45"/>
    <w:rsid w:val="6F610854"/>
    <w:rsid w:val="6F749E6D"/>
    <w:rsid w:val="6FA25182"/>
    <w:rsid w:val="6FD228C2"/>
    <w:rsid w:val="7047B27A"/>
    <w:rsid w:val="704E9DF5"/>
    <w:rsid w:val="705DE61E"/>
    <w:rsid w:val="70701081"/>
    <w:rsid w:val="70D15226"/>
    <w:rsid w:val="70D967E1"/>
    <w:rsid w:val="7111C09A"/>
    <w:rsid w:val="71FA8004"/>
    <w:rsid w:val="722621E6"/>
    <w:rsid w:val="72A6BBE9"/>
    <w:rsid w:val="72CB121C"/>
    <w:rsid w:val="72F4AD76"/>
    <w:rsid w:val="72FA49C0"/>
    <w:rsid w:val="731ADF46"/>
    <w:rsid w:val="7344C97C"/>
    <w:rsid w:val="7391149E"/>
    <w:rsid w:val="73A23E6E"/>
    <w:rsid w:val="73E1D0F6"/>
    <w:rsid w:val="73EBA524"/>
    <w:rsid w:val="74481F8B"/>
    <w:rsid w:val="745EDF93"/>
    <w:rsid w:val="749002B7"/>
    <w:rsid w:val="74AB633E"/>
    <w:rsid w:val="74F39B3D"/>
    <w:rsid w:val="752E432B"/>
    <w:rsid w:val="753E6D17"/>
    <w:rsid w:val="75436B02"/>
    <w:rsid w:val="7557A82F"/>
    <w:rsid w:val="756BFE65"/>
    <w:rsid w:val="7586988B"/>
    <w:rsid w:val="75AC56BA"/>
    <w:rsid w:val="76505B3A"/>
    <w:rsid w:val="76861C4C"/>
    <w:rsid w:val="77009554"/>
    <w:rsid w:val="770FF12E"/>
    <w:rsid w:val="7739F190"/>
    <w:rsid w:val="774052F8"/>
    <w:rsid w:val="775B2E06"/>
    <w:rsid w:val="77F19425"/>
    <w:rsid w:val="781597A0"/>
    <w:rsid w:val="789523E3"/>
    <w:rsid w:val="78DD6CDD"/>
    <w:rsid w:val="790ADE9F"/>
    <w:rsid w:val="7915A5F6"/>
    <w:rsid w:val="79179839"/>
    <w:rsid w:val="7918B7B9"/>
    <w:rsid w:val="7947ECA0"/>
    <w:rsid w:val="798129F7"/>
    <w:rsid w:val="79F050D8"/>
    <w:rsid w:val="7A06FF20"/>
    <w:rsid w:val="7A283A4F"/>
    <w:rsid w:val="7A57DB33"/>
    <w:rsid w:val="7A613987"/>
    <w:rsid w:val="7AC0BED2"/>
    <w:rsid w:val="7AC56861"/>
    <w:rsid w:val="7ADDF389"/>
    <w:rsid w:val="7B18551F"/>
    <w:rsid w:val="7B4F7EBF"/>
    <w:rsid w:val="7BCF91AA"/>
    <w:rsid w:val="7C115FE4"/>
    <w:rsid w:val="7C17B313"/>
    <w:rsid w:val="7C2C260B"/>
    <w:rsid w:val="7C593496"/>
    <w:rsid w:val="7C8E77CB"/>
    <w:rsid w:val="7C9B231F"/>
    <w:rsid w:val="7CC41950"/>
    <w:rsid w:val="7CFC24F8"/>
    <w:rsid w:val="7D011AEC"/>
    <w:rsid w:val="7D218F3F"/>
    <w:rsid w:val="7D23F2F2"/>
    <w:rsid w:val="7D43B334"/>
    <w:rsid w:val="7D83F6A8"/>
    <w:rsid w:val="7DAC48CC"/>
    <w:rsid w:val="7E14DB15"/>
    <w:rsid w:val="7E2D6BCD"/>
    <w:rsid w:val="7E642667"/>
    <w:rsid w:val="7EF54E5C"/>
    <w:rsid w:val="7EFBE8C6"/>
    <w:rsid w:val="7F253581"/>
    <w:rsid w:val="7F5A3D23"/>
    <w:rsid w:val="7F818812"/>
    <w:rsid w:val="7F94A4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9D265"/>
  <w15:chartTrackingRefBased/>
  <w15:docId w15:val="{D5F1BAE5-C870-424E-A116-019E518F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E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7E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7E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7E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7E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7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E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7E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7E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7E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7E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7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E79"/>
    <w:rPr>
      <w:rFonts w:eastAsiaTheme="majorEastAsia" w:cstheme="majorBidi"/>
      <w:color w:val="272727" w:themeColor="text1" w:themeTint="D8"/>
    </w:rPr>
  </w:style>
  <w:style w:type="paragraph" w:styleId="Title">
    <w:name w:val="Title"/>
    <w:basedOn w:val="Normal"/>
    <w:next w:val="Normal"/>
    <w:link w:val="TitleChar"/>
    <w:uiPriority w:val="10"/>
    <w:qFormat/>
    <w:rsid w:val="00577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E79"/>
    <w:pPr>
      <w:spacing w:before="160"/>
      <w:jc w:val="center"/>
    </w:pPr>
    <w:rPr>
      <w:i/>
      <w:iCs/>
      <w:color w:val="404040" w:themeColor="text1" w:themeTint="BF"/>
    </w:rPr>
  </w:style>
  <w:style w:type="character" w:customStyle="1" w:styleId="QuoteChar">
    <w:name w:val="Quote Char"/>
    <w:basedOn w:val="DefaultParagraphFont"/>
    <w:link w:val="Quote"/>
    <w:uiPriority w:val="29"/>
    <w:rsid w:val="00577E79"/>
    <w:rPr>
      <w:i/>
      <w:iCs/>
      <w:color w:val="404040" w:themeColor="text1" w:themeTint="BF"/>
    </w:rPr>
  </w:style>
  <w:style w:type="paragraph" w:styleId="ListParagraph">
    <w:name w:val="List Paragraph"/>
    <w:basedOn w:val="Normal"/>
    <w:uiPriority w:val="34"/>
    <w:qFormat/>
    <w:rsid w:val="00577E79"/>
    <w:pPr>
      <w:ind w:left="720"/>
      <w:contextualSpacing/>
    </w:pPr>
  </w:style>
  <w:style w:type="character" w:styleId="IntenseEmphasis">
    <w:name w:val="Intense Emphasis"/>
    <w:basedOn w:val="DefaultParagraphFont"/>
    <w:uiPriority w:val="21"/>
    <w:qFormat/>
    <w:rsid w:val="00577E79"/>
    <w:rPr>
      <w:i/>
      <w:iCs/>
      <w:color w:val="2F5496" w:themeColor="accent1" w:themeShade="BF"/>
    </w:rPr>
  </w:style>
  <w:style w:type="paragraph" w:styleId="IntenseQuote">
    <w:name w:val="Intense Quote"/>
    <w:basedOn w:val="Normal"/>
    <w:next w:val="Normal"/>
    <w:link w:val="IntenseQuoteChar"/>
    <w:uiPriority w:val="30"/>
    <w:qFormat/>
    <w:rsid w:val="00577E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7E79"/>
    <w:rPr>
      <w:i/>
      <w:iCs/>
      <w:color w:val="2F5496" w:themeColor="accent1" w:themeShade="BF"/>
    </w:rPr>
  </w:style>
  <w:style w:type="character" w:styleId="IntenseReference">
    <w:name w:val="Intense Reference"/>
    <w:basedOn w:val="DefaultParagraphFont"/>
    <w:uiPriority w:val="32"/>
    <w:qFormat/>
    <w:rsid w:val="00577E79"/>
    <w:rPr>
      <w:b/>
      <w:bCs/>
      <w:smallCaps/>
      <w:color w:val="2F5496" w:themeColor="accent1" w:themeShade="BF"/>
      <w:spacing w:val="5"/>
    </w:rPr>
  </w:style>
  <w:style w:type="character" w:styleId="Hyperlink">
    <w:name w:val="Hyperlink"/>
    <w:basedOn w:val="DefaultParagraphFont"/>
    <w:uiPriority w:val="99"/>
    <w:unhideWhenUsed/>
    <w:rsid w:val="00941CE1"/>
    <w:rPr>
      <w:color w:val="0563C1" w:themeColor="hyperlink"/>
      <w:u w:val="single"/>
    </w:rPr>
  </w:style>
  <w:style w:type="character" w:styleId="UnresolvedMention">
    <w:name w:val="Unresolved Mention"/>
    <w:basedOn w:val="DefaultParagraphFont"/>
    <w:uiPriority w:val="99"/>
    <w:semiHidden/>
    <w:unhideWhenUsed/>
    <w:rsid w:val="00941CE1"/>
    <w:rPr>
      <w:color w:val="605E5C"/>
      <w:shd w:val="clear" w:color="auto" w:fill="E1DFDD"/>
    </w:rPr>
  </w:style>
  <w:style w:type="paragraph" w:styleId="Header">
    <w:name w:val="header"/>
    <w:basedOn w:val="Normal"/>
    <w:uiPriority w:val="99"/>
    <w:unhideWhenUsed/>
    <w:rsid w:val="1A894DBC"/>
    <w:pPr>
      <w:tabs>
        <w:tab w:val="center" w:pos="4680"/>
        <w:tab w:val="right" w:pos="9360"/>
      </w:tabs>
      <w:spacing w:after="0" w:line="240" w:lineRule="auto"/>
    </w:pPr>
  </w:style>
  <w:style w:type="paragraph" w:styleId="Footer">
    <w:name w:val="footer"/>
    <w:basedOn w:val="Normal"/>
    <w:uiPriority w:val="99"/>
    <w:unhideWhenUsed/>
    <w:rsid w:val="1A894DB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4B4046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ho.int/initiatives/sdg3-global-action-plan" TargetMode="External"/><Relationship Id="rId18" Type="http://schemas.openxmlformats.org/officeDocument/2006/relationships/hyperlink" Target="https://www.who.int/europe/about-us/our-work/sustainable-development-goals" TargetMode="External"/><Relationship Id="rId26" Type="http://schemas.openxmlformats.org/officeDocument/2006/relationships/hyperlink" Target="https://mihealth.org.uk/commission/?utm_source=chatgpt.com" TargetMode="External"/><Relationship Id="rId3" Type="http://schemas.openxmlformats.org/officeDocument/2006/relationships/customXml" Target="../customXml/item3.xml"/><Relationship Id="rId21" Type="http://schemas.openxmlformats.org/officeDocument/2006/relationships/hyperlink" Target="https://mihealth.org.uk/commission/?utm_source=chatgpt.com"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sheffield.ac.uk/sustainability/sustainable-development-goals/sdg10-reduced-inequalities" TargetMode="External"/><Relationship Id="rId17" Type="http://schemas.openxmlformats.org/officeDocument/2006/relationships/hyperlink" Target="https://www.who.int/europe/news-room/fact-sheets/item/environmental-health-inequalities" TargetMode="External"/><Relationship Id="rId25" Type="http://schemas.openxmlformats.org/officeDocument/2006/relationships/hyperlink" Target="https://www.local.gov.uk/publications/inclusive-economies-and-healthy-futures-supporting-place-based-action-reduce-health?utm_source=chatgpt.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ho.int/initiatives/sdg3-global-action-plan?utm_source=chatgpt.com" TargetMode="External"/><Relationship Id="rId20" Type="http://schemas.openxmlformats.org/officeDocument/2006/relationships/hyperlink" Target="https://www.who.int/initiatives/sdg3-global-action-plan" TargetMode="External"/><Relationship Id="rId29" Type="http://schemas.openxmlformats.org/officeDocument/2006/relationships/hyperlink" Target="https://www.gov.uk/government/publications/health-inequalities-in-health-protection-report?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health-inequalities-in-health-protection-report?utm_source=chatgpt.com" TargetMode="External"/><Relationship Id="rId24" Type="http://schemas.openxmlformats.org/officeDocument/2006/relationships/hyperlink" Target="https://www.gov.uk/government/publications/health-inequalities-in-health-protection-report?utm_source=chatgpt.com"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verywellmind.com/health-belief-model-3132721" TargetMode="External"/><Relationship Id="rId23" Type="http://schemas.openxmlformats.org/officeDocument/2006/relationships/hyperlink" Target="https://www.gov.uk/government/publications/health-disparities-and-health-inequalities-applying-all-our-health" TargetMode="External"/><Relationship Id="rId28" Type="http://schemas.openxmlformats.org/officeDocument/2006/relationships/hyperlink" Target="https://www.england.nhs.uk/" TargetMode="External"/><Relationship Id="rId10" Type="http://schemas.openxmlformats.org/officeDocument/2006/relationships/hyperlink" Target="https://www.longtermplan.nhs.uk/" TargetMode="External"/><Relationship Id="rId19" Type="http://schemas.openxmlformats.org/officeDocument/2006/relationships/hyperlink" Target="https://www.who.int/initiatives/sdg3-global-action-plan"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gland.nhs.uk/greenernhs/" TargetMode="External"/><Relationship Id="rId22" Type="http://schemas.openxmlformats.org/officeDocument/2006/relationships/hyperlink" Target="https://www.england.nhs.uk/long-read/nhs-englands-statement-on-information-on-health-inequalities/?utm_source=chatgpt.com" TargetMode="External"/><Relationship Id="rId27" Type="http://schemas.openxmlformats.org/officeDocument/2006/relationships/hyperlink" Target="https://www.england.nhs.uk/greenernhs/" TargetMode="External"/><Relationship Id="rId30" Type="http://schemas.openxmlformats.org/officeDocument/2006/relationships/hyperlink" Target="https://www.who.int/initiatives/sdg3-global-action-plan" TargetMode="External"/><Relationship Id="rId35" Type="http://schemas.microsoft.com/office/2020/10/relationships/intelligence" Target="intelligence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9abab6bd7d242a807abafb3f83a7aff9">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e00384622863b8f91a5bba2206c03e80"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C846CA92-E95C-4DC2-8C97-E4EAB9A80C1E}">
  <ds:schemaRefs>
    <ds:schemaRef ds:uri="http://schemas.microsoft.com/sharepoint/v3/contenttype/forms"/>
  </ds:schemaRefs>
</ds:datastoreItem>
</file>

<file path=customXml/itemProps2.xml><?xml version="1.0" encoding="utf-8"?>
<ds:datastoreItem xmlns:ds="http://schemas.openxmlformats.org/officeDocument/2006/customXml" ds:itemID="{F40278A1-2789-4F37-8FB2-D4601A2BD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6EABF-663E-4CFA-B32D-6BEA1DCEBA5F}">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2779</Words>
  <Characters>18470</Characters>
  <Application>Microsoft Office Word</Application>
  <DocSecurity>0</DocSecurity>
  <Lines>377</Lines>
  <Paragraphs>105</Paragraphs>
  <ScaleCrop>false</ScaleCrop>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 Sudera</dc:creator>
  <cp:keywords/>
  <dc:description/>
  <cp:lastModifiedBy>Tara Spears (2131325)</cp:lastModifiedBy>
  <cp:revision>31</cp:revision>
  <dcterms:created xsi:type="dcterms:W3CDTF">2026-03-23T20:22:00Z</dcterms:created>
  <dcterms:modified xsi:type="dcterms:W3CDTF">2026-03-28T19:25:00Z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