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E166B" w:rsidRDefault="001526E9" w:rsidP="001526E9">
      <w:pPr>
        <w:jc w:val="center"/>
        <w:rPr>
          <w:sz w:val="24"/>
          <w:u w:val="single"/>
        </w:rPr>
      </w:pPr>
      <w:r>
        <w:rPr>
          <w:sz w:val="24"/>
          <w:u w:val="single"/>
        </w:rPr>
        <w:t>Analyse the contribution of the Middle Ages to Jewish-Christian relations</w:t>
      </w:r>
    </w:p>
    <w:p w:rsidR="0097161E" w:rsidRDefault="0097161E" w:rsidP="001526E9">
      <w:pPr>
        <w:rPr>
          <w:rFonts w:cstheme="minorHAnsi"/>
          <w:color w:val="101010"/>
          <w:spacing w:val="1"/>
          <w:sz w:val="24"/>
          <w:szCs w:val="24"/>
        </w:rPr>
      </w:pPr>
      <w:r>
        <w:rPr>
          <w:rFonts w:cstheme="minorHAnsi"/>
          <w:color w:val="101010"/>
          <w:spacing w:val="1"/>
          <w:sz w:val="24"/>
          <w:szCs w:val="24"/>
        </w:rPr>
        <w:t xml:space="preserve">The period of the Middle Ages is generally used to describe Europe between 476 CE and the </w:t>
      </w:r>
      <w:r w:rsidR="00654193">
        <w:rPr>
          <w:rFonts w:cstheme="minorHAnsi"/>
          <w:color w:val="101010"/>
          <w:spacing w:val="1"/>
          <w:sz w:val="24"/>
          <w:szCs w:val="24"/>
        </w:rPr>
        <w:t>fifteenth</w:t>
      </w:r>
      <w:r>
        <w:rPr>
          <w:rFonts w:cstheme="minorHAnsi"/>
          <w:color w:val="101010"/>
          <w:spacing w:val="1"/>
          <w:sz w:val="24"/>
          <w:szCs w:val="24"/>
        </w:rPr>
        <w:t xml:space="preserve"> century.</w:t>
      </w:r>
      <w:r>
        <w:rPr>
          <w:rStyle w:val="FootnoteReference"/>
          <w:rFonts w:cstheme="minorHAnsi"/>
          <w:color w:val="101010"/>
          <w:spacing w:val="1"/>
          <w:sz w:val="24"/>
          <w:szCs w:val="24"/>
        </w:rPr>
        <w:footnoteReference w:id="2"/>
      </w:r>
      <w:r>
        <w:rPr>
          <w:rFonts w:cstheme="minorHAnsi"/>
          <w:color w:val="101010"/>
          <w:spacing w:val="1"/>
          <w:sz w:val="24"/>
          <w:szCs w:val="24"/>
        </w:rPr>
        <w:t xml:space="preserve"> Edwar</w:t>
      </w:r>
      <w:r w:rsidR="00666D9A">
        <w:rPr>
          <w:rFonts w:cstheme="minorHAnsi"/>
          <w:color w:val="101010"/>
          <w:spacing w:val="1"/>
          <w:sz w:val="24"/>
          <w:szCs w:val="24"/>
        </w:rPr>
        <w:t>d Kessler described</w:t>
      </w:r>
      <w:r>
        <w:rPr>
          <w:rFonts w:cstheme="minorHAnsi"/>
          <w:color w:val="101010"/>
          <w:spacing w:val="1"/>
          <w:sz w:val="24"/>
          <w:szCs w:val="24"/>
        </w:rPr>
        <w:t xml:space="preserve"> the medieval period as “a time of violence and prejudice as Christian society became increasingly intolerant, especially from the 12</w:t>
      </w:r>
      <w:r w:rsidRPr="0097161E">
        <w:rPr>
          <w:rFonts w:cstheme="minorHAnsi"/>
          <w:color w:val="101010"/>
          <w:spacing w:val="1"/>
          <w:sz w:val="24"/>
          <w:szCs w:val="24"/>
          <w:vertAlign w:val="superscript"/>
        </w:rPr>
        <w:t>th</w:t>
      </w:r>
      <w:r>
        <w:rPr>
          <w:rFonts w:cstheme="minorHAnsi"/>
          <w:color w:val="101010"/>
          <w:spacing w:val="1"/>
          <w:sz w:val="24"/>
          <w:szCs w:val="24"/>
        </w:rPr>
        <w:t xml:space="preserve"> century.”</w:t>
      </w:r>
      <w:r>
        <w:rPr>
          <w:rStyle w:val="FootnoteReference"/>
          <w:rFonts w:cstheme="minorHAnsi"/>
          <w:color w:val="101010"/>
          <w:spacing w:val="1"/>
          <w:sz w:val="24"/>
          <w:szCs w:val="24"/>
        </w:rPr>
        <w:footnoteReference w:id="3"/>
      </w:r>
      <w:r>
        <w:rPr>
          <w:rFonts w:cstheme="minorHAnsi"/>
          <w:color w:val="101010"/>
          <w:spacing w:val="1"/>
          <w:sz w:val="24"/>
          <w:szCs w:val="24"/>
        </w:rPr>
        <w:t xml:space="preserve"> </w:t>
      </w:r>
      <w:r w:rsidR="006F22A0">
        <w:rPr>
          <w:rFonts w:cstheme="minorHAnsi"/>
          <w:color w:val="101010"/>
          <w:spacing w:val="1"/>
          <w:sz w:val="24"/>
          <w:szCs w:val="24"/>
        </w:rPr>
        <w:t>The Middle Ages was a very difficult time in the relations between Jews and Christians and a vast number of events and policies in the period contributed to the worsening relations. This question</w:t>
      </w:r>
      <w:r w:rsidR="008B2002">
        <w:rPr>
          <w:rFonts w:cstheme="minorHAnsi"/>
          <w:color w:val="101010"/>
          <w:spacing w:val="1"/>
          <w:sz w:val="24"/>
          <w:szCs w:val="24"/>
        </w:rPr>
        <w:t>,</w:t>
      </w:r>
      <w:r w:rsidR="006F22A0">
        <w:rPr>
          <w:rFonts w:cstheme="minorHAnsi"/>
          <w:color w:val="101010"/>
          <w:spacing w:val="1"/>
          <w:sz w:val="24"/>
          <w:szCs w:val="24"/>
        </w:rPr>
        <w:t xml:space="preserve"> as to the contribution of the Middle Ages to Jewish-Christian relations</w:t>
      </w:r>
      <w:r w:rsidR="008B2002">
        <w:rPr>
          <w:rFonts w:cstheme="minorHAnsi"/>
          <w:color w:val="101010"/>
          <w:spacing w:val="1"/>
          <w:sz w:val="24"/>
          <w:szCs w:val="24"/>
        </w:rPr>
        <w:t>,</w:t>
      </w:r>
      <w:r w:rsidR="006F22A0">
        <w:rPr>
          <w:rFonts w:cstheme="minorHAnsi"/>
          <w:color w:val="101010"/>
          <w:spacing w:val="1"/>
          <w:sz w:val="24"/>
          <w:szCs w:val="24"/>
        </w:rPr>
        <w:t xml:space="preserve"> will be addressed firstly by referring to some of the restrictions and discriminatory policies that were</w:t>
      </w:r>
      <w:r w:rsidR="008A7881">
        <w:rPr>
          <w:rFonts w:cstheme="minorHAnsi"/>
          <w:color w:val="101010"/>
          <w:spacing w:val="1"/>
          <w:sz w:val="24"/>
          <w:szCs w:val="24"/>
        </w:rPr>
        <w:t xml:space="preserve"> enforced on Jews in the period; in this section there will be a focus on the enforcement of a d</w:t>
      </w:r>
      <w:r w:rsidR="00666D9A">
        <w:rPr>
          <w:rFonts w:cstheme="minorHAnsi"/>
          <w:color w:val="101010"/>
          <w:spacing w:val="1"/>
          <w:sz w:val="24"/>
          <w:szCs w:val="24"/>
        </w:rPr>
        <w:t xml:space="preserve">ress code on the Jews, however, other factors will be mentioned also. </w:t>
      </w:r>
      <w:r w:rsidR="006F22A0">
        <w:rPr>
          <w:rFonts w:cstheme="minorHAnsi"/>
          <w:color w:val="101010"/>
          <w:spacing w:val="1"/>
          <w:sz w:val="24"/>
          <w:szCs w:val="24"/>
        </w:rPr>
        <w:t>There will then be a focus on</w:t>
      </w:r>
      <w:r w:rsidR="00904208">
        <w:rPr>
          <w:rFonts w:cstheme="minorHAnsi"/>
          <w:color w:val="101010"/>
          <w:spacing w:val="1"/>
          <w:sz w:val="24"/>
          <w:szCs w:val="24"/>
        </w:rPr>
        <w:t xml:space="preserve"> some of</w:t>
      </w:r>
      <w:r w:rsidR="006F22A0">
        <w:rPr>
          <w:rFonts w:cstheme="minorHAnsi"/>
          <w:color w:val="101010"/>
          <w:spacing w:val="1"/>
          <w:sz w:val="24"/>
          <w:szCs w:val="24"/>
        </w:rPr>
        <w:t xml:space="preserve"> the</w:t>
      </w:r>
      <w:r w:rsidR="00904208">
        <w:rPr>
          <w:rFonts w:cstheme="minorHAnsi"/>
          <w:color w:val="101010"/>
          <w:spacing w:val="1"/>
          <w:sz w:val="24"/>
          <w:szCs w:val="24"/>
        </w:rPr>
        <w:t xml:space="preserve"> main</w:t>
      </w:r>
      <w:r w:rsidR="006F22A0">
        <w:rPr>
          <w:rFonts w:cstheme="minorHAnsi"/>
          <w:color w:val="101010"/>
          <w:spacing w:val="1"/>
          <w:sz w:val="24"/>
          <w:szCs w:val="24"/>
        </w:rPr>
        <w:t xml:space="preserve"> false accusations placed on Jews by Christ</w:t>
      </w:r>
      <w:r w:rsidR="007C2687">
        <w:rPr>
          <w:rFonts w:cstheme="minorHAnsi"/>
          <w:color w:val="101010"/>
          <w:spacing w:val="1"/>
          <w:sz w:val="24"/>
          <w:szCs w:val="24"/>
        </w:rPr>
        <w:t>ians</w:t>
      </w:r>
      <w:r w:rsidR="00B55057">
        <w:rPr>
          <w:rFonts w:cstheme="minorHAnsi"/>
          <w:color w:val="101010"/>
          <w:spacing w:val="1"/>
          <w:sz w:val="24"/>
          <w:szCs w:val="24"/>
        </w:rPr>
        <w:t xml:space="preserve"> in the period</w:t>
      </w:r>
      <w:r w:rsidR="007C2687">
        <w:rPr>
          <w:rFonts w:cstheme="minorHAnsi"/>
          <w:color w:val="101010"/>
          <w:spacing w:val="1"/>
          <w:sz w:val="24"/>
          <w:szCs w:val="24"/>
        </w:rPr>
        <w:t xml:space="preserve"> and how these accusations a</w:t>
      </w:r>
      <w:r w:rsidR="006F22A0">
        <w:rPr>
          <w:rFonts w:cstheme="minorHAnsi"/>
          <w:color w:val="101010"/>
          <w:spacing w:val="1"/>
          <w:sz w:val="24"/>
          <w:szCs w:val="24"/>
        </w:rPr>
        <w:t xml:space="preserve">ffected relations. </w:t>
      </w:r>
      <w:r w:rsidR="009D5187">
        <w:rPr>
          <w:rFonts w:cstheme="minorHAnsi"/>
          <w:color w:val="101010"/>
          <w:spacing w:val="1"/>
          <w:sz w:val="24"/>
          <w:szCs w:val="24"/>
        </w:rPr>
        <w:t>T</w:t>
      </w:r>
      <w:r w:rsidR="008B2002">
        <w:rPr>
          <w:rFonts w:cstheme="minorHAnsi"/>
          <w:color w:val="101010"/>
          <w:spacing w:val="1"/>
          <w:sz w:val="24"/>
          <w:szCs w:val="24"/>
        </w:rPr>
        <w:t>here will also be brief attention placed on</w:t>
      </w:r>
      <w:r w:rsidR="00850707">
        <w:rPr>
          <w:rFonts w:cstheme="minorHAnsi"/>
          <w:color w:val="101010"/>
          <w:spacing w:val="1"/>
          <w:sz w:val="24"/>
          <w:szCs w:val="24"/>
        </w:rPr>
        <w:t xml:space="preserve"> the anti-Jewish violence that occurred from Christians</w:t>
      </w:r>
      <w:r w:rsidR="008B2002">
        <w:rPr>
          <w:rFonts w:cstheme="minorHAnsi"/>
          <w:color w:val="101010"/>
          <w:spacing w:val="1"/>
          <w:sz w:val="24"/>
          <w:szCs w:val="24"/>
        </w:rPr>
        <w:t xml:space="preserve"> in the period</w:t>
      </w:r>
      <w:r w:rsidR="00850707">
        <w:rPr>
          <w:rFonts w:cstheme="minorHAnsi"/>
          <w:color w:val="101010"/>
          <w:spacing w:val="1"/>
          <w:sz w:val="24"/>
          <w:szCs w:val="24"/>
        </w:rPr>
        <w:t>, with a focus on the Crusades. Finally, this essay will look at t</w:t>
      </w:r>
      <w:r w:rsidR="00ED51D1">
        <w:rPr>
          <w:rFonts w:cstheme="minorHAnsi"/>
          <w:color w:val="101010"/>
          <w:spacing w:val="1"/>
          <w:sz w:val="24"/>
          <w:szCs w:val="24"/>
        </w:rPr>
        <w:t>he negative portrayal of Jews and Judaism</w:t>
      </w:r>
      <w:r w:rsidR="00850707">
        <w:rPr>
          <w:rFonts w:cstheme="minorHAnsi"/>
          <w:color w:val="101010"/>
          <w:spacing w:val="1"/>
          <w:sz w:val="24"/>
          <w:szCs w:val="24"/>
        </w:rPr>
        <w:t xml:space="preserve"> in Christian art and how this contributed to the decline in Jewish-Christian relations in the period.</w:t>
      </w:r>
    </w:p>
    <w:p w:rsidR="009D657F" w:rsidRPr="009D657F" w:rsidRDefault="009D657F" w:rsidP="001526E9">
      <w:pPr>
        <w:rPr>
          <w:rFonts w:cstheme="minorHAnsi"/>
          <w:spacing w:val="1"/>
          <w:sz w:val="24"/>
          <w:szCs w:val="24"/>
          <w:u w:val="single"/>
        </w:rPr>
      </w:pPr>
      <w:r>
        <w:rPr>
          <w:rFonts w:cstheme="minorHAnsi"/>
          <w:spacing w:val="1"/>
          <w:sz w:val="24"/>
          <w:szCs w:val="24"/>
          <w:u w:val="single"/>
        </w:rPr>
        <w:t>Discriminatory Policies</w:t>
      </w:r>
    </w:p>
    <w:p w:rsidR="007C2687" w:rsidRDefault="008A7881" w:rsidP="001526E9">
      <w:pPr>
        <w:rPr>
          <w:rFonts w:cstheme="minorHAnsi"/>
          <w:spacing w:val="1"/>
          <w:sz w:val="24"/>
          <w:szCs w:val="24"/>
        </w:rPr>
      </w:pPr>
      <w:r>
        <w:rPr>
          <w:rFonts w:cstheme="minorHAnsi"/>
          <w:spacing w:val="1"/>
          <w:sz w:val="24"/>
          <w:szCs w:val="24"/>
        </w:rPr>
        <w:t>One of the main ways that</w:t>
      </w:r>
      <w:r w:rsidR="00F40B88">
        <w:rPr>
          <w:rFonts w:cstheme="minorHAnsi"/>
          <w:spacing w:val="1"/>
          <w:sz w:val="24"/>
          <w:szCs w:val="24"/>
        </w:rPr>
        <w:t xml:space="preserve"> the</w:t>
      </w:r>
      <w:r>
        <w:rPr>
          <w:rFonts w:cstheme="minorHAnsi"/>
          <w:spacing w:val="1"/>
          <w:sz w:val="24"/>
          <w:szCs w:val="24"/>
        </w:rPr>
        <w:t xml:space="preserve"> Middle Ages contributed to Jewish-Christian relations was the increasing discriminatory and restrictive policies that were placed on Jews throughout the period</w:t>
      </w:r>
      <w:r w:rsidR="00904208">
        <w:rPr>
          <w:rFonts w:cstheme="minorHAnsi"/>
          <w:spacing w:val="1"/>
          <w:sz w:val="24"/>
          <w:szCs w:val="24"/>
        </w:rPr>
        <w:t xml:space="preserve"> in order to lessen their freedom</w:t>
      </w:r>
      <w:r>
        <w:rPr>
          <w:rFonts w:cstheme="minorHAnsi"/>
          <w:spacing w:val="1"/>
          <w:sz w:val="24"/>
          <w:szCs w:val="24"/>
        </w:rPr>
        <w:t>. One of these main measures was the enforcement of a dress code. In 1215, the Fourth Lateran Council, under Pope Innocent III, ordered that Jews must follow a dress code</w:t>
      </w:r>
      <w:r w:rsidR="001F56FB">
        <w:rPr>
          <w:rFonts w:cstheme="minorHAnsi"/>
          <w:spacing w:val="1"/>
          <w:sz w:val="24"/>
          <w:szCs w:val="24"/>
        </w:rPr>
        <w:t>; the council stated: “In the countries where Christians do not distinguish themselves from Jews... it is decreed henceforth Jews of both sexes will be distinguished from other people by their garments.”</w:t>
      </w:r>
      <w:r w:rsidR="001F56FB">
        <w:rPr>
          <w:rStyle w:val="FootnoteReference"/>
          <w:rFonts w:cstheme="minorHAnsi"/>
          <w:spacing w:val="1"/>
          <w:sz w:val="24"/>
          <w:szCs w:val="24"/>
        </w:rPr>
        <w:footnoteReference w:id="4"/>
      </w:r>
      <w:r>
        <w:rPr>
          <w:rFonts w:cstheme="minorHAnsi"/>
          <w:spacing w:val="1"/>
          <w:sz w:val="24"/>
          <w:szCs w:val="24"/>
        </w:rPr>
        <w:t xml:space="preserve"> </w:t>
      </w:r>
      <w:r w:rsidR="001F56FB">
        <w:rPr>
          <w:rFonts w:cstheme="minorHAnsi"/>
          <w:spacing w:val="1"/>
          <w:sz w:val="24"/>
          <w:szCs w:val="24"/>
        </w:rPr>
        <w:t>From the thirteenth to the fourteenth centuries nine Royal Decrees and twelve councils insisted that this law should be strictly observed. The e</w:t>
      </w:r>
      <w:r w:rsidR="00CD0E97">
        <w:rPr>
          <w:rFonts w:cstheme="minorHAnsi"/>
          <w:spacing w:val="1"/>
          <w:sz w:val="24"/>
          <w:szCs w:val="24"/>
        </w:rPr>
        <w:t>nforcement of the dress code</w:t>
      </w:r>
      <w:r w:rsidR="001F56FB">
        <w:rPr>
          <w:rFonts w:cstheme="minorHAnsi"/>
          <w:spacing w:val="1"/>
          <w:sz w:val="24"/>
          <w:szCs w:val="24"/>
        </w:rPr>
        <w:t xml:space="preserve"> differ</w:t>
      </w:r>
      <w:r w:rsidR="00CD0E97">
        <w:rPr>
          <w:rFonts w:cstheme="minorHAnsi"/>
          <w:spacing w:val="1"/>
          <w:sz w:val="24"/>
          <w:szCs w:val="24"/>
        </w:rPr>
        <w:t>ed</w:t>
      </w:r>
      <w:r w:rsidR="001F56FB">
        <w:rPr>
          <w:rFonts w:cstheme="minorHAnsi"/>
          <w:spacing w:val="1"/>
          <w:sz w:val="24"/>
          <w:szCs w:val="24"/>
        </w:rPr>
        <w:t xml:space="preserve"> from country to country. For example, in France a circular yellow badge was worn; however, in Poland a pointed green hat was required to be worn by Jews; in England, strips of cloth, often in the shape of the Tablets of Law, were sewn across the chest of Jewish clothes.</w:t>
      </w:r>
      <w:r w:rsidR="001F56FB">
        <w:rPr>
          <w:rStyle w:val="FootnoteReference"/>
          <w:rFonts w:cstheme="minorHAnsi"/>
          <w:spacing w:val="1"/>
          <w:sz w:val="24"/>
          <w:szCs w:val="24"/>
        </w:rPr>
        <w:footnoteReference w:id="5"/>
      </w:r>
      <w:r w:rsidR="00CE6E0C">
        <w:rPr>
          <w:rFonts w:cstheme="minorHAnsi"/>
          <w:spacing w:val="1"/>
          <w:sz w:val="24"/>
          <w:szCs w:val="24"/>
        </w:rPr>
        <w:t xml:space="preserve"> When this dress code regulation entered Christian canon law, it was in a time period where it was the norm in society for an individual</w:t>
      </w:r>
      <w:r w:rsidR="00607534">
        <w:rPr>
          <w:rFonts w:cstheme="minorHAnsi"/>
          <w:spacing w:val="1"/>
          <w:sz w:val="24"/>
          <w:szCs w:val="24"/>
        </w:rPr>
        <w:t xml:space="preserve"> to</w:t>
      </w:r>
      <w:r w:rsidR="00CE6E0C">
        <w:rPr>
          <w:rFonts w:cstheme="minorHAnsi"/>
          <w:spacing w:val="1"/>
          <w:sz w:val="24"/>
          <w:szCs w:val="24"/>
        </w:rPr>
        <w:t xml:space="preserve"> dress in such a way as</w:t>
      </w:r>
      <w:r w:rsidR="00CB5672">
        <w:rPr>
          <w:rFonts w:cstheme="minorHAnsi"/>
          <w:spacing w:val="1"/>
          <w:sz w:val="24"/>
          <w:szCs w:val="24"/>
        </w:rPr>
        <w:t xml:space="preserve"> to display one’s social standing</w:t>
      </w:r>
      <w:r w:rsidR="00CE6E0C">
        <w:rPr>
          <w:rFonts w:cstheme="minorHAnsi"/>
          <w:spacing w:val="1"/>
          <w:sz w:val="24"/>
          <w:szCs w:val="24"/>
        </w:rPr>
        <w:t xml:space="preserve"> (nobles, clergy, serfs and so on).</w:t>
      </w:r>
      <w:r w:rsidR="00CE6E0C">
        <w:rPr>
          <w:rStyle w:val="FootnoteReference"/>
          <w:rFonts w:cstheme="minorHAnsi"/>
          <w:spacing w:val="1"/>
          <w:sz w:val="24"/>
          <w:szCs w:val="24"/>
        </w:rPr>
        <w:footnoteReference w:id="6"/>
      </w:r>
      <w:r w:rsidR="00CE6E0C">
        <w:rPr>
          <w:rFonts w:cstheme="minorHAnsi"/>
          <w:spacing w:val="1"/>
          <w:sz w:val="24"/>
          <w:szCs w:val="24"/>
        </w:rPr>
        <w:t xml:space="preserve"> The main reason for the dress code regulations was to </w:t>
      </w:r>
      <w:r w:rsidR="00CE6E0C">
        <w:rPr>
          <w:rFonts w:cstheme="minorHAnsi"/>
          <w:spacing w:val="1"/>
          <w:sz w:val="24"/>
          <w:szCs w:val="24"/>
        </w:rPr>
        <w:lastRenderedPageBreak/>
        <w:t>ensure distinguishing marks between Jews and Christians, which in turn encouraged people to regard</w:t>
      </w:r>
      <w:r w:rsidR="00884455">
        <w:rPr>
          <w:rFonts w:cstheme="minorHAnsi"/>
          <w:spacing w:val="1"/>
          <w:sz w:val="24"/>
          <w:szCs w:val="24"/>
        </w:rPr>
        <w:t xml:space="preserve"> Jews as a different </w:t>
      </w:r>
      <w:r w:rsidR="00CE6E0C">
        <w:rPr>
          <w:rFonts w:cstheme="minorHAnsi"/>
          <w:spacing w:val="1"/>
          <w:sz w:val="24"/>
          <w:szCs w:val="24"/>
        </w:rPr>
        <w:t>class from Christians and other members of society.</w:t>
      </w:r>
      <w:r w:rsidR="00CE6E0C">
        <w:rPr>
          <w:rStyle w:val="FootnoteReference"/>
          <w:rFonts w:cstheme="minorHAnsi"/>
          <w:spacing w:val="1"/>
          <w:sz w:val="24"/>
          <w:szCs w:val="24"/>
        </w:rPr>
        <w:footnoteReference w:id="7"/>
      </w:r>
      <w:r w:rsidR="00CD0F4F">
        <w:rPr>
          <w:rFonts w:cstheme="minorHAnsi"/>
          <w:spacing w:val="1"/>
          <w:sz w:val="24"/>
          <w:szCs w:val="24"/>
        </w:rPr>
        <w:t xml:space="preserve"> Furthermore, Jews were also forced to brand themselves in a certain way in order to curtail the alleged sexual offences between Christian women and Jewish men. Although there is no indication that these offences actually occurred, this dress code restriction was an expression of the fear that the free intercourse of Christian</w:t>
      </w:r>
      <w:r w:rsidR="0005249F">
        <w:rPr>
          <w:rFonts w:cstheme="minorHAnsi"/>
          <w:spacing w:val="1"/>
          <w:sz w:val="24"/>
          <w:szCs w:val="24"/>
        </w:rPr>
        <w:t>s</w:t>
      </w:r>
      <w:r w:rsidR="00CD0F4F">
        <w:rPr>
          <w:rFonts w:cstheme="minorHAnsi"/>
          <w:spacing w:val="1"/>
          <w:sz w:val="24"/>
          <w:szCs w:val="24"/>
        </w:rPr>
        <w:t xml:space="preserve"> and Jews may lead to inte</w:t>
      </w:r>
      <w:r w:rsidR="0005249F">
        <w:rPr>
          <w:rFonts w:cstheme="minorHAnsi"/>
          <w:spacing w:val="1"/>
          <w:sz w:val="24"/>
          <w:szCs w:val="24"/>
        </w:rPr>
        <w:t>rmarriage</w:t>
      </w:r>
      <w:r w:rsidR="00CD0F4F">
        <w:rPr>
          <w:rFonts w:cstheme="minorHAnsi"/>
          <w:spacing w:val="1"/>
          <w:sz w:val="24"/>
          <w:szCs w:val="24"/>
        </w:rPr>
        <w:t xml:space="preserve"> and, in turn, lead to conversion to Judaism.</w:t>
      </w:r>
      <w:r w:rsidR="00CD0F4F">
        <w:rPr>
          <w:rStyle w:val="FootnoteReference"/>
          <w:rFonts w:cstheme="minorHAnsi"/>
          <w:spacing w:val="1"/>
          <w:sz w:val="24"/>
          <w:szCs w:val="24"/>
        </w:rPr>
        <w:footnoteReference w:id="8"/>
      </w:r>
      <w:r w:rsidR="00CD0F4F">
        <w:rPr>
          <w:rFonts w:cstheme="minorHAnsi"/>
          <w:spacing w:val="1"/>
          <w:sz w:val="24"/>
          <w:szCs w:val="24"/>
        </w:rPr>
        <w:t xml:space="preserve"> </w:t>
      </w:r>
    </w:p>
    <w:p w:rsidR="00B91DC7" w:rsidRDefault="00CD0F4F" w:rsidP="001526E9">
      <w:pPr>
        <w:rPr>
          <w:rFonts w:cstheme="minorHAnsi"/>
          <w:spacing w:val="1"/>
          <w:sz w:val="24"/>
          <w:szCs w:val="24"/>
        </w:rPr>
      </w:pPr>
      <w:r>
        <w:rPr>
          <w:rFonts w:cstheme="minorHAnsi"/>
          <w:spacing w:val="1"/>
          <w:sz w:val="24"/>
          <w:szCs w:val="24"/>
        </w:rPr>
        <w:t xml:space="preserve">Other restrictive policies that were enforced on Jews in the Middle Ages was the law stating that Jews were forbidden from appearing in public during Easter, especially Good Friday; this law was again formulated by the Fourth Lateran Council in 1215. This rule was devised as </w:t>
      </w:r>
      <w:r w:rsidR="00937156">
        <w:rPr>
          <w:rFonts w:cstheme="minorHAnsi"/>
          <w:spacing w:val="1"/>
          <w:sz w:val="24"/>
          <w:szCs w:val="24"/>
        </w:rPr>
        <w:t>a way to prevent the alleged mocking of Christians by Jews.</w:t>
      </w:r>
      <w:r w:rsidR="00937156">
        <w:rPr>
          <w:rStyle w:val="FootnoteReference"/>
          <w:rFonts w:cstheme="minorHAnsi"/>
          <w:spacing w:val="1"/>
          <w:sz w:val="24"/>
          <w:szCs w:val="24"/>
        </w:rPr>
        <w:footnoteReference w:id="9"/>
      </w:r>
      <w:r w:rsidR="00937156">
        <w:rPr>
          <w:rFonts w:cstheme="minorHAnsi"/>
          <w:spacing w:val="1"/>
          <w:sz w:val="24"/>
          <w:szCs w:val="24"/>
        </w:rPr>
        <w:t xml:space="preserve"> </w:t>
      </w:r>
      <w:r w:rsidR="00B91DC7">
        <w:rPr>
          <w:rFonts w:cstheme="minorHAnsi"/>
          <w:spacing w:val="1"/>
          <w:sz w:val="24"/>
          <w:szCs w:val="24"/>
        </w:rPr>
        <w:t>Furthermore, the Fourth Lateran Council also prohibited Jews from employment in public off</w:t>
      </w:r>
      <w:r w:rsidR="0079317C">
        <w:rPr>
          <w:rFonts w:cstheme="minorHAnsi"/>
          <w:spacing w:val="1"/>
          <w:sz w:val="24"/>
          <w:szCs w:val="24"/>
        </w:rPr>
        <w:t xml:space="preserve">ice. This was based on the Christian belief that no Jew should possess power over </w:t>
      </w:r>
      <w:r w:rsidR="00DE0C7C">
        <w:rPr>
          <w:rFonts w:cstheme="minorHAnsi"/>
          <w:spacing w:val="1"/>
          <w:sz w:val="24"/>
          <w:szCs w:val="24"/>
        </w:rPr>
        <w:t>any Christian;</w:t>
      </w:r>
      <w:r w:rsidR="00DE0C7C">
        <w:rPr>
          <w:rStyle w:val="FootnoteReference"/>
          <w:rFonts w:cstheme="minorHAnsi"/>
          <w:spacing w:val="1"/>
          <w:sz w:val="24"/>
          <w:szCs w:val="24"/>
        </w:rPr>
        <w:footnoteReference w:id="10"/>
      </w:r>
      <w:r w:rsidR="00DE0C7C">
        <w:rPr>
          <w:rFonts w:cstheme="minorHAnsi"/>
          <w:spacing w:val="1"/>
          <w:sz w:val="24"/>
          <w:szCs w:val="24"/>
        </w:rPr>
        <w:t xml:space="preserve"> and is demonstrat</w:t>
      </w:r>
      <w:r w:rsidR="006C290B">
        <w:rPr>
          <w:rFonts w:cstheme="minorHAnsi"/>
          <w:spacing w:val="1"/>
          <w:sz w:val="24"/>
          <w:szCs w:val="24"/>
        </w:rPr>
        <w:t>ive of the Christian attitude of</w:t>
      </w:r>
      <w:r w:rsidR="00DE0C7C">
        <w:rPr>
          <w:rFonts w:cstheme="minorHAnsi"/>
          <w:spacing w:val="1"/>
          <w:sz w:val="24"/>
          <w:szCs w:val="24"/>
        </w:rPr>
        <w:t xml:space="preserve"> the inferiority of Judaism. Perhaps the most severe police that was imposed on Jews in the Middle Ages was forced baptism. This was done by individual church offici</w:t>
      </w:r>
      <w:r w:rsidR="003E5CC4">
        <w:rPr>
          <w:rFonts w:cstheme="minorHAnsi"/>
          <w:spacing w:val="1"/>
          <w:sz w:val="24"/>
          <w:szCs w:val="24"/>
        </w:rPr>
        <w:t>als, but also by rulers</w:t>
      </w:r>
      <w:r w:rsidR="00DE0C7C">
        <w:rPr>
          <w:rFonts w:cstheme="minorHAnsi"/>
          <w:spacing w:val="1"/>
          <w:sz w:val="24"/>
          <w:szCs w:val="24"/>
        </w:rPr>
        <w:t xml:space="preserve">, and, at times, by the Pope. </w:t>
      </w:r>
      <w:r w:rsidR="003E5CC4">
        <w:rPr>
          <w:rFonts w:cstheme="minorHAnsi"/>
          <w:spacing w:val="1"/>
          <w:sz w:val="24"/>
          <w:szCs w:val="24"/>
        </w:rPr>
        <w:t>For example, in the years 1009 and 1010 the Jews of Orleans and Limoges were ordered to choose to either leave the area, convert to Christianity, or be killed.</w:t>
      </w:r>
      <w:r w:rsidR="003E5CC4">
        <w:rPr>
          <w:rStyle w:val="FootnoteReference"/>
          <w:rFonts w:cstheme="minorHAnsi"/>
          <w:spacing w:val="1"/>
          <w:sz w:val="24"/>
          <w:szCs w:val="24"/>
        </w:rPr>
        <w:footnoteReference w:id="11"/>
      </w:r>
      <w:r w:rsidR="003E5CC4">
        <w:rPr>
          <w:rFonts w:cstheme="minorHAnsi"/>
          <w:spacing w:val="1"/>
          <w:sz w:val="24"/>
          <w:szCs w:val="24"/>
        </w:rPr>
        <w:t xml:space="preserve"> Furthermore, from 1413 to 1414, the Disputation of Tortosa took place by Pope Benedict XIII, with the aim of forced mass conversion of the Jews. During the debate, three thousand Jews were forced to be baptised in the baptisteries of Tortosa. This year is referred to as the “year of apostasy” in Jewish history annals.</w:t>
      </w:r>
      <w:r w:rsidR="003E5CC4">
        <w:rPr>
          <w:rStyle w:val="FootnoteReference"/>
          <w:rFonts w:cstheme="minorHAnsi"/>
          <w:spacing w:val="1"/>
          <w:sz w:val="24"/>
          <w:szCs w:val="24"/>
        </w:rPr>
        <w:footnoteReference w:id="12"/>
      </w:r>
      <w:r w:rsidR="003E5CC4">
        <w:rPr>
          <w:rFonts w:cstheme="minorHAnsi"/>
          <w:spacing w:val="1"/>
          <w:sz w:val="24"/>
          <w:szCs w:val="24"/>
        </w:rPr>
        <w:t xml:space="preserve"> </w:t>
      </w:r>
      <w:r w:rsidR="00854588">
        <w:rPr>
          <w:rFonts w:cstheme="minorHAnsi"/>
          <w:spacing w:val="1"/>
          <w:sz w:val="24"/>
          <w:szCs w:val="24"/>
        </w:rPr>
        <w:t xml:space="preserve">This had a significant effect on Jewish-Christian relations as through forced baptism Christians were directly attacking Jews and the Jewish religion. </w:t>
      </w:r>
      <w:r w:rsidR="00B91DC7">
        <w:rPr>
          <w:rFonts w:cstheme="minorHAnsi"/>
          <w:spacing w:val="1"/>
          <w:sz w:val="24"/>
          <w:szCs w:val="24"/>
        </w:rPr>
        <w:t xml:space="preserve">One can be undoubtedly sure that </w:t>
      </w:r>
      <w:r w:rsidR="00E7597A">
        <w:rPr>
          <w:rFonts w:cstheme="minorHAnsi"/>
          <w:spacing w:val="1"/>
          <w:sz w:val="24"/>
          <w:szCs w:val="24"/>
        </w:rPr>
        <w:t xml:space="preserve">all of </w:t>
      </w:r>
      <w:r w:rsidR="00B91DC7">
        <w:rPr>
          <w:rFonts w:cstheme="minorHAnsi"/>
          <w:spacing w:val="1"/>
          <w:sz w:val="24"/>
          <w:szCs w:val="24"/>
        </w:rPr>
        <w:t>these discriminatory policies, demonstrating Christian hatred</w:t>
      </w:r>
      <w:r w:rsidR="00F01349">
        <w:rPr>
          <w:rFonts w:cstheme="minorHAnsi"/>
          <w:spacing w:val="1"/>
          <w:sz w:val="24"/>
          <w:szCs w:val="24"/>
        </w:rPr>
        <w:t xml:space="preserve"> and animosity</w:t>
      </w:r>
      <w:r w:rsidR="00B91DC7">
        <w:rPr>
          <w:rFonts w:cstheme="minorHAnsi"/>
          <w:spacing w:val="1"/>
          <w:sz w:val="24"/>
          <w:szCs w:val="24"/>
        </w:rPr>
        <w:t xml:space="preserve"> towards the Jews in the Middle Ages, would have contributed to deteriorating relations between J</w:t>
      </w:r>
      <w:r w:rsidR="00401DAF">
        <w:rPr>
          <w:rFonts w:cstheme="minorHAnsi"/>
          <w:spacing w:val="1"/>
          <w:sz w:val="24"/>
          <w:szCs w:val="24"/>
        </w:rPr>
        <w:t>ews and Christians</w:t>
      </w:r>
      <w:r w:rsidR="00B91DC7">
        <w:rPr>
          <w:rFonts w:cstheme="minorHAnsi"/>
          <w:spacing w:val="1"/>
          <w:sz w:val="24"/>
          <w:szCs w:val="24"/>
        </w:rPr>
        <w:t>, as Christian hatred towards the Jews and their actions in</w:t>
      </w:r>
      <w:r w:rsidR="00003672">
        <w:rPr>
          <w:rFonts w:cstheme="minorHAnsi"/>
          <w:spacing w:val="1"/>
          <w:sz w:val="24"/>
          <w:szCs w:val="24"/>
        </w:rPr>
        <w:t xml:space="preserve"> belittling the Jews and</w:t>
      </w:r>
      <w:r w:rsidR="00B91DC7">
        <w:rPr>
          <w:rFonts w:cstheme="minorHAnsi"/>
          <w:spacing w:val="1"/>
          <w:sz w:val="24"/>
          <w:szCs w:val="24"/>
        </w:rPr>
        <w:t xml:space="preserve"> restricting the</w:t>
      </w:r>
      <w:r w:rsidR="00003672">
        <w:rPr>
          <w:rFonts w:cstheme="minorHAnsi"/>
          <w:spacing w:val="1"/>
          <w:sz w:val="24"/>
          <w:szCs w:val="24"/>
        </w:rPr>
        <w:t>ir freedom</w:t>
      </w:r>
      <w:r w:rsidR="00441F0C">
        <w:rPr>
          <w:rFonts w:cstheme="minorHAnsi"/>
          <w:spacing w:val="1"/>
          <w:sz w:val="24"/>
          <w:szCs w:val="24"/>
        </w:rPr>
        <w:t>, both secular and religious,</w:t>
      </w:r>
      <w:r w:rsidR="00B91DC7">
        <w:rPr>
          <w:rFonts w:cstheme="minorHAnsi"/>
          <w:spacing w:val="1"/>
          <w:sz w:val="24"/>
          <w:szCs w:val="24"/>
        </w:rPr>
        <w:t xml:space="preserve"> would have increased tensions between the two religions. </w:t>
      </w:r>
    </w:p>
    <w:p w:rsidR="00D23698" w:rsidRDefault="00375D2A" w:rsidP="001526E9">
      <w:pPr>
        <w:rPr>
          <w:rFonts w:cstheme="minorHAnsi"/>
          <w:spacing w:val="1"/>
          <w:sz w:val="24"/>
          <w:szCs w:val="24"/>
          <w:u w:val="single"/>
        </w:rPr>
      </w:pPr>
      <w:r>
        <w:rPr>
          <w:rFonts w:cstheme="minorHAnsi"/>
          <w:spacing w:val="1"/>
          <w:sz w:val="24"/>
          <w:szCs w:val="24"/>
          <w:u w:val="single"/>
        </w:rPr>
        <w:t>False Accusations</w:t>
      </w:r>
    </w:p>
    <w:p w:rsidR="001025E7" w:rsidRPr="00D23698" w:rsidRDefault="00375D2A" w:rsidP="001526E9">
      <w:pPr>
        <w:rPr>
          <w:rFonts w:cstheme="minorHAnsi"/>
          <w:spacing w:val="1"/>
          <w:sz w:val="24"/>
          <w:szCs w:val="24"/>
          <w:u w:val="single"/>
        </w:rPr>
      </w:pPr>
      <w:r>
        <w:rPr>
          <w:rFonts w:cstheme="minorHAnsi"/>
          <w:spacing w:val="1"/>
          <w:sz w:val="24"/>
          <w:szCs w:val="24"/>
        </w:rPr>
        <w:t>One of the accusations that Jews faced from Christians in the period was the myth of the Blood Libel. Michael A. Signer explains that the “</w:t>
      </w:r>
      <w:r>
        <w:rPr>
          <w:sz w:val="24"/>
        </w:rPr>
        <w:t xml:space="preserve">Blood Libel refers to the accusation that </w:t>
      </w:r>
      <w:r>
        <w:rPr>
          <w:sz w:val="24"/>
        </w:rPr>
        <w:lastRenderedPageBreak/>
        <w:t>Jews kill a young Christian boy and use his blood in the ritual preparation of unleavened bread or mazzah for the Passover ritual.”</w:t>
      </w:r>
      <w:r>
        <w:rPr>
          <w:rStyle w:val="FootnoteReference"/>
          <w:sz w:val="24"/>
        </w:rPr>
        <w:footnoteReference w:id="13"/>
      </w:r>
      <w:r>
        <w:rPr>
          <w:sz w:val="24"/>
        </w:rPr>
        <w:t xml:space="preserve"> </w:t>
      </w:r>
      <w:r w:rsidR="00750E35">
        <w:rPr>
          <w:sz w:val="24"/>
        </w:rPr>
        <w:t xml:space="preserve">The first accusation of the Blood Libel took place in Norwich, England in 1144, when on the evening of Good Friday the body of a twelve year old boy was found in a wood, he later became known as ‘William of Norwich’. The rumour eventually spread that Jews had murdered the boy in an imitation of the </w:t>
      </w:r>
      <w:r w:rsidR="005C44F8">
        <w:rPr>
          <w:sz w:val="24"/>
        </w:rPr>
        <w:t>passion of Christ</w:t>
      </w:r>
      <w:r w:rsidR="000935A1">
        <w:rPr>
          <w:sz w:val="24"/>
        </w:rPr>
        <w:t>.</w:t>
      </w:r>
      <w:r w:rsidR="000935A1">
        <w:rPr>
          <w:rStyle w:val="FootnoteReference"/>
          <w:sz w:val="24"/>
        </w:rPr>
        <w:footnoteReference w:id="14"/>
      </w:r>
      <w:r w:rsidR="000935A1">
        <w:rPr>
          <w:rFonts w:cstheme="minorHAnsi"/>
          <w:spacing w:val="1"/>
          <w:sz w:val="24"/>
          <w:szCs w:val="24"/>
        </w:rPr>
        <w:t xml:space="preserve"> It was also rumoured that this murder was contrived collectively by a group of European Jews at an assembly in Narbonne the year before, and was not just a random act by local Jews.</w:t>
      </w:r>
      <w:r w:rsidR="000935A1">
        <w:rPr>
          <w:rStyle w:val="FootnoteReference"/>
          <w:rFonts w:cstheme="minorHAnsi"/>
          <w:spacing w:val="1"/>
          <w:sz w:val="24"/>
          <w:szCs w:val="24"/>
        </w:rPr>
        <w:footnoteReference w:id="15"/>
      </w:r>
      <w:r w:rsidR="00654193">
        <w:rPr>
          <w:rFonts w:cstheme="minorHAnsi"/>
          <w:spacing w:val="1"/>
          <w:sz w:val="24"/>
          <w:szCs w:val="24"/>
        </w:rPr>
        <w:t xml:space="preserve"> These charges of ritual murder eventually spread</w:t>
      </w:r>
      <w:r w:rsidR="00462CDC">
        <w:rPr>
          <w:rFonts w:cstheme="minorHAnsi"/>
          <w:spacing w:val="1"/>
          <w:sz w:val="24"/>
          <w:szCs w:val="24"/>
        </w:rPr>
        <w:t xml:space="preserve"> throughout Europe</w:t>
      </w:r>
      <w:r w:rsidR="00654193">
        <w:rPr>
          <w:rFonts w:cstheme="minorHAnsi"/>
          <w:spacing w:val="1"/>
          <w:sz w:val="24"/>
          <w:szCs w:val="24"/>
        </w:rPr>
        <w:t xml:space="preserve">. In the thirteenth century both secular investigations, by Emperor Frederick II (r.1215-1250 CE), and ecclesiastical investigations, by Pope Innocent IV (c.1200-1254 CE), attempted to relieve Jews of these accusations </w:t>
      </w:r>
      <w:r w:rsidR="00777828">
        <w:rPr>
          <w:rFonts w:cstheme="minorHAnsi"/>
          <w:spacing w:val="1"/>
          <w:sz w:val="24"/>
          <w:szCs w:val="24"/>
        </w:rPr>
        <w:t>by stating</w:t>
      </w:r>
      <w:r w:rsidR="00462CDC">
        <w:rPr>
          <w:rFonts w:cstheme="minorHAnsi"/>
          <w:spacing w:val="1"/>
          <w:sz w:val="24"/>
          <w:szCs w:val="24"/>
        </w:rPr>
        <w:t xml:space="preserve"> that</w:t>
      </w:r>
      <w:r w:rsidR="00777828">
        <w:rPr>
          <w:rFonts w:cstheme="minorHAnsi"/>
          <w:spacing w:val="1"/>
          <w:sz w:val="24"/>
          <w:szCs w:val="24"/>
        </w:rPr>
        <w:t xml:space="preserve"> the Jewish Holy Books forbid</w:t>
      </w:r>
      <w:r w:rsidR="00462CDC">
        <w:rPr>
          <w:rFonts w:cstheme="minorHAnsi"/>
          <w:spacing w:val="1"/>
          <w:sz w:val="24"/>
          <w:szCs w:val="24"/>
        </w:rPr>
        <w:t xml:space="preserve"> the use of blood fo</w:t>
      </w:r>
      <w:r w:rsidR="00777828">
        <w:rPr>
          <w:rFonts w:cstheme="minorHAnsi"/>
          <w:spacing w:val="1"/>
          <w:sz w:val="24"/>
          <w:szCs w:val="24"/>
        </w:rPr>
        <w:t>r ritual purposes and</w:t>
      </w:r>
      <w:r w:rsidR="00462CDC">
        <w:rPr>
          <w:rFonts w:cstheme="minorHAnsi"/>
          <w:spacing w:val="1"/>
          <w:sz w:val="24"/>
          <w:szCs w:val="24"/>
        </w:rPr>
        <w:t xml:space="preserve"> that</w:t>
      </w:r>
      <w:r w:rsidR="00777828">
        <w:rPr>
          <w:rFonts w:cstheme="minorHAnsi"/>
          <w:spacing w:val="1"/>
          <w:sz w:val="24"/>
          <w:szCs w:val="24"/>
        </w:rPr>
        <w:t xml:space="preserve"> there was no evidence to support the claim that Jews were performing the Blood Libel.</w:t>
      </w:r>
      <w:r w:rsidR="00777828">
        <w:rPr>
          <w:rStyle w:val="FootnoteReference"/>
          <w:rFonts w:cstheme="minorHAnsi"/>
          <w:spacing w:val="1"/>
          <w:sz w:val="24"/>
          <w:szCs w:val="24"/>
        </w:rPr>
        <w:footnoteReference w:id="16"/>
      </w:r>
      <w:r w:rsidR="00777828">
        <w:rPr>
          <w:rFonts w:cstheme="minorHAnsi"/>
          <w:spacing w:val="1"/>
          <w:sz w:val="24"/>
          <w:szCs w:val="24"/>
        </w:rPr>
        <w:t xml:space="preserve"> However, despite this, accusations still continued. The accusation of the Blood Libel in the Middle Ages contributed to deteriorating Jewish-Christian relations, as this accusation encouraged people to view all Jews collectively as ruthless murderers and this, in turn, led to them being viewed as less than human.</w:t>
      </w:r>
      <w:r w:rsidR="001025E7">
        <w:rPr>
          <w:rFonts w:cstheme="minorHAnsi"/>
          <w:spacing w:val="1"/>
          <w:sz w:val="24"/>
          <w:szCs w:val="24"/>
        </w:rPr>
        <w:t xml:space="preserve"> This accusation would have increased hostility as the emotions of the Jews would have been inflamed by their bitterness and hatred towards the Christian masses, due to their oppression and unfair treatment.</w:t>
      </w:r>
    </w:p>
    <w:p w:rsidR="00C404F0" w:rsidRDefault="00C404F0" w:rsidP="001526E9">
      <w:pPr>
        <w:rPr>
          <w:sz w:val="24"/>
        </w:rPr>
      </w:pPr>
      <w:r>
        <w:rPr>
          <w:sz w:val="24"/>
        </w:rPr>
        <w:t>Another key accusation against the Jews in the Middle Ages was a</w:t>
      </w:r>
      <w:r w:rsidR="00D213DB">
        <w:rPr>
          <w:sz w:val="24"/>
        </w:rPr>
        <w:t>s a</w:t>
      </w:r>
      <w:r>
        <w:rPr>
          <w:sz w:val="24"/>
        </w:rPr>
        <w:t xml:space="preserve"> result of the Black Death. The Black Death lasted from 1347-1351 and killed at least one-third of the European populatio</w:t>
      </w:r>
      <w:r w:rsidR="00D213DB">
        <w:rPr>
          <w:sz w:val="24"/>
        </w:rPr>
        <w:t>n</w:t>
      </w:r>
      <w:r>
        <w:rPr>
          <w:sz w:val="24"/>
        </w:rPr>
        <w:t>.</w:t>
      </w:r>
      <w:r>
        <w:rPr>
          <w:rStyle w:val="FootnoteReference"/>
          <w:sz w:val="24"/>
        </w:rPr>
        <w:footnoteReference w:id="17"/>
      </w:r>
      <w:r>
        <w:rPr>
          <w:sz w:val="24"/>
        </w:rPr>
        <w:t xml:space="preserve"> </w:t>
      </w:r>
      <w:r w:rsidR="00B20DA3">
        <w:rPr>
          <w:sz w:val="24"/>
        </w:rPr>
        <w:t>Eventually</w:t>
      </w:r>
      <w:r w:rsidR="0055737B">
        <w:rPr>
          <w:sz w:val="24"/>
        </w:rPr>
        <w:t>,</w:t>
      </w:r>
      <w:r w:rsidR="00B20DA3">
        <w:rPr>
          <w:sz w:val="24"/>
        </w:rPr>
        <w:t xml:space="preserve"> rumours began to circulate that the mass-deaths were being caused by the</w:t>
      </w:r>
      <w:r w:rsidR="00323D87">
        <w:rPr>
          <w:sz w:val="24"/>
        </w:rPr>
        <w:t xml:space="preserve"> Jews as they were poisoning</w:t>
      </w:r>
      <w:r w:rsidR="00B20DA3">
        <w:rPr>
          <w:sz w:val="24"/>
        </w:rPr>
        <w:t xml:space="preserve"> wells and causing the illness. This accusation was disputed by Pope Clement VI (1342-1352 CE), who also encouraged urban authorities to protect the Jews. However, this largely failed and in hundreds of cities in the Holy Roman Empire and the Low Countries, which is where most Jews were living in the late Middle Ages, whole Jewish communities were massacred.</w:t>
      </w:r>
      <w:r w:rsidR="00B20DA3">
        <w:rPr>
          <w:rStyle w:val="FootnoteReference"/>
          <w:sz w:val="24"/>
        </w:rPr>
        <w:footnoteReference w:id="18"/>
      </w:r>
      <w:r w:rsidR="00B20DA3">
        <w:rPr>
          <w:sz w:val="24"/>
        </w:rPr>
        <w:t xml:space="preserve"> This event would surely have contributed to a significant decline in Jewish-Christian relations as the</w:t>
      </w:r>
      <w:r w:rsidR="000019BB">
        <w:rPr>
          <w:sz w:val="24"/>
        </w:rPr>
        <w:t xml:space="preserve"> mass-murder of Jewish communities at the hands of Christians bore witness to the intensity of Christian hatred of the Jews; their accusation against the Jews in causing that Black Death and other accusat</w:t>
      </w:r>
      <w:r w:rsidR="001A4186">
        <w:rPr>
          <w:sz w:val="24"/>
        </w:rPr>
        <w:t xml:space="preserve">ions against them in the period, </w:t>
      </w:r>
      <w:r w:rsidR="000019BB">
        <w:rPr>
          <w:sz w:val="24"/>
        </w:rPr>
        <w:t>demonstrated the ext</w:t>
      </w:r>
      <w:r w:rsidR="00F01AE5">
        <w:rPr>
          <w:sz w:val="24"/>
        </w:rPr>
        <w:t>ent of their intolerance towards</w:t>
      </w:r>
      <w:r w:rsidR="000019BB">
        <w:rPr>
          <w:sz w:val="24"/>
        </w:rPr>
        <w:t xml:space="preserve"> the Jews</w:t>
      </w:r>
      <w:r w:rsidR="00EE7D2A">
        <w:rPr>
          <w:sz w:val="24"/>
        </w:rPr>
        <w:t>,</w:t>
      </w:r>
      <w:r w:rsidR="000019BB">
        <w:rPr>
          <w:sz w:val="24"/>
        </w:rPr>
        <w:t xml:space="preserve"> in that they would blame them for anything that went wrong, without solid proof. Furthermore</w:t>
      </w:r>
      <w:r w:rsidR="003A0ED9">
        <w:rPr>
          <w:sz w:val="24"/>
        </w:rPr>
        <w:t>,</w:t>
      </w:r>
      <w:r w:rsidR="000019BB">
        <w:rPr>
          <w:sz w:val="24"/>
        </w:rPr>
        <w:t xml:space="preserve"> as Edward Kessler said, the </w:t>
      </w:r>
      <w:r w:rsidR="00B20DA3">
        <w:rPr>
          <w:sz w:val="24"/>
        </w:rPr>
        <w:t xml:space="preserve">Black Death “witnessed the suffering </w:t>
      </w:r>
      <w:r w:rsidR="00B20DA3">
        <w:rPr>
          <w:sz w:val="24"/>
        </w:rPr>
        <w:lastRenderedPageBreak/>
        <w:t>and devastation of Jewish communities at the hands of Christians”.</w:t>
      </w:r>
      <w:r w:rsidR="00B20DA3">
        <w:rPr>
          <w:rStyle w:val="FootnoteReference"/>
          <w:sz w:val="24"/>
        </w:rPr>
        <w:footnoteReference w:id="19"/>
      </w:r>
      <w:r w:rsidR="00B20DA3">
        <w:rPr>
          <w:sz w:val="24"/>
        </w:rPr>
        <w:t xml:space="preserve"> </w:t>
      </w:r>
      <w:r w:rsidR="000019BB">
        <w:rPr>
          <w:sz w:val="24"/>
        </w:rPr>
        <w:t xml:space="preserve">The intolerance and cruelty that Jews faced from Christians at this time </w:t>
      </w:r>
      <w:r w:rsidR="007B6105">
        <w:rPr>
          <w:sz w:val="24"/>
        </w:rPr>
        <w:t>would undoubtedly have</w:t>
      </w:r>
      <w:r w:rsidR="00C14BB9">
        <w:rPr>
          <w:sz w:val="24"/>
        </w:rPr>
        <w:t xml:space="preserve"> impacted relations and also increased the</w:t>
      </w:r>
      <w:r w:rsidR="007B6105">
        <w:rPr>
          <w:sz w:val="24"/>
        </w:rPr>
        <w:t xml:space="preserve"> spite</w:t>
      </w:r>
      <w:r w:rsidR="00C14BB9">
        <w:rPr>
          <w:sz w:val="24"/>
        </w:rPr>
        <w:t xml:space="preserve"> of the Jews</w:t>
      </w:r>
      <w:r w:rsidR="007B6105">
        <w:rPr>
          <w:sz w:val="24"/>
        </w:rPr>
        <w:t xml:space="preserve"> towards the Christians, as their unfair tr</w:t>
      </w:r>
      <w:r w:rsidR="00323D87">
        <w:rPr>
          <w:sz w:val="24"/>
        </w:rPr>
        <w:t xml:space="preserve">eatment </w:t>
      </w:r>
      <w:r w:rsidR="00F17E75">
        <w:rPr>
          <w:sz w:val="24"/>
        </w:rPr>
        <w:t>by this time, had been building up for centuries.</w:t>
      </w:r>
    </w:p>
    <w:p w:rsidR="00654193" w:rsidRDefault="00AF0D2C" w:rsidP="00C404F0">
      <w:pPr>
        <w:rPr>
          <w:sz w:val="24"/>
          <w:u w:val="single"/>
        </w:rPr>
      </w:pPr>
      <w:r>
        <w:rPr>
          <w:sz w:val="24"/>
          <w:u w:val="single"/>
        </w:rPr>
        <w:t>Anti-Jewish Violence</w:t>
      </w:r>
    </w:p>
    <w:p w:rsidR="006E710C" w:rsidRDefault="00AF0D2C" w:rsidP="00C404F0">
      <w:pPr>
        <w:rPr>
          <w:sz w:val="24"/>
        </w:rPr>
      </w:pPr>
      <w:r>
        <w:rPr>
          <w:sz w:val="24"/>
        </w:rPr>
        <w:t>As mentioned previously, the time of the Black Death saw extensive anti-Jewish violence perpetrated by Christians. However, previously in the Middle Ages, there had been other incidents of Christian hostility which spewed</w:t>
      </w:r>
      <w:r w:rsidR="006E710C">
        <w:rPr>
          <w:sz w:val="24"/>
        </w:rPr>
        <w:t xml:space="preserve"> over into anti-Jewish viol</w:t>
      </w:r>
      <w:r w:rsidR="007A6449">
        <w:rPr>
          <w:sz w:val="24"/>
        </w:rPr>
        <w:t>ence. Lester K. Little has noted that</w:t>
      </w:r>
      <w:r w:rsidR="006E710C">
        <w:rPr>
          <w:sz w:val="24"/>
        </w:rPr>
        <w:t>, “any attempt to explore the motives behind Christian violence against the Jews must take into account the evolution of attitudes and feelings”</w:t>
      </w:r>
      <w:r w:rsidR="00EE7D2A">
        <w:rPr>
          <w:sz w:val="24"/>
        </w:rPr>
        <w:t>;</w:t>
      </w:r>
      <w:r w:rsidR="006E710C">
        <w:rPr>
          <w:rStyle w:val="FootnoteReference"/>
          <w:sz w:val="24"/>
        </w:rPr>
        <w:footnoteReference w:id="20"/>
      </w:r>
      <w:r w:rsidR="006E710C">
        <w:rPr>
          <w:sz w:val="24"/>
        </w:rPr>
        <w:t xml:space="preserve"> </w:t>
      </w:r>
      <w:r w:rsidR="007A6449">
        <w:rPr>
          <w:sz w:val="24"/>
        </w:rPr>
        <w:t>indicating that most of the anti-Jewish violence occurred as a result of a build-up of hostility</w:t>
      </w:r>
      <w:r w:rsidR="006E710C">
        <w:rPr>
          <w:sz w:val="24"/>
        </w:rPr>
        <w:t>.</w:t>
      </w:r>
      <w:r w:rsidR="00F330C2">
        <w:rPr>
          <w:sz w:val="24"/>
        </w:rPr>
        <w:t xml:space="preserve"> For the purposes of this essay</w:t>
      </w:r>
      <w:r w:rsidR="000601C4">
        <w:rPr>
          <w:sz w:val="24"/>
        </w:rPr>
        <w:t>,</w:t>
      </w:r>
      <w:r w:rsidR="00F330C2">
        <w:rPr>
          <w:sz w:val="24"/>
        </w:rPr>
        <w:t xml:space="preserve"> there will be a focus on anti-Jewish violence at t</w:t>
      </w:r>
      <w:r>
        <w:rPr>
          <w:sz w:val="24"/>
        </w:rPr>
        <w:t>he times of the Crusades</w:t>
      </w:r>
      <w:r w:rsidR="00F330C2">
        <w:rPr>
          <w:sz w:val="24"/>
        </w:rPr>
        <w:t>, as these</w:t>
      </w:r>
      <w:r w:rsidR="000E0B25">
        <w:rPr>
          <w:sz w:val="24"/>
        </w:rPr>
        <w:t xml:space="preserve"> were</w:t>
      </w:r>
      <w:r>
        <w:rPr>
          <w:sz w:val="24"/>
        </w:rPr>
        <w:t xml:space="preserve"> the most significant</w:t>
      </w:r>
      <w:r w:rsidR="004042EE">
        <w:rPr>
          <w:sz w:val="24"/>
        </w:rPr>
        <w:t xml:space="preserve"> events of anti-Jewish violence in the period.</w:t>
      </w:r>
      <w:r w:rsidR="006E710C">
        <w:rPr>
          <w:sz w:val="24"/>
        </w:rPr>
        <w:t xml:space="preserve"> </w:t>
      </w:r>
      <w:r w:rsidR="00F330C2">
        <w:rPr>
          <w:sz w:val="24"/>
        </w:rPr>
        <w:t>The first Crusade</w:t>
      </w:r>
      <w:r w:rsidR="00C52F92">
        <w:rPr>
          <w:sz w:val="24"/>
        </w:rPr>
        <w:t xml:space="preserve"> (1095-99)</w:t>
      </w:r>
      <w:r w:rsidR="00F330C2">
        <w:rPr>
          <w:sz w:val="24"/>
        </w:rPr>
        <w:t xml:space="preserve"> aimed to travel to the East and free Jerusalem from the Saracens (Muslims)</w:t>
      </w:r>
      <w:r w:rsidR="00611E53">
        <w:rPr>
          <w:sz w:val="24"/>
        </w:rPr>
        <w:t>;</w:t>
      </w:r>
      <w:r w:rsidR="00F330C2">
        <w:rPr>
          <w:sz w:val="24"/>
        </w:rPr>
        <w:t xml:space="preserve"> this Crusade was announced by Pope Urban II (r.1088-99 CE). The second (1147-1149 CE) and third (1187-1192 CE) Crusades were exhibitions aimed at re-establishing the success of the first Crusade in the Holy Land. Other Crusades were aimed at helping to protect or conquer other lands.</w:t>
      </w:r>
      <w:r w:rsidR="00F330C2">
        <w:rPr>
          <w:rStyle w:val="FootnoteReference"/>
          <w:sz w:val="24"/>
        </w:rPr>
        <w:footnoteReference w:id="21"/>
      </w:r>
      <w:r w:rsidR="00C52F92">
        <w:rPr>
          <w:sz w:val="24"/>
        </w:rPr>
        <w:t xml:space="preserve"> Pope Urban’s call for the first Crusade resulted in the gathering of armies, but also unofficial groups of crusaders, who headed to the Holy Land. However, while on route they encountered groups</w:t>
      </w:r>
      <w:r w:rsidR="004B6B28">
        <w:rPr>
          <w:sz w:val="24"/>
        </w:rPr>
        <w:t xml:space="preserve"> of</w:t>
      </w:r>
      <w:r w:rsidR="00C52F92">
        <w:rPr>
          <w:sz w:val="24"/>
        </w:rPr>
        <w:t xml:space="preserve"> Jewis</w:t>
      </w:r>
      <w:r w:rsidR="00DC4B3E">
        <w:rPr>
          <w:sz w:val="24"/>
        </w:rPr>
        <w:t xml:space="preserve">h communities in various cities and massacred </w:t>
      </w:r>
      <w:r w:rsidR="00A738FB">
        <w:rPr>
          <w:sz w:val="24"/>
        </w:rPr>
        <w:t>whole co</w:t>
      </w:r>
      <w:r w:rsidR="00DC4B3E">
        <w:rPr>
          <w:sz w:val="24"/>
        </w:rPr>
        <w:t>mmunities of Jews</w:t>
      </w:r>
      <w:r w:rsidR="00A738FB">
        <w:rPr>
          <w:sz w:val="24"/>
        </w:rPr>
        <w:t>. The worse massacres took place in the Rhine Valley, as this is where the largest Jewish communities in Europe were.</w:t>
      </w:r>
      <w:r w:rsidR="00A738FB">
        <w:rPr>
          <w:rStyle w:val="FootnoteReference"/>
          <w:sz w:val="24"/>
        </w:rPr>
        <w:footnoteReference w:id="22"/>
      </w:r>
      <w:r w:rsidR="004F7DAC">
        <w:rPr>
          <w:sz w:val="24"/>
        </w:rPr>
        <w:t xml:space="preserve"> Similar massacres of Jews also occurred during the second and third Crusades. </w:t>
      </w:r>
      <w:r w:rsidR="006F6A9A">
        <w:rPr>
          <w:sz w:val="24"/>
        </w:rPr>
        <w:t>The massacres of Jews during the Crusades occurred, largely, due to Crusade preaching that it was pointless focusing on combating God’s enemies in the Hol</w:t>
      </w:r>
      <w:r w:rsidR="00A40A62">
        <w:rPr>
          <w:sz w:val="24"/>
        </w:rPr>
        <w:t>y Land (Muslims) when there was</w:t>
      </w:r>
      <w:r w:rsidR="006F6A9A">
        <w:rPr>
          <w:sz w:val="24"/>
        </w:rPr>
        <w:t xml:space="preserve"> another type of enemy (the Jews) living among them in their homelands.</w:t>
      </w:r>
      <w:r w:rsidR="006F6A9A">
        <w:rPr>
          <w:rStyle w:val="FootnoteReference"/>
          <w:sz w:val="24"/>
        </w:rPr>
        <w:footnoteReference w:id="23"/>
      </w:r>
      <w:r w:rsidR="006F6A9A">
        <w:rPr>
          <w:sz w:val="24"/>
        </w:rPr>
        <w:t xml:space="preserve"> </w:t>
      </w:r>
      <w:r w:rsidR="006F6A9A" w:rsidRPr="009063D2">
        <w:rPr>
          <w:sz w:val="24"/>
        </w:rPr>
        <w:t>An example of such a preacher was Peter the Venerable who, in many towns in France and Germany, riled-up Christian hostility towards the Jews, by saying</w:t>
      </w:r>
      <w:r w:rsidR="00105765">
        <w:rPr>
          <w:sz w:val="24"/>
        </w:rPr>
        <w:t>,</w:t>
      </w:r>
      <w:r w:rsidR="006F6A9A" w:rsidRPr="009063D2">
        <w:rPr>
          <w:sz w:val="24"/>
        </w:rPr>
        <w:t xml:space="preserve"> “What would be the profit [...] if the Saracens, the enemy of the distant lands were conquered, while the Jewish blasphemers, far worse enemy of Christians than Saracens, were allowed in our very midst.”</w:t>
      </w:r>
      <w:r w:rsidR="006F6A9A" w:rsidRPr="009063D2">
        <w:rPr>
          <w:rStyle w:val="FootnoteReference"/>
          <w:sz w:val="24"/>
        </w:rPr>
        <w:footnoteReference w:id="24"/>
      </w:r>
      <w:r w:rsidR="00D34441" w:rsidRPr="009063D2">
        <w:rPr>
          <w:sz w:val="24"/>
        </w:rPr>
        <w:t xml:space="preserve"> These events, and other events of anti-Jewish violence in the Middle Ages, would certainly have deep consequences for Jewish-Christian relations as they demonstrated the extent of Christian</w:t>
      </w:r>
      <w:r w:rsidR="00D34441">
        <w:rPr>
          <w:sz w:val="24"/>
        </w:rPr>
        <w:t xml:space="preserve"> hatred towards the Jews, in that they were prepared to murder whole communities of Jewish people in order to rid the areas of what they regarded as their enemies. As Dan </w:t>
      </w:r>
      <w:r w:rsidR="00D34441">
        <w:rPr>
          <w:sz w:val="24"/>
        </w:rPr>
        <w:lastRenderedPageBreak/>
        <w:t>Cohn-Sherbok explains, “the Crusades and their aftermath brought into focus Christian contempt for the Jews who stubbornly clung to their ancestral faith”</w:t>
      </w:r>
      <w:r w:rsidR="000A4B14">
        <w:rPr>
          <w:sz w:val="24"/>
        </w:rPr>
        <w:t>;</w:t>
      </w:r>
      <w:r w:rsidR="00D34441">
        <w:rPr>
          <w:rStyle w:val="FootnoteReference"/>
          <w:sz w:val="24"/>
        </w:rPr>
        <w:footnoteReference w:id="25"/>
      </w:r>
      <w:r w:rsidR="000A4B14">
        <w:rPr>
          <w:sz w:val="24"/>
        </w:rPr>
        <w:t xml:space="preserve"> indicating that these events of Christian hostility occurred</w:t>
      </w:r>
      <w:r w:rsidR="00D23E45">
        <w:rPr>
          <w:sz w:val="24"/>
        </w:rPr>
        <w:t xml:space="preserve"> partly</w:t>
      </w:r>
      <w:r w:rsidR="000A4B14">
        <w:rPr>
          <w:sz w:val="24"/>
        </w:rPr>
        <w:t xml:space="preserve"> due to religious differences.</w:t>
      </w:r>
      <w:r w:rsidR="00D34441">
        <w:rPr>
          <w:sz w:val="24"/>
        </w:rPr>
        <w:t xml:space="preserve"> The massacres during the Crusades marked a turning point in Jewish-Christian relations in the Middle Ages, </w:t>
      </w:r>
      <w:r w:rsidR="000A4B14">
        <w:rPr>
          <w:sz w:val="24"/>
        </w:rPr>
        <w:t>as it showed just how extreme the hostilities betw</w:t>
      </w:r>
      <w:r w:rsidR="00292BC2">
        <w:rPr>
          <w:sz w:val="24"/>
        </w:rPr>
        <w:t>een Christians and Jews could reach</w:t>
      </w:r>
      <w:r w:rsidR="000A4B14">
        <w:rPr>
          <w:sz w:val="24"/>
        </w:rPr>
        <w:t>.</w:t>
      </w:r>
    </w:p>
    <w:p w:rsidR="003311A2" w:rsidRDefault="003311A2" w:rsidP="00C404F0">
      <w:pPr>
        <w:rPr>
          <w:sz w:val="24"/>
          <w:u w:val="single"/>
        </w:rPr>
      </w:pPr>
      <w:r>
        <w:rPr>
          <w:sz w:val="24"/>
          <w:u w:val="single"/>
        </w:rPr>
        <w:t>Anti-Jewish Art</w:t>
      </w:r>
    </w:p>
    <w:p w:rsidR="00D34441" w:rsidRDefault="00E46B41" w:rsidP="00C404F0">
      <w:pPr>
        <w:rPr>
          <w:sz w:val="24"/>
        </w:rPr>
      </w:pPr>
      <w:r>
        <w:rPr>
          <w:sz w:val="24"/>
        </w:rPr>
        <w:t>Christian art forms advanced during the fourth to the thirteenth centuries, with new styles being added and the decorating of objects such as sacred books, sacre</w:t>
      </w:r>
      <w:r w:rsidR="00DC4B3E">
        <w:rPr>
          <w:sz w:val="24"/>
        </w:rPr>
        <w:t>d buildings</w:t>
      </w:r>
      <w:r w:rsidR="006C7AC7">
        <w:rPr>
          <w:sz w:val="24"/>
        </w:rPr>
        <w:t>,</w:t>
      </w:r>
      <w:r w:rsidR="00DC4B3E">
        <w:rPr>
          <w:sz w:val="24"/>
        </w:rPr>
        <w:t xml:space="preserve"> and personal items</w:t>
      </w:r>
      <w:r>
        <w:rPr>
          <w:sz w:val="24"/>
        </w:rPr>
        <w:t xml:space="preserve"> becoming increasingly popular. After the thirteenth century, Christians began to portray Jews in their artworks, usually in a negative and often stereotypical manner.</w:t>
      </w:r>
      <w:r>
        <w:rPr>
          <w:rStyle w:val="FootnoteReference"/>
          <w:sz w:val="24"/>
        </w:rPr>
        <w:footnoteReference w:id="26"/>
      </w:r>
      <w:r>
        <w:rPr>
          <w:sz w:val="24"/>
        </w:rPr>
        <w:t xml:space="preserve"> </w:t>
      </w:r>
      <w:r w:rsidR="00C90304">
        <w:rPr>
          <w:sz w:val="24"/>
        </w:rPr>
        <w:t>Jews were frequently depicted as having pointed chins, forked beards, and misshapen facial features (such as hooked noses).</w:t>
      </w:r>
      <w:r w:rsidR="00C90304">
        <w:rPr>
          <w:rStyle w:val="FootnoteReference"/>
          <w:sz w:val="24"/>
        </w:rPr>
        <w:footnoteReference w:id="27"/>
      </w:r>
      <w:r w:rsidR="002A1A83">
        <w:rPr>
          <w:sz w:val="24"/>
        </w:rPr>
        <w:t xml:space="preserve"> Jews were also often shown with a sow, and performing indecent acts o</w:t>
      </w:r>
      <w:r w:rsidR="003647AD">
        <w:rPr>
          <w:sz w:val="24"/>
        </w:rPr>
        <w:t>n her, such as sucking her teats. Images such as these were parti</w:t>
      </w:r>
      <w:r w:rsidR="00C61E00">
        <w:rPr>
          <w:sz w:val="24"/>
        </w:rPr>
        <w:t xml:space="preserve">cularly offensive to Jews as in their eyes the pig is </w:t>
      </w:r>
      <w:r w:rsidR="003647AD">
        <w:rPr>
          <w:sz w:val="24"/>
        </w:rPr>
        <w:t>an animal that is unclean and impure.</w:t>
      </w:r>
      <w:r w:rsidR="003647AD">
        <w:rPr>
          <w:rStyle w:val="FootnoteReference"/>
          <w:sz w:val="24"/>
        </w:rPr>
        <w:footnoteReference w:id="28"/>
      </w:r>
      <w:r w:rsidR="003647AD">
        <w:rPr>
          <w:sz w:val="24"/>
        </w:rPr>
        <w:t xml:space="preserve"> Christian artists in the Middle Ages also created female figures known as ‘Ecclesia’ and ‘Synagoga’ to represent Christianity and Judaism. Ecclesia was often depicted as triumphant and majestic, whereas Synagoga was presented as bowed and defeated, with </w:t>
      </w:r>
      <w:r w:rsidR="00F55209">
        <w:rPr>
          <w:sz w:val="24"/>
        </w:rPr>
        <w:t>a broken staff and fallen crown.</w:t>
      </w:r>
      <w:r w:rsidR="003647AD">
        <w:rPr>
          <w:sz w:val="24"/>
        </w:rPr>
        <w:t xml:space="preserve"> Edward Kessler argues </w:t>
      </w:r>
      <w:r w:rsidR="00F55209">
        <w:rPr>
          <w:sz w:val="24"/>
        </w:rPr>
        <w:t>that this was done in order to “</w:t>
      </w:r>
      <w:r w:rsidR="003647AD">
        <w:rPr>
          <w:sz w:val="24"/>
        </w:rPr>
        <w:t>symbolise the Christian claim that Judaism was obsolete”.</w:t>
      </w:r>
      <w:r w:rsidR="003647AD">
        <w:rPr>
          <w:rStyle w:val="FootnoteReference"/>
          <w:sz w:val="24"/>
        </w:rPr>
        <w:footnoteReference w:id="29"/>
      </w:r>
      <w:r w:rsidR="003647AD">
        <w:rPr>
          <w:sz w:val="24"/>
        </w:rPr>
        <w:t xml:space="preserve"> Synagoga was also presented as being blind, and being unable to recognise the light of Christ</w:t>
      </w:r>
      <w:r w:rsidR="00F34882">
        <w:rPr>
          <w:sz w:val="24"/>
        </w:rPr>
        <w:t>.</w:t>
      </w:r>
      <w:r w:rsidR="003647AD">
        <w:rPr>
          <w:rStyle w:val="FootnoteReference"/>
          <w:sz w:val="24"/>
        </w:rPr>
        <w:footnoteReference w:id="30"/>
      </w:r>
      <w:r w:rsidR="003647AD">
        <w:rPr>
          <w:sz w:val="24"/>
        </w:rPr>
        <w:t xml:space="preserve"> </w:t>
      </w:r>
      <w:r w:rsidR="00F34882">
        <w:rPr>
          <w:sz w:val="24"/>
        </w:rPr>
        <w:t xml:space="preserve">This is </w:t>
      </w:r>
      <w:r w:rsidR="003647AD">
        <w:rPr>
          <w:sz w:val="24"/>
        </w:rPr>
        <w:t xml:space="preserve">an issue that </w:t>
      </w:r>
      <w:r w:rsidR="002D162E">
        <w:rPr>
          <w:sz w:val="24"/>
        </w:rPr>
        <w:t>was deeply influential to Jewish-Christian relations and demonstrated the key difference between Judaism and Christianity, with Christianity viewing Judai</w:t>
      </w:r>
      <w:r w:rsidR="00F34882">
        <w:rPr>
          <w:sz w:val="24"/>
        </w:rPr>
        <w:t>sm as inferior and continually attacking</w:t>
      </w:r>
      <w:r w:rsidR="002D162E">
        <w:rPr>
          <w:sz w:val="24"/>
        </w:rPr>
        <w:t xml:space="preserve"> Judaism because they do not recognise Christ </w:t>
      </w:r>
      <w:r w:rsidR="00DC4B3E">
        <w:rPr>
          <w:sz w:val="24"/>
        </w:rPr>
        <w:t xml:space="preserve">as the Messiah. This depiction </w:t>
      </w:r>
      <w:r w:rsidR="002D162E">
        <w:rPr>
          <w:sz w:val="24"/>
        </w:rPr>
        <w:t>was increasingly brought to issue in the later Middle Ages when developments portrayed Synagoga as being in the clutch of the Devil, who rode on her shoulder and fo</w:t>
      </w:r>
      <w:r w:rsidR="00F34882">
        <w:rPr>
          <w:sz w:val="24"/>
        </w:rPr>
        <w:t>rced her to turn away from Christ</w:t>
      </w:r>
      <w:r w:rsidR="002D162E">
        <w:rPr>
          <w:sz w:val="24"/>
        </w:rPr>
        <w:t>;</w:t>
      </w:r>
      <w:r w:rsidR="002D162E">
        <w:rPr>
          <w:rStyle w:val="FootnoteReference"/>
          <w:sz w:val="24"/>
        </w:rPr>
        <w:footnoteReference w:id="31"/>
      </w:r>
      <w:r w:rsidR="002D162E">
        <w:rPr>
          <w:sz w:val="24"/>
        </w:rPr>
        <w:t xml:space="preserve"> which is representative of the fact that Christians frequently held Jews under suspicion as being associates of Satan. In relation to this, in some Christian art Jews were depicted as possessing similar traits to that of the Devil; sometimes portrayed as</w:t>
      </w:r>
      <w:r w:rsidR="00963A67">
        <w:rPr>
          <w:sz w:val="24"/>
        </w:rPr>
        <w:t xml:space="preserve"> having devils horns and tails.</w:t>
      </w:r>
      <w:r w:rsidR="00963A67">
        <w:rPr>
          <w:rStyle w:val="FootnoteReference"/>
          <w:sz w:val="24"/>
        </w:rPr>
        <w:footnoteReference w:id="32"/>
      </w:r>
      <w:r w:rsidR="00963A67">
        <w:rPr>
          <w:sz w:val="24"/>
        </w:rPr>
        <w:t xml:space="preserve"> </w:t>
      </w:r>
      <w:r w:rsidR="00607E81">
        <w:rPr>
          <w:sz w:val="24"/>
        </w:rPr>
        <w:t>These depictions were directly r</w:t>
      </w:r>
      <w:r w:rsidR="00FD47D9">
        <w:rPr>
          <w:sz w:val="24"/>
        </w:rPr>
        <w:t>elated</w:t>
      </w:r>
      <w:r w:rsidR="00607E81">
        <w:rPr>
          <w:sz w:val="24"/>
        </w:rPr>
        <w:t xml:space="preserve"> to the accusation of Jews being companions to Satan and as being the anti-Christ. Moreover, in Christian art Jews were also presented as being killers of Christ, an accusation that had been placed upon them for many years previously. In portrayals of the passion of Christ, Jews were presented </w:t>
      </w:r>
      <w:r w:rsidR="00607E81">
        <w:rPr>
          <w:sz w:val="24"/>
        </w:rPr>
        <w:lastRenderedPageBreak/>
        <w:t>as being responsible for every event; they were the soldiers who took Jesus from the garden, and the ones who nailed Jesus to the cross.</w:t>
      </w:r>
      <w:r w:rsidR="00607E81">
        <w:rPr>
          <w:rStyle w:val="FootnoteReference"/>
          <w:sz w:val="24"/>
        </w:rPr>
        <w:footnoteReference w:id="33"/>
      </w:r>
      <w:r w:rsidR="00607E81">
        <w:rPr>
          <w:sz w:val="24"/>
        </w:rPr>
        <w:t xml:space="preserve"> These anti-Jewish stereotypical depictions were also presented in Christian anti-Jewish literature during the Middle Ages. </w:t>
      </w:r>
      <w:r w:rsidR="006133E7">
        <w:rPr>
          <w:sz w:val="24"/>
        </w:rPr>
        <w:t>As were</w:t>
      </w:r>
      <w:r w:rsidR="00607E81">
        <w:rPr>
          <w:sz w:val="24"/>
        </w:rPr>
        <w:t xml:space="preserve"> condemnation</w:t>
      </w:r>
      <w:r w:rsidR="005860EB">
        <w:rPr>
          <w:sz w:val="24"/>
        </w:rPr>
        <w:t>s</w:t>
      </w:r>
      <w:r w:rsidR="00607E81">
        <w:rPr>
          <w:sz w:val="24"/>
        </w:rPr>
        <w:t xml:space="preserve"> of the Tal</w:t>
      </w:r>
      <w:r w:rsidR="005860EB">
        <w:rPr>
          <w:sz w:val="24"/>
        </w:rPr>
        <w:t>mud, and other Jewish books,</w:t>
      </w:r>
      <w:r w:rsidR="006133E7">
        <w:rPr>
          <w:sz w:val="24"/>
        </w:rPr>
        <w:t xml:space="preserve"> or</w:t>
      </w:r>
      <w:r w:rsidR="00607E81">
        <w:rPr>
          <w:sz w:val="24"/>
        </w:rPr>
        <w:t xml:space="preserve"> discussion</w:t>
      </w:r>
      <w:r w:rsidR="006133E7">
        <w:rPr>
          <w:sz w:val="24"/>
        </w:rPr>
        <w:t xml:space="preserve">s </w:t>
      </w:r>
      <w:r w:rsidR="00EF236C">
        <w:rPr>
          <w:sz w:val="24"/>
        </w:rPr>
        <w:t>of Jewish</w:t>
      </w:r>
      <w:r w:rsidR="00F34882">
        <w:rPr>
          <w:sz w:val="24"/>
        </w:rPr>
        <w:t xml:space="preserve"> texts with them</w:t>
      </w:r>
      <w:r w:rsidR="00607E81">
        <w:rPr>
          <w:sz w:val="24"/>
        </w:rPr>
        <w:t xml:space="preserve"> showing favour with the Christian faith. This was done in order to encourage conversion to Christianity.</w:t>
      </w:r>
      <w:r w:rsidR="00607E81">
        <w:rPr>
          <w:rStyle w:val="FootnoteReference"/>
          <w:sz w:val="24"/>
        </w:rPr>
        <w:footnoteReference w:id="34"/>
      </w:r>
      <w:r w:rsidR="00607E81">
        <w:rPr>
          <w:sz w:val="24"/>
        </w:rPr>
        <w:t xml:space="preserve"> These anti-Jewish depictions in Christian art, as well as literature, would have </w:t>
      </w:r>
      <w:r w:rsidR="003F1F8A">
        <w:rPr>
          <w:sz w:val="24"/>
        </w:rPr>
        <w:t>increased resentment between Christians and Jews in the period as Christians used art as a wa</w:t>
      </w:r>
      <w:r w:rsidR="008671F7">
        <w:rPr>
          <w:sz w:val="24"/>
        </w:rPr>
        <w:t>y to negatively depict Jews and reinforce the same false characteristics agai</w:t>
      </w:r>
      <w:r w:rsidR="00F134A5">
        <w:rPr>
          <w:sz w:val="24"/>
        </w:rPr>
        <w:t>nst Jews themselves, and give</w:t>
      </w:r>
      <w:r w:rsidR="008671F7">
        <w:rPr>
          <w:sz w:val="24"/>
        </w:rPr>
        <w:t xml:space="preserve"> improper representations of the Jewish religion, as they had been doing for many years.</w:t>
      </w:r>
      <w:r w:rsidR="00B17C6F">
        <w:rPr>
          <w:sz w:val="24"/>
        </w:rPr>
        <w:t xml:space="preserve"> Which would have contributed to worsening relations between Jews and Christians as this would have been something which would have offended and upset the Jews.</w:t>
      </w:r>
    </w:p>
    <w:p w:rsidR="00971E48" w:rsidRPr="00971E48" w:rsidRDefault="00971E48" w:rsidP="00C404F0">
      <w:pPr>
        <w:rPr>
          <w:sz w:val="24"/>
          <w:u w:val="single"/>
        </w:rPr>
      </w:pPr>
      <w:r>
        <w:rPr>
          <w:sz w:val="24"/>
          <w:u w:val="single"/>
        </w:rPr>
        <w:t>Conclusion</w:t>
      </w:r>
    </w:p>
    <w:p w:rsidR="00C66007" w:rsidRDefault="00C66007" w:rsidP="00C404F0">
      <w:pPr>
        <w:rPr>
          <w:sz w:val="24"/>
        </w:rPr>
      </w:pPr>
      <w:r>
        <w:rPr>
          <w:sz w:val="24"/>
        </w:rPr>
        <w:t>In conclusion,</w:t>
      </w:r>
      <w:r w:rsidR="003A1230">
        <w:rPr>
          <w:sz w:val="24"/>
        </w:rPr>
        <w:t xml:space="preserve"> it is clear that there were many events and actions, often perpetrated by Christians, in the Middle Ages that contributed to Jewish-Christian relations</w:t>
      </w:r>
      <w:r w:rsidR="005860EB">
        <w:rPr>
          <w:sz w:val="24"/>
        </w:rPr>
        <w:t>. A decline in association</w:t>
      </w:r>
      <w:r w:rsidR="003A1230">
        <w:rPr>
          <w:sz w:val="24"/>
        </w:rPr>
        <w:t xml:space="preserve"> and </w:t>
      </w:r>
      <w:r w:rsidR="00F134A5">
        <w:rPr>
          <w:sz w:val="24"/>
        </w:rPr>
        <w:t>an increase in resentment</w:t>
      </w:r>
      <w:r w:rsidR="00B17C6F">
        <w:rPr>
          <w:sz w:val="24"/>
        </w:rPr>
        <w:t xml:space="preserve"> </w:t>
      </w:r>
      <w:r w:rsidR="00F134A5">
        <w:rPr>
          <w:sz w:val="24"/>
        </w:rPr>
        <w:t>between the two religions occurred in the period. Perhaps the most significant factor in the Middle Ages which contributed to a decline in Jewish-Christian relations was the anti-Jewish violence from Christians that occurred in the period. There were often small-scale incidents of anti-Jewish violence in the period, perpetrated by a contained group</w:t>
      </w:r>
      <w:r w:rsidR="008866E1">
        <w:rPr>
          <w:sz w:val="24"/>
        </w:rPr>
        <w:t xml:space="preserve"> of Christians; however,</w:t>
      </w:r>
      <w:r w:rsidR="00F134A5">
        <w:rPr>
          <w:sz w:val="24"/>
        </w:rPr>
        <w:t xml:space="preserve"> the most significant and broad incident</w:t>
      </w:r>
      <w:r w:rsidR="002A5D4F">
        <w:rPr>
          <w:sz w:val="24"/>
        </w:rPr>
        <w:t>s</w:t>
      </w:r>
      <w:r w:rsidR="00F134A5">
        <w:rPr>
          <w:sz w:val="24"/>
        </w:rPr>
        <w:t xml:space="preserve"> of anti-Jewish violence occurred during the Crusades, when the mass-murder of Jews occurred in many different areas across Europe. This had a significant effect on Jewish-Christian relations in the period as the hostility between the two religions had reached its peak and boiled over into bloodshed.</w:t>
      </w:r>
      <w:r w:rsidR="00854588">
        <w:rPr>
          <w:sz w:val="24"/>
        </w:rPr>
        <w:t xml:space="preserve"> There were also other less significant factors in the Middle Ages which contributed to Jewish-Christian relations in the period, some of which have been referred to in this essay, such as accusations against the Jews, discriminatory</w:t>
      </w:r>
      <w:r w:rsidR="00201C3D">
        <w:rPr>
          <w:sz w:val="24"/>
        </w:rPr>
        <w:t xml:space="preserve"> policies and restrictions, and</w:t>
      </w:r>
      <w:r w:rsidR="00F134A5">
        <w:rPr>
          <w:sz w:val="24"/>
        </w:rPr>
        <w:t xml:space="preserve"> </w:t>
      </w:r>
      <w:r w:rsidR="00201C3D">
        <w:rPr>
          <w:sz w:val="24"/>
        </w:rPr>
        <w:t xml:space="preserve">anti-Jewish art. Although these </w:t>
      </w:r>
      <w:r w:rsidR="00E76540">
        <w:rPr>
          <w:sz w:val="24"/>
        </w:rPr>
        <w:t xml:space="preserve">factors did not have an </w:t>
      </w:r>
      <w:r w:rsidR="005860EB">
        <w:rPr>
          <w:sz w:val="24"/>
        </w:rPr>
        <w:t>individual and severe</w:t>
      </w:r>
      <w:r w:rsidR="00E76540">
        <w:rPr>
          <w:sz w:val="24"/>
        </w:rPr>
        <w:t xml:space="preserve"> influence on Jewish-Christian relations, it was elements such as these combined that led to increased tensions and hostility between Jews and Christians in the period, and, in turn, led to a decline in Jewish-Christian relations.</w:t>
      </w:r>
      <w:r w:rsidR="009063D2">
        <w:rPr>
          <w:sz w:val="24"/>
        </w:rPr>
        <w:t xml:space="preserve"> </w:t>
      </w:r>
    </w:p>
    <w:p w:rsidR="00D34105" w:rsidRDefault="00D34105" w:rsidP="00C404F0">
      <w:pPr>
        <w:rPr>
          <w:sz w:val="24"/>
        </w:rPr>
      </w:pPr>
    </w:p>
    <w:p w:rsidR="00D34105" w:rsidRDefault="00D34105" w:rsidP="00C404F0">
      <w:pPr>
        <w:rPr>
          <w:sz w:val="24"/>
        </w:rPr>
      </w:pPr>
    </w:p>
    <w:p w:rsidR="00D34105" w:rsidRDefault="00D34105" w:rsidP="00C404F0">
      <w:pPr>
        <w:rPr>
          <w:sz w:val="24"/>
        </w:rPr>
      </w:pPr>
    </w:p>
    <w:p w:rsidR="00D34105" w:rsidRDefault="00D34105" w:rsidP="00C404F0">
      <w:pPr>
        <w:rPr>
          <w:sz w:val="24"/>
        </w:rPr>
      </w:pPr>
    </w:p>
    <w:p w:rsidR="00611E53" w:rsidRDefault="00611E53" w:rsidP="00C404F0">
      <w:pPr>
        <w:rPr>
          <w:sz w:val="24"/>
          <w:u w:val="single"/>
        </w:rPr>
      </w:pPr>
    </w:p>
    <w:p w:rsidR="00611E53" w:rsidRDefault="00611E53" w:rsidP="00C404F0">
      <w:pPr>
        <w:rPr>
          <w:sz w:val="24"/>
          <w:u w:val="single"/>
        </w:rPr>
      </w:pPr>
    </w:p>
    <w:p w:rsidR="00D34105" w:rsidRDefault="00D34105" w:rsidP="00C404F0">
      <w:pPr>
        <w:rPr>
          <w:sz w:val="24"/>
          <w:u w:val="single"/>
        </w:rPr>
      </w:pPr>
      <w:r>
        <w:rPr>
          <w:sz w:val="24"/>
          <w:u w:val="single"/>
        </w:rPr>
        <w:t>Bibliography</w:t>
      </w:r>
    </w:p>
    <w:p w:rsidR="002069C4" w:rsidRPr="002069C4" w:rsidRDefault="002069C4" w:rsidP="00C404F0">
      <w:pPr>
        <w:rPr>
          <w:sz w:val="24"/>
        </w:rPr>
      </w:pPr>
      <w:r>
        <w:rPr>
          <w:sz w:val="24"/>
        </w:rPr>
        <w:t xml:space="preserve">Abrahams, Israel, </w:t>
      </w:r>
      <w:r>
        <w:rPr>
          <w:i/>
          <w:sz w:val="24"/>
        </w:rPr>
        <w:t xml:space="preserve">Jewish Life in the Middle Ages </w:t>
      </w:r>
      <w:r>
        <w:rPr>
          <w:sz w:val="24"/>
        </w:rPr>
        <w:t>(Jerusalem: Jewish Publication Society, 1993)</w:t>
      </w:r>
    </w:p>
    <w:p w:rsidR="00996F0F" w:rsidRDefault="00996F0F" w:rsidP="00C404F0">
      <w:pPr>
        <w:rPr>
          <w:sz w:val="24"/>
        </w:rPr>
      </w:pPr>
      <w:r>
        <w:rPr>
          <w:sz w:val="24"/>
        </w:rPr>
        <w:t>Cohen, Michael</w:t>
      </w:r>
      <w:r w:rsidR="0079366C">
        <w:rPr>
          <w:sz w:val="24"/>
        </w:rPr>
        <w:t xml:space="preserve"> R., </w:t>
      </w:r>
      <w:r w:rsidR="0079366C">
        <w:rPr>
          <w:i/>
          <w:sz w:val="24"/>
        </w:rPr>
        <w:t xml:space="preserve">Under Crescent and Cross: The Jews in the Middle Ages </w:t>
      </w:r>
      <w:r w:rsidR="0079366C">
        <w:rPr>
          <w:sz w:val="24"/>
        </w:rPr>
        <w:t>(Princeton: Princeton University Press, 1994)</w:t>
      </w:r>
    </w:p>
    <w:p w:rsidR="009103FF" w:rsidRPr="009103FF" w:rsidRDefault="009103FF" w:rsidP="00C404F0">
      <w:pPr>
        <w:rPr>
          <w:sz w:val="24"/>
        </w:rPr>
      </w:pPr>
      <w:r>
        <w:rPr>
          <w:sz w:val="24"/>
        </w:rPr>
        <w:t xml:space="preserve">Cohn-Sherbok, Dan, </w:t>
      </w:r>
      <w:r>
        <w:rPr>
          <w:i/>
          <w:sz w:val="24"/>
        </w:rPr>
        <w:t xml:space="preserve">The Crucified Jew: Twenty Centuries of Christian Anti-Semitism </w:t>
      </w:r>
      <w:r>
        <w:rPr>
          <w:sz w:val="24"/>
        </w:rPr>
        <w:t>(Michigan: William B. Eerdman’s Publishing, 1997)</w:t>
      </w:r>
    </w:p>
    <w:p w:rsidR="003340F0" w:rsidRPr="003340F0" w:rsidRDefault="003340F0" w:rsidP="00C404F0">
      <w:pPr>
        <w:rPr>
          <w:sz w:val="24"/>
        </w:rPr>
      </w:pPr>
      <w:r>
        <w:rPr>
          <w:sz w:val="24"/>
        </w:rPr>
        <w:t xml:space="preserve">Dahan, Gilbert, </w:t>
      </w:r>
      <w:r>
        <w:rPr>
          <w:i/>
          <w:sz w:val="24"/>
        </w:rPr>
        <w:t xml:space="preserve">The Christian Polemic Against the Jews in the Middle Ages, </w:t>
      </w:r>
      <w:r>
        <w:rPr>
          <w:sz w:val="24"/>
        </w:rPr>
        <w:t>trans. by Jody Gladding (Notre Dame: University of Notre Dame Press, 1998)</w:t>
      </w:r>
    </w:p>
    <w:p w:rsidR="00BE54B3" w:rsidRPr="00BE54B3" w:rsidRDefault="00BE54B3" w:rsidP="00C404F0">
      <w:pPr>
        <w:rPr>
          <w:sz w:val="24"/>
        </w:rPr>
      </w:pPr>
      <w:r>
        <w:rPr>
          <w:sz w:val="24"/>
        </w:rPr>
        <w:t>K</w:t>
      </w:r>
      <w:r w:rsidR="00A06A7E">
        <w:rPr>
          <w:sz w:val="24"/>
        </w:rPr>
        <w:t>essler, Edward and Neil Wenborn ed.,</w:t>
      </w:r>
      <w:r>
        <w:rPr>
          <w:sz w:val="24"/>
        </w:rPr>
        <w:t xml:space="preserve"> </w:t>
      </w:r>
      <w:r>
        <w:rPr>
          <w:i/>
          <w:sz w:val="24"/>
        </w:rPr>
        <w:t xml:space="preserve">A Dictionary of Jewish-Christian Relations </w:t>
      </w:r>
      <w:r>
        <w:rPr>
          <w:sz w:val="24"/>
        </w:rPr>
        <w:t>(Cambridge: Cambridge University Press, 2005)</w:t>
      </w:r>
    </w:p>
    <w:p w:rsidR="00D34105" w:rsidRDefault="00996F0F" w:rsidP="00C404F0">
      <w:pPr>
        <w:rPr>
          <w:sz w:val="24"/>
        </w:rPr>
      </w:pPr>
      <w:r w:rsidRPr="00996F0F">
        <w:rPr>
          <w:sz w:val="24"/>
        </w:rPr>
        <w:t>Kessler, Edward</w:t>
      </w:r>
      <w:r>
        <w:rPr>
          <w:sz w:val="24"/>
        </w:rPr>
        <w:t xml:space="preserve">, </w:t>
      </w:r>
      <w:r>
        <w:rPr>
          <w:i/>
          <w:sz w:val="24"/>
        </w:rPr>
        <w:t xml:space="preserve">An Introduction to Jewish-Christian Relations </w:t>
      </w:r>
      <w:r>
        <w:rPr>
          <w:sz w:val="24"/>
        </w:rPr>
        <w:t>(Cambridge: Cambridge University Press, 2010)</w:t>
      </w:r>
    </w:p>
    <w:p w:rsidR="00DA012F" w:rsidRDefault="00DA012F" w:rsidP="00C404F0">
      <w:pPr>
        <w:rPr>
          <w:sz w:val="24"/>
        </w:rPr>
      </w:pPr>
      <w:r>
        <w:rPr>
          <w:sz w:val="24"/>
        </w:rPr>
        <w:t xml:space="preserve">Little, Lester K., ‘The Jews in Christian Europe’, in </w:t>
      </w:r>
      <w:r>
        <w:rPr>
          <w:i/>
          <w:sz w:val="24"/>
        </w:rPr>
        <w:t xml:space="preserve">Essential Papers on Judaism and Christianity in Conflict: From Late Antiquity to the Reformation, </w:t>
      </w:r>
      <w:r>
        <w:rPr>
          <w:sz w:val="24"/>
        </w:rPr>
        <w:t>ed. by Jeremy Cohen (New York: New York University Press, 1991)</w:t>
      </w:r>
      <w:r w:rsidR="00DD4E70">
        <w:rPr>
          <w:sz w:val="24"/>
        </w:rPr>
        <w:t>, pp.276-297.</w:t>
      </w:r>
    </w:p>
    <w:p w:rsidR="00DA012F" w:rsidRPr="00DA012F" w:rsidRDefault="00DA012F" w:rsidP="00C404F0">
      <w:pPr>
        <w:rPr>
          <w:sz w:val="24"/>
        </w:rPr>
      </w:pPr>
      <w:r>
        <w:rPr>
          <w:sz w:val="24"/>
        </w:rPr>
        <w:t xml:space="preserve">Watt, J. A., ‘The Crusades and the Persecution of the Jews’, in </w:t>
      </w:r>
      <w:r>
        <w:rPr>
          <w:i/>
          <w:sz w:val="24"/>
        </w:rPr>
        <w:t xml:space="preserve">The Medieval World, </w:t>
      </w:r>
      <w:r>
        <w:rPr>
          <w:sz w:val="24"/>
        </w:rPr>
        <w:t>ed. by Peter Linechan and</w:t>
      </w:r>
      <w:r w:rsidR="00DD4E70">
        <w:rPr>
          <w:sz w:val="24"/>
        </w:rPr>
        <w:t xml:space="preserve"> Janet L. Nelson (London: Routledge, 2001), pp.146-162.</w:t>
      </w:r>
    </w:p>
    <w:p w:rsidR="00996F0F" w:rsidRPr="00996F0F" w:rsidRDefault="00996F0F" w:rsidP="00C404F0">
      <w:pPr>
        <w:rPr>
          <w:sz w:val="24"/>
        </w:rPr>
      </w:pPr>
    </w:p>
    <w:p w:rsidR="003A1230" w:rsidRDefault="003A1230" w:rsidP="00C404F0">
      <w:pPr>
        <w:rPr>
          <w:sz w:val="24"/>
        </w:rPr>
      </w:pPr>
    </w:p>
    <w:p w:rsidR="003A1230" w:rsidRDefault="003A1230" w:rsidP="00C404F0">
      <w:pPr>
        <w:rPr>
          <w:sz w:val="24"/>
        </w:rPr>
      </w:pPr>
    </w:p>
    <w:p w:rsidR="003647AD" w:rsidRPr="00A738FB" w:rsidRDefault="003647AD" w:rsidP="00C404F0">
      <w:pPr>
        <w:rPr>
          <w:sz w:val="24"/>
        </w:rPr>
      </w:pPr>
    </w:p>
    <w:sectPr w:rsidR="003647AD" w:rsidRPr="00A738FB" w:rsidSect="008E166B">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3287C" w:rsidRDefault="0023287C" w:rsidP="0097161E">
      <w:pPr>
        <w:spacing w:after="0" w:line="240" w:lineRule="auto"/>
      </w:pPr>
      <w:r>
        <w:separator/>
      </w:r>
    </w:p>
  </w:endnote>
  <w:endnote w:type="continuationSeparator" w:id="1">
    <w:p w:rsidR="0023287C" w:rsidRDefault="0023287C" w:rsidP="0097161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3287C" w:rsidRDefault="0023287C" w:rsidP="0097161E">
      <w:pPr>
        <w:spacing w:after="0" w:line="240" w:lineRule="auto"/>
      </w:pPr>
      <w:r>
        <w:separator/>
      </w:r>
    </w:p>
  </w:footnote>
  <w:footnote w:type="continuationSeparator" w:id="1">
    <w:p w:rsidR="0023287C" w:rsidRDefault="0023287C" w:rsidP="0097161E">
      <w:pPr>
        <w:spacing w:after="0" w:line="240" w:lineRule="auto"/>
      </w:pPr>
      <w:r>
        <w:continuationSeparator/>
      </w:r>
    </w:p>
  </w:footnote>
  <w:footnote w:id="2">
    <w:p w:rsidR="0097161E" w:rsidRDefault="0097161E">
      <w:pPr>
        <w:pStyle w:val="FootnoteText"/>
      </w:pPr>
      <w:r>
        <w:rPr>
          <w:rStyle w:val="FootnoteReference"/>
        </w:rPr>
        <w:footnoteRef/>
      </w:r>
      <w:r w:rsidR="0020290A">
        <w:t xml:space="preserve"> Medievalists.net, ‘When were the Middle Ages’, (2012) &lt;</w:t>
      </w:r>
      <w:hyperlink r:id="rId1" w:history="1">
        <w:r w:rsidR="0020290A" w:rsidRPr="005349DA">
          <w:rPr>
            <w:rStyle w:val="Hyperlink"/>
          </w:rPr>
          <w:t>http://www.medievalists.net/2012/08/when-were-the-middle-ages-2/</w:t>
        </w:r>
      </w:hyperlink>
      <w:r w:rsidR="0020290A">
        <w:t>&gt;</w:t>
      </w:r>
    </w:p>
  </w:footnote>
  <w:footnote w:id="3">
    <w:p w:rsidR="0097161E" w:rsidRPr="0097161E" w:rsidRDefault="0097161E">
      <w:pPr>
        <w:pStyle w:val="FootnoteText"/>
      </w:pPr>
      <w:r>
        <w:rPr>
          <w:rStyle w:val="FootnoteReference"/>
        </w:rPr>
        <w:footnoteRef/>
      </w:r>
      <w:r>
        <w:t xml:space="preserve"> Edward Kessler, </w:t>
      </w:r>
      <w:r>
        <w:rPr>
          <w:i/>
        </w:rPr>
        <w:t xml:space="preserve">An Introduction to Jewish-Christian Relations </w:t>
      </w:r>
      <w:r>
        <w:t>(Cambridge: Cambridge University Press, 2010), p.102.</w:t>
      </w:r>
    </w:p>
  </w:footnote>
  <w:footnote w:id="4">
    <w:p w:rsidR="001F56FB" w:rsidRPr="00B565B4" w:rsidRDefault="001F56FB">
      <w:pPr>
        <w:pStyle w:val="FootnoteText"/>
      </w:pPr>
      <w:r>
        <w:rPr>
          <w:rStyle w:val="FootnoteReference"/>
        </w:rPr>
        <w:footnoteRef/>
      </w:r>
      <w:r>
        <w:t xml:space="preserve"> </w:t>
      </w:r>
      <w:r w:rsidRPr="00B565B4">
        <w:t>Four</w:t>
      </w:r>
      <w:r w:rsidR="00B565B4" w:rsidRPr="00B565B4">
        <w:t>th Lateran Council, cited</w:t>
      </w:r>
      <w:r w:rsidR="00B565B4">
        <w:t xml:space="preserve"> in, </w:t>
      </w:r>
      <w:r w:rsidR="00607534">
        <w:rPr>
          <w:i/>
        </w:rPr>
        <w:t>The Crucified Jews:</w:t>
      </w:r>
      <w:r w:rsidR="00B565B4">
        <w:rPr>
          <w:i/>
        </w:rPr>
        <w:t xml:space="preserve"> Twenty Centuries of Christian Anti-Semitism, </w:t>
      </w:r>
      <w:r w:rsidR="00B565B4">
        <w:t>by Dan Cohn-Sherbok (Michigan: William B. Eerdman’s Publishing, 1997), p.45.</w:t>
      </w:r>
    </w:p>
  </w:footnote>
  <w:footnote w:id="5">
    <w:p w:rsidR="001F56FB" w:rsidRPr="001F56FB" w:rsidRDefault="001F56FB">
      <w:pPr>
        <w:pStyle w:val="FootnoteText"/>
      </w:pPr>
      <w:r>
        <w:rPr>
          <w:rStyle w:val="FootnoteReference"/>
        </w:rPr>
        <w:footnoteRef/>
      </w:r>
      <w:r>
        <w:t xml:space="preserve"> Dan Cohn-Sherbok, </w:t>
      </w:r>
      <w:r>
        <w:rPr>
          <w:i/>
        </w:rPr>
        <w:t xml:space="preserve">The Crucified Jews: Twenty Centuries of Christian Anti-Semitism </w:t>
      </w:r>
      <w:r>
        <w:t>(Michigan: William B. Eerdman’s Publishing, 1997), p.45-46.</w:t>
      </w:r>
    </w:p>
  </w:footnote>
  <w:footnote w:id="6">
    <w:p w:rsidR="00CE6E0C" w:rsidRPr="00CE6E0C" w:rsidRDefault="00CE6E0C">
      <w:pPr>
        <w:pStyle w:val="FootnoteText"/>
      </w:pPr>
      <w:r>
        <w:rPr>
          <w:rStyle w:val="FootnoteReference"/>
        </w:rPr>
        <w:footnoteRef/>
      </w:r>
      <w:r>
        <w:t xml:space="preserve"> Edward Kessler, </w:t>
      </w:r>
      <w:r>
        <w:rPr>
          <w:i/>
        </w:rPr>
        <w:t xml:space="preserve">An Introduction to Jewish-Christian Relations, </w:t>
      </w:r>
      <w:r>
        <w:t>p.102.</w:t>
      </w:r>
    </w:p>
  </w:footnote>
  <w:footnote w:id="7">
    <w:p w:rsidR="00CE6E0C" w:rsidRPr="00CD0F4F" w:rsidRDefault="00CE6E0C">
      <w:pPr>
        <w:pStyle w:val="FootnoteText"/>
      </w:pPr>
      <w:r>
        <w:rPr>
          <w:rStyle w:val="FootnoteReference"/>
        </w:rPr>
        <w:footnoteRef/>
      </w:r>
      <w:r>
        <w:t xml:space="preserve"> </w:t>
      </w:r>
      <w:r w:rsidR="00CD0F4F">
        <w:t xml:space="preserve">Dan Cohn-Sherbok, </w:t>
      </w:r>
      <w:r w:rsidR="00CD0F4F">
        <w:rPr>
          <w:i/>
        </w:rPr>
        <w:t xml:space="preserve">The Crucified Jew: Twenty Centuries of Christian Anti-Semitism, </w:t>
      </w:r>
      <w:r w:rsidR="00CD0F4F">
        <w:t>p.46.</w:t>
      </w:r>
    </w:p>
  </w:footnote>
  <w:footnote w:id="8">
    <w:p w:rsidR="00CD0F4F" w:rsidRPr="00CD0F4F" w:rsidRDefault="00CD0F4F">
      <w:pPr>
        <w:pStyle w:val="FootnoteText"/>
      </w:pPr>
      <w:r>
        <w:rPr>
          <w:rStyle w:val="FootnoteReference"/>
        </w:rPr>
        <w:footnoteRef/>
      </w:r>
      <w:r>
        <w:t xml:space="preserve"> Israel Abrahams, </w:t>
      </w:r>
      <w:r>
        <w:rPr>
          <w:i/>
        </w:rPr>
        <w:t xml:space="preserve">Jewish Life in the Middle Ages </w:t>
      </w:r>
      <w:r>
        <w:t>(Jerusalem: Jewish Publication Society, 1993), p.93.</w:t>
      </w:r>
    </w:p>
  </w:footnote>
  <w:footnote w:id="9">
    <w:p w:rsidR="00937156" w:rsidRPr="00937156" w:rsidRDefault="00937156">
      <w:pPr>
        <w:pStyle w:val="FootnoteText"/>
      </w:pPr>
      <w:r>
        <w:rPr>
          <w:rStyle w:val="FootnoteReference"/>
        </w:rPr>
        <w:footnoteRef/>
      </w:r>
      <w:r>
        <w:t xml:space="preserve"> Edward Kessler, </w:t>
      </w:r>
      <w:r>
        <w:rPr>
          <w:i/>
        </w:rPr>
        <w:t xml:space="preserve">An Introduction to Jewish-Christian Relations, </w:t>
      </w:r>
      <w:r>
        <w:t>p.102.</w:t>
      </w:r>
    </w:p>
  </w:footnote>
  <w:footnote w:id="10">
    <w:p w:rsidR="00DE0C7C" w:rsidRPr="00DE0C7C" w:rsidRDefault="00DE0C7C">
      <w:pPr>
        <w:pStyle w:val="FootnoteText"/>
      </w:pPr>
      <w:r>
        <w:rPr>
          <w:rStyle w:val="FootnoteReference"/>
        </w:rPr>
        <w:footnoteRef/>
      </w:r>
      <w:r>
        <w:t xml:space="preserve"> Michael R. Cohen, </w:t>
      </w:r>
      <w:r>
        <w:rPr>
          <w:i/>
        </w:rPr>
        <w:t xml:space="preserve">Under Crescent and Cross: The Jews in the Middle Ages </w:t>
      </w:r>
      <w:r>
        <w:t>(Princeton: Princeton University Press, 1994), p.84.</w:t>
      </w:r>
    </w:p>
  </w:footnote>
  <w:footnote w:id="11">
    <w:p w:rsidR="003E5CC4" w:rsidRPr="003E5CC4" w:rsidRDefault="003E5CC4">
      <w:pPr>
        <w:pStyle w:val="FootnoteText"/>
      </w:pPr>
      <w:r>
        <w:rPr>
          <w:rStyle w:val="FootnoteReference"/>
        </w:rPr>
        <w:footnoteRef/>
      </w:r>
      <w:r>
        <w:t xml:space="preserve"> Lester K. Little, ‘The Jews in Christian Europe’, in </w:t>
      </w:r>
      <w:r>
        <w:rPr>
          <w:i/>
        </w:rPr>
        <w:t xml:space="preserve">Essential Papers on Judaism and Christianity in Conflict: From Late Antiquity to the Reformation, </w:t>
      </w:r>
      <w:r>
        <w:t>ed. by Jeremy Cohen (New York: New York University Press, 1991), pp.276-297 (p.281).</w:t>
      </w:r>
    </w:p>
  </w:footnote>
  <w:footnote w:id="12">
    <w:p w:rsidR="003E5CC4" w:rsidRPr="003E5CC4" w:rsidRDefault="003E5CC4">
      <w:pPr>
        <w:pStyle w:val="FootnoteText"/>
      </w:pPr>
      <w:r>
        <w:rPr>
          <w:rStyle w:val="FootnoteReference"/>
        </w:rPr>
        <w:footnoteRef/>
      </w:r>
      <w:r>
        <w:t xml:space="preserve"> Dan Cohn-Sherbok, </w:t>
      </w:r>
      <w:r>
        <w:rPr>
          <w:i/>
        </w:rPr>
        <w:t xml:space="preserve">The Crucified Jew: Twenty Centuries of Christian Anti-Semitism, </w:t>
      </w:r>
      <w:r>
        <w:t>p.81.</w:t>
      </w:r>
    </w:p>
  </w:footnote>
  <w:footnote w:id="13">
    <w:p w:rsidR="00375D2A" w:rsidRPr="00375D2A" w:rsidRDefault="00375D2A">
      <w:pPr>
        <w:pStyle w:val="FootnoteText"/>
      </w:pPr>
      <w:r>
        <w:rPr>
          <w:rStyle w:val="FootnoteReference"/>
        </w:rPr>
        <w:footnoteRef/>
      </w:r>
      <w:r>
        <w:t xml:space="preserve"> Michael A. Signer, ‘Blood Libel’, in </w:t>
      </w:r>
      <w:r>
        <w:rPr>
          <w:i/>
        </w:rPr>
        <w:t xml:space="preserve">A Dictionary of Jewish-Christian Relations, </w:t>
      </w:r>
      <w:r>
        <w:t>ed. by Edward Kessler and Neil Wenborn (Cambridge: Cambridge University Press, 2005), p.63.</w:t>
      </w:r>
    </w:p>
  </w:footnote>
  <w:footnote w:id="14">
    <w:p w:rsidR="000935A1" w:rsidRPr="000935A1" w:rsidRDefault="000935A1">
      <w:pPr>
        <w:pStyle w:val="FootnoteText"/>
      </w:pPr>
      <w:r>
        <w:rPr>
          <w:rStyle w:val="FootnoteReference"/>
        </w:rPr>
        <w:footnoteRef/>
      </w:r>
      <w:r>
        <w:t xml:space="preserve"> Dan Cohn-Sherbok, </w:t>
      </w:r>
      <w:r>
        <w:rPr>
          <w:i/>
        </w:rPr>
        <w:t xml:space="preserve">The Crucified Jew: Twenty Centuries of Christian Anti-Semitism, </w:t>
      </w:r>
      <w:r>
        <w:t>p.43.</w:t>
      </w:r>
    </w:p>
  </w:footnote>
  <w:footnote w:id="15">
    <w:p w:rsidR="000935A1" w:rsidRDefault="000935A1">
      <w:pPr>
        <w:pStyle w:val="FootnoteText"/>
      </w:pPr>
      <w:r>
        <w:rPr>
          <w:rStyle w:val="FootnoteReference"/>
        </w:rPr>
        <w:footnoteRef/>
      </w:r>
      <w:r>
        <w:t xml:space="preserve"> Lester K. Little, ‘The Jews in Christian Europe’, p.287.</w:t>
      </w:r>
    </w:p>
  </w:footnote>
  <w:footnote w:id="16">
    <w:p w:rsidR="00777828" w:rsidRPr="00777828" w:rsidRDefault="00777828">
      <w:pPr>
        <w:pStyle w:val="FootnoteText"/>
      </w:pPr>
      <w:r>
        <w:rPr>
          <w:rStyle w:val="FootnoteReference"/>
        </w:rPr>
        <w:footnoteRef/>
      </w:r>
      <w:r>
        <w:t xml:space="preserve"> Dan Cohn-Sherbok, </w:t>
      </w:r>
      <w:r>
        <w:rPr>
          <w:i/>
        </w:rPr>
        <w:t xml:space="preserve">The Crucified Jew: Twenty Centuries of Christian Anti-Semitism, </w:t>
      </w:r>
      <w:r>
        <w:t>p.44.</w:t>
      </w:r>
    </w:p>
  </w:footnote>
  <w:footnote w:id="17">
    <w:p w:rsidR="00C404F0" w:rsidRPr="00C404F0" w:rsidRDefault="00C404F0">
      <w:pPr>
        <w:pStyle w:val="FootnoteText"/>
      </w:pPr>
      <w:r>
        <w:rPr>
          <w:rStyle w:val="FootnoteReference"/>
        </w:rPr>
        <w:footnoteRef/>
      </w:r>
      <w:r>
        <w:t xml:space="preserve"> Edward Kessler, </w:t>
      </w:r>
      <w:r>
        <w:rPr>
          <w:i/>
        </w:rPr>
        <w:t xml:space="preserve">An Introduction to Jewish-Christian Relations, </w:t>
      </w:r>
      <w:r>
        <w:t>p.107.</w:t>
      </w:r>
    </w:p>
  </w:footnote>
  <w:footnote w:id="18">
    <w:p w:rsidR="00B20DA3" w:rsidRDefault="00B20DA3">
      <w:pPr>
        <w:pStyle w:val="FootnoteText"/>
      </w:pPr>
      <w:r>
        <w:rPr>
          <w:rStyle w:val="FootnoteReference"/>
        </w:rPr>
        <w:footnoteRef/>
      </w:r>
      <w:r>
        <w:t xml:space="preserve"> Miri Rubin, ‘Black Death’, in </w:t>
      </w:r>
      <w:r>
        <w:rPr>
          <w:i/>
        </w:rPr>
        <w:t xml:space="preserve">A Dictionary of Jewish-Christian Relations, </w:t>
      </w:r>
      <w:r>
        <w:t>ed. by Edward Kessler and Neil Wenborn (Cambridge: Cambridge University Press, 2005), p.61.</w:t>
      </w:r>
    </w:p>
  </w:footnote>
  <w:footnote w:id="19">
    <w:p w:rsidR="00B20DA3" w:rsidRPr="00C87B74" w:rsidRDefault="00B20DA3">
      <w:pPr>
        <w:pStyle w:val="FootnoteText"/>
      </w:pPr>
      <w:r>
        <w:rPr>
          <w:rStyle w:val="FootnoteReference"/>
        </w:rPr>
        <w:footnoteRef/>
      </w:r>
      <w:r>
        <w:t xml:space="preserve"> </w:t>
      </w:r>
      <w:r w:rsidR="00C87B74">
        <w:t xml:space="preserve">Edward Kessler, </w:t>
      </w:r>
      <w:r w:rsidR="00C87B74">
        <w:rPr>
          <w:i/>
        </w:rPr>
        <w:t xml:space="preserve">An Introduction to Jewish-Christian Relations, </w:t>
      </w:r>
      <w:r w:rsidR="00C87B74">
        <w:t>p.107.</w:t>
      </w:r>
    </w:p>
  </w:footnote>
  <w:footnote w:id="20">
    <w:p w:rsidR="006E710C" w:rsidRPr="006E710C" w:rsidRDefault="006E710C">
      <w:pPr>
        <w:pStyle w:val="FootnoteText"/>
      </w:pPr>
      <w:r>
        <w:rPr>
          <w:rStyle w:val="FootnoteReference"/>
        </w:rPr>
        <w:footnoteRef/>
      </w:r>
      <w:r>
        <w:t xml:space="preserve"> Lester K. Little, ‘The Jews in Christian Europe’, p.286.</w:t>
      </w:r>
    </w:p>
  </w:footnote>
  <w:footnote w:id="21">
    <w:p w:rsidR="00F330C2" w:rsidRPr="00F330C2" w:rsidRDefault="00F330C2">
      <w:pPr>
        <w:pStyle w:val="FootnoteText"/>
      </w:pPr>
      <w:r>
        <w:rPr>
          <w:rStyle w:val="FootnoteReference"/>
        </w:rPr>
        <w:footnoteRef/>
      </w:r>
      <w:r>
        <w:t xml:space="preserve"> Edward Kessler, </w:t>
      </w:r>
      <w:r>
        <w:rPr>
          <w:i/>
        </w:rPr>
        <w:t xml:space="preserve">An Introduction to Jewish-Christian Relations, </w:t>
      </w:r>
      <w:r>
        <w:t>p.107.</w:t>
      </w:r>
    </w:p>
  </w:footnote>
  <w:footnote w:id="22">
    <w:p w:rsidR="00A738FB" w:rsidRPr="00A738FB" w:rsidRDefault="00A738FB">
      <w:pPr>
        <w:pStyle w:val="FootnoteText"/>
      </w:pPr>
      <w:r>
        <w:rPr>
          <w:rStyle w:val="FootnoteReference"/>
        </w:rPr>
        <w:footnoteRef/>
      </w:r>
      <w:r>
        <w:t xml:space="preserve"> Dan Cohn-Sherbok, </w:t>
      </w:r>
      <w:r>
        <w:rPr>
          <w:i/>
        </w:rPr>
        <w:t xml:space="preserve">The Crucified Jew: Twenty Centuries of Christian Anti-Semitism, </w:t>
      </w:r>
      <w:r>
        <w:t>p.39.</w:t>
      </w:r>
    </w:p>
  </w:footnote>
  <w:footnote w:id="23">
    <w:p w:rsidR="006F6A9A" w:rsidRDefault="006F6A9A">
      <w:pPr>
        <w:pStyle w:val="FootnoteText"/>
      </w:pPr>
      <w:r>
        <w:rPr>
          <w:rStyle w:val="FootnoteReference"/>
        </w:rPr>
        <w:footnoteRef/>
      </w:r>
      <w:r>
        <w:t xml:space="preserve"> J. A. Watt, ‘The Crusades and the Persecution of the Jews’, </w:t>
      </w:r>
      <w:r w:rsidR="00DA012F">
        <w:t xml:space="preserve">in </w:t>
      </w:r>
      <w:r w:rsidR="00DA012F">
        <w:rPr>
          <w:i/>
        </w:rPr>
        <w:t xml:space="preserve">The Medieval World, </w:t>
      </w:r>
      <w:r w:rsidR="00DA012F">
        <w:t>ed. by Peter Linechan and Janet L. Nelson (London: Routledge, 2001), pp.146-162 (</w:t>
      </w:r>
      <w:r w:rsidR="00DD4E70">
        <w:t>p.146).</w:t>
      </w:r>
    </w:p>
  </w:footnote>
  <w:footnote w:id="24">
    <w:p w:rsidR="006F6A9A" w:rsidRDefault="006F6A9A">
      <w:pPr>
        <w:pStyle w:val="FootnoteText"/>
      </w:pPr>
      <w:r>
        <w:rPr>
          <w:rStyle w:val="FootnoteReference"/>
        </w:rPr>
        <w:footnoteRef/>
      </w:r>
      <w:r>
        <w:t xml:space="preserve"> J. A. Watt, ‘The Crusaders and the Persecution of the Jews, p.153-154.</w:t>
      </w:r>
    </w:p>
  </w:footnote>
  <w:footnote w:id="25">
    <w:p w:rsidR="00D34441" w:rsidRPr="00D34441" w:rsidRDefault="00D34441">
      <w:pPr>
        <w:pStyle w:val="FootnoteText"/>
      </w:pPr>
      <w:r>
        <w:rPr>
          <w:rStyle w:val="FootnoteReference"/>
        </w:rPr>
        <w:footnoteRef/>
      </w:r>
      <w:r>
        <w:t xml:space="preserve"> Dan Cohn-Sherbok, </w:t>
      </w:r>
      <w:r>
        <w:rPr>
          <w:i/>
        </w:rPr>
        <w:t xml:space="preserve">The Crucified Jews: Twenty Centuries of Christian Anti-Semitism, </w:t>
      </w:r>
      <w:r>
        <w:t>p.43.</w:t>
      </w:r>
    </w:p>
  </w:footnote>
  <w:footnote w:id="26">
    <w:p w:rsidR="00E46B41" w:rsidRPr="00E46B41" w:rsidRDefault="00E46B41">
      <w:pPr>
        <w:pStyle w:val="FootnoteText"/>
      </w:pPr>
      <w:r>
        <w:rPr>
          <w:rStyle w:val="FootnoteReference"/>
        </w:rPr>
        <w:footnoteRef/>
      </w:r>
      <w:r>
        <w:t xml:space="preserve"> Robin M. Jensen, ‘Art’, in </w:t>
      </w:r>
      <w:r>
        <w:rPr>
          <w:i/>
        </w:rPr>
        <w:t xml:space="preserve">A Dictionary of Jewish-Christian Relations, </w:t>
      </w:r>
      <w:r>
        <w:t>ed. by Edward Kessler and Neil Wenborn (Cambridge: Cambridge University Press, 2005), pp.34-38 (p.35-37).</w:t>
      </w:r>
    </w:p>
  </w:footnote>
  <w:footnote w:id="27">
    <w:p w:rsidR="00C90304" w:rsidRPr="00C90304" w:rsidRDefault="00C90304">
      <w:pPr>
        <w:pStyle w:val="FootnoteText"/>
      </w:pPr>
      <w:r>
        <w:rPr>
          <w:rStyle w:val="FootnoteReference"/>
        </w:rPr>
        <w:footnoteRef/>
      </w:r>
      <w:r>
        <w:t xml:space="preserve"> Edward Kessler, </w:t>
      </w:r>
      <w:r>
        <w:rPr>
          <w:i/>
        </w:rPr>
        <w:t xml:space="preserve">An Introduction to Jewish-Christian Relations, </w:t>
      </w:r>
      <w:r>
        <w:t>p.104.</w:t>
      </w:r>
    </w:p>
  </w:footnote>
  <w:footnote w:id="28">
    <w:p w:rsidR="003647AD" w:rsidRDefault="003647AD">
      <w:pPr>
        <w:pStyle w:val="FootnoteText"/>
      </w:pPr>
      <w:r>
        <w:rPr>
          <w:rStyle w:val="FootnoteReference"/>
        </w:rPr>
        <w:footnoteRef/>
      </w:r>
      <w:r>
        <w:t xml:space="preserve"> Robin M. Jensen, ‘Art’, p.37.</w:t>
      </w:r>
    </w:p>
  </w:footnote>
  <w:footnote w:id="29">
    <w:p w:rsidR="003647AD" w:rsidRPr="003647AD" w:rsidRDefault="003647AD">
      <w:pPr>
        <w:pStyle w:val="FootnoteText"/>
      </w:pPr>
      <w:r>
        <w:rPr>
          <w:rStyle w:val="FootnoteReference"/>
        </w:rPr>
        <w:footnoteRef/>
      </w:r>
      <w:r>
        <w:t xml:space="preserve"> Edward Kessler, </w:t>
      </w:r>
      <w:r>
        <w:rPr>
          <w:i/>
        </w:rPr>
        <w:t xml:space="preserve">An Introduction to Jewish-Christian Relations, </w:t>
      </w:r>
      <w:r>
        <w:t>p.104-105.</w:t>
      </w:r>
    </w:p>
  </w:footnote>
  <w:footnote w:id="30">
    <w:p w:rsidR="003647AD" w:rsidRPr="003647AD" w:rsidRDefault="003647AD">
      <w:pPr>
        <w:pStyle w:val="FootnoteText"/>
      </w:pPr>
      <w:r>
        <w:rPr>
          <w:rStyle w:val="FootnoteReference"/>
        </w:rPr>
        <w:footnoteRef/>
      </w:r>
      <w:r>
        <w:t xml:space="preserve"> Mary C. Boys, ‘Ecclesia and Synagoga’, in </w:t>
      </w:r>
      <w:r>
        <w:rPr>
          <w:i/>
        </w:rPr>
        <w:t xml:space="preserve">A Dictionary of Jewish-Christian Relations, </w:t>
      </w:r>
      <w:r>
        <w:t>ed. by Edward Kessler and Neil Wenborn (Cambridge: Cambridge University Press, 2005), pp.136-137 (p.137).</w:t>
      </w:r>
    </w:p>
  </w:footnote>
  <w:footnote w:id="31">
    <w:p w:rsidR="002D162E" w:rsidRPr="002D162E" w:rsidRDefault="002D162E">
      <w:pPr>
        <w:pStyle w:val="FootnoteText"/>
      </w:pPr>
      <w:r>
        <w:rPr>
          <w:rStyle w:val="FootnoteReference"/>
        </w:rPr>
        <w:footnoteRef/>
      </w:r>
      <w:r>
        <w:t xml:space="preserve"> Edward Kessler, </w:t>
      </w:r>
      <w:r>
        <w:rPr>
          <w:i/>
        </w:rPr>
        <w:t xml:space="preserve">An Introduction to Jewish-Christian Relations, </w:t>
      </w:r>
      <w:r>
        <w:t>p.105.</w:t>
      </w:r>
    </w:p>
  </w:footnote>
  <w:footnote w:id="32">
    <w:p w:rsidR="00963A67" w:rsidRPr="00963A67" w:rsidRDefault="00963A67">
      <w:pPr>
        <w:pStyle w:val="FootnoteText"/>
      </w:pPr>
      <w:r>
        <w:rPr>
          <w:rStyle w:val="FootnoteReference"/>
        </w:rPr>
        <w:footnoteRef/>
      </w:r>
      <w:r>
        <w:t xml:space="preserve"> Dan Cohn-Sherbok, </w:t>
      </w:r>
      <w:r>
        <w:rPr>
          <w:i/>
        </w:rPr>
        <w:t xml:space="preserve">The Crucified Jew: Twenty Centuries of Christian Anti-Semitism, </w:t>
      </w:r>
      <w:r>
        <w:t>p.54.</w:t>
      </w:r>
    </w:p>
  </w:footnote>
  <w:footnote w:id="33">
    <w:p w:rsidR="00607E81" w:rsidRDefault="00607E81">
      <w:pPr>
        <w:pStyle w:val="FootnoteText"/>
      </w:pPr>
      <w:r>
        <w:rPr>
          <w:rStyle w:val="FootnoteReference"/>
        </w:rPr>
        <w:footnoteRef/>
      </w:r>
      <w:r>
        <w:t xml:space="preserve"> Lester K. Little, ‘The Jews in Christian Europe’, p.285.</w:t>
      </w:r>
    </w:p>
  </w:footnote>
  <w:footnote w:id="34">
    <w:p w:rsidR="00607E81" w:rsidRPr="00607E81" w:rsidRDefault="00607E81">
      <w:pPr>
        <w:pStyle w:val="FootnoteText"/>
      </w:pPr>
      <w:r>
        <w:rPr>
          <w:rStyle w:val="FootnoteReference"/>
        </w:rPr>
        <w:footnoteRef/>
      </w:r>
      <w:r>
        <w:t xml:space="preserve"> Gilbert Dahan, </w:t>
      </w:r>
      <w:r>
        <w:rPr>
          <w:i/>
        </w:rPr>
        <w:t xml:space="preserve">The Christian Polemic against the Jews in the Middle Ages, </w:t>
      </w:r>
      <w:r>
        <w:t>trans. By Jody Gladding (Notre Dame: University of Notre Dame Press, 1998), p.39.</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1526E9"/>
    <w:rsid w:val="000019BB"/>
    <w:rsid w:val="00003672"/>
    <w:rsid w:val="0005249F"/>
    <w:rsid w:val="000601C4"/>
    <w:rsid w:val="000935A1"/>
    <w:rsid w:val="000A4B14"/>
    <w:rsid w:val="000E0B25"/>
    <w:rsid w:val="001025E7"/>
    <w:rsid w:val="00105765"/>
    <w:rsid w:val="001526E9"/>
    <w:rsid w:val="001A4186"/>
    <w:rsid w:val="001C479D"/>
    <w:rsid w:val="001F56FB"/>
    <w:rsid w:val="00201C3D"/>
    <w:rsid w:val="0020290A"/>
    <w:rsid w:val="002069C4"/>
    <w:rsid w:val="0023287C"/>
    <w:rsid w:val="00257B6D"/>
    <w:rsid w:val="00292BC2"/>
    <w:rsid w:val="002A1A83"/>
    <w:rsid w:val="002A5D4F"/>
    <w:rsid w:val="002C6B0A"/>
    <w:rsid w:val="002D162E"/>
    <w:rsid w:val="00323A1A"/>
    <w:rsid w:val="00323D87"/>
    <w:rsid w:val="003311A2"/>
    <w:rsid w:val="003340F0"/>
    <w:rsid w:val="003647AD"/>
    <w:rsid w:val="00375D2A"/>
    <w:rsid w:val="003A07F2"/>
    <w:rsid w:val="003A0ED9"/>
    <w:rsid w:val="003A1230"/>
    <w:rsid w:val="003A12F0"/>
    <w:rsid w:val="003E5CC4"/>
    <w:rsid w:val="003F1F8A"/>
    <w:rsid w:val="00401DAF"/>
    <w:rsid w:val="004042EE"/>
    <w:rsid w:val="00406B22"/>
    <w:rsid w:val="00441F0C"/>
    <w:rsid w:val="00462CDC"/>
    <w:rsid w:val="00475C46"/>
    <w:rsid w:val="004B194C"/>
    <w:rsid w:val="004B444C"/>
    <w:rsid w:val="004B6B28"/>
    <w:rsid w:val="004F7DAC"/>
    <w:rsid w:val="00517108"/>
    <w:rsid w:val="0055737B"/>
    <w:rsid w:val="005860EB"/>
    <w:rsid w:val="005C44F8"/>
    <w:rsid w:val="00607534"/>
    <w:rsid w:val="00607E81"/>
    <w:rsid w:val="00611E53"/>
    <w:rsid w:val="006133E7"/>
    <w:rsid w:val="00654193"/>
    <w:rsid w:val="00666D9A"/>
    <w:rsid w:val="006C290B"/>
    <w:rsid w:val="006C7AC7"/>
    <w:rsid w:val="006E710C"/>
    <w:rsid w:val="006F22A0"/>
    <w:rsid w:val="006F6A9A"/>
    <w:rsid w:val="0072141B"/>
    <w:rsid w:val="00750E35"/>
    <w:rsid w:val="00753BA4"/>
    <w:rsid w:val="00777828"/>
    <w:rsid w:val="0079317C"/>
    <w:rsid w:val="0079366C"/>
    <w:rsid w:val="007A4470"/>
    <w:rsid w:val="007A6449"/>
    <w:rsid w:val="007B6105"/>
    <w:rsid w:val="007B6AFE"/>
    <w:rsid w:val="007C2687"/>
    <w:rsid w:val="007E1572"/>
    <w:rsid w:val="007E4DA9"/>
    <w:rsid w:val="0082115C"/>
    <w:rsid w:val="00850707"/>
    <w:rsid w:val="00854588"/>
    <w:rsid w:val="008671F7"/>
    <w:rsid w:val="00884455"/>
    <w:rsid w:val="008866E1"/>
    <w:rsid w:val="008A7881"/>
    <w:rsid w:val="008B2002"/>
    <w:rsid w:val="008D5D42"/>
    <w:rsid w:val="008E166B"/>
    <w:rsid w:val="00904208"/>
    <w:rsid w:val="009063D2"/>
    <w:rsid w:val="009103FF"/>
    <w:rsid w:val="00937156"/>
    <w:rsid w:val="009600C7"/>
    <w:rsid w:val="00963A67"/>
    <w:rsid w:val="0097161E"/>
    <w:rsid w:val="00971E48"/>
    <w:rsid w:val="00996F0F"/>
    <w:rsid w:val="009D0CA5"/>
    <w:rsid w:val="009D5187"/>
    <w:rsid w:val="009D657F"/>
    <w:rsid w:val="00A06A7E"/>
    <w:rsid w:val="00A07B5C"/>
    <w:rsid w:val="00A40A62"/>
    <w:rsid w:val="00A6054D"/>
    <w:rsid w:val="00A738FB"/>
    <w:rsid w:val="00AF0D2C"/>
    <w:rsid w:val="00B17C6F"/>
    <w:rsid w:val="00B20DA3"/>
    <w:rsid w:val="00B55057"/>
    <w:rsid w:val="00B565B4"/>
    <w:rsid w:val="00B91DC7"/>
    <w:rsid w:val="00B942C9"/>
    <w:rsid w:val="00BE54B3"/>
    <w:rsid w:val="00C14BB9"/>
    <w:rsid w:val="00C404F0"/>
    <w:rsid w:val="00C517EA"/>
    <w:rsid w:val="00C52F92"/>
    <w:rsid w:val="00C61E00"/>
    <w:rsid w:val="00C66007"/>
    <w:rsid w:val="00C71EAA"/>
    <w:rsid w:val="00C87B74"/>
    <w:rsid w:val="00C90304"/>
    <w:rsid w:val="00CB5672"/>
    <w:rsid w:val="00CC5314"/>
    <w:rsid w:val="00CD0E97"/>
    <w:rsid w:val="00CD0F4F"/>
    <w:rsid w:val="00CE6E0C"/>
    <w:rsid w:val="00D11C21"/>
    <w:rsid w:val="00D213DB"/>
    <w:rsid w:val="00D23698"/>
    <w:rsid w:val="00D23E45"/>
    <w:rsid w:val="00D34105"/>
    <w:rsid w:val="00D34441"/>
    <w:rsid w:val="00DA012F"/>
    <w:rsid w:val="00DC4B3E"/>
    <w:rsid w:val="00DD4E70"/>
    <w:rsid w:val="00DE0C7C"/>
    <w:rsid w:val="00DF2408"/>
    <w:rsid w:val="00E46B41"/>
    <w:rsid w:val="00E7597A"/>
    <w:rsid w:val="00E76540"/>
    <w:rsid w:val="00E765F2"/>
    <w:rsid w:val="00E7714B"/>
    <w:rsid w:val="00EB1952"/>
    <w:rsid w:val="00ED51D1"/>
    <w:rsid w:val="00EE003C"/>
    <w:rsid w:val="00EE7D2A"/>
    <w:rsid w:val="00EF236C"/>
    <w:rsid w:val="00F01349"/>
    <w:rsid w:val="00F01AE5"/>
    <w:rsid w:val="00F134A5"/>
    <w:rsid w:val="00F17E75"/>
    <w:rsid w:val="00F330C2"/>
    <w:rsid w:val="00F34882"/>
    <w:rsid w:val="00F40B88"/>
    <w:rsid w:val="00F55209"/>
    <w:rsid w:val="00F661F1"/>
    <w:rsid w:val="00F72D21"/>
    <w:rsid w:val="00FD47D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166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7161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7161E"/>
    <w:rPr>
      <w:sz w:val="20"/>
      <w:szCs w:val="20"/>
    </w:rPr>
  </w:style>
  <w:style w:type="character" w:styleId="FootnoteReference">
    <w:name w:val="footnote reference"/>
    <w:basedOn w:val="DefaultParagraphFont"/>
    <w:uiPriority w:val="99"/>
    <w:semiHidden/>
    <w:unhideWhenUsed/>
    <w:rsid w:val="0097161E"/>
    <w:rPr>
      <w:vertAlign w:val="superscript"/>
    </w:rPr>
  </w:style>
  <w:style w:type="character" w:styleId="Hyperlink">
    <w:name w:val="Hyperlink"/>
    <w:basedOn w:val="DefaultParagraphFont"/>
    <w:uiPriority w:val="99"/>
    <w:unhideWhenUsed/>
    <w:rsid w:val="0097161E"/>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www.medievalists.net/2012/08/when-were-the-middle-ages-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C5D4DE-7BC4-46B2-8289-7BA547EB71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7</Pages>
  <Words>2622</Words>
  <Characters>14952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 hewson</dc:creator>
  <cp:lastModifiedBy>Dan hewson</cp:lastModifiedBy>
  <cp:revision>72</cp:revision>
  <dcterms:created xsi:type="dcterms:W3CDTF">2018-04-05T08:15:00Z</dcterms:created>
  <dcterms:modified xsi:type="dcterms:W3CDTF">2018-04-23T09:02:00Z</dcterms:modified>
</cp:coreProperties>
</file>