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6103A3"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408091C3"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3C2561">
        <w:rPr>
          <w:rFonts w:ascii="Arial" w:hAnsi="Arial" w:cs="Arial"/>
          <w:sz w:val="28"/>
          <w:szCs w:val="28"/>
          <w:lang w:val="nl-NL"/>
        </w:rPr>
        <w:t xml:space="preserve">Introduction to Health and Social Care </w:t>
      </w:r>
    </w:p>
    <w:p w14:paraId="537571AF" w14:textId="7310C4C5"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3C2561">
        <w:rPr>
          <w:rFonts w:ascii="Arial" w:hAnsi="Arial" w:cs="Arial"/>
          <w:sz w:val="28"/>
          <w:szCs w:val="28"/>
        </w:rPr>
        <w:t xml:space="preserve"> </w:t>
      </w:r>
      <w:r w:rsidR="003C2561" w:rsidRPr="003C2561">
        <w:rPr>
          <w:rFonts w:ascii="Arial" w:hAnsi="Arial" w:cs="Arial"/>
          <w:sz w:val="28"/>
          <w:szCs w:val="28"/>
        </w:rPr>
        <w:t>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7629ACA7"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3C2561">
        <w:rPr>
          <w:rFonts w:ascii="Arial" w:hAnsi="Arial" w:cs="Arial"/>
          <w:sz w:val="28"/>
          <w:szCs w:val="28"/>
          <w:lang w:val="nl-NL"/>
        </w:rPr>
        <w:t xml:space="preserve"> Ejiroghene Barbara Onyeme Campbell</w:t>
      </w:r>
    </w:p>
    <w:p w14:paraId="39AA4413" w14:textId="74723E79"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3C2561">
        <w:rPr>
          <w:rFonts w:ascii="Arial" w:hAnsi="Arial" w:cs="Arial"/>
          <w:sz w:val="28"/>
          <w:szCs w:val="28"/>
          <w:lang w:val="nl-NL"/>
        </w:rPr>
        <w:t xml:space="preserve"> 2516659</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58B52DF6"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3C2561">
        <w:rPr>
          <w:rFonts w:ascii="Arial" w:hAnsi="Arial" w:cs="Arial"/>
          <w:sz w:val="28"/>
          <w:szCs w:val="28"/>
        </w:rPr>
        <w:t xml:space="preserve"> Mark Kane</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Default="00B87E75" w:rsidP="00571E54">
      <w:pPr>
        <w:pStyle w:val="Heading1"/>
      </w:pPr>
      <w:r w:rsidRPr="00CD33A8">
        <w:lastRenderedPageBreak/>
        <w:t>Table of contents</w:t>
      </w:r>
    </w:p>
    <w:p w14:paraId="24903114" w14:textId="77777777" w:rsidR="00571E54" w:rsidRPr="00571E54" w:rsidRDefault="00571E54" w:rsidP="00571E54"/>
    <w:p w14:paraId="06C33FD6" w14:textId="1C062C8A" w:rsidR="00571E54" w:rsidRPr="00571E54" w:rsidRDefault="00571E54" w:rsidP="00571E54">
      <w:pPr>
        <w:pStyle w:val="ListParagraph"/>
        <w:numPr>
          <w:ilvl w:val="0"/>
          <w:numId w:val="1"/>
        </w:numPr>
        <w:spacing w:line="360" w:lineRule="auto"/>
        <w:rPr>
          <w:rFonts w:asciiTheme="minorBidi" w:hAnsiTheme="minorBidi"/>
          <w:sz w:val="22"/>
        </w:rPr>
      </w:pPr>
      <w:r w:rsidRPr="00571E54">
        <w:rPr>
          <w:rFonts w:asciiTheme="minorBidi" w:hAnsiTheme="minorBidi"/>
          <w:sz w:val="22"/>
        </w:rPr>
        <w:t>Introduction</w:t>
      </w:r>
    </w:p>
    <w:p w14:paraId="0B74B9C1" w14:textId="47FA5781" w:rsidR="00571E54" w:rsidRPr="00571E54" w:rsidRDefault="00571E54" w:rsidP="00571E54">
      <w:pPr>
        <w:pStyle w:val="ListParagraph"/>
        <w:numPr>
          <w:ilvl w:val="0"/>
          <w:numId w:val="1"/>
        </w:numPr>
        <w:spacing w:line="360" w:lineRule="auto"/>
        <w:rPr>
          <w:rFonts w:asciiTheme="minorBidi" w:hAnsiTheme="minorBidi"/>
          <w:sz w:val="22"/>
        </w:rPr>
      </w:pPr>
      <w:r w:rsidRPr="00571E54">
        <w:rPr>
          <w:rFonts w:asciiTheme="minorBidi" w:hAnsiTheme="minorBidi"/>
          <w:sz w:val="22"/>
        </w:rPr>
        <w:t>Importance of Effective Communication</w:t>
      </w:r>
    </w:p>
    <w:p w14:paraId="1806DFC2" w14:textId="1223A378" w:rsidR="00571E54" w:rsidRPr="00571E54" w:rsidRDefault="00571E54" w:rsidP="00571E54">
      <w:pPr>
        <w:pStyle w:val="ListParagraph"/>
        <w:numPr>
          <w:ilvl w:val="0"/>
          <w:numId w:val="1"/>
        </w:numPr>
        <w:spacing w:line="360" w:lineRule="auto"/>
        <w:rPr>
          <w:rFonts w:asciiTheme="minorBidi" w:hAnsiTheme="minorBidi"/>
          <w:sz w:val="22"/>
        </w:rPr>
      </w:pPr>
      <w:r w:rsidRPr="00571E54">
        <w:rPr>
          <w:rFonts w:asciiTheme="minorBidi" w:hAnsiTheme="minorBidi"/>
          <w:sz w:val="22"/>
        </w:rPr>
        <w:t>Importance of Good Administrative Skills</w:t>
      </w:r>
    </w:p>
    <w:p w14:paraId="5AC2C342" w14:textId="73739E08" w:rsidR="00571E54" w:rsidRPr="00571E54" w:rsidRDefault="00571E54" w:rsidP="00571E54">
      <w:pPr>
        <w:pStyle w:val="ListParagraph"/>
        <w:numPr>
          <w:ilvl w:val="0"/>
          <w:numId w:val="1"/>
        </w:numPr>
        <w:spacing w:line="360" w:lineRule="auto"/>
        <w:rPr>
          <w:rFonts w:asciiTheme="minorBidi" w:hAnsiTheme="minorBidi"/>
          <w:sz w:val="22"/>
        </w:rPr>
      </w:pPr>
      <w:r w:rsidRPr="00571E54">
        <w:rPr>
          <w:rFonts w:asciiTheme="minorBidi" w:hAnsiTheme="minorBidi"/>
          <w:sz w:val="22"/>
        </w:rPr>
        <w:t>Importance of Working Collaboratively</w:t>
      </w:r>
    </w:p>
    <w:p w14:paraId="7CC99423" w14:textId="1224F978" w:rsidR="00571E54" w:rsidRPr="00571E54" w:rsidRDefault="00571E54" w:rsidP="00571E54">
      <w:pPr>
        <w:pStyle w:val="ListParagraph"/>
        <w:numPr>
          <w:ilvl w:val="0"/>
          <w:numId w:val="1"/>
        </w:numPr>
        <w:spacing w:line="360" w:lineRule="auto"/>
        <w:rPr>
          <w:rFonts w:asciiTheme="minorBidi" w:hAnsiTheme="minorBidi"/>
          <w:sz w:val="22"/>
        </w:rPr>
      </w:pPr>
      <w:r w:rsidRPr="00571E54">
        <w:rPr>
          <w:rFonts w:asciiTheme="minorBidi" w:hAnsiTheme="minorBidi"/>
          <w:sz w:val="22"/>
        </w:rPr>
        <w:t>Conclusion</w:t>
      </w:r>
    </w:p>
    <w:p w14:paraId="13E00080" w14:textId="536060B3" w:rsidR="00B87E75" w:rsidRPr="00437085" w:rsidRDefault="00571E54" w:rsidP="00437085">
      <w:pPr>
        <w:pStyle w:val="ListParagraph"/>
        <w:numPr>
          <w:ilvl w:val="0"/>
          <w:numId w:val="1"/>
        </w:numPr>
        <w:spacing w:line="360" w:lineRule="auto"/>
        <w:rPr>
          <w:rFonts w:asciiTheme="minorBidi" w:hAnsiTheme="minorBidi"/>
          <w:sz w:val="22"/>
        </w:rPr>
      </w:pPr>
      <w:r w:rsidRPr="00437085">
        <w:rPr>
          <w:rFonts w:asciiTheme="minorBidi" w:hAnsiTheme="minorBidi"/>
          <w:sz w:val="22"/>
        </w:rPr>
        <w:t>References</w:t>
      </w: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4DEF816" w14:textId="5D7D800A" w:rsidR="00571E54" w:rsidRPr="00571E54" w:rsidRDefault="00B87E75" w:rsidP="00571E54">
      <w:pPr>
        <w:spacing w:line="360" w:lineRule="auto"/>
        <w:rPr>
          <w:rFonts w:asciiTheme="minorBidi" w:hAnsiTheme="minorBidi"/>
          <w:sz w:val="22"/>
        </w:rPr>
      </w:pPr>
      <w:r w:rsidRPr="00CD33A8">
        <w:rPr>
          <w:rFonts w:asciiTheme="minorBidi" w:hAnsiTheme="minorBidi"/>
          <w:sz w:val="22"/>
        </w:rPr>
        <w:br w:type="page"/>
      </w:r>
    </w:p>
    <w:p w14:paraId="0BB6FCD1" w14:textId="7B623446"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lastRenderedPageBreak/>
        <w:t>Communication, Administration and Collaboration: The Case of Mr Ahmed Report</w:t>
      </w:r>
    </w:p>
    <w:p w14:paraId="060D8D5C" w14:textId="77777777"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1. Introduction</w:t>
      </w:r>
    </w:p>
    <w:p w14:paraId="56D36BA6" w14:textId="39744551"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Effective communication, administrative practice and multidisciplinary working are vital components of high</w:t>
      </w:r>
      <w:r w:rsidRPr="00571E54">
        <w:rPr>
          <w:rFonts w:ascii="Cambria Math" w:eastAsiaTheme="majorEastAsia" w:hAnsi="Cambria Math" w:cs="Cambria Math"/>
          <w:bCs/>
          <w:sz w:val="22"/>
        </w:rPr>
        <w:t>‑</w:t>
      </w:r>
      <w:r w:rsidRPr="00571E54">
        <w:rPr>
          <w:rFonts w:ascii="Arial" w:eastAsiaTheme="majorEastAsia" w:hAnsi="Arial" w:cs="Arial"/>
          <w:bCs/>
          <w:sz w:val="22"/>
        </w:rPr>
        <w:t>quality health and social care. Indeed, they are critical to ensuring services are delivered as safely, fairly and person</w:t>
      </w:r>
      <w:r w:rsidRPr="00571E54">
        <w:rPr>
          <w:rFonts w:ascii="Cambria Math" w:eastAsiaTheme="majorEastAsia" w:hAnsi="Cambria Math" w:cs="Cambria Math"/>
          <w:bCs/>
          <w:sz w:val="22"/>
        </w:rPr>
        <w:t>‑</w:t>
      </w:r>
      <w:r w:rsidRPr="00571E54">
        <w:rPr>
          <w:rFonts w:ascii="Arial" w:eastAsiaTheme="majorEastAsia" w:hAnsi="Arial" w:cs="Arial"/>
          <w:bCs/>
          <w:sz w:val="22"/>
        </w:rPr>
        <w:t>centred as possible. For example, people with long</w:t>
      </w:r>
      <w:r w:rsidRPr="00571E54">
        <w:rPr>
          <w:rFonts w:ascii="Cambria Math" w:eastAsiaTheme="majorEastAsia" w:hAnsi="Cambria Math" w:cs="Cambria Math"/>
          <w:bCs/>
          <w:sz w:val="22"/>
        </w:rPr>
        <w:t>‑</w:t>
      </w:r>
      <w:r w:rsidRPr="00571E54">
        <w:rPr>
          <w:rFonts w:ascii="Arial" w:eastAsiaTheme="majorEastAsia" w:hAnsi="Arial" w:cs="Arial"/>
          <w:bCs/>
          <w:sz w:val="22"/>
        </w:rPr>
        <w:t xml:space="preserve">term or complex conditions often require information sharing between health and social care professionals </w:t>
      </w:r>
      <w:r>
        <w:rPr>
          <w:rFonts w:ascii="Arial" w:eastAsiaTheme="majorEastAsia" w:hAnsi="Arial" w:cs="Arial"/>
          <w:bCs/>
          <w:sz w:val="22"/>
        </w:rPr>
        <w:t>to</w:t>
      </w:r>
      <w:r w:rsidRPr="00571E54">
        <w:rPr>
          <w:rFonts w:ascii="Arial" w:eastAsiaTheme="majorEastAsia" w:hAnsi="Arial" w:cs="Arial"/>
          <w:bCs/>
          <w:sz w:val="22"/>
        </w:rPr>
        <w:t xml:space="preserve"> meet their care needs. Mr Ahmed is a 68</w:t>
      </w:r>
      <w:r w:rsidRPr="00571E54">
        <w:rPr>
          <w:rFonts w:ascii="Cambria Math" w:eastAsiaTheme="majorEastAsia" w:hAnsi="Cambria Math" w:cs="Cambria Math"/>
          <w:bCs/>
          <w:sz w:val="22"/>
        </w:rPr>
        <w:t>‑</w:t>
      </w:r>
      <w:r w:rsidRPr="00571E54">
        <w:rPr>
          <w:rFonts w:ascii="Arial" w:eastAsiaTheme="majorEastAsia" w:hAnsi="Arial" w:cs="Arial"/>
          <w:bCs/>
          <w:sz w:val="22"/>
        </w:rPr>
        <w:t>year</w:t>
      </w:r>
      <w:r w:rsidRPr="00571E54">
        <w:rPr>
          <w:rFonts w:ascii="Cambria Math" w:eastAsiaTheme="majorEastAsia" w:hAnsi="Cambria Math" w:cs="Cambria Math"/>
          <w:bCs/>
          <w:sz w:val="22"/>
        </w:rPr>
        <w:t>‑</w:t>
      </w:r>
      <w:r w:rsidRPr="00571E54">
        <w:rPr>
          <w:rFonts w:ascii="Arial" w:eastAsiaTheme="majorEastAsia" w:hAnsi="Arial" w:cs="Arial"/>
          <w:bCs/>
          <w:sz w:val="22"/>
        </w:rPr>
        <w:t xml:space="preserve">old man who has recently had a stroke. He is experiencing some physical limitations and struggles to communicate at times. His English is limited, </w:t>
      </w:r>
      <w:r>
        <w:rPr>
          <w:rFonts w:ascii="Arial" w:eastAsiaTheme="majorEastAsia" w:hAnsi="Arial" w:cs="Arial"/>
          <w:bCs/>
          <w:sz w:val="22"/>
        </w:rPr>
        <w:t>which means</w:t>
      </w:r>
      <w:r w:rsidRPr="00571E54">
        <w:rPr>
          <w:rFonts w:ascii="Arial" w:eastAsiaTheme="majorEastAsia" w:hAnsi="Arial" w:cs="Arial"/>
          <w:bCs/>
          <w:sz w:val="22"/>
        </w:rPr>
        <w:t xml:space="preserve"> his vulnerability is further </w:t>
      </w:r>
      <w:r w:rsidRPr="00571E54">
        <w:rPr>
          <w:rFonts w:ascii="Arial" w:eastAsiaTheme="majorEastAsia" w:hAnsi="Arial" w:cs="Arial"/>
          <w:bCs/>
          <w:sz w:val="22"/>
        </w:rPr>
        <w:t>worsened</w:t>
      </w:r>
      <w:r w:rsidRPr="00571E54">
        <w:rPr>
          <w:rFonts w:ascii="Arial" w:eastAsiaTheme="majorEastAsia" w:hAnsi="Arial" w:cs="Arial"/>
          <w:bCs/>
          <w:sz w:val="22"/>
        </w:rPr>
        <w:t xml:space="preserve"> by subtle weaknesses in each of these areas.</w:t>
      </w:r>
    </w:p>
    <w:p w14:paraId="295B06DD" w14:textId="154AAB85" w:rsid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This report evaluates how communication, administrative practice and multidisciplinary working impact the safety and quality of care delivered to Mr Ahmed. Communication is discussed in legal, theoretical and ethical contexts. Administrative practice is explored in terms of professional responsibilities around record</w:t>
      </w:r>
      <w:r w:rsidRPr="00571E54">
        <w:rPr>
          <w:rFonts w:ascii="Cambria Math" w:eastAsiaTheme="majorEastAsia" w:hAnsi="Cambria Math" w:cs="Cambria Math"/>
          <w:bCs/>
          <w:sz w:val="22"/>
        </w:rPr>
        <w:t>‑</w:t>
      </w:r>
      <w:r w:rsidRPr="00571E54">
        <w:rPr>
          <w:rFonts w:ascii="Arial" w:eastAsiaTheme="majorEastAsia" w:hAnsi="Arial" w:cs="Arial"/>
          <w:bCs/>
          <w:sz w:val="22"/>
        </w:rPr>
        <w:t xml:space="preserve">keeping and data protection, before effective multidisciplinary working is evaluated. Current best </w:t>
      </w:r>
      <w:r>
        <w:rPr>
          <w:rFonts w:ascii="Arial" w:eastAsiaTheme="majorEastAsia" w:hAnsi="Arial" w:cs="Arial"/>
          <w:bCs/>
          <w:sz w:val="22"/>
        </w:rPr>
        <w:t>practices are identified alongside limitations experienced in real-world</w:t>
      </w:r>
      <w:r w:rsidRPr="00571E54">
        <w:rPr>
          <w:rFonts w:ascii="Arial" w:eastAsiaTheme="majorEastAsia" w:hAnsi="Arial" w:cs="Arial"/>
          <w:bCs/>
          <w:sz w:val="22"/>
        </w:rPr>
        <w:t xml:space="preserve"> settings.</w:t>
      </w:r>
    </w:p>
    <w:p w14:paraId="6F8C1759" w14:textId="77777777" w:rsidR="00571E54" w:rsidRPr="00571E54" w:rsidRDefault="00571E54" w:rsidP="00571E54">
      <w:pPr>
        <w:tabs>
          <w:tab w:val="left" w:pos="6540"/>
        </w:tabs>
        <w:spacing w:line="360" w:lineRule="auto"/>
        <w:rPr>
          <w:rFonts w:ascii="Arial" w:eastAsiaTheme="majorEastAsia" w:hAnsi="Arial" w:cs="Arial"/>
          <w:bCs/>
          <w:sz w:val="22"/>
        </w:rPr>
      </w:pPr>
    </w:p>
    <w:p w14:paraId="2423186A" w14:textId="77777777"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2. Importance of Effective Communication</w:t>
      </w:r>
    </w:p>
    <w:p w14:paraId="661D6A01" w14:textId="43301001"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 xml:space="preserve">Models of communication can be useful but require resources and support from the wider organisation to facilitate. Professional interpreter services should be available where </w:t>
      </w:r>
      <w:r w:rsidR="00437085" w:rsidRPr="00571E54">
        <w:rPr>
          <w:rFonts w:ascii="Arial" w:eastAsiaTheme="majorEastAsia" w:hAnsi="Arial" w:cs="Arial"/>
          <w:bCs/>
          <w:sz w:val="22"/>
        </w:rPr>
        <w:t>necessary</w:t>
      </w:r>
      <w:r w:rsidR="00437085">
        <w:rPr>
          <w:rFonts w:ascii="Arial" w:eastAsiaTheme="majorEastAsia" w:hAnsi="Arial" w:cs="Arial"/>
          <w:bCs/>
          <w:sz w:val="22"/>
        </w:rPr>
        <w:t xml:space="preserve"> but</w:t>
      </w:r>
      <w:r w:rsidRPr="00571E54">
        <w:rPr>
          <w:rFonts w:ascii="Arial" w:eastAsiaTheme="majorEastAsia" w:hAnsi="Arial" w:cs="Arial"/>
          <w:bCs/>
          <w:sz w:val="22"/>
        </w:rPr>
        <w:t xml:space="preserve"> are inconsistent in practice. As a result, many healthcare settings use relatives instead (Flores, 2005). Whilst this may be convenient, it places limitations on accuracy and confidentiality. Ultimately, this is symptomatic of health inequalities that persist across the country; the Equality Act 2010 is inadequately resourced at times (UK Government, 2010). Action should be taken to address this through increased funding, staff training and analysis of communication breakdowns.</w:t>
      </w:r>
    </w:p>
    <w:p w14:paraId="1178A546" w14:textId="04CA0560"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Effective communication is crucial to delivering safe, person</w:t>
      </w:r>
      <w:r w:rsidRPr="00571E54">
        <w:rPr>
          <w:rFonts w:ascii="Cambria Math" w:eastAsiaTheme="majorEastAsia" w:hAnsi="Cambria Math" w:cs="Cambria Math"/>
          <w:bCs/>
          <w:sz w:val="22"/>
        </w:rPr>
        <w:t>‑</w:t>
      </w:r>
      <w:r w:rsidRPr="00571E54">
        <w:rPr>
          <w:rFonts w:ascii="Arial" w:eastAsiaTheme="majorEastAsia" w:hAnsi="Arial" w:cs="Arial"/>
          <w:bCs/>
          <w:sz w:val="22"/>
        </w:rPr>
        <w:t xml:space="preserve">centred care. This is because it underpins how patients understand their condition, are involved in decision making, and subsequent health outcomes (NICE, 2021). Safe care has failed Mr Ahmed on </w:t>
      </w:r>
      <w:proofErr w:type="gramStart"/>
      <w:r w:rsidRPr="00571E54">
        <w:rPr>
          <w:rFonts w:ascii="Arial" w:eastAsiaTheme="majorEastAsia" w:hAnsi="Arial" w:cs="Arial"/>
          <w:bCs/>
          <w:sz w:val="22"/>
        </w:rPr>
        <w:t>a number of</w:t>
      </w:r>
      <w:proofErr w:type="gramEnd"/>
      <w:r w:rsidRPr="00571E54">
        <w:rPr>
          <w:rFonts w:ascii="Arial" w:eastAsiaTheme="majorEastAsia" w:hAnsi="Arial" w:cs="Arial"/>
          <w:bCs/>
          <w:sz w:val="22"/>
        </w:rPr>
        <w:t xml:space="preserve"> occasions. Primarily</w:t>
      </w:r>
      <w:r w:rsidR="00437085">
        <w:rPr>
          <w:rFonts w:ascii="Arial" w:eastAsiaTheme="majorEastAsia" w:hAnsi="Arial" w:cs="Arial"/>
          <w:bCs/>
          <w:sz w:val="22"/>
        </w:rPr>
        <w:t>,</w:t>
      </w:r>
      <w:r w:rsidRPr="00571E54">
        <w:rPr>
          <w:rFonts w:ascii="Arial" w:eastAsiaTheme="majorEastAsia" w:hAnsi="Arial" w:cs="Arial"/>
          <w:bCs/>
          <w:sz w:val="22"/>
        </w:rPr>
        <w:t xml:space="preserve"> his ability to effectively communicate has been impaired due to his stroke, but </w:t>
      </w:r>
      <w:r w:rsidR="00437085">
        <w:rPr>
          <w:rFonts w:ascii="Arial" w:eastAsiaTheme="majorEastAsia" w:hAnsi="Arial" w:cs="Arial"/>
          <w:bCs/>
          <w:sz w:val="22"/>
        </w:rPr>
        <w:t>his English also limits him</w:t>
      </w:r>
      <w:r w:rsidRPr="00571E54">
        <w:rPr>
          <w:rFonts w:ascii="Arial" w:eastAsiaTheme="majorEastAsia" w:hAnsi="Arial" w:cs="Arial"/>
          <w:bCs/>
          <w:sz w:val="22"/>
        </w:rPr>
        <w:t>. Ensuring he has taken his medication should have occurred over multiple points of communication throughout the process of providing care.</w:t>
      </w:r>
    </w:p>
    <w:p w14:paraId="5C691A09" w14:textId="77777777" w:rsidR="00571E54" w:rsidRPr="00571E54" w:rsidRDefault="00571E54" w:rsidP="00571E54">
      <w:pPr>
        <w:tabs>
          <w:tab w:val="left" w:pos="6540"/>
        </w:tabs>
        <w:spacing w:line="360" w:lineRule="auto"/>
        <w:rPr>
          <w:rFonts w:ascii="Arial" w:eastAsiaTheme="majorEastAsia" w:hAnsi="Arial" w:cs="Arial"/>
          <w:bCs/>
          <w:sz w:val="22"/>
        </w:rPr>
      </w:pPr>
    </w:p>
    <w:p w14:paraId="1B9F0583" w14:textId="70CF917F"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lastRenderedPageBreak/>
        <w:t>Professional interpreters should be used wherever possible</w:t>
      </w:r>
      <w:r w:rsidR="00437085">
        <w:rPr>
          <w:rFonts w:ascii="Arial" w:eastAsiaTheme="majorEastAsia" w:hAnsi="Arial" w:cs="Arial"/>
          <w:bCs/>
          <w:sz w:val="22"/>
        </w:rPr>
        <w:t>,</w:t>
      </w:r>
      <w:r w:rsidRPr="00571E54">
        <w:rPr>
          <w:rFonts w:ascii="Arial" w:eastAsiaTheme="majorEastAsia" w:hAnsi="Arial" w:cs="Arial"/>
          <w:bCs/>
          <w:sz w:val="22"/>
        </w:rPr>
        <w:t xml:space="preserve"> as best practice dictates. Utilising Mr Ahmed’s wife may seem like an obvious solution</w:t>
      </w:r>
      <w:r w:rsidR="00437085">
        <w:rPr>
          <w:rFonts w:ascii="Arial" w:eastAsiaTheme="majorEastAsia" w:hAnsi="Arial" w:cs="Arial"/>
          <w:bCs/>
          <w:sz w:val="22"/>
        </w:rPr>
        <w:t>,</w:t>
      </w:r>
      <w:r w:rsidRPr="00571E54">
        <w:rPr>
          <w:rFonts w:ascii="Arial" w:eastAsiaTheme="majorEastAsia" w:hAnsi="Arial" w:cs="Arial"/>
          <w:bCs/>
          <w:sz w:val="22"/>
        </w:rPr>
        <w:t xml:space="preserve"> but could lead to information being misunderstood or withheld, even inadvertently (Flores, 2005). This would limit Mr Ahmed’s independence and could prevent him from making informed decisions about his care. Using a professional interpreter service would demonstrate compliance with the Equality Act 2010.</w:t>
      </w:r>
    </w:p>
    <w:p w14:paraId="17D4FF5D" w14:textId="013794B2"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 xml:space="preserve">We can understand these issues through </w:t>
      </w:r>
      <w:proofErr w:type="gramStart"/>
      <w:r w:rsidRPr="00571E54">
        <w:rPr>
          <w:rFonts w:ascii="Arial" w:eastAsiaTheme="majorEastAsia" w:hAnsi="Arial" w:cs="Arial"/>
          <w:bCs/>
          <w:sz w:val="22"/>
        </w:rPr>
        <w:t>a number of</w:t>
      </w:r>
      <w:proofErr w:type="gramEnd"/>
      <w:r w:rsidRPr="00571E54">
        <w:rPr>
          <w:rFonts w:ascii="Arial" w:eastAsiaTheme="majorEastAsia" w:hAnsi="Arial" w:cs="Arial"/>
          <w:bCs/>
          <w:sz w:val="22"/>
        </w:rPr>
        <w:t xml:space="preserve"> theoretical models. The Shannon and Weaver (1949) model demonstrates how noise can impact communication. However, Mr Ahmed’s example illustrates how “noise” can occur at multiple points. It also doesn’t reflect the complex nature of communication as it occurs in practice (McCabe and Timmins, 2013). Instead, the Transactional Model of Communication allows for this type of variance because it sees communication as a two</w:t>
      </w:r>
      <w:r w:rsidRPr="00571E54">
        <w:rPr>
          <w:rFonts w:ascii="Cambria Math" w:eastAsiaTheme="majorEastAsia" w:hAnsi="Cambria Math" w:cs="Cambria Math"/>
          <w:bCs/>
          <w:sz w:val="22"/>
        </w:rPr>
        <w:t>‑</w:t>
      </w:r>
      <w:r w:rsidRPr="00571E54">
        <w:rPr>
          <w:rFonts w:ascii="Arial" w:eastAsiaTheme="majorEastAsia" w:hAnsi="Arial" w:cs="Arial"/>
          <w:bCs/>
          <w:sz w:val="22"/>
        </w:rPr>
        <w:t>way process that is influenced by the environment.</w:t>
      </w:r>
    </w:p>
    <w:p w14:paraId="1FA907B0" w14:textId="2B102CED"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 xml:space="preserve">As Mr Ahmed has difficulties with communication due to his stroke, professionals could supplement verbal communication with gestures and pictures. This would allow him to understand Care Professionals </w:t>
      </w:r>
      <w:r w:rsidR="00437085" w:rsidRPr="00571E54">
        <w:rPr>
          <w:rFonts w:ascii="Arial" w:eastAsiaTheme="majorEastAsia" w:hAnsi="Arial" w:cs="Arial"/>
          <w:bCs/>
          <w:sz w:val="22"/>
        </w:rPr>
        <w:t>better,</w:t>
      </w:r>
      <w:r w:rsidRPr="00571E54">
        <w:rPr>
          <w:rFonts w:ascii="Arial" w:eastAsiaTheme="majorEastAsia" w:hAnsi="Arial" w:cs="Arial"/>
          <w:bCs/>
          <w:sz w:val="22"/>
        </w:rPr>
        <w:t xml:space="preserve"> but they would still need to check his understanding. Forcing Mr Ahmed to repeat back information is one such method. Care Professionals should also ensure Mr Ahmed is kept at the centre of his care, despite these additional </w:t>
      </w:r>
      <w:r w:rsidR="00437085">
        <w:rPr>
          <w:rFonts w:ascii="Arial" w:eastAsiaTheme="majorEastAsia" w:hAnsi="Arial" w:cs="Arial"/>
          <w:bCs/>
          <w:sz w:val="22"/>
        </w:rPr>
        <w:t>communication barriers</w:t>
      </w:r>
      <w:r w:rsidRPr="00571E54">
        <w:rPr>
          <w:rFonts w:ascii="Arial" w:eastAsiaTheme="majorEastAsia" w:hAnsi="Arial" w:cs="Arial"/>
          <w:bCs/>
          <w:sz w:val="22"/>
        </w:rPr>
        <w:t xml:space="preserve"> (McCormack and McCance, 2017).</w:t>
      </w:r>
    </w:p>
    <w:p w14:paraId="3298A083" w14:textId="77777777"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 xml:space="preserve">In conclusion, communication should not simply be seen as the transmission of information from one person to another. Rather, it should adapt to the needs of patients </w:t>
      </w:r>
      <w:proofErr w:type="gramStart"/>
      <w:r w:rsidRPr="00571E54">
        <w:rPr>
          <w:rFonts w:ascii="Arial" w:eastAsiaTheme="majorEastAsia" w:hAnsi="Arial" w:cs="Arial"/>
          <w:bCs/>
          <w:sz w:val="22"/>
        </w:rPr>
        <w:t>in order to</w:t>
      </w:r>
      <w:proofErr w:type="gramEnd"/>
      <w:r w:rsidRPr="00571E54">
        <w:rPr>
          <w:rFonts w:ascii="Arial" w:eastAsiaTheme="majorEastAsia" w:hAnsi="Arial" w:cs="Arial"/>
          <w:bCs/>
          <w:sz w:val="22"/>
        </w:rPr>
        <w:t xml:space="preserve"> promote equality and ensure patients can be involved in their care as much as possible.</w:t>
      </w:r>
    </w:p>
    <w:p w14:paraId="2452968F" w14:textId="77777777" w:rsidR="00571E54" w:rsidRPr="00571E54" w:rsidRDefault="00571E54" w:rsidP="00571E54">
      <w:pPr>
        <w:tabs>
          <w:tab w:val="left" w:pos="6540"/>
        </w:tabs>
        <w:spacing w:line="360" w:lineRule="auto"/>
        <w:rPr>
          <w:rFonts w:ascii="Arial" w:eastAsiaTheme="majorEastAsia" w:hAnsi="Arial" w:cs="Arial"/>
          <w:bCs/>
          <w:sz w:val="22"/>
        </w:rPr>
      </w:pPr>
    </w:p>
    <w:p w14:paraId="0F66C50B" w14:textId="77777777"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3. Importance of Good Administrative Skills</w:t>
      </w:r>
    </w:p>
    <w:p w14:paraId="0281D793" w14:textId="0C43F9F2"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 xml:space="preserve">Human error should not be used to explain administrative errors. Instead, Reason’s (2000) approach allows us to see how systemic issues such </w:t>
      </w:r>
      <w:r w:rsidR="00437085">
        <w:rPr>
          <w:rFonts w:ascii="Arial" w:eastAsiaTheme="majorEastAsia" w:hAnsi="Arial" w:cs="Arial"/>
          <w:bCs/>
          <w:sz w:val="22"/>
        </w:rPr>
        <w:t xml:space="preserve">as </w:t>
      </w:r>
      <w:r w:rsidRPr="00571E54">
        <w:rPr>
          <w:rFonts w:ascii="Arial" w:eastAsiaTheme="majorEastAsia" w:hAnsi="Arial" w:cs="Arial"/>
          <w:bCs/>
          <w:sz w:val="22"/>
        </w:rPr>
        <w:t>staffing shortages, poorly defined processes and fragmented systems facilitate these errors. Therefore, prevention should occur at an organisational level by changing how we work.</w:t>
      </w:r>
    </w:p>
    <w:p w14:paraId="4A37C698" w14:textId="7CAC7331"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Good administrative practice is essential to the delivery of safe care. Administrators create the systems that underpin safe working</w:t>
      </w:r>
      <w:r w:rsidR="00437085">
        <w:rPr>
          <w:rFonts w:ascii="Arial" w:eastAsiaTheme="majorEastAsia" w:hAnsi="Arial" w:cs="Arial"/>
          <w:bCs/>
          <w:sz w:val="22"/>
        </w:rPr>
        <w:t>,</w:t>
      </w:r>
      <w:r w:rsidRPr="00571E54">
        <w:rPr>
          <w:rFonts w:ascii="Arial" w:eastAsiaTheme="majorEastAsia" w:hAnsi="Arial" w:cs="Arial"/>
          <w:bCs/>
          <w:sz w:val="22"/>
        </w:rPr>
        <w:t xml:space="preserve"> so when errors occur</w:t>
      </w:r>
      <w:r w:rsidR="00437085">
        <w:rPr>
          <w:rFonts w:ascii="Arial" w:eastAsiaTheme="majorEastAsia" w:hAnsi="Arial" w:cs="Arial"/>
          <w:bCs/>
          <w:sz w:val="22"/>
        </w:rPr>
        <w:t>,</w:t>
      </w:r>
      <w:r w:rsidRPr="00571E54">
        <w:rPr>
          <w:rFonts w:ascii="Arial" w:eastAsiaTheme="majorEastAsia" w:hAnsi="Arial" w:cs="Arial"/>
          <w:bCs/>
          <w:sz w:val="22"/>
        </w:rPr>
        <w:t xml:space="preserve"> they can have serious consequences. In the case of Mr Ahmed, someone forgetting to carry out his domiciliary visit left him at risk of harm.</w:t>
      </w:r>
    </w:p>
    <w:p w14:paraId="58CA84CB" w14:textId="77777777" w:rsidR="00571E54" w:rsidRPr="00571E54" w:rsidRDefault="00571E54" w:rsidP="00571E54">
      <w:pPr>
        <w:tabs>
          <w:tab w:val="left" w:pos="6540"/>
        </w:tabs>
        <w:spacing w:line="360" w:lineRule="auto"/>
        <w:rPr>
          <w:rFonts w:ascii="Arial" w:eastAsiaTheme="majorEastAsia" w:hAnsi="Arial" w:cs="Arial"/>
          <w:bCs/>
          <w:sz w:val="22"/>
        </w:rPr>
      </w:pPr>
    </w:p>
    <w:p w14:paraId="1F71BFEE" w14:textId="062E2DA6"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lastRenderedPageBreak/>
        <w:t>Record</w:t>
      </w:r>
      <w:r w:rsidRPr="00571E54">
        <w:rPr>
          <w:rFonts w:ascii="Cambria Math" w:eastAsiaTheme="majorEastAsia" w:hAnsi="Cambria Math" w:cs="Cambria Math"/>
          <w:bCs/>
          <w:sz w:val="22"/>
        </w:rPr>
        <w:t>‑</w:t>
      </w:r>
      <w:r w:rsidRPr="00571E54">
        <w:rPr>
          <w:rFonts w:ascii="Arial" w:eastAsiaTheme="majorEastAsia" w:hAnsi="Arial" w:cs="Arial"/>
          <w:bCs/>
          <w:sz w:val="22"/>
        </w:rPr>
        <w:t>keeping allows healthcare professionals to communicate with each other and identify the care that has been provided. Nursing and Midwifery Council (2018) clearly state that records should be accurate, clear and timely. The pressures of everyday nursing can make this challenging</w:t>
      </w:r>
      <w:r w:rsidR="00437085">
        <w:rPr>
          <w:rFonts w:ascii="Arial" w:eastAsiaTheme="majorEastAsia" w:hAnsi="Arial" w:cs="Arial"/>
          <w:bCs/>
          <w:sz w:val="22"/>
        </w:rPr>
        <w:t>;</w:t>
      </w:r>
      <w:r w:rsidRPr="00571E54">
        <w:rPr>
          <w:rFonts w:ascii="Arial" w:eastAsiaTheme="majorEastAsia" w:hAnsi="Arial" w:cs="Arial"/>
          <w:bCs/>
          <w:sz w:val="22"/>
        </w:rPr>
        <w:t xml:space="preserve"> as a result, records are sometimes left incomplete or untimely.</w:t>
      </w:r>
    </w:p>
    <w:p w14:paraId="5715EF83" w14:textId="2B850CC5" w:rsidR="00571E54" w:rsidRPr="00571E54" w:rsidRDefault="00437085" w:rsidP="00571E54">
      <w:pPr>
        <w:tabs>
          <w:tab w:val="left" w:pos="6540"/>
        </w:tabs>
        <w:spacing w:line="360" w:lineRule="auto"/>
        <w:rPr>
          <w:rFonts w:ascii="Arial" w:eastAsiaTheme="majorEastAsia" w:hAnsi="Arial" w:cs="Arial"/>
          <w:bCs/>
          <w:sz w:val="22"/>
        </w:rPr>
      </w:pPr>
      <w:r>
        <w:rPr>
          <w:rFonts w:ascii="Arial" w:eastAsiaTheme="majorEastAsia" w:hAnsi="Arial" w:cs="Arial"/>
          <w:bCs/>
          <w:sz w:val="22"/>
        </w:rPr>
        <w:t xml:space="preserve">The </w:t>
      </w:r>
      <w:r w:rsidR="00571E54" w:rsidRPr="00571E54">
        <w:rPr>
          <w:rFonts w:ascii="Arial" w:eastAsiaTheme="majorEastAsia" w:hAnsi="Arial" w:cs="Arial"/>
          <w:bCs/>
          <w:sz w:val="22"/>
        </w:rPr>
        <w:t>Data Protection Act 2018 and UK GDPR set out the expectations when it comes to processing personal data. Confidentiality and accuracy are key, which can create confusion when professionals want to share information (ICO, 2023). There is sometimes a danger that professionals are too scared to share information with other professionals</w:t>
      </w:r>
      <w:r>
        <w:rPr>
          <w:rFonts w:ascii="Arial" w:eastAsiaTheme="majorEastAsia" w:hAnsi="Arial" w:cs="Arial"/>
          <w:bCs/>
          <w:sz w:val="22"/>
        </w:rPr>
        <w:t>,</w:t>
      </w:r>
      <w:r w:rsidR="00571E54" w:rsidRPr="00571E54">
        <w:rPr>
          <w:rFonts w:ascii="Arial" w:eastAsiaTheme="majorEastAsia" w:hAnsi="Arial" w:cs="Arial"/>
          <w:bCs/>
          <w:sz w:val="22"/>
        </w:rPr>
        <w:t xml:space="preserve"> which can impact how care is coordinated.</w:t>
      </w:r>
    </w:p>
    <w:p w14:paraId="2A75E808" w14:textId="45E50F11"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 xml:space="preserve">Instead, professionals should be encouraged to share information when it’s beneficial to a patient’s </w:t>
      </w:r>
      <w:r w:rsidR="00437085" w:rsidRPr="00571E54">
        <w:rPr>
          <w:rFonts w:ascii="Arial" w:eastAsiaTheme="majorEastAsia" w:hAnsi="Arial" w:cs="Arial"/>
          <w:bCs/>
          <w:sz w:val="22"/>
        </w:rPr>
        <w:t>care</w:t>
      </w:r>
      <w:r w:rsidR="00437085">
        <w:rPr>
          <w:rFonts w:ascii="Arial" w:eastAsiaTheme="majorEastAsia" w:hAnsi="Arial" w:cs="Arial"/>
          <w:bCs/>
          <w:sz w:val="22"/>
        </w:rPr>
        <w:t xml:space="preserve"> and</w:t>
      </w:r>
      <w:r w:rsidRPr="00571E54">
        <w:rPr>
          <w:rFonts w:ascii="Arial" w:eastAsiaTheme="majorEastAsia" w:hAnsi="Arial" w:cs="Arial"/>
          <w:bCs/>
          <w:sz w:val="22"/>
        </w:rPr>
        <w:t xml:space="preserve"> think about confidentiality. With Mr Ahmed</w:t>
      </w:r>
      <w:r w:rsidR="00437085">
        <w:rPr>
          <w:rFonts w:ascii="Arial" w:eastAsiaTheme="majorEastAsia" w:hAnsi="Arial" w:cs="Arial"/>
          <w:bCs/>
          <w:sz w:val="22"/>
        </w:rPr>
        <w:t>,</w:t>
      </w:r>
      <w:r w:rsidRPr="00571E54">
        <w:rPr>
          <w:rFonts w:ascii="Arial" w:eastAsiaTheme="majorEastAsia" w:hAnsi="Arial" w:cs="Arial"/>
          <w:bCs/>
          <w:sz w:val="22"/>
        </w:rPr>
        <w:t xml:space="preserve"> this includes making sure his medication details are correct, there is a structured care schedule, and visits are logged accurately.</w:t>
      </w:r>
    </w:p>
    <w:p w14:paraId="7DD60CDA" w14:textId="78DA1D3B"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 xml:space="preserve">Incident reporting provides organisations with the opportunity to identify mistakes. Critically, the Care Quality Commission (2022) states these should be treated as learning opportunities, not punitive measures. However, this relies on professionals feeling comfortable </w:t>
      </w:r>
      <w:r w:rsidR="00437085">
        <w:rPr>
          <w:rFonts w:ascii="Arial" w:eastAsiaTheme="majorEastAsia" w:hAnsi="Arial" w:cs="Arial"/>
          <w:bCs/>
          <w:sz w:val="22"/>
        </w:rPr>
        <w:t>speaking</w:t>
      </w:r>
      <w:r w:rsidRPr="00571E54">
        <w:rPr>
          <w:rFonts w:ascii="Arial" w:eastAsiaTheme="majorEastAsia" w:hAnsi="Arial" w:cs="Arial"/>
          <w:bCs/>
          <w:sz w:val="22"/>
        </w:rPr>
        <w:t xml:space="preserve"> up when mistakes are made. Fear of </w:t>
      </w:r>
      <w:r w:rsidR="00437085" w:rsidRPr="00571E54">
        <w:rPr>
          <w:rFonts w:ascii="Arial" w:eastAsiaTheme="majorEastAsia" w:hAnsi="Arial" w:cs="Arial"/>
          <w:bCs/>
          <w:sz w:val="22"/>
        </w:rPr>
        <w:t>consequence</w:t>
      </w:r>
      <w:r w:rsidRPr="00571E54">
        <w:rPr>
          <w:rFonts w:ascii="Arial" w:eastAsiaTheme="majorEastAsia" w:hAnsi="Arial" w:cs="Arial"/>
          <w:bCs/>
          <w:sz w:val="22"/>
        </w:rPr>
        <w:t xml:space="preserve"> will reduce the </w:t>
      </w:r>
      <w:r w:rsidR="00437085">
        <w:rPr>
          <w:rFonts w:ascii="Arial" w:eastAsiaTheme="majorEastAsia" w:hAnsi="Arial" w:cs="Arial"/>
          <w:bCs/>
          <w:sz w:val="22"/>
        </w:rPr>
        <w:t>number of</w:t>
      </w:r>
      <w:r w:rsidRPr="00571E54">
        <w:rPr>
          <w:rFonts w:ascii="Arial" w:eastAsiaTheme="majorEastAsia" w:hAnsi="Arial" w:cs="Arial"/>
          <w:bCs/>
          <w:sz w:val="22"/>
        </w:rPr>
        <w:t xml:space="preserve"> incidents reported.</w:t>
      </w:r>
    </w:p>
    <w:p w14:paraId="17B7FDF6" w14:textId="22ECDDA1"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Technological advancements have made administration easier in recent years. However, they also present dangers such as technical errors and cybercrime. Effective administration should therefore allow professionals to exercise their judgement but also pay attention to detail. With these considerations in mind</w:t>
      </w:r>
      <w:r w:rsidR="00437085">
        <w:rPr>
          <w:rFonts w:ascii="Arial" w:eastAsiaTheme="majorEastAsia" w:hAnsi="Arial" w:cs="Arial"/>
          <w:bCs/>
          <w:sz w:val="22"/>
        </w:rPr>
        <w:t>,</w:t>
      </w:r>
      <w:r w:rsidRPr="00571E54">
        <w:rPr>
          <w:rFonts w:ascii="Arial" w:eastAsiaTheme="majorEastAsia" w:hAnsi="Arial" w:cs="Arial"/>
          <w:bCs/>
          <w:sz w:val="22"/>
        </w:rPr>
        <w:t xml:space="preserve"> administration plays a huge role in keeping patients safe.</w:t>
      </w:r>
    </w:p>
    <w:p w14:paraId="0896761A" w14:textId="77777777" w:rsidR="00571E54" w:rsidRPr="00571E54" w:rsidRDefault="00571E54" w:rsidP="00571E54">
      <w:pPr>
        <w:tabs>
          <w:tab w:val="left" w:pos="6540"/>
        </w:tabs>
        <w:spacing w:line="360" w:lineRule="auto"/>
        <w:rPr>
          <w:rFonts w:ascii="Arial" w:eastAsiaTheme="majorEastAsia" w:hAnsi="Arial" w:cs="Arial"/>
          <w:bCs/>
          <w:sz w:val="22"/>
        </w:rPr>
      </w:pPr>
    </w:p>
    <w:p w14:paraId="0F3D6B9C" w14:textId="77777777"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4. Impact of Collaborative Working Practice on Patient Care</w:t>
      </w:r>
    </w:p>
    <w:p w14:paraId="786EB2AD" w14:textId="4385B449"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Collaborative working in multidisciplinary teams also has potential challenges. Conflict may arise when professionals have different opinions about the care that should be provided. This can delay care if professionals leave it to others to make the decision. Clearly defined roles and strong leadership can mitigate these challenges.</w:t>
      </w:r>
    </w:p>
    <w:p w14:paraId="56FC50BA" w14:textId="57D071E6"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 xml:space="preserve">Successful </w:t>
      </w:r>
      <w:r w:rsidR="00437085">
        <w:rPr>
          <w:rFonts w:ascii="Arial" w:eastAsiaTheme="majorEastAsia" w:hAnsi="Arial" w:cs="Arial"/>
          <w:bCs/>
          <w:sz w:val="22"/>
        </w:rPr>
        <w:t>teamwork</w:t>
      </w:r>
      <w:r w:rsidRPr="00571E54">
        <w:rPr>
          <w:rFonts w:ascii="Arial" w:eastAsiaTheme="majorEastAsia" w:hAnsi="Arial" w:cs="Arial"/>
          <w:bCs/>
          <w:sz w:val="22"/>
        </w:rPr>
        <w:t xml:space="preserve"> is imperative to safe care. Teams that work well together </w:t>
      </w:r>
      <w:proofErr w:type="gramStart"/>
      <w:r w:rsidRPr="00571E54">
        <w:rPr>
          <w:rFonts w:ascii="Arial" w:eastAsiaTheme="majorEastAsia" w:hAnsi="Arial" w:cs="Arial"/>
          <w:bCs/>
          <w:sz w:val="22"/>
        </w:rPr>
        <w:t>are able to</w:t>
      </w:r>
      <w:proofErr w:type="gramEnd"/>
      <w:r w:rsidRPr="00571E54">
        <w:rPr>
          <w:rFonts w:ascii="Arial" w:eastAsiaTheme="majorEastAsia" w:hAnsi="Arial" w:cs="Arial"/>
          <w:bCs/>
          <w:sz w:val="22"/>
        </w:rPr>
        <w:t xml:space="preserve"> identify and solve problems before they affect patients. When care professionals failed Mr Ahmed</w:t>
      </w:r>
      <w:r w:rsidR="00437085">
        <w:rPr>
          <w:rFonts w:ascii="Arial" w:eastAsiaTheme="majorEastAsia" w:hAnsi="Arial" w:cs="Arial"/>
          <w:bCs/>
          <w:sz w:val="22"/>
        </w:rPr>
        <w:t>,</w:t>
      </w:r>
      <w:r w:rsidRPr="00571E54">
        <w:rPr>
          <w:rFonts w:ascii="Arial" w:eastAsiaTheme="majorEastAsia" w:hAnsi="Arial" w:cs="Arial"/>
          <w:bCs/>
          <w:sz w:val="22"/>
        </w:rPr>
        <w:t xml:space="preserve"> they should have detected the error before the medication was missed.</w:t>
      </w:r>
    </w:p>
    <w:p w14:paraId="471877DC" w14:textId="13B9BAB5"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lastRenderedPageBreak/>
        <w:t>Teamwork is dependent on team members knowing their roles and responsibilities. Understanding who to contact in a particular situation can be the difference between life and death. Health Care professionals should have communicated with their supervisor if they were unsure about visiting Mr Ahmed.</w:t>
      </w:r>
    </w:p>
    <w:p w14:paraId="73EAFABD" w14:textId="60D7B186"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Communication is also vital when it comes to teamwork. Systems should be in place to allow colleagues to contact each other quickly and easily. If the practitioner responsible for visiting Mr Ahmed had checked in with their team</w:t>
      </w:r>
      <w:r w:rsidR="00437085">
        <w:rPr>
          <w:rFonts w:ascii="Arial" w:eastAsiaTheme="majorEastAsia" w:hAnsi="Arial" w:cs="Arial"/>
          <w:bCs/>
          <w:sz w:val="22"/>
        </w:rPr>
        <w:t>,</w:t>
      </w:r>
      <w:r w:rsidRPr="00571E54">
        <w:rPr>
          <w:rFonts w:ascii="Arial" w:eastAsiaTheme="majorEastAsia" w:hAnsi="Arial" w:cs="Arial"/>
          <w:bCs/>
          <w:sz w:val="22"/>
        </w:rPr>
        <w:t xml:space="preserve"> the error may have been picked up.</w:t>
      </w:r>
    </w:p>
    <w:p w14:paraId="20A655DD" w14:textId="5F11D514"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Reflecting in a team allows groups to learn from their mistakes. The benefits of teamwork should be celebrated when things go well as well. This will not always happen in a busy NHS</w:t>
      </w:r>
      <w:r w:rsidR="00437085">
        <w:rPr>
          <w:rFonts w:ascii="Arial" w:eastAsiaTheme="majorEastAsia" w:hAnsi="Arial" w:cs="Arial"/>
          <w:bCs/>
          <w:sz w:val="22"/>
        </w:rPr>
        <w:t>,</w:t>
      </w:r>
      <w:r w:rsidRPr="00571E54">
        <w:rPr>
          <w:rFonts w:ascii="Arial" w:eastAsiaTheme="majorEastAsia" w:hAnsi="Arial" w:cs="Arial"/>
          <w:bCs/>
          <w:sz w:val="22"/>
        </w:rPr>
        <w:t xml:space="preserve"> but it’s important where possible. Someone should have reflected on why Mr Ahmed missed his medication and shared this learning with colleagues.</w:t>
      </w:r>
    </w:p>
    <w:p w14:paraId="16279DE2" w14:textId="77777777" w:rsid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Healthcare professionals work in interdependent roles. This means that everyone has a role to play in ensuring Mr Ahmed’s medication is administered. Nurses should have checked that Mr Ahmed had received his medication from members of his care team.</w:t>
      </w:r>
    </w:p>
    <w:p w14:paraId="3D4ADE68" w14:textId="6E0D7AA9" w:rsid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 xml:space="preserve">To conclude, teams that work well together </w:t>
      </w:r>
      <w:proofErr w:type="gramStart"/>
      <w:r w:rsidRPr="00571E54">
        <w:rPr>
          <w:rFonts w:ascii="Arial" w:eastAsiaTheme="majorEastAsia" w:hAnsi="Arial" w:cs="Arial"/>
          <w:bCs/>
          <w:sz w:val="22"/>
        </w:rPr>
        <w:t>are able to</w:t>
      </w:r>
      <w:proofErr w:type="gramEnd"/>
      <w:r w:rsidRPr="00571E54">
        <w:rPr>
          <w:rFonts w:ascii="Arial" w:eastAsiaTheme="majorEastAsia" w:hAnsi="Arial" w:cs="Arial"/>
          <w:bCs/>
          <w:sz w:val="22"/>
        </w:rPr>
        <w:t xml:space="preserve"> identify where someone may have made an error. Supporting each other and providing effective leadership allows this collaboration to occur.</w:t>
      </w:r>
    </w:p>
    <w:p w14:paraId="6BB1678F" w14:textId="77777777" w:rsidR="00571E54" w:rsidRPr="00571E54" w:rsidRDefault="00571E54" w:rsidP="00571E54">
      <w:pPr>
        <w:tabs>
          <w:tab w:val="left" w:pos="6540"/>
        </w:tabs>
        <w:spacing w:line="360" w:lineRule="auto"/>
        <w:rPr>
          <w:rFonts w:ascii="Arial" w:eastAsiaTheme="majorEastAsia" w:hAnsi="Arial" w:cs="Arial"/>
          <w:bCs/>
          <w:sz w:val="22"/>
        </w:rPr>
      </w:pPr>
    </w:p>
    <w:p w14:paraId="7C4302A9" w14:textId="77777777"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5. Conclusion</w:t>
      </w:r>
    </w:p>
    <w:p w14:paraId="2E814374" w14:textId="5C294898" w:rsidR="00571E54" w:rsidRPr="00571E54" w:rsidRDefault="00571E54" w:rsidP="00571E54">
      <w:pPr>
        <w:tabs>
          <w:tab w:val="left" w:pos="6540"/>
        </w:tabs>
        <w:spacing w:line="360" w:lineRule="auto"/>
        <w:rPr>
          <w:rFonts w:ascii="Arial" w:eastAsiaTheme="majorEastAsia" w:hAnsi="Arial" w:cs="Arial"/>
          <w:bCs/>
          <w:sz w:val="22"/>
        </w:rPr>
      </w:pPr>
      <w:r w:rsidRPr="00571E54">
        <w:rPr>
          <w:rFonts w:ascii="Arial" w:eastAsiaTheme="majorEastAsia" w:hAnsi="Arial" w:cs="Arial"/>
          <w:bCs/>
          <w:sz w:val="22"/>
        </w:rPr>
        <w:t xml:space="preserve">Working effectively in </w:t>
      </w:r>
      <w:r>
        <w:rPr>
          <w:rFonts w:ascii="Arial" w:eastAsiaTheme="majorEastAsia" w:hAnsi="Arial" w:cs="Arial"/>
          <w:bCs/>
          <w:sz w:val="22"/>
        </w:rPr>
        <w:t xml:space="preserve">a </w:t>
      </w:r>
      <w:r w:rsidRPr="00571E54">
        <w:rPr>
          <w:rFonts w:ascii="Arial" w:eastAsiaTheme="majorEastAsia" w:hAnsi="Arial" w:cs="Arial"/>
          <w:bCs/>
          <w:sz w:val="22"/>
        </w:rPr>
        <w:t xml:space="preserve">healthcare environment requires practitioners to consider three key areas of competency. The first consideration is communication, which should adapt to the needs of patients. Secondly, administrators should have robust systems in place to minimise </w:t>
      </w:r>
      <w:r>
        <w:rPr>
          <w:rFonts w:ascii="Arial" w:eastAsiaTheme="majorEastAsia" w:hAnsi="Arial" w:cs="Arial"/>
          <w:bCs/>
          <w:sz w:val="22"/>
        </w:rPr>
        <w:t xml:space="preserve">the </w:t>
      </w:r>
      <w:r w:rsidRPr="00571E54">
        <w:rPr>
          <w:rFonts w:ascii="Arial" w:eastAsiaTheme="majorEastAsia" w:hAnsi="Arial" w:cs="Arial"/>
          <w:bCs/>
          <w:sz w:val="22"/>
        </w:rPr>
        <w:t>risk of human error, and finally</w:t>
      </w:r>
      <w:r>
        <w:rPr>
          <w:rFonts w:ascii="Arial" w:eastAsiaTheme="majorEastAsia" w:hAnsi="Arial" w:cs="Arial"/>
          <w:bCs/>
          <w:sz w:val="22"/>
        </w:rPr>
        <w:t>,</w:t>
      </w:r>
      <w:r w:rsidRPr="00571E54">
        <w:rPr>
          <w:rFonts w:ascii="Arial" w:eastAsiaTheme="majorEastAsia" w:hAnsi="Arial" w:cs="Arial"/>
          <w:bCs/>
          <w:sz w:val="22"/>
        </w:rPr>
        <w:t xml:space="preserve"> practitioners should know their role when working in a team.</w:t>
      </w:r>
    </w:p>
    <w:p w14:paraId="15C25996" w14:textId="6FEF11A8" w:rsidR="008E3943" w:rsidRPr="00571E54" w:rsidRDefault="00571E54" w:rsidP="00571E54">
      <w:pPr>
        <w:tabs>
          <w:tab w:val="left" w:pos="6540"/>
        </w:tabs>
        <w:spacing w:line="360" w:lineRule="auto"/>
        <w:rPr>
          <w:rFonts w:ascii="Arial" w:hAnsi="Arial" w:cs="Arial"/>
          <w:bCs/>
          <w:sz w:val="22"/>
        </w:rPr>
      </w:pPr>
      <w:r w:rsidRPr="00571E54">
        <w:rPr>
          <w:rFonts w:ascii="Arial" w:eastAsiaTheme="majorEastAsia" w:hAnsi="Arial" w:cs="Arial"/>
          <w:bCs/>
          <w:sz w:val="22"/>
        </w:rPr>
        <w:t xml:space="preserve">Weaknesses in each of these areas have led to care failures for Mr Ahmed. Specifically, his medication was missed because of errors in communication, administration and </w:t>
      </w:r>
      <w:r>
        <w:rPr>
          <w:rFonts w:ascii="Arial" w:eastAsiaTheme="majorEastAsia" w:hAnsi="Arial" w:cs="Arial"/>
          <w:bCs/>
          <w:sz w:val="22"/>
        </w:rPr>
        <w:t>teamwork</w:t>
      </w:r>
      <w:r w:rsidRPr="00571E54">
        <w:rPr>
          <w:rFonts w:ascii="Arial" w:eastAsiaTheme="majorEastAsia" w:hAnsi="Arial" w:cs="Arial"/>
          <w:bCs/>
          <w:sz w:val="22"/>
        </w:rPr>
        <w:t>. By addressing these areas</w:t>
      </w:r>
      <w:r>
        <w:rPr>
          <w:rFonts w:ascii="Arial" w:eastAsiaTheme="majorEastAsia" w:hAnsi="Arial" w:cs="Arial"/>
          <w:bCs/>
          <w:sz w:val="22"/>
        </w:rPr>
        <w:t>,</w:t>
      </w:r>
      <w:r w:rsidRPr="00571E54">
        <w:rPr>
          <w:rFonts w:ascii="Arial" w:eastAsiaTheme="majorEastAsia" w:hAnsi="Arial" w:cs="Arial"/>
          <w:bCs/>
          <w:sz w:val="22"/>
        </w:rPr>
        <w:t xml:space="preserve"> care professionals can ensure they always provide Mr Ahmed with the best possible care.</w:t>
      </w:r>
    </w:p>
    <w:p w14:paraId="6812580D" w14:textId="4505EA25" w:rsidR="0090040D" w:rsidRPr="00571E54" w:rsidRDefault="0090040D" w:rsidP="00571E54">
      <w:pPr>
        <w:tabs>
          <w:tab w:val="left" w:pos="6540"/>
        </w:tabs>
        <w:spacing w:line="360" w:lineRule="auto"/>
        <w:rPr>
          <w:rFonts w:ascii="Arial" w:hAnsi="Arial" w:cs="Arial"/>
          <w:bCs/>
          <w:sz w:val="22"/>
        </w:rPr>
      </w:pPr>
    </w:p>
    <w:p w14:paraId="444BAD02" w14:textId="1DE9B467" w:rsidR="00814A9E" w:rsidRPr="00571E54" w:rsidRDefault="00814A9E" w:rsidP="00571E54">
      <w:pPr>
        <w:tabs>
          <w:tab w:val="left" w:pos="6540"/>
        </w:tabs>
        <w:spacing w:line="360" w:lineRule="auto"/>
        <w:rPr>
          <w:rFonts w:ascii="Arial" w:hAnsi="Arial" w:cs="Arial"/>
          <w:bCs/>
          <w:sz w:val="22"/>
        </w:rPr>
      </w:pPr>
    </w:p>
    <w:p w14:paraId="380986A0" w14:textId="1952F6FD" w:rsidR="00437085" w:rsidRDefault="00437085" w:rsidP="00571E54">
      <w:pPr>
        <w:pStyle w:val="Heading1"/>
      </w:pPr>
    </w:p>
    <w:p w14:paraId="33F8F0BD" w14:textId="4134955D" w:rsidR="00B87E75" w:rsidRPr="00571E54" w:rsidRDefault="00B87E75" w:rsidP="00C35641">
      <w:pPr>
        <w:pStyle w:val="Heading1"/>
      </w:pPr>
      <w:r w:rsidRPr="00571E54">
        <w:t>References</w:t>
      </w:r>
    </w:p>
    <w:p w14:paraId="46E4255A" w14:textId="77777777" w:rsidR="00437085" w:rsidRPr="00437085" w:rsidRDefault="00437085" w:rsidP="00C35641">
      <w:pPr>
        <w:tabs>
          <w:tab w:val="left" w:pos="6540"/>
        </w:tabs>
        <w:spacing w:line="360" w:lineRule="auto"/>
        <w:rPr>
          <w:rFonts w:asciiTheme="minorBidi" w:hAnsiTheme="minorBidi"/>
          <w:sz w:val="22"/>
        </w:rPr>
      </w:pPr>
    </w:p>
    <w:p w14:paraId="3979CA88" w14:textId="720BF362"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Care Quality Commission (2022) </w:t>
      </w:r>
      <w:r w:rsidRPr="001B7D77">
        <w:rPr>
          <w:rFonts w:asciiTheme="minorBidi" w:hAnsiTheme="minorBidi"/>
          <w:i/>
          <w:iCs/>
          <w:sz w:val="22"/>
        </w:rPr>
        <w:t>Statutory notifications: guidance for providers</w:t>
      </w:r>
      <w:r w:rsidRPr="00437085">
        <w:rPr>
          <w:rFonts w:asciiTheme="minorBidi" w:hAnsiTheme="minorBidi"/>
          <w:sz w:val="22"/>
        </w:rPr>
        <w:t xml:space="preserve">. Available at: </w:t>
      </w:r>
      <w:hyperlink r:id="rId9" w:history="1">
        <w:r w:rsidR="00F6376A" w:rsidRPr="00C857BE">
          <w:rPr>
            <w:rStyle w:val="Hyperlink"/>
            <w:rFonts w:asciiTheme="minorBidi" w:hAnsiTheme="minorBidi"/>
            <w:sz w:val="22"/>
          </w:rPr>
          <w:t>https://www.cqc.org.uk/guidance-providers/notifications</w:t>
        </w:r>
      </w:hyperlink>
      <w:r w:rsidR="00F6376A">
        <w:rPr>
          <w:rFonts w:asciiTheme="minorBidi" w:hAnsiTheme="minorBidi"/>
          <w:sz w:val="22"/>
        </w:rPr>
        <w:t xml:space="preserve"> </w:t>
      </w:r>
      <w:r w:rsidRPr="00437085">
        <w:rPr>
          <w:rFonts w:asciiTheme="minorBidi" w:hAnsiTheme="minorBidi"/>
          <w:sz w:val="22"/>
        </w:rPr>
        <w:t>(Accessed: 9 April 2026).</w:t>
      </w:r>
    </w:p>
    <w:p w14:paraId="105B9F46" w14:textId="77777777" w:rsidR="00437085" w:rsidRPr="00437085" w:rsidRDefault="00437085" w:rsidP="00C35641">
      <w:pPr>
        <w:tabs>
          <w:tab w:val="left" w:pos="6540"/>
        </w:tabs>
        <w:spacing w:line="360" w:lineRule="auto"/>
        <w:rPr>
          <w:rFonts w:asciiTheme="minorBidi" w:hAnsiTheme="minorBidi"/>
          <w:sz w:val="22"/>
        </w:rPr>
      </w:pPr>
    </w:p>
    <w:p w14:paraId="25F9E812" w14:textId="332F2A67"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Flores, G. (2005) ‘The impact of medical interpreter services on the quality of health care: a systematic review’, Medical Care, 43(5), pp. 356–369. Available at: </w:t>
      </w:r>
      <w:hyperlink r:id="rId10" w:history="1">
        <w:r w:rsidR="00F6376A" w:rsidRPr="00C857BE">
          <w:rPr>
            <w:rStyle w:val="Hyperlink"/>
            <w:rFonts w:asciiTheme="minorBidi" w:hAnsiTheme="minorBidi"/>
            <w:sz w:val="22"/>
          </w:rPr>
          <w:t>https://pubmed.ncbi.nlm.nih.gov/15838400/</w:t>
        </w:r>
      </w:hyperlink>
      <w:r w:rsidR="00F6376A">
        <w:rPr>
          <w:rFonts w:asciiTheme="minorBidi" w:hAnsiTheme="minorBidi"/>
          <w:sz w:val="22"/>
        </w:rPr>
        <w:t xml:space="preserve"> </w:t>
      </w:r>
      <w:r w:rsidRPr="00437085">
        <w:rPr>
          <w:rFonts w:asciiTheme="minorBidi" w:hAnsiTheme="minorBidi"/>
          <w:sz w:val="22"/>
        </w:rPr>
        <w:t>(Accessed: 9 April 2026).</w:t>
      </w:r>
    </w:p>
    <w:p w14:paraId="7F48B162" w14:textId="77777777" w:rsidR="00437085" w:rsidRPr="00437085" w:rsidRDefault="00437085" w:rsidP="00C35641">
      <w:pPr>
        <w:tabs>
          <w:tab w:val="left" w:pos="6540"/>
        </w:tabs>
        <w:spacing w:line="360" w:lineRule="auto"/>
        <w:rPr>
          <w:rFonts w:asciiTheme="minorBidi" w:hAnsiTheme="minorBidi"/>
          <w:sz w:val="22"/>
        </w:rPr>
      </w:pPr>
    </w:p>
    <w:p w14:paraId="22C9FB4F" w14:textId="5A65826A"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Glasby, J. and Dickinson, H. (2014) </w:t>
      </w:r>
      <w:r w:rsidRPr="001B7D77">
        <w:rPr>
          <w:rFonts w:asciiTheme="minorBidi" w:hAnsiTheme="minorBidi"/>
          <w:i/>
          <w:iCs/>
          <w:sz w:val="22"/>
        </w:rPr>
        <w:t>Partnership working in health and social care: what is integrated care and how can we deliver it?</w:t>
      </w:r>
      <w:r w:rsidRPr="00437085">
        <w:rPr>
          <w:rFonts w:asciiTheme="minorBidi" w:hAnsiTheme="minorBidi"/>
          <w:sz w:val="22"/>
        </w:rPr>
        <w:t xml:space="preserve"> 2nd edn. Bristol: Policy Press. Available at: </w:t>
      </w:r>
      <w:hyperlink r:id="rId11" w:history="1">
        <w:r w:rsidR="00F6376A" w:rsidRPr="00C857BE">
          <w:rPr>
            <w:rStyle w:val="Hyperlink"/>
            <w:rFonts w:asciiTheme="minorBidi" w:hAnsiTheme="minorBidi"/>
            <w:sz w:val="22"/>
          </w:rPr>
          <w:t>https://policy.bristoluniversitypress.co.uk/partnership-working-in-health-and-social-care</w:t>
        </w:r>
      </w:hyperlink>
      <w:r w:rsidR="00F6376A">
        <w:rPr>
          <w:rFonts w:asciiTheme="minorBidi" w:hAnsiTheme="minorBidi"/>
          <w:sz w:val="22"/>
        </w:rPr>
        <w:t xml:space="preserve"> </w:t>
      </w:r>
      <w:r w:rsidRPr="00437085">
        <w:rPr>
          <w:rFonts w:asciiTheme="minorBidi" w:hAnsiTheme="minorBidi"/>
          <w:sz w:val="22"/>
        </w:rPr>
        <w:t>(Accessed: 9 April 2026).</w:t>
      </w:r>
    </w:p>
    <w:p w14:paraId="39BABF2C" w14:textId="77777777" w:rsidR="00437085" w:rsidRPr="00437085" w:rsidRDefault="00437085" w:rsidP="00C35641">
      <w:pPr>
        <w:tabs>
          <w:tab w:val="left" w:pos="6540"/>
        </w:tabs>
        <w:spacing w:line="360" w:lineRule="auto"/>
        <w:rPr>
          <w:rFonts w:asciiTheme="minorBidi" w:hAnsiTheme="minorBidi"/>
          <w:sz w:val="22"/>
        </w:rPr>
      </w:pPr>
    </w:p>
    <w:p w14:paraId="4C44BAAC" w14:textId="41E9F971"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Information Commissioner’s Office (2023) </w:t>
      </w:r>
      <w:r w:rsidRPr="001B7D77">
        <w:rPr>
          <w:rFonts w:asciiTheme="minorBidi" w:hAnsiTheme="minorBidi"/>
          <w:i/>
          <w:iCs/>
          <w:sz w:val="22"/>
        </w:rPr>
        <w:t>Guide to the UK General Data Protection Regulation (UK GDPR)</w:t>
      </w:r>
      <w:r w:rsidRPr="00437085">
        <w:rPr>
          <w:rFonts w:asciiTheme="minorBidi" w:hAnsiTheme="minorBidi"/>
          <w:sz w:val="22"/>
        </w:rPr>
        <w:t xml:space="preserve">. Available at: </w:t>
      </w:r>
      <w:hyperlink r:id="rId12" w:history="1">
        <w:r w:rsidR="00F6376A" w:rsidRPr="00C857BE">
          <w:rPr>
            <w:rStyle w:val="Hyperlink"/>
            <w:rFonts w:asciiTheme="minorBidi" w:hAnsiTheme="minorBidi"/>
            <w:sz w:val="22"/>
          </w:rPr>
          <w:t>https://ico.org.uk/for-organisations/uk-gdpr-guidance-and-resources/</w:t>
        </w:r>
      </w:hyperlink>
      <w:r w:rsidR="00F6376A">
        <w:rPr>
          <w:rFonts w:asciiTheme="minorBidi" w:hAnsiTheme="minorBidi"/>
          <w:sz w:val="22"/>
        </w:rPr>
        <w:t xml:space="preserve"> </w:t>
      </w:r>
      <w:r w:rsidRPr="00437085">
        <w:rPr>
          <w:rFonts w:asciiTheme="minorBidi" w:hAnsiTheme="minorBidi"/>
          <w:sz w:val="22"/>
        </w:rPr>
        <w:t>(Accessed: 9 April 2026).</w:t>
      </w:r>
    </w:p>
    <w:p w14:paraId="03BA4177" w14:textId="77777777" w:rsidR="00437085" w:rsidRPr="00437085" w:rsidRDefault="00437085" w:rsidP="00C35641">
      <w:pPr>
        <w:tabs>
          <w:tab w:val="left" w:pos="6540"/>
        </w:tabs>
        <w:spacing w:line="360" w:lineRule="auto"/>
        <w:rPr>
          <w:rFonts w:asciiTheme="minorBidi" w:hAnsiTheme="minorBidi"/>
          <w:sz w:val="22"/>
        </w:rPr>
      </w:pPr>
    </w:p>
    <w:p w14:paraId="1B6E11B4" w14:textId="353A0222"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McCabe, C. and Timmins, F. (2013) </w:t>
      </w:r>
      <w:r w:rsidRPr="001B7D77">
        <w:rPr>
          <w:rFonts w:asciiTheme="minorBidi" w:hAnsiTheme="minorBidi"/>
          <w:i/>
          <w:iCs/>
          <w:sz w:val="22"/>
        </w:rPr>
        <w:t>Communication skills for nursing practice</w:t>
      </w:r>
      <w:r w:rsidRPr="00437085">
        <w:rPr>
          <w:rFonts w:asciiTheme="minorBidi" w:hAnsiTheme="minorBidi"/>
          <w:sz w:val="22"/>
        </w:rPr>
        <w:t xml:space="preserve">. Basingstoke: Palgrave Macmillan. Available at: </w:t>
      </w:r>
      <w:hyperlink r:id="rId13" w:history="1">
        <w:r w:rsidR="00F6376A" w:rsidRPr="00C857BE">
          <w:rPr>
            <w:rStyle w:val="Hyperlink"/>
            <w:rFonts w:asciiTheme="minorBidi" w:hAnsiTheme="minorBidi"/>
            <w:sz w:val="22"/>
          </w:rPr>
          <w:t>https://www.macmillanlearning.co.uk/page/detail/Communication-Skills-for-Nursing-Practice/?K=9780230359190</w:t>
        </w:r>
      </w:hyperlink>
      <w:r w:rsidR="00F6376A">
        <w:rPr>
          <w:rFonts w:asciiTheme="minorBidi" w:hAnsiTheme="minorBidi"/>
          <w:sz w:val="22"/>
        </w:rPr>
        <w:t xml:space="preserve"> </w:t>
      </w:r>
      <w:r w:rsidRPr="00437085">
        <w:rPr>
          <w:rFonts w:asciiTheme="minorBidi" w:hAnsiTheme="minorBidi"/>
          <w:sz w:val="22"/>
        </w:rPr>
        <w:t>(Accessed: 9 April 2026).</w:t>
      </w:r>
    </w:p>
    <w:p w14:paraId="68A9E4F4" w14:textId="77777777" w:rsidR="00437085" w:rsidRPr="00437085" w:rsidRDefault="00437085" w:rsidP="00C35641">
      <w:pPr>
        <w:tabs>
          <w:tab w:val="left" w:pos="6540"/>
        </w:tabs>
        <w:spacing w:line="360" w:lineRule="auto"/>
        <w:rPr>
          <w:rFonts w:asciiTheme="minorBidi" w:hAnsiTheme="minorBidi"/>
          <w:sz w:val="22"/>
        </w:rPr>
      </w:pPr>
    </w:p>
    <w:p w14:paraId="58C1582E" w14:textId="4D496653"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McCormack, B. and McCance, T. (2017) </w:t>
      </w:r>
      <w:r w:rsidRPr="001B7D77">
        <w:rPr>
          <w:rFonts w:asciiTheme="minorBidi" w:hAnsiTheme="minorBidi"/>
          <w:i/>
          <w:iCs/>
          <w:sz w:val="22"/>
        </w:rPr>
        <w:t>Person-centred practice in nursing and health care: theory and practice</w:t>
      </w:r>
      <w:r w:rsidRPr="00437085">
        <w:rPr>
          <w:rFonts w:asciiTheme="minorBidi" w:hAnsiTheme="minorBidi"/>
          <w:sz w:val="22"/>
        </w:rPr>
        <w:t xml:space="preserve">. 2nd edn. Oxford: Wiley-Blackwell. Available at: </w:t>
      </w:r>
      <w:hyperlink r:id="rId14" w:history="1">
        <w:r w:rsidR="00F6376A" w:rsidRPr="00C857BE">
          <w:rPr>
            <w:rStyle w:val="Hyperlink"/>
            <w:rFonts w:asciiTheme="minorBidi" w:hAnsiTheme="minorBidi"/>
            <w:sz w:val="22"/>
          </w:rPr>
          <w:t>https://www.wiley.com/engb/Person+Centred+Practice+in+Nursing+and+Health+Care%3A+Theory+and+Practice%2C+2nd+Edition-p-9781118990579</w:t>
        </w:r>
      </w:hyperlink>
      <w:r w:rsidR="00F6376A">
        <w:rPr>
          <w:rFonts w:asciiTheme="minorBidi" w:hAnsiTheme="minorBidi"/>
          <w:sz w:val="22"/>
        </w:rPr>
        <w:t xml:space="preserve"> </w:t>
      </w:r>
      <w:r w:rsidRPr="00437085">
        <w:rPr>
          <w:rFonts w:asciiTheme="minorBidi" w:hAnsiTheme="minorBidi"/>
          <w:sz w:val="22"/>
        </w:rPr>
        <w:t>(Accessed: 9 April 2026).</w:t>
      </w:r>
    </w:p>
    <w:p w14:paraId="0C60BA00" w14:textId="77777777" w:rsidR="00437085" w:rsidRPr="00437085" w:rsidRDefault="00437085" w:rsidP="00C35641">
      <w:pPr>
        <w:tabs>
          <w:tab w:val="left" w:pos="6540"/>
        </w:tabs>
        <w:spacing w:line="360" w:lineRule="auto"/>
        <w:rPr>
          <w:rFonts w:asciiTheme="minorBidi" w:hAnsiTheme="minorBidi"/>
          <w:sz w:val="22"/>
        </w:rPr>
      </w:pPr>
    </w:p>
    <w:p w14:paraId="75CC4AF1" w14:textId="09E7ACE8"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National Institute for Health and Care Excellence (2021) </w:t>
      </w:r>
      <w:r w:rsidRPr="001B7D77">
        <w:rPr>
          <w:rFonts w:asciiTheme="minorBidi" w:hAnsiTheme="minorBidi"/>
          <w:i/>
          <w:iCs/>
          <w:sz w:val="22"/>
        </w:rPr>
        <w:t>Shared decision making</w:t>
      </w:r>
      <w:r w:rsidRPr="00437085">
        <w:rPr>
          <w:rFonts w:asciiTheme="minorBidi" w:hAnsiTheme="minorBidi"/>
          <w:sz w:val="22"/>
        </w:rPr>
        <w:t xml:space="preserve">. Available at: </w:t>
      </w:r>
      <w:hyperlink r:id="rId15" w:history="1">
        <w:r w:rsidR="00F6376A" w:rsidRPr="00C857BE">
          <w:rPr>
            <w:rStyle w:val="Hyperlink"/>
            <w:rFonts w:asciiTheme="minorBidi" w:hAnsiTheme="minorBidi"/>
            <w:sz w:val="22"/>
          </w:rPr>
          <w:t>https://www.nice.org.uk/guidance/ng197</w:t>
        </w:r>
      </w:hyperlink>
      <w:r w:rsidR="00F6376A">
        <w:rPr>
          <w:rFonts w:asciiTheme="minorBidi" w:hAnsiTheme="minorBidi"/>
          <w:sz w:val="22"/>
        </w:rPr>
        <w:t xml:space="preserve"> </w:t>
      </w:r>
      <w:r w:rsidRPr="00437085">
        <w:rPr>
          <w:rFonts w:asciiTheme="minorBidi" w:hAnsiTheme="minorBidi"/>
          <w:sz w:val="22"/>
        </w:rPr>
        <w:t>(Accessed: 9 April 2026).</w:t>
      </w:r>
    </w:p>
    <w:p w14:paraId="3964018D" w14:textId="77777777" w:rsidR="00437085" w:rsidRPr="00437085" w:rsidRDefault="00437085" w:rsidP="00C35641">
      <w:pPr>
        <w:tabs>
          <w:tab w:val="left" w:pos="6540"/>
        </w:tabs>
        <w:spacing w:line="360" w:lineRule="auto"/>
        <w:rPr>
          <w:rFonts w:asciiTheme="minorBidi" w:hAnsiTheme="minorBidi"/>
          <w:sz w:val="22"/>
        </w:rPr>
      </w:pPr>
    </w:p>
    <w:p w14:paraId="4C9C5DC1" w14:textId="53C62AF1"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NHS England (2023) </w:t>
      </w:r>
      <w:r w:rsidRPr="001B7D77">
        <w:rPr>
          <w:rFonts w:asciiTheme="minorBidi" w:hAnsiTheme="minorBidi"/>
          <w:i/>
          <w:iCs/>
          <w:sz w:val="22"/>
        </w:rPr>
        <w:t>Integrated care systems</w:t>
      </w:r>
      <w:r w:rsidRPr="00437085">
        <w:rPr>
          <w:rFonts w:asciiTheme="minorBidi" w:hAnsiTheme="minorBidi"/>
          <w:sz w:val="22"/>
        </w:rPr>
        <w:t xml:space="preserve">. Available at: </w:t>
      </w:r>
      <w:hyperlink r:id="rId16" w:history="1">
        <w:r w:rsidR="00F6376A" w:rsidRPr="00C857BE">
          <w:rPr>
            <w:rStyle w:val="Hyperlink"/>
            <w:rFonts w:asciiTheme="minorBidi" w:hAnsiTheme="minorBidi"/>
            <w:sz w:val="22"/>
          </w:rPr>
          <w:t>https://www.england.nhs.uk/integratedcare/</w:t>
        </w:r>
      </w:hyperlink>
      <w:r w:rsidR="00F6376A">
        <w:rPr>
          <w:rFonts w:asciiTheme="minorBidi" w:hAnsiTheme="minorBidi"/>
          <w:sz w:val="22"/>
        </w:rPr>
        <w:t xml:space="preserve"> </w:t>
      </w:r>
      <w:r w:rsidRPr="00437085">
        <w:rPr>
          <w:rFonts w:asciiTheme="minorBidi" w:hAnsiTheme="minorBidi"/>
          <w:sz w:val="22"/>
        </w:rPr>
        <w:t>(Accessed: 9 April 2026).</w:t>
      </w:r>
    </w:p>
    <w:p w14:paraId="25C5A5A8" w14:textId="77777777" w:rsidR="00437085" w:rsidRPr="00437085" w:rsidRDefault="00437085" w:rsidP="00C35641">
      <w:pPr>
        <w:tabs>
          <w:tab w:val="left" w:pos="6540"/>
        </w:tabs>
        <w:spacing w:line="360" w:lineRule="auto"/>
        <w:rPr>
          <w:rFonts w:asciiTheme="minorBidi" w:hAnsiTheme="minorBidi"/>
          <w:sz w:val="22"/>
        </w:rPr>
      </w:pPr>
    </w:p>
    <w:p w14:paraId="2A70F121" w14:textId="4EC2C29C"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Nursing and Midwifery Council (2018) The Code: </w:t>
      </w:r>
      <w:r w:rsidRPr="001B7D77">
        <w:rPr>
          <w:rFonts w:asciiTheme="minorBidi" w:hAnsiTheme="minorBidi"/>
          <w:i/>
          <w:iCs/>
          <w:sz w:val="22"/>
        </w:rPr>
        <w:t>professional standards of practice and behaviour for nurses, midwives and nursing associates</w:t>
      </w:r>
      <w:r w:rsidRPr="00437085">
        <w:rPr>
          <w:rFonts w:asciiTheme="minorBidi" w:hAnsiTheme="minorBidi"/>
          <w:sz w:val="22"/>
        </w:rPr>
        <w:t>. Available at:</w:t>
      </w:r>
      <w:r w:rsidR="00F6376A">
        <w:rPr>
          <w:rFonts w:asciiTheme="minorBidi" w:hAnsiTheme="minorBidi"/>
          <w:sz w:val="22"/>
        </w:rPr>
        <w:t xml:space="preserve"> </w:t>
      </w:r>
      <w:hyperlink r:id="rId17" w:history="1">
        <w:r w:rsidR="00F6376A" w:rsidRPr="00C857BE">
          <w:rPr>
            <w:rStyle w:val="Hyperlink"/>
            <w:rFonts w:asciiTheme="minorBidi" w:hAnsiTheme="minorBidi"/>
            <w:sz w:val="22"/>
          </w:rPr>
          <w:t>https://www.nmc.org.uk/standards/code/</w:t>
        </w:r>
      </w:hyperlink>
      <w:r w:rsidR="00F6376A">
        <w:rPr>
          <w:rFonts w:asciiTheme="minorBidi" w:hAnsiTheme="minorBidi"/>
          <w:sz w:val="22"/>
        </w:rPr>
        <w:t xml:space="preserve"> </w:t>
      </w:r>
      <w:r w:rsidRPr="00437085">
        <w:rPr>
          <w:rFonts w:asciiTheme="minorBidi" w:hAnsiTheme="minorBidi"/>
          <w:sz w:val="22"/>
        </w:rPr>
        <w:t>(Accessed: 9 April 2026).</w:t>
      </w:r>
    </w:p>
    <w:p w14:paraId="49DF4353" w14:textId="77777777" w:rsidR="00437085" w:rsidRPr="00437085" w:rsidRDefault="00437085" w:rsidP="00C35641">
      <w:pPr>
        <w:tabs>
          <w:tab w:val="left" w:pos="6540"/>
        </w:tabs>
        <w:spacing w:line="360" w:lineRule="auto"/>
        <w:rPr>
          <w:rFonts w:asciiTheme="minorBidi" w:hAnsiTheme="minorBidi"/>
          <w:sz w:val="22"/>
        </w:rPr>
      </w:pPr>
    </w:p>
    <w:p w14:paraId="152693CF" w14:textId="77A6A094"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Reason, J. (2000) ‘Human error: models and management’, </w:t>
      </w:r>
      <w:r w:rsidRPr="001B7D77">
        <w:rPr>
          <w:rFonts w:asciiTheme="minorBidi" w:hAnsiTheme="minorBidi"/>
          <w:i/>
          <w:iCs/>
          <w:sz w:val="22"/>
        </w:rPr>
        <w:t>BMJ</w:t>
      </w:r>
      <w:r w:rsidRPr="00437085">
        <w:rPr>
          <w:rFonts w:asciiTheme="minorBidi" w:hAnsiTheme="minorBidi"/>
          <w:sz w:val="22"/>
        </w:rPr>
        <w:t xml:space="preserve">, 320(7237), pp. 768–770. Available at: </w:t>
      </w:r>
      <w:hyperlink r:id="rId18" w:history="1">
        <w:r w:rsidR="00F6376A" w:rsidRPr="00C857BE">
          <w:rPr>
            <w:rStyle w:val="Hyperlink"/>
            <w:rFonts w:asciiTheme="minorBidi" w:hAnsiTheme="minorBidi"/>
            <w:sz w:val="22"/>
          </w:rPr>
          <w:t>https://www.bmj.com/content/320/7237/768</w:t>
        </w:r>
      </w:hyperlink>
      <w:r w:rsidR="00F6376A">
        <w:rPr>
          <w:rFonts w:asciiTheme="minorBidi" w:hAnsiTheme="minorBidi"/>
          <w:sz w:val="22"/>
        </w:rPr>
        <w:t xml:space="preserve"> </w:t>
      </w:r>
      <w:r w:rsidRPr="00437085">
        <w:rPr>
          <w:rFonts w:asciiTheme="minorBidi" w:hAnsiTheme="minorBidi"/>
          <w:sz w:val="22"/>
        </w:rPr>
        <w:t>(Accessed: 9 April 2026).</w:t>
      </w:r>
    </w:p>
    <w:p w14:paraId="040118B6" w14:textId="77777777" w:rsidR="00437085" w:rsidRPr="00437085" w:rsidRDefault="00437085" w:rsidP="00C35641">
      <w:pPr>
        <w:tabs>
          <w:tab w:val="left" w:pos="6540"/>
        </w:tabs>
        <w:spacing w:line="360" w:lineRule="auto"/>
        <w:rPr>
          <w:rFonts w:asciiTheme="minorBidi" w:hAnsiTheme="minorBidi"/>
          <w:sz w:val="22"/>
        </w:rPr>
      </w:pPr>
    </w:p>
    <w:p w14:paraId="391DAD8C" w14:textId="3628BCC8"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Shannon, C.E. and Weaver, W. (1949) </w:t>
      </w:r>
      <w:r w:rsidRPr="001B7D77">
        <w:rPr>
          <w:rFonts w:asciiTheme="minorBidi" w:hAnsiTheme="minorBidi"/>
          <w:i/>
          <w:iCs/>
          <w:sz w:val="22"/>
        </w:rPr>
        <w:t>The mathematical theory of communication</w:t>
      </w:r>
      <w:r w:rsidRPr="00437085">
        <w:rPr>
          <w:rFonts w:asciiTheme="minorBidi" w:hAnsiTheme="minorBidi"/>
          <w:sz w:val="22"/>
        </w:rPr>
        <w:t>. Urbana: University of Illinois Press. Summary available at:</w:t>
      </w:r>
      <w:r w:rsidR="001B7D77">
        <w:rPr>
          <w:rFonts w:asciiTheme="minorBidi" w:hAnsiTheme="minorBidi"/>
          <w:sz w:val="22"/>
        </w:rPr>
        <w:t xml:space="preserve"> </w:t>
      </w:r>
      <w:hyperlink r:id="rId19" w:history="1">
        <w:r w:rsidR="00F6376A" w:rsidRPr="00C857BE">
          <w:rPr>
            <w:rStyle w:val="Hyperlink"/>
            <w:rFonts w:asciiTheme="minorBidi" w:hAnsiTheme="minorBidi"/>
            <w:sz w:val="22"/>
          </w:rPr>
          <w:t>https://plato.stanford.edu/entries/information/</w:t>
        </w:r>
      </w:hyperlink>
      <w:r w:rsidR="00F6376A">
        <w:rPr>
          <w:rFonts w:asciiTheme="minorBidi" w:hAnsiTheme="minorBidi"/>
          <w:sz w:val="22"/>
        </w:rPr>
        <w:t xml:space="preserve"> </w:t>
      </w:r>
      <w:r w:rsidRPr="00437085">
        <w:rPr>
          <w:rFonts w:asciiTheme="minorBidi" w:hAnsiTheme="minorBidi"/>
          <w:sz w:val="22"/>
        </w:rPr>
        <w:t>(Accessed: 9 April 2026).</w:t>
      </w:r>
    </w:p>
    <w:p w14:paraId="4297ACE0" w14:textId="77777777" w:rsidR="00437085" w:rsidRPr="00437085" w:rsidRDefault="00437085" w:rsidP="00C35641">
      <w:pPr>
        <w:tabs>
          <w:tab w:val="left" w:pos="6540"/>
        </w:tabs>
        <w:spacing w:line="360" w:lineRule="auto"/>
        <w:rPr>
          <w:rFonts w:asciiTheme="minorBidi" w:hAnsiTheme="minorBidi"/>
          <w:sz w:val="22"/>
        </w:rPr>
      </w:pPr>
    </w:p>
    <w:p w14:paraId="4FCFDF1F" w14:textId="491FAE89" w:rsidR="00437085" w:rsidRPr="00437085"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UK Government (2010) </w:t>
      </w:r>
      <w:r w:rsidRPr="001B7D77">
        <w:rPr>
          <w:rFonts w:asciiTheme="minorBidi" w:hAnsiTheme="minorBidi"/>
          <w:i/>
          <w:iCs/>
          <w:sz w:val="22"/>
        </w:rPr>
        <w:t>Equality Act 2010</w:t>
      </w:r>
      <w:r w:rsidRPr="00437085">
        <w:rPr>
          <w:rFonts w:asciiTheme="minorBidi" w:hAnsiTheme="minorBidi"/>
          <w:sz w:val="22"/>
        </w:rPr>
        <w:t>. Available at:</w:t>
      </w:r>
      <w:r w:rsidR="00F6376A">
        <w:rPr>
          <w:rFonts w:asciiTheme="minorBidi" w:hAnsiTheme="minorBidi"/>
          <w:sz w:val="22"/>
        </w:rPr>
        <w:t xml:space="preserve"> </w:t>
      </w:r>
      <w:hyperlink r:id="rId20" w:history="1">
        <w:r w:rsidR="00F6376A" w:rsidRPr="00C857BE">
          <w:rPr>
            <w:rStyle w:val="Hyperlink"/>
            <w:rFonts w:asciiTheme="minorBidi" w:hAnsiTheme="minorBidi"/>
            <w:sz w:val="22"/>
          </w:rPr>
          <w:t>https://www.legislation.gov.uk/ukpga/2010/15/contents</w:t>
        </w:r>
      </w:hyperlink>
      <w:r w:rsidR="00F6376A">
        <w:rPr>
          <w:rFonts w:asciiTheme="minorBidi" w:hAnsiTheme="minorBidi"/>
          <w:sz w:val="22"/>
        </w:rPr>
        <w:t xml:space="preserve"> </w:t>
      </w:r>
      <w:r w:rsidRPr="00437085">
        <w:rPr>
          <w:rFonts w:asciiTheme="minorBidi" w:hAnsiTheme="minorBidi"/>
          <w:sz w:val="22"/>
        </w:rPr>
        <w:t>(Accessed: 9 April 2026).</w:t>
      </w:r>
    </w:p>
    <w:p w14:paraId="74AF889E" w14:textId="77777777" w:rsidR="00437085" w:rsidRPr="00437085" w:rsidRDefault="00437085" w:rsidP="00C35641">
      <w:pPr>
        <w:tabs>
          <w:tab w:val="left" w:pos="6540"/>
        </w:tabs>
        <w:spacing w:line="360" w:lineRule="auto"/>
        <w:rPr>
          <w:rFonts w:asciiTheme="minorBidi" w:hAnsiTheme="minorBidi"/>
          <w:sz w:val="22"/>
        </w:rPr>
      </w:pPr>
    </w:p>
    <w:p w14:paraId="1425F4AC" w14:textId="5CE5671C" w:rsidR="001D7C03" w:rsidRPr="00CD33A8" w:rsidRDefault="00437085" w:rsidP="00C35641">
      <w:pPr>
        <w:tabs>
          <w:tab w:val="left" w:pos="6540"/>
        </w:tabs>
        <w:spacing w:line="360" w:lineRule="auto"/>
        <w:rPr>
          <w:rFonts w:asciiTheme="minorBidi" w:hAnsiTheme="minorBidi"/>
          <w:sz w:val="22"/>
        </w:rPr>
      </w:pPr>
      <w:r w:rsidRPr="00437085">
        <w:rPr>
          <w:rFonts w:asciiTheme="minorBidi" w:hAnsiTheme="minorBidi"/>
          <w:sz w:val="22"/>
        </w:rPr>
        <w:t xml:space="preserve">UK Government (2018) </w:t>
      </w:r>
      <w:r w:rsidRPr="001B7D77">
        <w:rPr>
          <w:rFonts w:asciiTheme="minorBidi" w:hAnsiTheme="minorBidi"/>
          <w:i/>
          <w:iCs/>
          <w:sz w:val="22"/>
        </w:rPr>
        <w:t>Data Protection Act 2018</w:t>
      </w:r>
      <w:r w:rsidRPr="00437085">
        <w:rPr>
          <w:rFonts w:asciiTheme="minorBidi" w:hAnsiTheme="minorBidi"/>
          <w:sz w:val="22"/>
        </w:rPr>
        <w:t>. Available at:</w:t>
      </w:r>
      <w:r w:rsidR="00F6376A">
        <w:rPr>
          <w:rFonts w:asciiTheme="minorBidi" w:hAnsiTheme="minorBidi"/>
          <w:sz w:val="22"/>
        </w:rPr>
        <w:t xml:space="preserve"> </w:t>
      </w:r>
      <w:hyperlink r:id="rId21" w:history="1">
        <w:r w:rsidR="004065BC" w:rsidRPr="00C857BE">
          <w:rPr>
            <w:rStyle w:val="Hyperlink"/>
            <w:rFonts w:asciiTheme="minorBidi" w:hAnsiTheme="minorBidi"/>
            <w:sz w:val="22"/>
          </w:rPr>
          <w:t>https://www.legislation.gov.uk/ukpga/2018/12/contents</w:t>
        </w:r>
      </w:hyperlink>
      <w:r w:rsidR="004065BC">
        <w:rPr>
          <w:rFonts w:asciiTheme="minorBidi" w:hAnsiTheme="minorBidi"/>
          <w:sz w:val="22"/>
        </w:rPr>
        <w:t xml:space="preserve"> </w:t>
      </w:r>
      <w:r w:rsidRPr="00437085">
        <w:rPr>
          <w:rFonts w:asciiTheme="minorBidi" w:hAnsiTheme="minorBidi"/>
          <w:sz w:val="22"/>
        </w:rPr>
        <w:t>(Accessed: 9 April 2026).</w:t>
      </w:r>
    </w:p>
    <w:sectPr w:rsidR="001D7C03" w:rsidRPr="00CD33A8" w:rsidSect="00E620E7">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DEDDA" w14:textId="77777777" w:rsidR="003474FB" w:rsidRDefault="003474FB" w:rsidP="003E4ECF">
      <w:pPr>
        <w:spacing w:after="0" w:line="240" w:lineRule="auto"/>
      </w:pPr>
      <w:r>
        <w:separator/>
      </w:r>
    </w:p>
  </w:endnote>
  <w:endnote w:type="continuationSeparator" w:id="0">
    <w:p w14:paraId="595B6543" w14:textId="77777777" w:rsidR="003474FB" w:rsidRDefault="003474F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B46E9" w14:textId="77777777" w:rsidR="003474FB" w:rsidRDefault="003474FB" w:rsidP="003E4ECF">
      <w:pPr>
        <w:spacing w:after="0" w:line="240" w:lineRule="auto"/>
      </w:pPr>
      <w:r>
        <w:separator/>
      </w:r>
    </w:p>
  </w:footnote>
  <w:footnote w:type="continuationSeparator" w:id="0">
    <w:p w14:paraId="5413AB9E" w14:textId="77777777" w:rsidR="003474FB" w:rsidRDefault="003474FB"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3904BF"/>
    <w:multiLevelType w:val="hybridMultilevel"/>
    <w:tmpl w:val="04023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039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B7D77"/>
    <w:rsid w:val="001D7C03"/>
    <w:rsid w:val="00216C85"/>
    <w:rsid w:val="0026393A"/>
    <w:rsid w:val="00273EDD"/>
    <w:rsid w:val="002C3965"/>
    <w:rsid w:val="00321C4C"/>
    <w:rsid w:val="003474FB"/>
    <w:rsid w:val="00392BBC"/>
    <w:rsid w:val="003C2561"/>
    <w:rsid w:val="003E4ECF"/>
    <w:rsid w:val="004065BC"/>
    <w:rsid w:val="00426BBA"/>
    <w:rsid w:val="00437085"/>
    <w:rsid w:val="004A736E"/>
    <w:rsid w:val="004D761A"/>
    <w:rsid w:val="00571E54"/>
    <w:rsid w:val="005F0694"/>
    <w:rsid w:val="006103A3"/>
    <w:rsid w:val="006925AA"/>
    <w:rsid w:val="00725177"/>
    <w:rsid w:val="00794400"/>
    <w:rsid w:val="007A1B8D"/>
    <w:rsid w:val="00800C3D"/>
    <w:rsid w:val="00814A9E"/>
    <w:rsid w:val="008E3943"/>
    <w:rsid w:val="0090040D"/>
    <w:rsid w:val="009D052C"/>
    <w:rsid w:val="009D1D1E"/>
    <w:rsid w:val="009E3622"/>
    <w:rsid w:val="00A035FD"/>
    <w:rsid w:val="00AD23A0"/>
    <w:rsid w:val="00B87E75"/>
    <w:rsid w:val="00C35641"/>
    <w:rsid w:val="00CD33A8"/>
    <w:rsid w:val="00D1089A"/>
    <w:rsid w:val="00DE1ACD"/>
    <w:rsid w:val="00E569FD"/>
    <w:rsid w:val="00E620E7"/>
    <w:rsid w:val="00F6376A"/>
    <w:rsid w:val="00F66E1B"/>
    <w:rsid w:val="00F978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71E54"/>
    <w:pPr>
      <w:keepNext/>
      <w:keepLines/>
      <w:spacing w:before="240" w:after="0" w:line="360" w:lineRule="auto"/>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E54"/>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571E54"/>
    <w:pPr>
      <w:ind w:left="720"/>
      <w:contextualSpacing/>
    </w:pPr>
  </w:style>
  <w:style w:type="character" w:styleId="Hyperlink">
    <w:name w:val="Hyperlink"/>
    <w:basedOn w:val="DefaultParagraphFont"/>
    <w:uiPriority w:val="99"/>
    <w:unhideWhenUsed/>
    <w:rsid w:val="00F6376A"/>
    <w:rPr>
      <w:color w:val="0563C1" w:themeColor="hyperlink"/>
      <w:u w:val="single"/>
    </w:rPr>
  </w:style>
  <w:style w:type="character" w:styleId="UnresolvedMention">
    <w:name w:val="Unresolved Mention"/>
    <w:basedOn w:val="DefaultParagraphFont"/>
    <w:uiPriority w:val="99"/>
    <w:semiHidden/>
    <w:unhideWhenUsed/>
    <w:rsid w:val="00F637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macmillanlearning.co.uk/page/detail/Communication-Skills-for-Nursing-Practice/?K=9780230359190" TargetMode="External"/><Relationship Id="rId18" Type="http://schemas.openxmlformats.org/officeDocument/2006/relationships/hyperlink" Target="https://www.bmj.com/content/320/7237/768" TargetMode="External"/><Relationship Id="rId3" Type="http://schemas.openxmlformats.org/officeDocument/2006/relationships/settings" Target="settings.xml"/><Relationship Id="rId21" Type="http://schemas.openxmlformats.org/officeDocument/2006/relationships/hyperlink" Target="https://www.legislation.gov.uk/ukpga/2018/12/contents" TargetMode="External"/><Relationship Id="rId7" Type="http://schemas.openxmlformats.org/officeDocument/2006/relationships/image" Target="media/image1.png"/><Relationship Id="rId12" Type="http://schemas.openxmlformats.org/officeDocument/2006/relationships/hyperlink" Target="https://ico.org.uk/for-organisations/uk-gdpr-guidance-and-resources/" TargetMode="External"/><Relationship Id="rId17" Type="http://schemas.openxmlformats.org/officeDocument/2006/relationships/hyperlink" Target="https://www.nmc.org.uk/standards/code/" TargetMode="External"/><Relationship Id="rId2" Type="http://schemas.openxmlformats.org/officeDocument/2006/relationships/styles" Target="styles.xml"/><Relationship Id="rId16" Type="http://schemas.openxmlformats.org/officeDocument/2006/relationships/hyperlink" Target="https://www.england.nhs.uk/integratedcare/" TargetMode="External"/><Relationship Id="rId20" Type="http://schemas.openxmlformats.org/officeDocument/2006/relationships/hyperlink" Target="https://www.legislation.gov.uk/ukpga/2010/15/cont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licy.bristoluniversitypress.co.uk/partnership-working-in-health-and-social-car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ice.org.uk/guidance/ng197" TargetMode="External"/><Relationship Id="rId23" Type="http://schemas.openxmlformats.org/officeDocument/2006/relationships/fontTable" Target="fontTable.xml"/><Relationship Id="rId10" Type="http://schemas.openxmlformats.org/officeDocument/2006/relationships/hyperlink" Target="https://pubmed.ncbi.nlm.nih.gov/15838400/" TargetMode="External"/><Relationship Id="rId19" Type="http://schemas.openxmlformats.org/officeDocument/2006/relationships/hyperlink" Target="https://plato.stanford.edu/entries/information/" TargetMode="External"/><Relationship Id="rId4" Type="http://schemas.openxmlformats.org/officeDocument/2006/relationships/webSettings" Target="webSettings.xml"/><Relationship Id="rId9" Type="http://schemas.openxmlformats.org/officeDocument/2006/relationships/hyperlink" Target="https://www.cqc.org.uk/guidance-providers/notifications" TargetMode="External"/><Relationship Id="rId14" Type="http://schemas.openxmlformats.org/officeDocument/2006/relationships/hyperlink" Target="https://www.wiley.com/engb/Person+Centred+Practice+in+Nursing+and+Health+Care%3A+Theory+and+Practice%2C+2nd+Edition-p-978111899057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1998</Words>
  <Characters>11394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barbara campbell</cp:lastModifiedBy>
  <cp:revision>10</cp:revision>
  <dcterms:created xsi:type="dcterms:W3CDTF">2026-04-09T10:35:00Z</dcterms:created>
  <dcterms:modified xsi:type="dcterms:W3CDTF">2026-04-09T16:28:00Z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82220344-051f-4cb0-9048-5986b959c6da</vt:lpwstr>
  </property>
</Properties>
</file>