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1562" w:rsidRPr="001F2DE7" w:rsidRDefault="00A668AB" w:rsidP="00004FBF">
      <w:pPr>
        <w:spacing w:line="480" w:lineRule="auto"/>
        <w:jc w:val="center"/>
        <w:rPr>
          <w:rFonts w:ascii="Arial" w:hAnsi="Arial" w:cs="Arial"/>
          <w:sz w:val="24"/>
          <w:szCs w:val="24"/>
        </w:rPr>
      </w:pPr>
      <w:r w:rsidRPr="001F2DE7">
        <w:rPr>
          <w:rFonts w:ascii="Arial" w:hAnsi="Arial" w:cs="Arial"/>
          <w:sz w:val="24"/>
          <w:szCs w:val="24"/>
        </w:rPr>
        <w:t>“Using empirical evidence, critically explore gender, racial or ethnic stereotyping within the media”</w:t>
      </w:r>
    </w:p>
    <w:p w:rsidR="001F2DE7" w:rsidRPr="001F2DE7" w:rsidRDefault="001F2DE7" w:rsidP="00004FBF">
      <w:pPr>
        <w:spacing w:line="480" w:lineRule="auto"/>
        <w:jc w:val="center"/>
        <w:rPr>
          <w:rFonts w:ascii="Arial" w:hAnsi="Arial" w:cs="Arial"/>
          <w:sz w:val="24"/>
          <w:szCs w:val="24"/>
        </w:rPr>
      </w:pPr>
      <w:r w:rsidRPr="001F2DE7">
        <w:rPr>
          <w:rFonts w:ascii="Arial" w:hAnsi="Arial" w:cs="Arial"/>
          <w:sz w:val="24"/>
          <w:szCs w:val="24"/>
        </w:rPr>
        <w:t>Jazz McDonald (1601856)</w:t>
      </w:r>
    </w:p>
    <w:p w:rsidR="00A77557" w:rsidRDefault="003C55A5" w:rsidP="00004FBF">
      <w:pPr>
        <w:spacing w:line="480" w:lineRule="auto"/>
        <w:rPr>
          <w:rFonts w:ascii="Arial" w:hAnsi="Arial" w:cs="Arial"/>
          <w:sz w:val="24"/>
          <w:szCs w:val="24"/>
        </w:rPr>
      </w:pPr>
      <w:r w:rsidRPr="001F2DE7">
        <w:rPr>
          <w:rFonts w:ascii="Arial" w:hAnsi="Arial" w:cs="Arial"/>
          <w:sz w:val="24"/>
          <w:szCs w:val="24"/>
        </w:rPr>
        <w:t xml:space="preserve">Since the turn of the millennium, the introduction of social media into everyday life has broadened the horizons of education and </w:t>
      </w:r>
      <w:proofErr w:type="gramStart"/>
      <w:r w:rsidRPr="001F2DE7">
        <w:rPr>
          <w:rFonts w:ascii="Arial" w:hAnsi="Arial" w:cs="Arial"/>
          <w:sz w:val="24"/>
          <w:szCs w:val="24"/>
        </w:rPr>
        <w:t>connection, and</w:t>
      </w:r>
      <w:proofErr w:type="gramEnd"/>
      <w:r w:rsidRPr="001F2DE7">
        <w:rPr>
          <w:rFonts w:ascii="Arial" w:hAnsi="Arial" w:cs="Arial"/>
          <w:sz w:val="24"/>
          <w:szCs w:val="24"/>
        </w:rPr>
        <w:t xml:space="preserve"> has allowed access to information</w:t>
      </w:r>
      <w:r w:rsidR="00A77557" w:rsidRPr="001F2DE7">
        <w:rPr>
          <w:rFonts w:ascii="Arial" w:hAnsi="Arial" w:cs="Arial"/>
          <w:sz w:val="24"/>
          <w:szCs w:val="24"/>
        </w:rPr>
        <w:t xml:space="preserve"> and content</w:t>
      </w:r>
      <w:r w:rsidRPr="001F2DE7">
        <w:rPr>
          <w:rFonts w:ascii="Arial" w:hAnsi="Arial" w:cs="Arial"/>
          <w:sz w:val="24"/>
          <w:szCs w:val="24"/>
        </w:rPr>
        <w:t xml:space="preserve"> from around the world. However, social media has also allowed for stereotypical attitudes and prejudice to become more accessible, understandable, and pervasive. This </w:t>
      </w:r>
      <w:r w:rsidR="00CE1BAF" w:rsidRPr="001F2DE7">
        <w:rPr>
          <w:rFonts w:ascii="Arial" w:hAnsi="Arial" w:cs="Arial"/>
          <w:sz w:val="24"/>
          <w:szCs w:val="24"/>
        </w:rPr>
        <w:t>paper</w:t>
      </w:r>
      <w:r w:rsidRPr="001F2DE7">
        <w:rPr>
          <w:rFonts w:ascii="Arial" w:hAnsi="Arial" w:cs="Arial"/>
          <w:sz w:val="24"/>
          <w:szCs w:val="24"/>
        </w:rPr>
        <w:t xml:space="preserve"> will critically explore</w:t>
      </w:r>
      <w:r w:rsidR="00CE1BAF" w:rsidRPr="001F2DE7">
        <w:rPr>
          <w:rFonts w:ascii="Arial" w:hAnsi="Arial" w:cs="Arial"/>
          <w:sz w:val="24"/>
          <w:szCs w:val="24"/>
        </w:rPr>
        <w:t xml:space="preserve"> Social Identity Theory,</w:t>
      </w:r>
      <w:r w:rsidRPr="001F2DE7">
        <w:rPr>
          <w:rFonts w:ascii="Arial" w:hAnsi="Arial" w:cs="Arial"/>
          <w:sz w:val="24"/>
          <w:szCs w:val="24"/>
        </w:rPr>
        <w:t xml:space="preserve"> gender</w:t>
      </w:r>
      <w:r w:rsidR="00A77557" w:rsidRPr="001F2DE7">
        <w:rPr>
          <w:rFonts w:ascii="Arial" w:hAnsi="Arial" w:cs="Arial"/>
          <w:sz w:val="24"/>
          <w:szCs w:val="24"/>
        </w:rPr>
        <w:t xml:space="preserve"> as defined by Merriam-Webster (2019)</w:t>
      </w:r>
      <w:r w:rsidR="00CE1BAF" w:rsidRPr="001F2DE7">
        <w:rPr>
          <w:rFonts w:ascii="Arial" w:hAnsi="Arial" w:cs="Arial"/>
          <w:sz w:val="24"/>
          <w:szCs w:val="24"/>
        </w:rPr>
        <w:t xml:space="preserve">, and the subsequent </w:t>
      </w:r>
      <w:r w:rsidRPr="001F2DE7">
        <w:rPr>
          <w:rFonts w:ascii="Arial" w:hAnsi="Arial" w:cs="Arial"/>
          <w:sz w:val="24"/>
          <w:szCs w:val="24"/>
        </w:rPr>
        <w:t>stereotyping and attitudes within the media</w:t>
      </w:r>
      <w:r w:rsidR="00266EBD" w:rsidRPr="001F2DE7">
        <w:rPr>
          <w:rFonts w:ascii="Arial" w:hAnsi="Arial" w:cs="Arial"/>
          <w:sz w:val="24"/>
          <w:szCs w:val="24"/>
        </w:rPr>
        <w:t xml:space="preserve"> as a wider lens</w:t>
      </w:r>
      <w:r w:rsidR="00CE1BAF" w:rsidRPr="001F2DE7">
        <w:rPr>
          <w:rFonts w:ascii="Arial" w:hAnsi="Arial" w:cs="Arial"/>
          <w:sz w:val="24"/>
          <w:szCs w:val="24"/>
        </w:rPr>
        <w:t>. This essay will be</w:t>
      </w:r>
      <w:r w:rsidRPr="001F2DE7">
        <w:rPr>
          <w:rFonts w:ascii="Arial" w:hAnsi="Arial" w:cs="Arial"/>
          <w:sz w:val="24"/>
          <w:szCs w:val="24"/>
        </w:rPr>
        <w:t xml:space="preserve"> maintaining a focus on </w:t>
      </w:r>
      <w:r w:rsidR="00266EBD" w:rsidRPr="001F2DE7">
        <w:rPr>
          <w:rFonts w:ascii="Arial" w:hAnsi="Arial" w:cs="Arial"/>
          <w:sz w:val="24"/>
          <w:szCs w:val="24"/>
        </w:rPr>
        <w:t xml:space="preserve">the attitudes and effects of gender stereotypes in </w:t>
      </w:r>
      <w:r w:rsidRPr="001F2DE7">
        <w:rPr>
          <w:rFonts w:ascii="Arial" w:hAnsi="Arial" w:cs="Arial"/>
          <w:sz w:val="24"/>
          <w:szCs w:val="24"/>
        </w:rPr>
        <w:t>social media applications such as Facebook, Reddit, Snap</w:t>
      </w:r>
      <w:r w:rsidR="00266EBD" w:rsidRPr="001F2DE7">
        <w:rPr>
          <w:rFonts w:ascii="Arial" w:hAnsi="Arial" w:cs="Arial"/>
          <w:sz w:val="24"/>
          <w:szCs w:val="24"/>
        </w:rPr>
        <w:t>c</w:t>
      </w:r>
      <w:r w:rsidRPr="001F2DE7">
        <w:rPr>
          <w:rFonts w:ascii="Arial" w:hAnsi="Arial" w:cs="Arial"/>
          <w:sz w:val="24"/>
          <w:szCs w:val="24"/>
        </w:rPr>
        <w:t>hat, and Instagram.</w:t>
      </w:r>
      <w:r w:rsidR="00CE1BAF" w:rsidRPr="001F2DE7">
        <w:rPr>
          <w:rFonts w:ascii="Arial" w:hAnsi="Arial" w:cs="Arial"/>
          <w:sz w:val="24"/>
          <w:szCs w:val="24"/>
        </w:rPr>
        <w:t xml:space="preserve"> The definitions of “Gender” and “Stereotype” are defined below for clarity. </w:t>
      </w:r>
      <w:r w:rsidR="00CE1BAF" w:rsidRPr="001F2DE7">
        <w:rPr>
          <w:rFonts w:ascii="Arial" w:hAnsi="Arial" w:cs="Arial"/>
          <w:sz w:val="24"/>
          <w:szCs w:val="24"/>
        </w:rPr>
        <w:t xml:space="preserve">It is </w:t>
      </w:r>
      <w:r w:rsidR="00CE1BAF" w:rsidRPr="001F2DE7">
        <w:rPr>
          <w:rFonts w:ascii="Arial" w:hAnsi="Arial" w:cs="Arial"/>
          <w:sz w:val="24"/>
          <w:szCs w:val="24"/>
        </w:rPr>
        <w:t>important</w:t>
      </w:r>
      <w:r w:rsidR="00CE1BAF" w:rsidRPr="001F2DE7">
        <w:rPr>
          <w:rFonts w:ascii="Arial" w:hAnsi="Arial" w:cs="Arial"/>
          <w:sz w:val="24"/>
          <w:szCs w:val="24"/>
        </w:rPr>
        <w:t xml:space="preserve"> that the Merriam-Webster (2019) definition of gender is used, which presents a more inclusive definition </w:t>
      </w:r>
      <w:proofErr w:type="gramStart"/>
      <w:r w:rsidR="00CE1BAF" w:rsidRPr="001F2DE7">
        <w:rPr>
          <w:rFonts w:ascii="Arial" w:hAnsi="Arial" w:cs="Arial"/>
          <w:sz w:val="24"/>
          <w:szCs w:val="24"/>
        </w:rPr>
        <w:t>in regards to</w:t>
      </w:r>
      <w:proofErr w:type="gramEnd"/>
      <w:r w:rsidR="00CE1BAF" w:rsidRPr="001F2DE7">
        <w:rPr>
          <w:rFonts w:ascii="Arial" w:hAnsi="Arial" w:cs="Arial"/>
          <w:sz w:val="24"/>
          <w:szCs w:val="24"/>
        </w:rPr>
        <w:t xml:space="preserve"> gender identification outside of the presumed biological binary (male versus female).</w:t>
      </w:r>
    </w:p>
    <w:p w:rsidR="00C44267" w:rsidRPr="00C44267" w:rsidRDefault="00C44267" w:rsidP="00004FBF">
      <w:pPr>
        <w:spacing w:line="480" w:lineRule="auto"/>
        <w:rPr>
          <w:rFonts w:ascii="Arial" w:hAnsi="Arial" w:cs="Arial"/>
          <w:b/>
          <w:i/>
          <w:sz w:val="24"/>
          <w:szCs w:val="24"/>
        </w:rPr>
      </w:pPr>
      <w:r w:rsidRPr="00C44267">
        <w:rPr>
          <w:rFonts w:ascii="Arial" w:hAnsi="Arial" w:cs="Arial"/>
          <w:b/>
          <w:i/>
          <w:sz w:val="24"/>
          <w:szCs w:val="24"/>
        </w:rPr>
        <w:t>KEY DEFIN</w:t>
      </w:r>
      <w:r>
        <w:rPr>
          <w:rFonts w:ascii="Arial" w:hAnsi="Arial" w:cs="Arial"/>
          <w:b/>
          <w:i/>
          <w:sz w:val="24"/>
          <w:szCs w:val="24"/>
        </w:rPr>
        <w:t>I</w:t>
      </w:r>
      <w:r w:rsidRPr="00C44267">
        <w:rPr>
          <w:rFonts w:ascii="Arial" w:hAnsi="Arial" w:cs="Arial"/>
          <w:b/>
          <w:i/>
          <w:sz w:val="24"/>
          <w:szCs w:val="24"/>
        </w:rPr>
        <w:t>TIONS</w:t>
      </w:r>
    </w:p>
    <w:p w:rsidR="00A77557" w:rsidRPr="001F2DE7" w:rsidRDefault="00F00D5C" w:rsidP="00004FBF">
      <w:pPr>
        <w:spacing w:line="480" w:lineRule="auto"/>
        <w:ind w:left="720"/>
        <w:rPr>
          <w:rFonts w:ascii="Arial" w:hAnsi="Arial" w:cs="Arial"/>
          <w:i/>
          <w:sz w:val="24"/>
          <w:szCs w:val="24"/>
        </w:rPr>
      </w:pPr>
      <w:r w:rsidRPr="001F2DE7">
        <w:rPr>
          <w:rFonts w:ascii="Arial" w:hAnsi="Arial" w:cs="Arial"/>
          <w:i/>
          <w:sz w:val="24"/>
          <w:szCs w:val="24"/>
        </w:rPr>
        <w:t>“</w:t>
      </w:r>
      <w:r w:rsidR="00A77557" w:rsidRPr="001F2DE7">
        <w:rPr>
          <w:rFonts w:ascii="Arial" w:hAnsi="Arial" w:cs="Arial"/>
          <w:b/>
          <w:i/>
          <w:sz w:val="24"/>
          <w:szCs w:val="24"/>
        </w:rPr>
        <w:t>Gender</w:t>
      </w:r>
      <w:r w:rsidR="00A77557" w:rsidRPr="001F2DE7">
        <w:rPr>
          <w:rFonts w:ascii="Arial" w:hAnsi="Arial" w:cs="Arial"/>
          <w:i/>
          <w:sz w:val="24"/>
          <w:szCs w:val="24"/>
        </w:rPr>
        <w:t xml:space="preserve"> (noun); “</w:t>
      </w:r>
      <w:r w:rsidR="00A77557" w:rsidRPr="001F2DE7">
        <w:rPr>
          <w:rFonts w:ascii="Arial" w:hAnsi="Arial" w:cs="Arial"/>
          <w:i/>
          <w:sz w:val="24"/>
          <w:szCs w:val="24"/>
        </w:rPr>
        <w:t xml:space="preserve">the </w:t>
      </w:r>
      <w:proofErr w:type="spellStart"/>
      <w:r w:rsidR="00A77557" w:rsidRPr="001F2DE7">
        <w:rPr>
          <w:rFonts w:ascii="Arial" w:hAnsi="Arial" w:cs="Arial"/>
          <w:i/>
          <w:sz w:val="24"/>
          <w:szCs w:val="24"/>
        </w:rPr>
        <w:t>behavioral</w:t>
      </w:r>
      <w:proofErr w:type="spellEnd"/>
      <w:r w:rsidR="00A77557" w:rsidRPr="001F2DE7">
        <w:rPr>
          <w:rFonts w:ascii="Arial" w:hAnsi="Arial" w:cs="Arial"/>
          <w:i/>
          <w:sz w:val="24"/>
          <w:szCs w:val="24"/>
        </w:rPr>
        <w:t>, cultural, or psychological traits typically</w:t>
      </w:r>
      <w:r w:rsidRPr="001F2DE7">
        <w:rPr>
          <w:rFonts w:ascii="Arial" w:hAnsi="Arial" w:cs="Arial"/>
          <w:i/>
          <w:sz w:val="24"/>
          <w:szCs w:val="24"/>
        </w:rPr>
        <w:t xml:space="preserve"> </w:t>
      </w:r>
      <w:r w:rsidR="00A77557" w:rsidRPr="001F2DE7">
        <w:rPr>
          <w:rFonts w:ascii="Arial" w:hAnsi="Arial" w:cs="Arial"/>
          <w:i/>
          <w:sz w:val="24"/>
          <w:szCs w:val="24"/>
        </w:rPr>
        <w:t>associated with one sex</w:t>
      </w:r>
      <w:r w:rsidR="00A77557" w:rsidRPr="001F2DE7">
        <w:rPr>
          <w:rFonts w:ascii="Arial" w:hAnsi="Arial" w:cs="Arial"/>
          <w:i/>
          <w:sz w:val="24"/>
          <w:szCs w:val="24"/>
        </w:rPr>
        <w:t>” – Merriam-Webster Online Dictionary &amp;</w:t>
      </w:r>
      <w:r w:rsidRPr="001F2DE7">
        <w:rPr>
          <w:rFonts w:ascii="Arial" w:hAnsi="Arial" w:cs="Arial"/>
          <w:i/>
          <w:sz w:val="24"/>
          <w:szCs w:val="24"/>
        </w:rPr>
        <w:t xml:space="preserve"> </w:t>
      </w:r>
      <w:r w:rsidR="00A77557" w:rsidRPr="001F2DE7">
        <w:rPr>
          <w:rFonts w:ascii="Arial" w:hAnsi="Arial" w:cs="Arial"/>
          <w:i/>
          <w:sz w:val="24"/>
          <w:szCs w:val="24"/>
        </w:rPr>
        <w:t>Thesaurus (2019)</w:t>
      </w:r>
      <w:r w:rsidRPr="001F2DE7">
        <w:rPr>
          <w:rFonts w:ascii="Arial" w:hAnsi="Arial" w:cs="Arial"/>
          <w:i/>
          <w:sz w:val="24"/>
          <w:szCs w:val="24"/>
        </w:rPr>
        <w:t>”</w:t>
      </w:r>
    </w:p>
    <w:p w:rsidR="00CE1BAF" w:rsidRPr="001F2DE7" w:rsidRDefault="00CE1BAF" w:rsidP="00004FBF">
      <w:pPr>
        <w:spacing w:line="480" w:lineRule="auto"/>
        <w:ind w:left="720"/>
        <w:rPr>
          <w:rFonts w:ascii="Arial" w:hAnsi="Arial" w:cs="Arial"/>
          <w:i/>
          <w:sz w:val="24"/>
          <w:szCs w:val="24"/>
        </w:rPr>
      </w:pPr>
      <w:r w:rsidRPr="001F2DE7">
        <w:rPr>
          <w:rFonts w:ascii="Arial" w:hAnsi="Arial" w:cs="Arial"/>
          <w:i/>
          <w:sz w:val="24"/>
          <w:szCs w:val="24"/>
        </w:rPr>
        <w:t xml:space="preserve"> </w:t>
      </w:r>
      <w:r w:rsidR="00F00D5C" w:rsidRPr="001F2DE7">
        <w:rPr>
          <w:rFonts w:ascii="Arial" w:hAnsi="Arial" w:cs="Arial"/>
          <w:i/>
          <w:sz w:val="24"/>
          <w:szCs w:val="24"/>
        </w:rPr>
        <w:t>“</w:t>
      </w:r>
      <w:r w:rsidR="00F00D5C" w:rsidRPr="001F2DE7">
        <w:rPr>
          <w:rFonts w:ascii="Arial" w:hAnsi="Arial" w:cs="Arial"/>
          <w:b/>
          <w:i/>
          <w:sz w:val="24"/>
          <w:szCs w:val="24"/>
        </w:rPr>
        <w:t>Stereotype</w:t>
      </w:r>
      <w:r w:rsidR="00F00D5C" w:rsidRPr="001F2DE7">
        <w:rPr>
          <w:rFonts w:ascii="Arial" w:hAnsi="Arial" w:cs="Arial"/>
          <w:i/>
          <w:sz w:val="24"/>
          <w:szCs w:val="24"/>
        </w:rPr>
        <w:t xml:space="preserve"> (noun); “</w:t>
      </w:r>
      <w:r w:rsidR="00F00D5C" w:rsidRPr="001F2DE7">
        <w:rPr>
          <w:rFonts w:ascii="Arial" w:hAnsi="Arial" w:cs="Arial"/>
          <w:i/>
          <w:sz w:val="24"/>
          <w:szCs w:val="24"/>
        </w:rPr>
        <w:t>a standardized mental picture that is held in common by members of a group and that represents an oversimplified opinion, prejudiced attitude, or uncritical judgment</w:t>
      </w:r>
      <w:r w:rsidR="00F00D5C" w:rsidRPr="001F2DE7">
        <w:rPr>
          <w:rFonts w:ascii="Arial" w:hAnsi="Arial" w:cs="Arial"/>
          <w:i/>
          <w:sz w:val="24"/>
          <w:szCs w:val="24"/>
        </w:rPr>
        <w:t>” – Merriam-Webster Online Dictionary &amp; Thesaurus (2019)</w:t>
      </w:r>
    </w:p>
    <w:p w:rsidR="00C44267" w:rsidRDefault="00C44267" w:rsidP="00266538">
      <w:pPr>
        <w:spacing w:line="480" w:lineRule="auto"/>
        <w:ind w:firstLine="720"/>
        <w:rPr>
          <w:rFonts w:ascii="Arial" w:hAnsi="Arial" w:cs="Arial"/>
          <w:sz w:val="24"/>
          <w:szCs w:val="24"/>
        </w:rPr>
      </w:pPr>
      <w:r>
        <w:rPr>
          <w:rFonts w:ascii="Arial" w:hAnsi="Arial" w:cs="Arial"/>
          <w:sz w:val="24"/>
          <w:szCs w:val="24"/>
        </w:rPr>
        <w:lastRenderedPageBreak/>
        <w:t xml:space="preserve">Beginning with a basis of Social Identity Theory, the creation of certain social media aspects shall be discussed. These aspects will then be linked to Social identity Theory, and the real-world implications of gender stereotyping within the media shall also be examined. To conclude, the drawbacks of Social Identity Theory shall be briefly discussed. </w:t>
      </w:r>
      <w:bookmarkStart w:id="0" w:name="_GoBack"/>
      <w:bookmarkEnd w:id="0"/>
    </w:p>
    <w:p w:rsidR="00340019" w:rsidRPr="001F2DE7" w:rsidRDefault="00CE1BAF" w:rsidP="00004FBF">
      <w:pPr>
        <w:spacing w:line="480" w:lineRule="auto"/>
        <w:ind w:firstLine="720"/>
        <w:rPr>
          <w:rFonts w:ascii="Arial" w:hAnsi="Arial" w:cs="Arial"/>
          <w:sz w:val="24"/>
          <w:szCs w:val="24"/>
        </w:rPr>
      </w:pPr>
      <w:r w:rsidRPr="001F2DE7">
        <w:rPr>
          <w:rFonts w:ascii="Arial" w:hAnsi="Arial" w:cs="Arial"/>
          <w:sz w:val="24"/>
          <w:szCs w:val="24"/>
        </w:rPr>
        <w:t xml:space="preserve">Social Identity Theory (SIT) describes an individuals’ self-conceived identity that has been derived from experience, environment, and peer group reinforcement. An individual </w:t>
      </w:r>
      <w:r w:rsidR="00E244B8" w:rsidRPr="001F2DE7">
        <w:rPr>
          <w:rFonts w:ascii="Arial" w:hAnsi="Arial" w:cs="Arial"/>
          <w:sz w:val="24"/>
          <w:szCs w:val="24"/>
        </w:rPr>
        <w:t xml:space="preserve">is the motivated to remain a part of their “in-group” and to favour their group associations over other groups. </w:t>
      </w:r>
      <w:r w:rsidR="005447DE" w:rsidRPr="001F2DE7">
        <w:rPr>
          <w:rFonts w:ascii="Arial" w:hAnsi="Arial" w:cs="Arial"/>
          <w:sz w:val="24"/>
          <w:szCs w:val="24"/>
        </w:rPr>
        <w:t>Tajfel (1979)</w:t>
      </w:r>
      <w:r w:rsidR="005447DE" w:rsidRPr="001F2DE7">
        <w:rPr>
          <w:rFonts w:ascii="Arial" w:hAnsi="Arial" w:cs="Arial"/>
          <w:sz w:val="24"/>
          <w:szCs w:val="24"/>
        </w:rPr>
        <w:t xml:space="preserve"> </w:t>
      </w:r>
      <w:r w:rsidR="00D57DB6" w:rsidRPr="001F2DE7">
        <w:rPr>
          <w:rFonts w:ascii="Arial" w:hAnsi="Arial" w:cs="Arial"/>
          <w:sz w:val="24"/>
          <w:szCs w:val="24"/>
        </w:rPr>
        <w:t xml:space="preserve">presented an outline of this Intergroup Conflict Theory, and how it relates to “interpersonal” versus “intergroup” social behaviour. Interpersonal influence is regarded as any interaction upon an individual determined by their interpersonal relationships or characteristics (e.g. best friends, sisters), whereas “Intergroup” influence is the primary driving force when interactions between two collectives are observed without the individual focus (e.g. competing teams in sport, soldiers in battle). As interaction is a spectrum, </w:t>
      </w:r>
      <w:r w:rsidR="00B41DE5" w:rsidRPr="001F2DE7">
        <w:rPr>
          <w:rFonts w:ascii="Arial" w:hAnsi="Arial" w:cs="Arial"/>
          <w:sz w:val="24"/>
          <w:szCs w:val="24"/>
        </w:rPr>
        <w:t xml:space="preserve">both “interpersonal” and “intergroup” dynamics are in play within social interactions, with </w:t>
      </w:r>
      <w:proofErr w:type="spellStart"/>
      <w:r w:rsidR="00B41DE5" w:rsidRPr="001F2DE7">
        <w:rPr>
          <w:rFonts w:ascii="Arial" w:hAnsi="Arial" w:cs="Arial"/>
          <w:sz w:val="24"/>
          <w:szCs w:val="24"/>
        </w:rPr>
        <w:t>Sherif</w:t>
      </w:r>
      <w:proofErr w:type="spellEnd"/>
      <w:r w:rsidR="00B41DE5" w:rsidRPr="001F2DE7">
        <w:rPr>
          <w:rFonts w:ascii="Arial" w:hAnsi="Arial" w:cs="Arial"/>
          <w:sz w:val="24"/>
          <w:szCs w:val="24"/>
        </w:rPr>
        <w:t xml:space="preserve"> (1966) finding that behaviour nearing the “intergroup” extreme was more likely to result in a more intense social </w:t>
      </w:r>
      <w:r w:rsidR="0092236F" w:rsidRPr="001F2DE7">
        <w:rPr>
          <w:rFonts w:ascii="Arial" w:hAnsi="Arial" w:cs="Arial"/>
          <w:sz w:val="24"/>
          <w:szCs w:val="24"/>
        </w:rPr>
        <w:t>interaction between the two groups, and can even override and abolish friendships formed on an interpersonal basis.</w:t>
      </w:r>
      <w:r w:rsidR="00C44267">
        <w:rPr>
          <w:rFonts w:ascii="Arial" w:hAnsi="Arial" w:cs="Arial"/>
          <w:sz w:val="24"/>
          <w:szCs w:val="24"/>
        </w:rPr>
        <w:t xml:space="preserve"> </w:t>
      </w:r>
      <w:r w:rsidR="00C44267" w:rsidRPr="00C44267">
        <w:rPr>
          <w:rFonts w:ascii="Arial" w:hAnsi="Arial" w:cs="Arial"/>
          <w:sz w:val="24"/>
          <w:szCs w:val="24"/>
        </w:rPr>
        <w:t xml:space="preserve">The Positive-Negative Asymmetry Phenomenon is another proposed dynamic within Social Identity Theory that has been demonstrated in social media and portrayal of stereotypes. </w:t>
      </w:r>
      <w:proofErr w:type="spellStart"/>
      <w:r w:rsidR="00C44267" w:rsidRPr="00C44267">
        <w:rPr>
          <w:rFonts w:ascii="Arial" w:hAnsi="Arial" w:cs="Arial"/>
          <w:sz w:val="24"/>
          <w:szCs w:val="24"/>
        </w:rPr>
        <w:t>Aberson</w:t>
      </w:r>
      <w:proofErr w:type="spellEnd"/>
      <w:r w:rsidR="00C44267" w:rsidRPr="00C44267">
        <w:rPr>
          <w:rFonts w:ascii="Arial" w:hAnsi="Arial" w:cs="Arial"/>
          <w:sz w:val="24"/>
          <w:szCs w:val="24"/>
        </w:rPr>
        <w:t xml:space="preserve"> (2015) found that negative intergroup stereotypes applied to an opposing group increased the self-reported pride and esteem of the first group, as opposed to the first group receiving positive reinforcement. The increased sense of individual pride when witnessing negative interaction towards an “other” group was </w:t>
      </w:r>
      <w:r w:rsidR="00C44267" w:rsidRPr="00C44267">
        <w:rPr>
          <w:rFonts w:ascii="Arial" w:hAnsi="Arial" w:cs="Arial"/>
          <w:sz w:val="24"/>
          <w:szCs w:val="24"/>
        </w:rPr>
        <w:lastRenderedPageBreak/>
        <w:t xml:space="preserve">also statistically more likely to a signifier of prejudiced beliefs or attitudes. Positive interactions between the two groups led to a significant decline in external acts of prejudice or stereotyping, however only when the stereotypical behaviour was considered atypical or unusual from the perspective of the out-group. </w:t>
      </w:r>
      <w:r w:rsidR="00C44267">
        <w:rPr>
          <w:rFonts w:ascii="Arial" w:hAnsi="Arial" w:cs="Arial"/>
          <w:sz w:val="24"/>
          <w:szCs w:val="24"/>
        </w:rPr>
        <w:t>To summarize: t</w:t>
      </w:r>
      <w:r w:rsidR="0092236F" w:rsidRPr="001F2DE7">
        <w:rPr>
          <w:rFonts w:ascii="Arial" w:hAnsi="Arial" w:cs="Arial"/>
          <w:sz w:val="24"/>
          <w:szCs w:val="24"/>
        </w:rPr>
        <w:t xml:space="preserve">he groups that we form around ourselves are vital in the provision of pride, self-esteem, and the internal locus of identity, which forms the basis of our social categorization. </w:t>
      </w:r>
    </w:p>
    <w:p w:rsidR="00C44267" w:rsidRDefault="00B7155F" w:rsidP="00004FBF">
      <w:pPr>
        <w:spacing w:line="480" w:lineRule="auto"/>
        <w:ind w:firstLine="720"/>
        <w:rPr>
          <w:rFonts w:ascii="Arial" w:hAnsi="Arial" w:cs="Arial"/>
          <w:sz w:val="24"/>
          <w:szCs w:val="24"/>
        </w:rPr>
      </w:pPr>
      <w:r w:rsidRPr="001F2DE7">
        <w:rPr>
          <w:rFonts w:ascii="Arial" w:hAnsi="Arial" w:cs="Arial"/>
          <w:sz w:val="24"/>
          <w:szCs w:val="24"/>
        </w:rPr>
        <w:t>T</w:t>
      </w:r>
      <w:r w:rsidR="00C44267">
        <w:rPr>
          <w:rFonts w:ascii="Arial" w:hAnsi="Arial" w:cs="Arial"/>
          <w:sz w:val="24"/>
          <w:szCs w:val="24"/>
        </w:rPr>
        <w:t xml:space="preserve">he Social Identity Theory </w:t>
      </w:r>
      <w:r w:rsidRPr="001F2DE7">
        <w:rPr>
          <w:rFonts w:ascii="Arial" w:hAnsi="Arial" w:cs="Arial"/>
          <w:sz w:val="24"/>
          <w:szCs w:val="24"/>
        </w:rPr>
        <w:t xml:space="preserve">exists within stereotypical or prejudiced thinking, as </w:t>
      </w:r>
      <w:proofErr w:type="spellStart"/>
      <w:r w:rsidRPr="001F2DE7">
        <w:rPr>
          <w:rFonts w:ascii="Arial" w:hAnsi="Arial" w:cs="Arial"/>
          <w:sz w:val="24"/>
          <w:szCs w:val="24"/>
        </w:rPr>
        <w:t>Schmader</w:t>
      </w:r>
      <w:proofErr w:type="spellEnd"/>
      <w:r w:rsidRPr="001F2DE7">
        <w:rPr>
          <w:rFonts w:ascii="Arial" w:hAnsi="Arial" w:cs="Arial"/>
          <w:sz w:val="24"/>
          <w:szCs w:val="24"/>
        </w:rPr>
        <w:t xml:space="preserve"> &amp; Block (2015) showed in their investigation of negative Mexican portrayals amongst Latinx and Caucasian Americans. Stereotypes in film caused a negative effect within the Latinx group regardless of portrayal realism</w:t>
      </w:r>
      <w:r w:rsidR="00A805A2" w:rsidRPr="001F2DE7">
        <w:rPr>
          <w:rFonts w:ascii="Arial" w:hAnsi="Arial" w:cs="Arial"/>
          <w:sz w:val="24"/>
          <w:szCs w:val="24"/>
        </w:rPr>
        <w:t>, resulting in lower individual self-esteem, an increase in self-consciousness, and a greater desire to distance themselves from the offensive stereotype. However, the Caucasian-American participants that previously demonstrated pride or self-worth in their racial identity found this to have increased after viewing stereotypical Latinx behaviour, suggesting that their sense of racial pride is directly linked to the negative portrayal of a minority or “other” race. Laughing or appearing to accept the stereotypical behaviour also served as a distancing tactic within the Latinx participants (where the Latinx group sought to separate themselves from the stereotype), whilst the Caucasian-American subjects perceived a greater group cohesion and a higher positive group assessment towards their own ethnic group</w:t>
      </w:r>
      <w:r w:rsidR="001C277B" w:rsidRPr="001F2DE7">
        <w:rPr>
          <w:rFonts w:ascii="Arial" w:hAnsi="Arial" w:cs="Arial"/>
          <w:sz w:val="24"/>
          <w:szCs w:val="24"/>
        </w:rPr>
        <w:t>. This stereotype “transfer” and willingness to place distance between offensive stereotypes and the individual, regardless of how accurately the stereotype may be portrayed, is demonstrable of the psychological devaluation of social identity within wider society, which could then further establish a social identity threat</w:t>
      </w:r>
      <w:r w:rsidR="006B69D7" w:rsidRPr="001F2DE7">
        <w:rPr>
          <w:rFonts w:ascii="Arial" w:hAnsi="Arial" w:cs="Arial"/>
          <w:sz w:val="24"/>
          <w:szCs w:val="24"/>
        </w:rPr>
        <w:t xml:space="preserve"> – whereby competence or moral integrity of </w:t>
      </w:r>
      <w:r w:rsidR="006B69D7" w:rsidRPr="001F2DE7">
        <w:rPr>
          <w:rFonts w:ascii="Arial" w:hAnsi="Arial" w:cs="Arial"/>
          <w:sz w:val="24"/>
          <w:szCs w:val="24"/>
        </w:rPr>
        <w:lastRenderedPageBreak/>
        <w:t>said group is questioned (</w:t>
      </w:r>
      <w:r w:rsidR="006B69D7" w:rsidRPr="001F2DE7">
        <w:rPr>
          <w:rFonts w:ascii="Arial" w:hAnsi="Arial" w:cs="Arial"/>
          <w:sz w:val="24"/>
          <w:szCs w:val="24"/>
        </w:rPr>
        <w:t>Davies, Spencer, Quinn, &amp; Gerhardstein</w:t>
      </w:r>
      <w:r w:rsidR="006B69D7" w:rsidRPr="001F2DE7">
        <w:rPr>
          <w:rFonts w:ascii="Arial" w:hAnsi="Arial" w:cs="Arial"/>
          <w:sz w:val="24"/>
          <w:szCs w:val="24"/>
        </w:rPr>
        <w:t xml:space="preserve">; </w:t>
      </w:r>
      <w:r w:rsidR="006B69D7" w:rsidRPr="001F2DE7">
        <w:rPr>
          <w:rFonts w:ascii="Arial" w:hAnsi="Arial" w:cs="Arial"/>
          <w:sz w:val="24"/>
          <w:szCs w:val="24"/>
        </w:rPr>
        <w:t>2002)</w:t>
      </w:r>
      <w:r w:rsidR="006B69D7" w:rsidRPr="001F2DE7">
        <w:rPr>
          <w:rFonts w:ascii="Arial" w:hAnsi="Arial" w:cs="Arial"/>
          <w:sz w:val="24"/>
          <w:szCs w:val="24"/>
        </w:rPr>
        <w:t xml:space="preserve">. </w:t>
      </w:r>
      <w:r w:rsidR="00C44267">
        <w:rPr>
          <w:rFonts w:ascii="Arial" w:hAnsi="Arial" w:cs="Arial"/>
          <w:sz w:val="24"/>
          <w:szCs w:val="24"/>
        </w:rPr>
        <w:t xml:space="preserve">This can be seen when examining gender stereotypes as well, </w:t>
      </w:r>
      <w:r w:rsidR="007E0751">
        <w:rPr>
          <w:rFonts w:ascii="Arial" w:hAnsi="Arial" w:cs="Arial"/>
          <w:sz w:val="24"/>
          <w:szCs w:val="24"/>
        </w:rPr>
        <w:t xml:space="preserve">with Hammond &amp; Overall (2014) finding that higher degrees of benevolent sexism negatively impacted relationships significantly, and further distancing between the individual and the stereotypical behaviours. </w:t>
      </w:r>
      <w:r w:rsidR="00C44267">
        <w:rPr>
          <w:rFonts w:ascii="Arial" w:hAnsi="Arial" w:cs="Arial"/>
          <w:sz w:val="24"/>
          <w:szCs w:val="24"/>
        </w:rPr>
        <w:t xml:space="preserve"> </w:t>
      </w:r>
    </w:p>
    <w:p w:rsidR="007D39C7" w:rsidRPr="001F2DE7" w:rsidRDefault="007E0751" w:rsidP="00004FBF">
      <w:pPr>
        <w:spacing w:line="480" w:lineRule="auto"/>
        <w:ind w:firstLine="720"/>
        <w:rPr>
          <w:rFonts w:ascii="Arial" w:hAnsi="Arial" w:cs="Arial"/>
          <w:sz w:val="24"/>
          <w:szCs w:val="24"/>
        </w:rPr>
      </w:pPr>
      <w:r>
        <w:rPr>
          <w:rFonts w:ascii="Arial" w:hAnsi="Arial" w:cs="Arial"/>
          <w:sz w:val="24"/>
          <w:szCs w:val="24"/>
        </w:rPr>
        <w:t>Stereotypical behaviours themselves are expressed through social media most commonly (Fox, Cruz, &amp; Lee; 2015), and d</w:t>
      </w:r>
      <w:r w:rsidR="009C6E1A" w:rsidRPr="001F2DE7">
        <w:rPr>
          <w:rFonts w:ascii="Arial" w:hAnsi="Arial" w:cs="Arial"/>
          <w:sz w:val="24"/>
          <w:szCs w:val="24"/>
        </w:rPr>
        <w:t xml:space="preserve">ue to the nature of social media and the flexibility one has in the sharing and receiving of information, there has been </w:t>
      </w:r>
      <w:r w:rsidR="00406775" w:rsidRPr="001F2DE7">
        <w:rPr>
          <w:rFonts w:ascii="Arial" w:hAnsi="Arial" w:cs="Arial"/>
          <w:sz w:val="24"/>
          <w:szCs w:val="24"/>
        </w:rPr>
        <w:t xml:space="preserve">a gradual increase in the daily exposure to media and </w:t>
      </w:r>
      <w:r>
        <w:rPr>
          <w:rFonts w:ascii="Arial" w:hAnsi="Arial" w:cs="Arial"/>
          <w:sz w:val="24"/>
          <w:szCs w:val="24"/>
        </w:rPr>
        <w:t>so</w:t>
      </w:r>
      <w:r w:rsidR="00406775" w:rsidRPr="001F2DE7">
        <w:rPr>
          <w:rFonts w:ascii="Arial" w:hAnsi="Arial" w:cs="Arial"/>
          <w:sz w:val="24"/>
          <w:szCs w:val="24"/>
        </w:rPr>
        <w:t xml:space="preserve"> the perpetuation of stereotypical actions or representation</w:t>
      </w:r>
      <w:r w:rsidR="00F15C5B" w:rsidRPr="001F2DE7">
        <w:rPr>
          <w:rFonts w:ascii="Arial" w:hAnsi="Arial" w:cs="Arial"/>
          <w:sz w:val="24"/>
          <w:szCs w:val="24"/>
        </w:rPr>
        <w:t xml:space="preserve"> (Nagle; 2017)</w:t>
      </w:r>
      <w:r w:rsidR="00406775" w:rsidRPr="001F2DE7">
        <w:rPr>
          <w:rFonts w:ascii="Arial" w:hAnsi="Arial" w:cs="Arial"/>
          <w:sz w:val="24"/>
          <w:szCs w:val="24"/>
        </w:rPr>
        <w:t>. Social Media such as Reddit and 4chan has also allowed for “extremist” intergroup actions and stereotypes to flourish within like-minded communities which has, in turn, led to the development of social media “echo chambers”</w:t>
      </w:r>
      <w:r w:rsidR="00F15C5B" w:rsidRPr="001F2DE7">
        <w:rPr>
          <w:rFonts w:ascii="Arial" w:hAnsi="Arial" w:cs="Arial"/>
          <w:sz w:val="24"/>
          <w:szCs w:val="24"/>
        </w:rPr>
        <w:t xml:space="preserve"> (Heron, Belford, &amp; </w:t>
      </w:r>
      <w:proofErr w:type="spellStart"/>
      <w:r w:rsidR="00F15C5B" w:rsidRPr="001F2DE7">
        <w:rPr>
          <w:rFonts w:ascii="Arial" w:hAnsi="Arial" w:cs="Arial"/>
          <w:sz w:val="24"/>
          <w:szCs w:val="24"/>
        </w:rPr>
        <w:t>Goker</w:t>
      </w:r>
      <w:proofErr w:type="spellEnd"/>
      <w:r w:rsidR="00F15C5B" w:rsidRPr="001F2DE7">
        <w:rPr>
          <w:rFonts w:ascii="Arial" w:hAnsi="Arial" w:cs="Arial"/>
          <w:sz w:val="24"/>
          <w:szCs w:val="24"/>
        </w:rPr>
        <w:t>; 2014)</w:t>
      </w:r>
      <w:r w:rsidR="00406775" w:rsidRPr="001F2DE7">
        <w:rPr>
          <w:rFonts w:ascii="Arial" w:hAnsi="Arial" w:cs="Arial"/>
          <w:sz w:val="24"/>
          <w:szCs w:val="24"/>
        </w:rPr>
        <w:t>. In these sub-</w:t>
      </w:r>
      <w:r w:rsidR="00F15C5B" w:rsidRPr="001F2DE7">
        <w:rPr>
          <w:rFonts w:ascii="Arial" w:hAnsi="Arial" w:cs="Arial"/>
          <w:sz w:val="24"/>
          <w:szCs w:val="24"/>
        </w:rPr>
        <w:t>threads</w:t>
      </w:r>
      <w:r w:rsidR="00406775" w:rsidRPr="001F2DE7">
        <w:rPr>
          <w:rFonts w:ascii="Arial" w:hAnsi="Arial" w:cs="Arial"/>
          <w:sz w:val="24"/>
          <w:szCs w:val="24"/>
        </w:rPr>
        <w:t xml:space="preserve">, </w:t>
      </w:r>
      <w:r w:rsidR="00F15C5B" w:rsidRPr="001F2DE7">
        <w:rPr>
          <w:rFonts w:ascii="Arial" w:hAnsi="Arial" w:cs="Arial"/>
          <w:sz w:val="24"/>
          <w:szCs w:val="24"/>
        </w:rPr>
        <w:t xml:space="preserve">sexism and misogyny on an individual and emotional level has built into community action with few </w:t>
      </w:r>
      <w:r w:rsidR="009678E1" w:rsidRPr="001F2DE7">
        <w:rPr>
          <w:rFonts w:ascii="Arial" w:hAnsi="Arial" w:cs="Arial"/>
          <w:sz w:val="24"/>
          <w:szCs w:val="24"/>
        </w:rPr>
        <w:t>limitations or regulations, and has in recent years progressed to action in the “real” world as well as the virtual</w:t>
      </w:r>
      <w:r w:rsidR="00F15C5B" w:rsidRPr="001F2DE7">
        <w:rPr>
          <w:rFonts w:ascii="Arial" w:hAnsi="Arial" w:cs="Arial"/>
          <w:sz w:val="24"/>
          <w:szCs w:val="24"/>
        </w:rPr>
        <w:t xml:space="preserve">. Nagle, 2017, discusses these communities in detail in her book “Kill All Normies”, which </w:t>
      </w:r>
      <w:r w:rsidR="009678E1" w:rsidRPr="001F2DE7">
        <w:rPr>
          <w:rFonts w:ascii="Arial" w:hAnsi="Arial" w:cs="Arial"/>
          <w:sz w:val="24"/>
          <w:szCs w:val="24"/>
        </w:rPr>
        <w:t xml:space="preserve">has demonstrated the negative effects of </w:t>
      </w:r>
      <w:r w:rsidR="00594D34" w:rsidRPr="001F2DE7">
        <w:rPr>
          <w:rFonts w:ascii="Arial" w:hAnsi="Arial" w:cs="Arial"/>
          <w:sz w:val="24"/>
          <w:szCs w:val="24"/>
        </w:rPr>
        <w:t>self-categorization</w:t>
      </w:r>
      <w:r w:rsidR="009678E1" w:rsidRPr="001F2DE7">
        <w:rPr>
          <w:rFonts w:ascii="Arial" w:hAnsi="Arial" w:cs="Arial"/>
          <w:sz w:val="24"/>
          <w:szCs w:val="24"/>
        </w:rPr>
        <w:t xml:space="preserve"> and intergroup dynamics when delving into something referred to as “The Manosphere”. “The Manosphere” is an umbrella-phrase, incorporating self-identified groups such as “</w:t>
      </w:r>
      <w:proofErr w:type="spellStart"/>
      <w:r w:rsidR="009678E1" w:rsidRPr="001F2DE7">
        <w:rPr>
          <w:rFonts w:ascii="Arial" w:hAnsi="Arial" w:cs="Arial"/>
          <w:sz w:val="24"/>
          <w:szCs w:val="24"/>
        </w:rPr>
        <w:t>Meninists</w:t>
      </w:r>
      <w:proofErr w:type="spellEnd"/>
      <w:r w:rsidR="009678E1" w:rsidRPr="001F2DE7">
        <w:rPr>
          <w:rFonts w:ascii="Arial" w:hAnsi="Arial" w:cs="Arial"/>
          <w:sz w:val="24"/>
          <w:szCs w:val="24"/>
        </w:rPr>
        <w:t>”, “Red-</w:t>
      </w:r>
      <w:proofErr w:type="spellStart"/>
      <w:r w:rsidR="009678E1" w:rsidRPr="001F2DE7">
        <w:rPr>
          <w:rFonts w:ascii="Arial" w:hAnsi="Arial" w:cs="Arial"/>
          <w:sz w:val="24"/>
          <w:szCs w:val="24"/>
        </w:rPr>
        <w:t>Pillers</w:t>
      </w:r>
      <w:proofErr w:type="spellEnd"/>
      <w:r w:rsidR="009678E1" w:rsidRPr="001F2DE7">
        <w:rPr>
          <w:rFonts w:ascii="Arial" w:hAnsi="Arial" w:cs="Arial"/>
          <w:sz w:val="24"/>
          <w:szCs w:val="24"/>
        </w:rPr>
        <w:t>” and “</w:t>
      </w:r>
      <w:proofErr w:type="spellStart"/>
      <w:r w:rsidR="009678E1" w:rsidRPr="001F2DE7">
        <w:rPr>
          <w:rFonts w:ascii="Arial" w:hAnsi="Arial" w:cs="Arial"/>
          <w:sz w:val="24"/>
          <w:szCs w:val="24"/>
        </w:rPr>
        <w:t>Incels</w:t>
      </w:r>
      <w:proofErr w:type="spellEnd"/>
      <w:r w:rsidR="009678E1" w:rsidRPr="001F2DE7">
        <w:rPr>
          <w:rFonts w:ascii="Arial" w:hAnsi="Arial" w:cs="Arial"/>
          <w:sz w:val="24"/>
          <w:szCs w:val="24"/>
        </w:rPr>
        <w:t>”, and distributing anti-feminist</w:t>
      </w:r>
      <w:r w:rsidR="007D39C7" w:rsidRPr="001F2DE7">
        <w:rPr>
          <w:rFonts w:ascii="Arial" w:hAnsi="Arial" w:cs="Arial"/>
          <w:sz w:val="24"/>
          <w:szCs w:val="24"/>
        </w:rPr>
        <w:t xml:space="preserve">, </w:t>
      </w:r>
      <w:r w:rsidR="009678E1" w:rsidRPr="001F2DE7">
        <w:rPr>
          <w:rFonts w:ascii="Arial" w:hAnsi="Arial" w:cs="Arial"/>
          <w:sz w:val="24"/>
          <w:szCs w:val="24"/>
        </w:rPr>
        <w:t>masculinist</w:t>
      </w:r>
      <w:r w:rsidR="007D39C7" w:rsidRPr="001F2DE7">
        <w:rPr>
          <w:rFonts w:ascii="Arial" w:hAnsi="Arial" w:cs="Arial"/>
          <w:sz w:val="24"/>
          <w:szCs w:val="24"/>
        </w:rPr>
        <w:t>, and far-right</w:t>
      </w:r>
      <w:r w:rsidR="009678E1" w:rsidRPr="001F2DE7">
        <w:rPr>
          <w:rFonts w:ascii="Arial" w:hAnsi="Arial" w:cs="Arial"/>
          <w:sz w:val="24"/>
          <w:szCs w:val="24"/>
        </w:rPr>
        <w:t xml:space="preserve"> rhetoric</w:t>
      </w:r>
      <w:r w:rsidR="00594D34" w:rsidRPr="001F2DE7">
        <w:rPr>
          <w:rFonts w:ascii="Arial" w:hAnsi="Arial" w:cs="Arial"/>
          <w:sz w:val="24"/>
          <w:szCs w:val="24"/>
        </w:rPr>
        <w:t xml:space="preserve"> that is “symptomatic of a broader normalisation of old-style sexism”.</w:t>
      </w:r>
    </w:p>
    <w:p w:rsidR="00F67705" w:rsidRPr="001F2DE7" w:rsidRDefault="007E0751" w:rsidP="00004FBF">
      <w:pPr>
        <w:spacing w:line="480" w:lineRule="auto"/>
        <w:ind w:firstLine="720"/>
        <w:rPr>
          <w:rFonts w:ascii="Arial" w:hAnsi="Arial" w:cs="Arial"/>
          <w:sz w:val="24"/>
          <w:szCs w:val="24"/>
        </w:rPr>
      </w:pPr>
      <w:r>
        <w:rPr>
          <w:rFonts w:ascii="Arial" w:hAnsi="Arial" w:cs="Arial"/>
          <w:sz w:val="24"/>
          <w:szCs w:val="24"/>
        </w:rPr>
        <w:t>T</w:t>
      </w:r>
      <w:r w:rsidR="009678E1" w:rsidRPr="001F2DE7">
        <w:rPr>
          <w:rFonts w:ascii="Arial" w:hAnsi="Arial" w:cs="Arial"/>
          <w:sz w:val="24"/>
          <w:szCs w:val="24"/>
        </w:rPr>
        <w:t xml:space="preserve">hese communities </w:t>
      </w:r>
      <w:r w:rsidR="007D39C7" w:rsidRPr="001F2DE7">
        <w:rPr>
          <w:rFonts w:ascii="Arial" w:hAnsi="Arial" w:cs="Arial"/>
          <w:sz w:val="24"/>
          <w:szCs w:val="24"/>
        </w:rPr>
        <w:t xml:space="preserve">that have formed across the world </w:t>
      </w:r>
      <w:r>
        <w:rPr>
          <w:rFonts w:ascii="Arial" w:hAnsi="Arial" w:cs="Arial"/>
          <w:sz w:val="24"/>
          <w:szCs w:val="24"/>
        </w:rPr>
        <w:t xml:space="preserve">were formed as a direct result of the introduction of popular feminism within mainstream and social media. </w:t>
      </w:r>
      <w:r w:rsidR="007D39C7" w:rsidRPr="001F2DE7">
        <w:rPr>
          <w:rFonts w:ascii="Arial" w:hAnsi="Arial" w:cs="Arial"/>
          <w:sz w:val="24"/>
          <w:szCs w:val="24"/>
        </w:rPr>
        <w:t xml:space="preserve">in social media formats such as Reddit sub-reddit “The Red Pill”, are the </w:t>
      </w:r>
      <w:r w:rsidR="007D39C7" w:rsidRPr="001F2DE7">
        <w:rPr>
          <w:rFonts w:ascii="Arial" w:hAnsi="Arial" w:cs="Arial"/>
          <w:sz w:val="24"/>
          <w:szCs w:val="24"/>
        </w:rPr>
        <w:lastRenderedPageBreak/>
        <w:t xml:space="preserve">predicted reaction within Social Identity Theory. As these groups </w:t>
      </w:r>
      <w:r w:rsidR="009678E1" w:rsidRPr="001F2DE7">
        <w:rPr>
          <w:rFonts w:ascii="Arial" w:hAnsi="Arial" w:cs="Arial"/>
          <w:sz w:val="24"/>
          <w:szCs w:val="24"/>
        </w:rPr>
        <w:t xml:space="preserve">formed around </w:t>
      </w:r>
      <w:r w:rsidR="007D39C7" w:rsidRPr="001F2DE7">
        <w:rPr>
          <w:rFonts w:ascii="Arial" w:hAnsi="Arial" w:cs="Arial"/>
          <w:sz w:val="24"/>
          <w:szCs w:val="24"/>
        </w:rPr>
        <w:t xml:space="preserve">the </w:t>
      </w:r>
      <w:r w:rsidR="009678E1" w:rsidRPr="001F2DE7">
        <w:rPr>
          <w:rFonts w:ascii="Arial" w:hAnsi="Arial" w:cs="Arial"/>
          <w:sz w:val="24"/>
          <w:szCs w:val="24"/>
        </w:rPr>
        <w:t>stereotypes displayed in the media and were, originally, created as a</w:t>
      </w:r>
      <w:r w:rsidR="007D39C7" w:rsidRPr="001F2DE7">
        <w:rPr>
          <w:rFonts w:ascii="Arial" w:hAnsi="Arial" w:cs="Arial"/>
          <w:sz w:val="24"/>
          <w:szCs w:val="24"/>
        </w:rPr>
        <w:t xml:space="preserve">n emotional </w:t>
      </w:r>
      <w:r w:rsidR="009678E1" w:rsidRPr="001F2DE7">
        <w:rPr>
          <w:rFonts w:ascii="Arial" w:hAnsi="Arial" w:cs="Arial"/>
          <w:sz w:val="24"/>
          <w:szCs w:val="24"/>
        </w:rPr>
        <w:t>response to the introduction of</w:t>
      </w:r>
      <w:r w:rsidR="007D39C7" w:rsidRPr="001F2DE7">
        <w:rPr>
          <w:rFonts w:ascii="Arial" w:hAnsi="Arial" w:cs="Arial"/>
          <w:sz w:val="24"/>
          <w:szCs w:val="24"/>
        </w:rPr>
        <w:t xml:space="preserve"> mainstream or social media</w:t>
      </w:r>
      <w:r w:rsidR="009678E1" w:rsidRPr="001F2DE7">
        <w:rPr>
          <w:rFonts w:ascii="Arial" w:hAnsi="Arial" w:cs="Arial"/>
          <w:sz w:val="24"/>
          <w:szCs w:val="24"/>
        </w:rPr>
        <w:t xml:space="preserve"> feminism. This is a prime example of a social identity crisis in which, as participants of the patriarchal values society elevates, an individual feels “called out” or “personally attacked” when someone criticises said patriarchal values, despite the values themselves being critiqued as opposed to the individual.</w:t>
      </w:r>
      <w:r w:rsidR="007D39C7" w:rsidRPr="001F2DE7">
        <w:rPr>
          <w:rFonts w:ascii="Arial" w:hAnsi="Arial" w:cs="Arial"/>
          <w:sz w:val="24"/>
          <w:szCs w:val="24"/>
        </w:rPr>
        <w:t xml:space="preserve"> </w:t>
      </w:r>
      <w:r w:rsidR="00F67705" w:rsidRPr="001F2DE7">
        <w:rPr>
          <w:rFonts w:ascii="Arial" w:hAnsi="Arial" w:cs="Arial"/>
          <w:sz w:val="24"/>
          <w:szCs w:val="24"/>
        </w:rPr>
        <w:t xml:space="preserve">However, whilst shunning the legitimate issues of misogyny, a fundamental tenet of misogyny lays the foundation for those in the community to build a case against another person, normally on an individual basis. This is, again, not only a clear example of social identity theory but of a collective cognitive dissonance inherent to the group mentality – the belief that sexism doesn’t exist whilst perpetuating sexist stereotypes such as toxic masculinity, transactional sexual behaviours, and strict adherence to gender roles whilst simultaneously demeaning those who conform to those gender roles. </w:t>
      </w:r>
    </w:p>
    <w:p w:rsidR="006B69D7" w:rsidRPr="001F2DE7" w:rsidRDefault="00F67705" w:rsidP="00004FBF">
      <w:pPr>
        <w:spacing w:line="480" w:lineRule="auto"/>
        <w:ind w:firstLine="720"/>
        <w:rPr>
          <w:rFonts w:ascii="Arial" w:hAnsi="Arial" w:cs="Arial"/>
          <w:sz w:val="24"/>
          <w:szCs w:val="24"/>
        </w:rPr>
      </w:pPr>
      <w:r w:rsidRPr="001F2DE7">
        <w:rPr>
          <w:rFonts w:ascii="Arial" w:hAnsi="Arial" w:cs="Arial"/>
          <w:sz w:val="24"/>
          <w:szCs w:val="24"/>
        </w:rPr>
        <w:t>Examining the “</w:t>
      </w:r>
      <w:proofErr w:type="spellStart"/>
      <w:r w:rsidRPr="001F2DE7">
        <w:rPr>
          <w:rFonts w:ascii="Arial" w:hAnsi="Arial" w:cs="Arial"/>
          <w:sz w:val="24"/>
          <w:szCs w:val="24"/>
        </w:rPr>
        <w:t>InCel</w:t>
      </w:r>
      <w:proofErr w:type="spellEnd"/>
      <w:r w:rsidRPr="001F2DE7">
        <w:rPr>
          <w:rFonts w:ascii="Arial" w:hAnsi="Arial" w:cs="Arial"/>
          <w:sz w:val="24"/>
          <w:szCs w:val="24"/>
        </w:rPr>
        <w:t xml:space="preserve">” communities on Reddit, Facebook, Twitter, and 4Chan, the </w:t>
      </w:r>
      <w:r w:rsidR="002F420B" w:rsidRPr="001F2DE7">
        <w:rPr>
          <w:rFonts w:ascii="Arial" w:hAnsi="Arial" w:cs="Arial"/>
          <w:sz w:val="24"/>
          <w:szCs w:val="24"/>
        </w:rPr>
        <w:t>common themes throughout are evident. The term itself – “</w:t>
      </w:r>
      <w:proofErr w:type="spellStart"/>
      <w:r w:rsidR="002F420B" w:rsidRPr="001F2DE7">
        <w:rPr>
          <w:rFonts w:ascii="Arial" w:hAnsi="Arial" w:cs="Arial"/>
          <w:sz w:val="24"/>
          <w:szCs w:val="24"/>
        </w:rPr>
        <w:t>InCel</w:t>
      </w:r>
      <w:proofErr w:type="spellEnd"/>
      <w:r w:rsidR="002F420B" w:rsidRPr="001F2DE7">
        <w:rPr>
          <w:rFonts w:ascii="Arial" w:hAnsi="Arial" w:cs="Arial"/>
          <w:sz w:val="24"/>
          <w:szCs w:val="24"/>
        </w:rPr>
        <w:t xml:space="preserve">” – is internet parlance for “Involuntary Celibate”, which perpetuates the misogynistic stereotype that men are inherently “owed” sex, or deserve to have sexual acts bestowed upon them by women, who are the gatekeepers of the sexual domain. This is a fundamental stereotype of male-female interaction that society has structured into the media, with female figures used for objectification or sex appeal (Slater &amp; </w:t>
      </w:r>
      <w:proofErr w:type="spellStart"/>
      <w:r w:rsidR="002F420B" w:rsidRPr="001F2DE7">
        <w:rPr>
          <w:rFonts w:ascii="Arial" w:hAnsi="Arial" w:cs="Arial"/>
          <w:sz w:val="24"/>
          <w:szCs w:val="24"/>
        </w:rPr>
        <w:t>Tiggemann</w:t>
      </w:r>
      <w:proofErr w:type="spellEnd"/>
      <w:r w:rsidR="002F420B" w:rsidRPr="001F2DE7">
        <w:rPr>
          <w:rFonts w:ascii="Arial" w:hAnsi="Arial" w:cs="Arial"/>
          <w:sz w:val="24"/>
          <w:szCs w:val="24"/>
        </w:rPr>
        <w:t xml:space="preserve">, 2015; Seabrook, Ward, &amp; </w:t>
      </w:r>
      <w:proofErr w:type="spellStart"/>
      <w:r w:rsidR="002F420B" w:rsidRPr="001F2DE7">
        <w:rPr>
          <w:rFonts w:ascii="Arial" w:hAnsi="Arial" w:cs="Arial"/>
          <w:sz w:val="24"/>
          <w:szCs w:val="24"/>
        </w:rPr>
        <w:t>Giaccardi</w:t>
      </w:r>
      <w:proofErr w:type="spellEnd"/>
      <w:r w:rsidR="002F420B" w:rsidRPr="001F2DE7">
        <w:rPr>
          <w:rFonts w:ascii="Arial" w:hAnsi="Arial" w:cs="Arial"/>
          <w:sz w:val="24"/>
          <w:szCs w:val="24"/>
        </w:rPr>
        <w:t xml:space="preserve">, 2018), and the removal of the female agency in regards to sexual selection (Griffin &amp; Langlois; 2006). The representation in the media of traditionally beautiful women being unaware of potential romantic satisfaction from an “uglier” or “unsatisfactory” man also allows </w:t>
      </w:r>
      <w:r w:rsidR="002F420B" w:rsidRPr="001F2DE7">
        <w:rPr>
          <w:rFonts w:ascii="Arial" w:hAnsi="Arial" w:cs="Arial"/>
          <w:sz w:val="24"/>
          <w:szCs w:val="24"/>
        </w:rPr>
        <w:lastRenderedPageBreak/>
        <w:t>this dynamic to flourish within social media</w:t>
      </w:r>
      <w:r w:rsidR="00A907BC" w:rsidRPr="001F2DE7">
        <w:rPr>
          <w:rFonts w:ascii="Arial" w:hAnsi="Arial" w:cs="Arial"/>
          <w:sz w:val="24"/>
          <w:szCs w:val="24"/>
        </w:rPr>
        <w:t xml:space="preserve"> – the notion of “the friend zone” being another core belief in social media extremism in response to a group social critique </w:t>
      </w:r>
      <w:r w:rsidR="00A907BC" w:rsidRPr="001F2DE7">
        <w:rPr>
          <w:rFonts w:ascii="Arial" w:hAnsi="Arial" w:cs="Arial"/>
          <w:sz w:val="24"/>
          <w:szCs w:val="24"/>
        </w:rPr>
        <w:t>(Harrington et. al., 2017)</w:t>
      </w:r>
      <w:r w:rsidR="00A907BC" w:rsidRPr="001F2DE7">
        <w:rPr>
          <w:rFonts w:ascii="Arial" w:hAnsi="Arial" w:cs="Arial"/>
          <w:sz w:val="24"/>
          <w:szCs w:val="24"/>
        </w:rPr>
        <w:t xml:space="preserve">. This belief not only upholds the stereotype of women being more shallow and attracted to a specific “type” – despite evidence to the contrary demonstrating that women are statistically more likely to find non-physical attributes attractive (Morgan &amp; Davis-Delano; 2016) – but that women are </w:t>
      </w:r>
      <w:r w:rsidR="00AB5938" w:rsidRPr="001F2DE7">
        <w:rPr>
          <w:rFonts w:ascii="Arial" w:hAnsi="Arial" w:cs="Arial"/>
          <w:sz w:val="24"/>
          <w:szCs w:val="24"/>
        </w:rPr>
        <w:t xml:space="preserve">the “gatekeepers” to sexual gratification. </w:t>
      </w:r>
    </w:p>
    <w:p w:rsidR="00470922" w:rsidRPr="001F2DE7" w:rsidRDefault="00AB5938" w:rsidP="00004FBF">
      <w:pPr>
        <w:spacing w:line="480" w:lineRule="auto"/>
        <w:ind w:firstLine="720"/>
        <w:rPr>
          <w:rFonts w:ascii="Arial" w:hAnsi="Arial" w:cs="Arial"/>
          <w:sz w:val="24"/>
          <w:szCs w:val="24"/>
        </w:rPr>
      </w:pPr>
      <w:r w:rsidRPr="001F2DE7">
        <w:rPr>
          <w:rFonts w:ascii="Arial" w:hAnsi="Arial" w:cs="Arial"/>
          <w:sz w:val="24"/>
          <w:szCs w:val="24"/>
        </w:rPr>
        <w:t xml:space="preserve">Due to the social identity theory, and to how an individual may respond more aggressively or violently when having their beliefs or group criticised (Campbell; 1992), these social communities have </w:t>
      </w:r>
      <w:r w:rsidR="007E0751">
        <w:rPr>
          <w:rFonts w:ascii="Arial" w:hAnsi="Arial" w:cs="Arial"/>
          <w:sz w:val="24"/>
          <w:szCs w:val="24"/>
        </w:rPr>
        <w:t>garnered more support and publicity</w:t>
      </w:r>
      <w:r w:rsidRPr="001F2DE7">
        <w:rPr>
          <w:rFonts w:ascii="Arial" w:hAnsi="Arial" w:cs="Arial"/>
          <w:sz w:val="24"/>
          <w:szCs w:val="24"/>
        </w:rPr>
        <w:t>, and thus exposed to more criticism, as the actions of self-identified “</w:t>
      </w:r>
      <w:proofErr w:type="spellStart"/>
      <w:r w:rsidRPr="001F2DE7">
        <w:rPr>
          <w:rFonts w:ascii="Arial" w:hAnsi="Arial" w:cs="Arial"/>
          <w:sz w:val="24"/>
          <w:szCs w:val="24"/>
        </w:rPr>
        <w:t>InCels</w:t>
      </w:r>
      <w:proofErr w:type="spellEnd"/>
      <w:r w:rsidRPr="001F2DE7">
        <w:rPr>
          <w:rFonts w:ascii="Arial" w:hAnsi="Arial" w:cs="Arial"/>
          <w:sz w:val="24"/>
          <w:szCs w:val="24"/>
        </w:rPr>
        <w:t xml:space="preserve">” has received significant press in the Western media. </w:t>
      </w:r>
      <w:r w:rsidR="007E0751">
        <w:rPr>
          <w:rFonts w:ascii="Arial" w:hAnsi="Arial" w:cs="Arial"/>
          <w:sz w:val="24"/>
          <w:szCs w:val="24"/>
        </w:rPr>
        <w:t>A more well-known “</w:t>
      </w:r>
      <w:proofErr w:type="spellStart"/>
      <w:r w:rsidR="007E0751">
        <w:rPr>
          <w:rFonts w:ascii="Arial" w:hAnsi="Arial" w:cs="Arial"/>
          <w:sz w:val="24"/>
          <w:szCs w:val="24"/>
        </w:rPr>
        <w:t>InCel</w:t>
      </w:r>
      <w:proofErr w:type="spellEnd"/>
      <w:r w:rsidR="007E0751">
        <w:rPr>
          <w:rFonts w:ascii="Arial" w:hAnsi="Arial" w:cs="Arial"/>
          <w:sz w:val="24"/>
          <w:szCs w:val="24"/>
        </w:rPr>
        <w:t>”</w:t>
      </w:r>
      <w:r w:rsidRPr="001F2DE7">
        <w:rPr>
          <w:rFonts w:ascii="Arial" w:hAnsi="Arial" w:cs="Arial"/>
          <w:sz w:val="24"/>
          <w:szCs w:val="24"/>
        </w:rPr>
        <w:t xml:space="preserve"> </w:t>
      </w:r>
      <w:r w:rsidR="007E0751">
        <w:rPr>
          <w:rFonts w:ascii="Arial" w:hAnsi="Arial" w:cs="Arial"/>
          <w:sz w:val="24"/>
          <w:szCs w:val="24"/>
        </w:rPr>
        <w:t>was</w:t>
      </w:r>
      <w:r w:rsidRPr="001F2DE7">
        <w:rPr>
          <w:rFonts w:ascii="Arial" w:hAnsi="Arial" w:cs="Arial"/>
          <w:sz w:val="24"/>
          <w:szCs w:val="24"/>
        </w:rPr>
        <w:t xml:space="preserve"> Elliot Rodger, </w:t>
      </w:r>
      <w:r w:rsidR="007E0751">
        <w:rPr>
          <w:rFonts w:ascii="Arial" w:hAnsi="Arial" w:cs="Arial"/>
          <w:sz w:val="24"/>
          <w:szCs w:val="24"/>
        </w:rPr>
        <w:t>who was a heavily active</w:t>
      </w:r>
      <w:r w:rsidRPr="001F2DE7">
        <w:rPr>
          <w:rFonts w:ascii="Arial" w:hAnsi="Arial" w:cs="Arial"/>
          <w:sz w:val="24"/>
          <w:szCs w:val="24"/>
        </w:rPr>
        <w:t xml:space="preserve"> and prominent member of the Reddit and 4Chan communities</w:t>
      </w:r>
      <w:r w:rsidR="007E0751">
        <w:rPr>
          <w:rFonts w:ascii="Arial" w:hAnsi="Arial" w:cs="Arial"/>
          <w:sz w:val="24"/>
          <w:szCs w:val="24"/>
        </w:rPr>
        <w:t>. Rodger</w:t>
      </w:r>
      <w:r w:rsidRPr="001F2DE7">
        <w:rPr>
          <w:rFonts w:ascii="Arial" w:hAnsi="Arial" w:cs="Arial"/>
          <w:sz w:val="24"/>
          <w:szCs w:val="24"/>
        </w:rPr>
        <w:t xml:space="preserve"> uploaded a “manifesto” and accompanying video to various social media websites and communities before embarking on a killing spree that culminated in the deaths of six people, the injury of fourteen people, and his own suicide. </w:t>
      </w:r>
      <w:r w:rsidR="00470922" w:rsidRPr="001F2DE7">
        <w:rPr>
          <w:rFonts w:ascii="Arial" w:hAnsi="Arial" w:cs="Arial"/>
          <w:sz w:val="24"/>
          <w:szCs w:val="24"/>
        </w:rPr>
        <w:t xml:space="preserve">The reasons given by Rodger in both his manifesto and video is the punishment of women due to perceived sexual neglect, in tandem with the punishment of “Alpha” males who are sexually active. This belief is a direct result of the communities online in which he participated, as well as the perpetuation of the stereotypes enforced by society as a more general view. Throughout the 146-page manifesto </w:t>
      </w:r>
      <w:r w:rsidR="00470922" w:rsidRPr="001F2DE7">
        <w:rPr>
          <w:rFonts w:ascii="Arial" w:hAnsi="Arial" w:cs="Arial"/>
          <w:sz w:val="24"/>
          <w:szCs w:val="24"/>
        </w:rPr>
        <w:t>(Rodger; 2015)</w:t>
      </w:r>
      <w:r w:rsidR="00470922" w:rsidRPr="001F2DE7">
        <w:rPr>
          <w:rFonts w:ascii="Arial" w:hAnsi="Arial" w:cs="Arial"/>
          <w:sz w:val="24"/>
          <w:szCs w:val="24"/>
        </w:rPr>
        <w:t>, the theory that ones</w:t>
      </w:r>
      <w:r w:rsidR="007E0751">
        <w:rPr>
          <w:rFonts w:ascii="Arial" w:hAnsi="Arial" w:cs="Arial"/>
          <w:sz w:val="24"/>
          <w:szCs w:val="24"/>
        </w:rPr>
        <w:t>’</w:t>
      </w:r>
      <w:r w:rsidR="00470922" w:rsidRPr="001F2DE7">
        <w:rPr>
          <w:rFonts w:ascii="Arial" w:hAnsi="Arial" w:cs="Arial"/>
          <w:sz w:val="24"/>
          <w:szCs w:val="24"/>
        </w:rPr>
        <w:t xml:space="preserve"> individual motivation is to become a member of a group can be clearly observed. </w:t>
      </w:r>
    </w:p>
    <w:p w:rsidR="00AB5938" w:rsidRPr="001F2DE7" w:rsidRDefault="00470922" w:rsidP="00004FBF">
      <w:pPr>
        <w:spacing w:line="480" w:lineRule="auto"/>
        <w:ind w:firstLine="720"/>
        <w:rPr>
          <w:rFonts w:ascii="Arial" w:hAnsi="Arial" w:cs="Arial"/>
          <w:i/>
          <w:sz w:val="24"/>
          <w:szCs w:val="24"/>
        </w:rPr>
      </w:pPr>
      <w:r w:rsidRPr="001F2DE7">
        <w:rPr>
          <w:rFonts w:ascii="Arial" w:hAnsi="Arial" w:cs="Arial"/>
          <w:i/>
          <w:sz w:val="24"/>
          <w:szCs w:val="24"/>
        </w:rPr>
        <w:t>“</w:t>
      </w:r>
      <w:r w:rsidRPr="001F2DE7">
        <w:rPr>
          <w:rFonts w:ascii="Arial" w:hAnsi="Arial" w:cs="Arial"/>
          <w:i/>
          <w:sz w:val="24"/>
          <w:szCs w:val="24"/>
        </w:rPr>
        <w:t>All I ever wanted was to fit in and live a happy life amongst humanity, but I was cast out</w:t>
      </w:r>
      <w:r w:rsidRPr="001F2DE7">
        <w:rPr>
          <w:rFonts w:ascii="Arial" w:hAnsi="Arial" w:cs="Arial"/>
          <w:i/>
          <w:sz w:val="24"/>
          <w:szCs w:val="24"/>
        </w:rPr>
        <w:t xml:space="preserve"> </w:t>
      </w:r>
      <w:r w:rsidRPr="001F2DE7">
        <w:rPr>
          <w:rFonts w:ascii="Arial" w:hAnsi="Arial" w:cs="Arial"/>
          <w:i/>
          <w:sz w:val="24"/>
          <w:szCs w:val="24"/>
        </w:rPr>
        <w:t xml:space="preserve">and rejected, forced to endure an existence of loneliness and </w:t>
      </w:r>
      <w:r w:rsidRPr="001F2DE7">
        <w:rPr>
          <w:rFonts w:ascii="Arial" w:hAnsi="Arial" w:cs="Arial"/>
          <w:i/>
          <w:sz w:val="24"/>
          <w:szCs w:val="24"/>
        </w:rPr>
        <w:lastRenderedPageBreak/>
        <w:t>insignificance, all because the females of the human species were incapable of seeing the value in me</w:t>
      </w:r>
      <w:r w:rsidRPr="001F2DE7">
        <w:rPr>
          <w:rFonts w:ascii="Arial" w:hAnsi="Arial" w:cs="Arial"/>
          <w:i/>
          <w:sz w:val="24"/>
          <w:szCs w:val="24"/>
        </w:rPr>
        <w:t>” Excerpt from Introduction of My Twisted World: The Story of Elliot Rodger</w:t>
      </w:r>
    </w:p>
    <w:p w:rsidR="00340019" w:rsidRPr="001F2DE7" w:rsidRDefault="00470922" w:rsidP="00004FBF">
      <w:pPr>
        <w:spacing w:line="480" w:lineRule="auto"/>
        <w:ind w:firstLine="720"/>
        <w:rPr>
          <w:rFonts w:ascii="Arial" w:hAnsi="Arial" w:cs="Arial"/>
          <w:sz w:val="24"/>
          <w:szCs w:val="24"/>
        </w:rPr>
      </w:pPr>
      <w:r w:rsidRPr="001F2DE7">
        <w:rPr>
          <w:rFonts w:ascii="Arial" w:hAnsi="Arial" w:cs="Arial"/>
          <w:sz w:val="24"/>
          <w:szCs w:val="24"/>
        </w:rPr>
        <w:t>The implication of women in the manifesto is fallacious, however the underlying concept of desiring a community in which to place oneself is demonstrably accurate. Elliot Rodger perceived himself to be an outcast from society, on the fringes of other social groups, which contributed to his ingrained belief that he</w:t>
      </w:r>
      <w:r w:rsidR="00067A30" w:rsidRPr="001F2DE7">
        <w:rPr>
          <w:rFonts w:ascii="Arial" w:hAnsi="Arial" w:cs="Arial"/>
          <w:sz w:val="24"/>
          <w:szCs w:val="24"/>
        </w:rPr>
        <w:t xml:space="preserve"> was set apart from his peers. Finding solace in the </w:t>
      </w:r>
      <w:proofErr w:type="spellStart"/>
      <w:r w:rsidR="00067A30" w:rsidRPr="001F2DE7">
        <w:rPr>
          <w:rFonts w:ascii="Arial" w:hAnsi="Arial" w:cs="Arial"/>
          <w:sz w:val="24"/>
          <w:szCs w:val="24"/>
        </w:rPr>
        <w:t>incel</w:t>
      </w:r>
      <w:proofErr w:type="spellEnd"/>
      <w:r w:rsidR="00067A30" w:rsidRPr="001F2DE7">
        <w:rPr>
          <w:rFonts w:ascii="Arial" w:hAnsi="Arial" w:cs="Arial"/>
          <w:sz w:val="24"/>
          <w:szCs w:val="24"/>
        </w:rPr>
        <w:t xml:space="preserve"> community, these stereotypes and prejudices were enabled and encouraged to flourish, culminating in a social identity crisis that resolved itself in physical conflict. His belief in a euro-centric, white supremacist view despite being of mixed-race himself, further demonstrating his commitment to the ideology that finally offered him the acceptance he craved. </w:t>
      </w:r>
      <w:r w:rsidR="00545E26" w:rsidRPr="001F2DE7">
        <w:rPr>
          <w:rFonts w:ascii="Arial" w:hAnsi="Arial" w:cs="Arial"/>
          <w:sz w:val="24"/>
          <w:szCs w:val="24"/>
        </w:rPr>
        <w:t>This is just one example of several</w:t>
      </w:r>
      <w:r w:rsidR="00A340F1" w:rsidRPr="001F2DE7">
        <w:rPr>
          <w:rFonts w:ascii="Arial" w:hAnsi="Arial" w:cs="Arial"/>
          <w:sz w:val="24"/>
          <w:szCs w:val="24"/>
        </w:rPr>
        <w:t xml:space="preserve"> that</w:t>
      </w:r>
      <w:r w:rsidR="00545E26" w:rsidRPr="001F2DE7">
        <w:rPr>
          <w:rFonts w:ascii="Arial" w:hAnsi="Arial" w:cs="Arial"/>
          <w:sz w:val="24"/>
          <w:szCs w:val="24"/>
        </w:rPr>
        <w:t xml:space="preserve"> demonstrat</w:t>
      </w:r>
      <w:r w:rsidR="00A340F1" w:rsidRPr="001F2DE7">
        <w:rPr>
          <w:rFonts w:ascii="Arial" w:hAnsi="Arial" w:cs="Arial"/>
          <w:sz w:val="24"/>
          <w:szCs w:val="24"/>
        </w:rPr>
        <w:t xml:space="preserve">es </w:t>
      </w:r>
      <w:r w:rsidR="00545E26" w:rsidRPr="001F2DE7">
        <w:rPr>
          <w:rFonts w:ascii="Arial" w:hAnsi="Arial" w:cs="Arial"/>
          <w:sz w:val="24"/>
          <w:szCs w:val="24"/>
        </w:rPr>
        <w:t>the importance of an individual sense of community</w:t>
      </w:r>
      <w:r w:rsidR="00A340F1" w:rsidRPr="001F2DE7">
        <w:rPr>
          <w:rFonts w:ascii="Arial" w:hAnsi="Arial" w:cs="Arial"/>
          <w:sz w:val="24"/>
          <w:szCs w:val="24"/>
        </w:rPr>
        <w:t>, as well as the Positive-Negative Asymmetry theory in Social Identity</w:t>
      </w:r>
      <w:r w:rsidR="00EE3EFC" w:rsidRPr="001F2DE7">
        <w:rPr>
          <w:rFonts w:ascii="Arial" w:hAnsi="Arial" w:cs="Arial"/>
          <w:sz w:val="24"/>
          <w:szCs w:val="24"/>
        </w:rPr>
        <w:t xml:space="preserve"> – that </w:t>
      </w:r>
      <w:proofErr w:type="spellStart"/>
      <w:r w:rsidR="00EE3EFC" w:rsidRPr="001F2DE7">
        <w:rPr>
          <w:rFonts w:ascii="Arial" w:hAnsi="Arial" w:cs="Arial"/>
          <w:sz w:val="24"/>
          <w:szCs w:val="24"/>
        </w:rPr>
        <w:t>someones</w:t>
      </w:r>
      <w:proofErr w:type="spellEnd"/>
      <w:r w:rsidR="00EE3EFC" w:rsidRPr="001F2DE7">
        <w:rPr>
          <w:rFonts w:ascii="Arial" w:hAnsi="Arial" w:cs="Arial"/>
          <w:sz w:val="24"/>
          <w:szCs w:val="24"/>
        </w:rPr>
        <w:t xml:space="preserve"> self-worth can be determined and increased through negative action or activity towards the “outgroup”</w:t>
      </w:r>
      <w:r w:rsidR="00A340F1" w:rsidRPr="001F2DE7">
        <w:rPr>
          <w:rFonts w:ascii="Arial" w:hAnsi="Arial" w:cs="Arial"/>
          <w:sz w:val="24"/>
          <w:szCs w:val="24"/>
        </w:rPr>
        <w:t>.</w:t>
      </w:r>
    </w:p>
    <w:p w:rsidR="008F5F57" w:rsidRPr="001F2DE7" w:rsidRDefault="008F5F57" w:rsidP="00004FBF">
      <w:pPr>
        <w:spacing w:line="480" w:lineRule="auto"/>
        <w:ind w:firstLine="720"/>
        <w:rPr>
          <w:rFonts w:ascii="Arial" w:hAnsi="Arial" w:cs="Arial"/>
          <w:sz w:val="24"/>
          <w:szCs w:val="24"/>
        </w:rPr>
      </w:pPr>
      <w:r w:rsidRPr="001F2DE7">
        <w:rPr>
          <w:rFonts w:ascii="Arial" w:hAnsi="Arial" w:cs="Arial"/>
          <w:sz w:val="24"/>
          <w:szCs w:val="24"/>
        </w:rPr>
        <w:t>This is also prevalent in the online scandal #</w:t>
      </w:r>
      <w:proofErr w:type="spellStart"/>
      <w:r w:rsidRPr="001F2DE7">
        <w:rPr>
          <w:rFonts w:ascii="Arial" w:hAnsi="Arial" w:cs="Arial"/>
          <w:sz w:val="24"/>
          <w:szCs w:val="24"/>
        </w:rPr>
        <w:t>GamerGate</w:t>
      </w:r>
      <w:proofErr w:type="spellEnd"/>
      <w:r w:rsidRPr="001F2DE7">
        <w:rPr>
          <w:rFonts w:ascii="Arial" w:hAnsi="Arial" w:cs="Arial"/>
          <w:sz w:val="24"/>
          <w:szCs w:val="24"/>
        </w:rPr>
        <w:t xml:space="preserve">, which found that online activity towards Anita Sarkeesian (a videogame critic and YouTuber who breaks down sexist stereotypes in gaming and the media) was </w:t>
      </w:r>
      <w:proofErr w:type="spellStart"/>
      <w:r w:rsidRPr="001F2DE7">
        <w:rPr>
          <w:rFonts w:ascii="Arial" w:hAnsi="Arial" w:cs="Arial"/>
          <w:sz w:val="24"/>
          <w:szCs w:val="24"/>
        </w:rPr>
        <w:t>centered</w:t>
      </w:r>
      <w:proofErr w:type="spellEnd"/>
      <w:r w:rsidRPr="001F2DE7">
        <w:rPr>
          <w:rFonts w:ascii="Arial" w:hAnsi="Arial" w:cs="Arial"/>
          <w:sz w:val="24"/>
          <w:szCs w:val="24"/>
        </w:rPr>
        <w:t xml:space="preserve"> around personal attacks that encroached into life situations. Anita Sarkeesian was subjected to harassment, threats, </w:t>
      </w:r>
      <w:proofErr w:type="spellStart"/>
      <w:r w:rsidRPr="001F2DE7">
        <w:rPr>
          <w:rFonts w:ascii="Arial" w:hAnsi="Arial" w:cs="Arial"/>
          <w:sz w:val="24"/>
          <w:szCs w:val="24"/>
        </w:rPr>
        <w:t>doxxing</w:t>
      </w:r>
      <w:proofErr w:type="spellEnd"/>
      <w:r w:rsidRPr="001F2DE7">
        <w:rPr>
          <w:rFonts w:ascii="Arial" w:hAnsi="Arial" w:cs="Arial"/>
          <w:sz w:val="24"/>
          <w:szCs w:val="24"/>
        </w:rPr>
        <w:t xml:space="preserve"> (a form of harassment where personal information such as address or telephone number is posted online without consent), and other forms of violence (Fox &amp; Tang; 2014). By attacking the underlying preconceptions of stereotypes, she was placed on the receiving end of the same underlying </w:t>
      </w:r>
      <w:r w:rsidRPr="001F2DE7">
        <w:rPr>
          <w:rFonts w:ascii="Arial" w:hAnsi="Arial" w:cs="Arial"/>
          <w:sz w:val="24"/>
          <w:szCs w:val="24"/>
        </w:rPr>
        <w:lastRenderedPageBreak/>
        <w:t xml:space="preserve">preconceptions that </w:t>
      </w:r>
      <w:proofErr w:type="spellStart"/>
      <w:r w:rsidRPr="001F2DE7">
        <w:rPr>
          <w:rFonts w:ascii="Arial" w:hAnsi="Arial" w:cs="Arial"/>
          <w:sz w:val="24"/>
          <w:szCs w:val="24"/>
        </w:rPr>
        <w:t>GamerGaters</w:t>
      </w:r>
      <w:proofErr w:type="spellEnd"/>
      <w:r w:rsidRPr="001F2DE7">
        <w:rPr>
          <w:rFonts w:ascii="Arial" w:hAnsi="Arial" w:cs="Arial"/>
          <w:sz w:val="24"/>
          <w:szCs w:val="24"/>
        </w:rPr>
        <w:t xml:space="preserve"> denied existing</w:t>
      </w:r>
      <w:r w:rsidR="001F2DE7" w:rsidRPr="001F2DE7">
        <w:rPr>
          <w:rFonts w:ascii="Arial" w:hAnsi="Arial" w:cs="Arial"/>
          <w:sz w:val="24"/>
          <w:szCs w:val="24"/>
        </w:rPr>
        <w:t xml:space="preserve"> a further example of the Positive-Negative Asymmetry theory. </w:t>
      </w:r>
    </w:p>
    <w:p w:rsidR="00AB5938" w:rsidRDefault="00340019" w:rsidP="009A7DFF">
      <w:pPr>
        <w:spacing w:line="480" w:lineRule="auto"/>
        <w:ind w:firstLine="720"/>
        <w:rPr>
          <w:rFonts w:ascii="Arial" w:hAnsi="Arial" w:cs="Arial"/>
          <w:sz w:val="24"/>
          <w:szCs w:val="24"/>
        </w:rPr>
      </w:pPr>
      <w:r w:rsidRPr="001F2DE7">
        <w:rPr>
          <w:rFonts w:ascii="Arial" w:hAnsi="Arial" w:cs="Arial"/>
          <w:sz w:val="24"/>
          <w:szCs w:val="24"/>
        </w:rPr>
        <w:t>However, Social Identity Theory</w:t>
      </w:r>
      <w:r w:rsidR="008F5F57" w:rsidRPr="001F2DE7">
        <w:rPr>
          <w:rFonts w:ascii="Arial" w:hAnsi="Arial" w:cs="Arial"/>
          <w:sz w:val="24"/>
          <w:szCs w:val="24"/>
        </w:rPr>
        <w:t xml:space="preserve"> </w:t>
      </w:r>
      <w:r w:rsidR="00A340F1" w:rsidRPr="001F2DE7">
        <w:rPr>
          <w:rFonts w:ascii="Arial" w:hAnsi="Arial" w:cs="Arial"/>
          <w:sz w:val="24"/>
          <w:szCs w:val="24"/>
        </w:rPr>
        <w:t xml:space="preserve">fails to take into account </w:t>
      </w:r>
      <w:r w:rsidR="00EE3EFC" w:rsidRPr="001F2DE7">
        <w:rPr>
          <w:rFonts w:ascii="Arial" w:hAnsi="Arial" w:cs="Arial"/>
          <w:sz w:val="24"/>
          <w:szCs w:val="24"/>
        </w:rPr>
        <w:t xml:space="preserve">individualistic </w:t>
      </w:r>
      <w:proofErr w:type="gramStart"/>
      <w:r w:rsidR="00EE3EFC" w:rsidRPr="001F2DE7">
        <w:rPr>
          <w:rFonts w:ascii="Arial" w:hAnsi="Arial" w:cs="Arial"/>
          <w:sz w:val="24"/>
          <w:szCs w:val="24"/>
        </w:rPr>
        <w:t>tendencies, and</w:t>
      </w:r>
      <w:proofErr w:type="gramEnd"/>
      <w:r w:rsidR="00EE3EFC" w:rsidRPr="001F2DE7">
        <w:rPr>
          <w:rFonts w:ascii="Arial" w:hAnsi="Arial" w:cs="Arial"/>
          <w:sz w:val="24"/>
          <w:szCs w:val="24"/>
        </w:rPr>
        <w:t xml:space="preserve"> tends to draw natural links towards group favouritism. This phenomenon occurs when a member of the “in-group” is more likely to favour people they perceive to be in that same “ingroup”. However, due to multiple social groups and identities being held at once, a member of the “ingroup” may not be as accepted as others within the same group. In the male-dominated engineering careers, despite being members of the Engineer Ingroup, women and minorities are still subject to negative stereotyping due to the “othering” of them at a fundamental level (e.g. race, gender, sexuality)</w:t>
      </w:r>
      <w:r w:rsidR="00AD33D3" w:rsidRPr="001F2DE7">
        <w:rPr>
          <w:rFonts w:ascii="Arial" w:hAnsi="Arial" w:cs="Arial"/>
          <w:sz w:val="24"/>
          <w:szCs w:val="24"/>
        </w:rPr>
        <w:t xml:space="preserve">(Hall, </w:t>
      </w:r>
      <w:proofErr w:type="spellStart"/>
      <w:r w:rsidR="00AD33D3" w:rsidRPr="001F2DE7">
        <w:rPr>
          <w:rFonts w:ascii="Arial" w:hAnsi="Arial" w:cs="Arial"/>
          <w:sz w:val="24"/>
          <w:szCs w:val="24"/>
        </w:rPr>
        <w:t>Schmader</w:t>
      </w:r>
      <w:proofErr w:type="spellEnd"/>
      <w:r w:rsidR="00AD33D3" w:rsidRPr="001F2DE7">
        <w:rPr>
          <w:rFonts w:ascii="Arial" w:hAnsi="Arial" w:cs="Arial"/>
          <w:sz w:val="24"/>
          <w:szCs w:val="24"/>
        </w:rPr>
        <w:t xml:space="preserve"> &amp; Croft; 2016). The consistent threat of Social Identity Crisis at fluctuating levels caused female engineers to feel more incompetent and not accepted by their peers, which then furthered the risks of mental exhaustion and increased the likelihood of removal from the “ingroup”. </w:t>
      </w:r>
      <w:r w:rsidR="007E0751">
        <w:rPr>
          <w:rFonts w:ascii="Arial" w:hAnsi="Arial" w:cs="Arial"/>
          <w:sz w:val="24"/>
          <w:szCs w:val="24"/>
        </w:rPr>
        <w:t>Also, a</w:t>
      </w:r>
      <w:r w:rsidR="00545E26" w:rsidRPr="001F2DE7">
        <w:rPr>
          <w:rFonts w:ascii="Arial" w:hAnsi="Arial" w:cs="Arial"/>
          <w:sz w:val="24"/>
          <w:szCs w:val="24"/>
        </w:rPr>
        <w:t>s previously mentioned, the introduction of social media into daily routine has brought feminism and equality into the mainstream narrative</w:t>
      </w:r>
      <w:r w:rsidR="007E0751">
        <w:rPr>
          <w:rFonts w:ascii="Arial" w:hAnsi="Arial" w:cs="Arial"/>
          <w:sz w:val="24"/>
          <w:szCs w:val="24"/>
        </w:rPr>
        <w:t xml:space="preserve">. </w:t>
      </w:r>
      <w:r w:rsidR="00545E26" w:rsidRPr="001F2DE7">
        <w:rPr>
          <w:rFonts w:ascii="Arial" w:hAnsi="Arial" w:cs="Arial"/>
          <w:sz w:val="24"/>
          <w:szCs w:val="24"/>
        </w:rPr>
        <w:t xml:space="preserve"> </w:t>
      </w:r>
      <w:r w:rsidR="009A7DFF">
        <w:rPr>
          <w:rFonts w:ascii="Arial" w:hAnsi="Arial" w:cs="Arial"/>
          <w:sz w:val="24"/>
          <w:szCs w:val="24"/>
        </w:rPr>
        <w:t>M</w:t>
      </w:r>
      <w:r w:rsidR="00545E26" w:rsidRPr="001F2DE7">
        <w:rPr>
          <w:rFonts w:ascii="Arial" w:hAnsi="Arial" w:cs="Arial"/>
          <w:sz w:val="24"/>
          <w:szCs w:val="24"/>
        </w:rPr>
        <w:t>ultiple</w:t>
      </w:r>
      <w:r w:rsidR="009A7DFF">
        <w:rPr>
          <w:rFonts w:ascii="Arial" w:hAnsi="Arial" w:cs="Arial"/>
          <w:sz w:val="24"/>
          <w:szCs w:val="24"/>
        </w:rPr>
        <w:t xml:space="preserve"> prominent</w:t>
      </w:r>
      <w:r w:rsidR="00545E26" w:rsidRPr="001F2DE7">
        <w:rPr>
          <w:rFonts w:ascii="Arial" w:hAnsi="Arial" w:cs="Arial"/>
          <w:sz w:val="24"/>
          <w:szCs w:val="24"/>
        </w:rPr>
        <w:t xml:space="preserve"> activists, actors, campaigners, and philanthropists</w:t>
      </w:r>
      <w:r w:rsidR="009A7DFF">
        <w:rPr>
          <w:rFonts w:ascii="Arial" w:hAnsi="Arial" w:cs="Arial"/>
          <w:sz w:val="24"/>
          <w:szCs w:val="24"/>
        </w:rPr>
        <w:t xml:space="preserve"> have used</w:t>
      </w:r>
      <w:r w:rsidR="00545E26" w:rsidRPr="001F2DE7">
        <w:rPr>
          <w:rFonts w:ascii="Arial" w:hAnsi="Arial" w:cs="Arial"/>
          <w:sz w:val="24"/>
          <w:szCs w:val="24"/>
        </w:rPr>
        <w:t xml:space="preserve"> their social media platforms to highlight stereotypes </w:t>
      </w:r>
      <w:r w:rsidR="009A7DFF">
        <w:rPr>
          <w:rFonts w:ascii="Arial" w:hAnsi="Arial" w:cs="Arial"/>
          <w:sz w:val="24"/>
          <w:szCs w:val="24"/>
        </w:rPr>
        <w:t>and “benevolent sexism” as a daily happenstance, with t</w:t>
      </w:r>
      <w:r w:rsidR="00545E26" w:rsidRPr="001F2DE7">
        <w:rPr>
          <w:rFonts w:ascii="Arial" w:hAnsi="Arial" w:cs="Arial"/>
          <w:sz w:val="24"/>
          <w:szCs w:val="24"/>
        </w:rPr>
        <w:t>he hashtag #</w:t>
      </w:r>
      <w:proofErr w:type="spellStart"/>
      <w:r w:rsidR="00545E26" w:rsidRPr="001F2DE7">
        <w:rPr>
          <w:rFonts w:ascii="Arial" w:hAnsi="Arial" w:cs="Arial"/>
          <w:sz w:val="24"/>
          <w:szCs w:val="24"/>
        </w:rPr>
        <w:t>EverydaySexism</w:t>
      </w:r>
      <w:proofErr w:type="spellEnd"/>
      <w:r w:rsidR="00545E26" w:rsidRPr="001F2DE7">
        <w:rPr>
          <w:rFonts w:ascii="Arial" w:hAnsi="Arial" w:cs="Arial"/>
          <w:sz w:val="24"/>
          <w:szCs w:val="24"/>
        </w:rPr>
        <w:t xml:space="preserve"> </w:t>
      </w:r>
      <w:r w:rsidR="009A7DFF">
        <w:rPr>
          <w:rFonts w:ascii="Arial" w:hAnsi="Arial" w:cs="Arial"/>
          <w:sz w:val="24"/>
          <w:szCs w:val="24"/>
        </w:rPr>
        <w:t>receiving critical and viral acclaim. Through Twitter, this hashtags popularity and effect has been directly documented by Foster (2015). The results of “tweeting” using #</w:t>
      </w:r>
      <w:proofErr w:type="spellStart"/>
      <w:r w:rsidR="009A7DFF">
        <w:rPr>
          <w:rFonts w:ascii="Arial" w:hAnsi="Arial" w:cs="Arial"/>
          <w:sz w:val="24"/>
          <w:szCs w:val="24"/>
        </w:rPr>
        <w:t>EverydaySexism</w:t>
      </w:r>
      <w:proofErr w:type="spellEnd"/>
      <w:r w:rsidR="009A7DFF">
        <w:rPr>
          <w:rFonts w:ascii="Arial" w:hAnsi="Arial" w:cs="Arial"/>
          <w:sz w:val="24"/>
          <w:szCs w:val="24"/>
        </w:rPr>
        <w:t xml:space="preserve"> was examined and found that, when “tweeting” on a public forum as opposed to privately, an increase in self-esteem, pride, and general psychological wellbeing was occurring at a statistically significant level. This effect, however, was not attributed to the negativity projected towards the sexist act but towards the sense of social identity, validation, and community that the tweeter </w:t>
      </w:r>
      <w:r w:rsidR="009A7DFF">
        <w:rPr>
          <w:rFonts w:ascii="Arial" w:hAnsi="Arial" w:cs="Arial"/>
          <w:sz w:val="24"/>
          <w:szCs w:val="24"/>
        </w:rPr>
        <w:lastRenderedPageBreak/>
        <w:t xml:space="preserve">had from social media. This is suggestive of a collective positive effect that can be further developed and investigated. A further avenue of investigation into Social Identity Theory </w:t>
      </w:r>
      <w:r w:rsidR="00FC3B3D">
        <w:rPr>
          <w:rFonts w:ascii="Arial" w:hAnsi="Arial" w:cs="Arial"/>
          <w:sz w:val="24"/>
          <w:szCs w:val="24"/>
        </w:rPr>
        <w:t xml:space="preserve">could be the analysis of groups that resemble themselves, and how they strive against </w:t>
      </w:r>
      <w:proofErr w:type="spellStart"/>
      <w:r w:rsidR="00FC3B3D">
        <w:rPr>
          <w:rFonts w:ascii="Arial" w:hAnsi="Arial" w:cs="Arial"/>
          <w:sz w:val="24"/>
          <w:szCs w:val="24"/>
        </w:rPr>
        <w:t>eachother</w:t>
      </w:r>
      <w:proofErr w:type="spellEnd"/>
      <w:r w:rsidR="00FC3B3D">
        <w:rPr>
          <w:rFonts w:ascii="Arial" w:hAnsi="Arial" w:cs="Arial"/>
          <w:sz w:val="24"/>
          <w:szCs w:val="24"/>
        </w:rPr>
        <w:t xml:space="preserve"> to remain differentiated, which is an aspect that has not been fully assessed. If two groups are separate yet similar, how can they differentiate themselves? Would there be a transfer of power, or would the two groups coalesce into one large group and absorb the members? These questions could be answered given further extensive research. </w:t>
      </w:r>
    </w:p>
    <w:p w:rsidR="00FC3B3D" w:rsidRPr="001F2DE7" w:rsidRDefault="00FC3B3D" w:rsidP="009A7DFF">
      <w:pPr>
        <w:spacing w:line="480" w:lineRule="auto"/>
        <w:ind w:firstLine="720"/>
        <w:rPr>
          <w:rFonts w:ascii="Arial" w:hAnsi="Arial" w:cs="Arial"/>
          <w:sz w:val="24"/>
          <w:szCs w:val="24"/>
        </w:rPr>
      </w:pPr>
      <w:r>
        <w:rPr>
          <w:rFonts w:ascii="Arial" w:hAnsi="Arial" w:cs="Arial"/>
          <w:sz w:val="24"/>
          <w:szCs w:val="24"/>
        </w:rPr>
        <w:t xml:space="preserve">In conclusion, the effects of gender stereotyping in the media has led to both the perpetuation, and attempted destruction, of gender stereotyping. Social media has been instrumental in the introduction of mainstream popular </w:t>
      </w:r>
      <w:proofErr w:type="gramStart"/>
      <w:r>
        <w:rPr>
          <w:rFonts w:ascii="Arial" w:hAnsi="Arial" w:cs="Arial"/>
          <w:sz w:val="24"/>
          <w:szCs w:val="24"/>
        </w:rPr>
        <w:t>feminism,</w:t>
      </w:r>
      <w:proofErr w:type="gramEnd"/>
      <w:r>
        <w:rPr>
          <w:rFonts w:ascii="Arial" w:hAnsi="Arial" w:cs="Arial"/>
          <w:sz w:val="24"/>
          <w:szCs w:val="24"/>
        </w:rPr>
        <w:t xml:space="preserve"> however this has also given rise to opposing groups intent upon continuing misogyny. Social Identity Theory </w:t>
      </w:r>
      <w:proofErr w:type="gramStart"/>
      <w:r>
        <w:rPr>
          <w:rFonts w:ascii="Arial" w:hAnsi="Arial" w:cs="Arial"/>
          <w:sz w:val="24"/>
          <w:szCs w:val="24"/>
        </w:rPr>
        <w:t>in regards to</w:t>
      </w:r>
      <w:proofErr w:type="gramEnd"/>
      <w:r>
        <w:rPr>
          <w:rFonts w:ascii="Arial" w:hAnsi="Arial" w:cs="Arial"/>
          <w:sz w:val="24"/>
          <w:szCs w:val="24"/>
        </w:rPr>
        <w:t xml:space="preserve"> social media has also been discussed and demonstrated. However, both Social Identity Theory and Social Media have their drawbacks. Due to social media, it is easier to participate in views without hearing any dissenting thoughts due to the self-created “echo chambers”, and because of this lack of perspective, these “echo chambers” can have real-world implications that can even result in loss of life. </w:t>
      </w:r>
    </w:p>
    <w:p w:rsidR="00AB5938" w:rsidRPr="001F2DE7" w:rsidRDefault="00AB5938" w:rsidP="00004FBF">
      <w:pPr>
        <w:spacing w:line="480" w:lineRule="auto"/>
        <w:rPr>
          <w:rFonts w:ascii="Arial" w:hAnsi="Arial" w:cs="Arial"/>
          <w:sz w:val="24"/>
          <w:szCs w:val="24"/>
        </w:rPr>
      </w:pPr>
    </w:p>
    <w:p w:rsidR="00266538" w:rsidRDefault="00266538" w:rsidP="00004FBF">
      <w:pPr>
        <w:spacing w:line="480" w:lineRule="auto"/>
        <w:rPr>
          <w:rFonts w:ascii="Arial" w:hAnsi="Arial" w:cs="Arial"/>
          <w:sz w:val="24"/>
          <w:szCs w:val="24"/>
        </w:rPr>
      </w:pPr>
    </w:p>
    <w:p w:rsidR="00266538" w:rsidRDefault="00266538" w:rsidP="00004FBF">
      <w:pPr>
        <w:spacing w:line="480" w:lineRule="auto"/>
        <w:rPr>
          <w:rFonts w:ascii="Arial" w:hAnsi="Arial" w:cs="Arial"/>
          <w:sz w:val="24"/>
          <w:szCs w:val="24"/>
        </w:rPr>
      </w:pPr>
    </w:p>
    <w:p w:rsidR="00266538" w:rsidRDefault="00266538" w:rsidP="00004FBF">
      <w:pPr>
        <w:spacing w:line="480" w:lineRule="auto"/>
        <w:rPr>
          <w:rFonts w:ascii="Arial" w:hAnsi="Arial" w:cs="Arial"/>
          <w:sz w:val="24"/>
          <w:szCs w:val="24"/>
        </w:rPr>
      </w:pPr>
    </w:p>
    <w:p w:rsidR="00266538" w:rsidRDefault="00266538" w:rsidP="00004FBF">
      <w:pPr>
        <w:spacing w:line="480" w:lineRule="auto"/>
        <w:rPr>
          <w:rFonts w:ascii="Arial" w:hAnsi="Arial" w:cs="Arial"/>
          <w:sz w:val="24"/>
          <w:szCs w:val="24"/>
        </w:rPr>
      </w:pPr>
    </w:p>
    <w:p w:rsidR="00266538" w:rsidRDefault="00266538" w:rsidP="00004FBF">
      <w:pPr>
        <w:spacing w:line="480" w:lineRule="auto"/>
        <w:rPr>
          <w:rFonts w:ascii="Arial" w:hAnsi="Arial" w:cs="Arial"/>
          <w:sz w:val="24"/>
          <w:szCs w:val="24"/>
        </w:rPr>
      </w:pPr>
      <w:r>
        <w:rPr>
          <w:rFonts w:ascii="Arial" w:hAnsi="Arial" w:cs="Arial"/>
          <w:sz w:val="24"/>
          <w:szCs w:val="24"/>
        </w:rPr>
        <w:lastRenderedPageBreak/>
        <w:t>REFERENCES</w:t>
      </w:r>
    </w:p>
    <w:p w:rsidR="00266538" w:rsidRDefault="00266538" w:rsidP="00004FBF">
      <w:pPr>
        <w:spacing w:line="480" w:lineRule="auto"/>
        <w:rPr>
          <w:rFonts w:ascii="Arial" w:hAnsi="Arial" w:cs="Arial"/>
          <w:sz w:val="24"/>
          <w:szCs w:val="24"/>
        </w:rPr>
      </w:pPr>
      <w:proofErr w:type="spellStart"/>
      <w:r w:rsidRPr="00266538">
        <w:rPr>
          <w:rFonts w:ascii="Arial" w:hAnsi="Arial" w:cs="Arial"/>
          <w:sz w:val="24"/>
          <w:szCs w:val="24"/>
        </w:rPr>
        <w:t>Aberson</w:t>
      </w:r>
      <w:proofErr w:type="spellEnd"/>
      <w:r w:rsidRPr="00266538">
        <w:rPr>
          <w:rFonts w:ascii="Arial" w:hAnsi="Arial" w:cs="Arial"/>
          <w:sz w:val="24"/>
          <w:szCs w:val="24"/>
        </w:rPr>
        <w:t>, C. L. (2015). Positive intergroup contact, negative intergroup contact, and threat as predictors of cognitive and affective dimensions of prejudice. Group Processes &amp; Intergroup Relations, 18(6), 743-760.</w:t>
      </w:r>
    </w:p>
    <w:p w:rsidR="00B7155F" w:rsidRPr="001F2DE7" w:rsidRDefault="00AB5938" w:rsidP="00004FBF">
      <w:pPr>
        <w:spacing w:line="480" w:lineRule="auto"/>
        <w:rPr>
          <w:rFonts w:ascii="Arial" w:hAnsi="Arial" w:cs="Arial"/>
          <w:sz w:val="24"/>
          <w:szCs w:val="24"/>
        </w:rPr>
      </w:pPr>
      <w:r w:rsidRPr="001F2DE7">
        <w:rPr>
          <w:rFonts w:ascii="Arial" w:hAnsi="Arial" w:cs="Arial"/>
          <w:sz w:val="24"/>
          <w:szCs w:val="24"/>
        </w:rPr>
        <w:t>Campbell, C. (1992). Learning to kill? Masculinity, the family and violence in Natal. Journal of Southern African Studies, 18(3), 614-628.</w:t>
      </w:r>
    </w:p>
    <w:p w:rsidR="00B7155F" w:rsidRDefault="00F4209F" w:rsidP="00004FBF">
      <w:pPr>
        <w:spacing w:line="480" w:lineRule="auto"/>
        <w:rPr>
          <w:rFonts w:ascii="Arial" w:hAnsi="Arial" w:cs="Arial"/>
          <w:sz w:val="24"/>
          <w:szCs w:val="24"/>
        </w:rPr>
      </w:pPr>
      <w:r w:rsidRPr="001F2DE7">
        <w:rPr>
          <w:rFonts w:ascii="Arial" w:hAnsi="Arial" w:cs="Arial"/>
          <w:sz w:val="24"/>
          <w:szCs w:val="24"/>
        </w:rPr>
        <w:t xml:space="preserve">Fox, J., Cruz, C., &amp; Lee, J. Y. (2015). Perpetuating online sexism offline: Anonymity, interactivity, and the effects of sexist hashtags on social media. Computers in Human </w:t>
      </w:r>
      <w:proofErr w:type="spellStart"/>
      <w:r w:rsidRPr="001F2DE7">
        <w:rPr>
          <w:rFonts w:ascii="Arial" w:hAnsi="Arial" w:cs="Arial"/>
          <w:sz w:val="24"/>
          <w:szCs w:val="24"/>
        </w:rPr>
        <w:t>Behavior</w:t>
      </w:r>
      <w:proofErr w:type="spellEnd"/>
      <w:r w:rsidRPr="001F2DE7">
        <w:rPr>
          <w:rFonts w:ascii="Arial" w:hAnsi="Arial" w:cs="Arial"/>
          <w:sz w:val="24"/>
          <w:szCs w:val="24"/>
        </w:rPr>
        <w:t>, 52, 436-442.</w:t>
      </w:r>
    </w:p>
    <w:p w:rsidR="00266538" w:rsidRPr="001F2DE7" w:rsidRDefault="00266538" w:rsidP="00004FBF">
      <w:pPr>
        <w:spacing w:line="480" w:lineRule="auto"/>
        <w:rPr>
          <w:rFonts w:ascii="Arial" w:hAnsi="Arial" w:cs="Arial"/>
          <w:sz w:val="24"/>
          <w:szCs w:val="24"/>
        </w:rPr>
      </w:pPr>
      <w:r w:rsidRPr="00266538">
        <w:rPr>
          <w:rFonts w:ascii="Arial" w:hAnsi="Arial" w:cs="Arial"/>
          <w:sz w:val="24"/>
          <w:szCs w:val="24"/>
        </w:rPr>
        <w:t xml:space="preserve">Griffin, Angela M., and Judith H. Langlois. "Stereotype directionality and attractiveness stereotyping: Is beauty good or is ugly </w:t>
      </w:r>
      <w:proofErr w:type="gramStart"/>
      <w:r w:rsidRPr="00266538">
        <w:rPr>
          <w:rFonts w:ascii="Arial" w:hAnsi="Arial" w:cs="Arial"/>
          <w:sz w:val="24"/>
          <w:szCs w:val="24"/>
        </w:rPr>
        <w:t>bad?.</w:t>
      </w:r>
      <w:proofErr w:type="gramEnd"/>
      <w:r w:rsidRPr="00266538">
        <w:rPr>
          <w:rFonts w:ascii="Arial" w:hAnsi="Arial" w:cs="Arial"/>
          <w:sz w:val="24"/>
          <w:szCs w:val="24"/>
        </w:rPr>
        <w:t>" Social cognition 24.2 (2006): 187-206.</w:t>
      </w:r>
    </w:p>
    <w:p w:rsidR="00406775" w:rsidRPr="001F2DE7" w:rsidRDefault="00F15C5B" w:rsidP="00004FBF">
      <w:pPr>
        <w:spacing w:line="480" w:lineRule="auto"/>
        <w:rPr>
          <w:rFonts w:ascii="Arial" w:hAnsi="Arial" w:cs="Arial"/>
          <w:sz w:val="24"/>
          <w:szCs w:val="24"/>
        </w:rPr>
      </w:pPr>
      <w:r w:rsidRPr="001F2DE7">
        <w:rPr>
          <w:rFonts w:ascii="Arial" w:hAnsi="Arial" w:cs="Arial"/>
          <w:sz w:val="24"/>
          <w:szCs w:val="24"/>
        </w:rPr>
        <w:t xml:space="preserve">Heron, M. J., Belford, P., &amp; </w:t>
      </w:r>
      <w:proofErr w:type="spellStart"/>
      <w:r w:rsidRPr="001F2DE7">
        <w:rPr>
          <w:rFonts w:ascii="Arial" w:hAnsi="Arial" w:cs="Arial"/>
          <w:sz w:val="24"/>
          <w:szCs w:val="24"/>
        </w:rPr>
        <w:t>Goker</w:t>
      </w:r>
      <w:proofErr w:type="spellEnd"/>
      <w:r w:rsidRPr="001F2DE7">
        <w:rPr>
          <w:rFonts w:ascii="Arial" w:hAnsi="Arial" w:cs="Arial"/>
          <w:sz w:val="24"/>
          <w:szCs w:val="24"/>
        </w:rPr>
        <w:t>, A. (2014). Sexism in the circuitry: female participation in male-dominated popular computer culture. ACM SIGCAS Computers and Society, 44(4), 18-29.</w:t>
      </w:r>
    </w:p>
    <w:p w:rsidR="00B7155F" w:rsidRDefault="00F15C5B" w:rsidP="00004FBF">
      <w:pPr>
        <w:spacing w:line="480" w:lineRule="auto"/>
        <w:rPr>
          <w:rFonts w:ascii="Arial" w:hAnsi="Arial" w:cs="Arial"/>
          <w:sz w:val="24"/>
          <w:szCs w:val="24"/>
        </w:rPr>
      </w:pPr>
      <w:r w:rsidRPr="001F2DE7">
        <w:rPr>
          <w:rFonts w:ascii="Arial" w:hAnsi="Arial" w:cs="Arial"/>
          <w:sz w:val="24"/>
          <w:szCs w:val="24"/>
        </w:rPr>
        <w:t xml:space="preserve">Nagle, A. (2017). Kill all normies: Online culture wars from 4chan and Tumblr to Trump and the </w:t>
      </w:r>
      <w:proofErr w:type="gramStart"/>
      <w:r w:rsidRPr="001F2DE7">
        <w:rPr>
          <w:rFonts w:ascii="Arial" w:hAnsi="Arial" w:cs="Arial"/>
          <w:sz w:val="24"/>
          <w:szCs w:val="24"/>
        </w:rPr>
        <w:t>alt-right</w:t>
      </w:r>
      <w:proofErr w:type="gramEnd"/>
      <w:r w:rsidRPr="001F2DE7">
        <w:rPr>
          <w:rFonts w:ascii="Arial" w:hAnsi="Arial" w:cs="Arial"/>
          <w:sz w:val="24"/>
          <w:szCs w:val="24"/>
        </w:rPr>
        <w:t>. John Hunt Publishing.</w:t>
      </w:r>
    </w:p>
    <w:p w:rsidR="00266538" w:rsidRPr="001F2DE7" w:rsidRDefault="00266538" w:rsidP="00004FBF">
      <w:pPr>
        <w:spacing w:line="480" w:lineRule="auto"/>
        <w:rPr>
          <w:rFonts w:ascii="Arial" w:hAnsi="Arial" w:cs="Arial"/>
          <w:sz w:val="24"/>
          <w:szCs w:val="24"/>
        </w:rPr>
      </w:pPr>
      <w:r w:rsidRPr="00266538">
        <w:rPr>
          <w:rFonts w:ascii="Arial" w:hAnsi="Arial" w:cs="Arial"/>
          <w:sz w:val="24"/>
          <w:szCs w:val="24"/>
        </w:rPr>
        <w:t xml:space="preserve">Rodger, E. (2014). My Twisted World: The Story of Elliot Rodger. Retrieved </w:t>
      </w:r>
      <w:proofErr w:type="gramStart"/>
      <w:r w:rsidRPr="00266538">
        <w:rPr>
          <w:rFonts w:ascii="Arial" w:hAnsi="Arial" w:cs="Arial"/>
          <w:sz w:val="24"/>
          <w:szCs w:val="24"/>
        </w:rPr>
        <w:t>February,</w:t>
      </w:r>
      <w:proofErr w:type="gramEnd"/>
      <w:r w:rsidRPr="00266538">
        <w:rPr>
          <w:rFonts w:ascii="Arial" w:hAnsi="Arial" w:cs="Arial"/>
          <w:sz w:val="24"/>
          <w:szCs w:val="24"/>
        </w:rPr>
        <w:t xml:space="preserve"> 3, 2016.</w:t>
      </w:r>
    </w:p>
    <w:p w:rsidR="00B7155F" w:rsidRPr="001F2DE7" w:rsidRDefault="002F420B" w:rsidP="00004FBF">
      <w:pPr>
        <w:spacing w:line="480" w:lineRule="auto"/>
        <w:rPr>
          <w:rFonts w:ascii="Arial" w:hAnsi="Arial" w:cs="Arial"/>
          <w:sz w:val="24"/>
          <w:szCs w:val="24"/>
        </w:rPr>
      </w:pPr>
      <w:r w:rsidRPr="001F2DE7">
        <w:rPr>
          <w:rFonts w:ascii="Arial" w:hAnsi="Arial" w:cs="Arial"/>
          <w:sz w:val="24"/>
          <w:szCs w:val="24"/>
        </w:rPr>
        <w:t xml:space="preserve">Seabrook, R. C., Ward, L. M., &amp; </w:t>
      </w:r>
      <w:proofErr w:type="spellStart"/>
      <w:r w:rsidRPr="001F2DE7">
        <w:rPr>
          <w:rFonts w:ascii="Arial" w:hAnsi="Arial" w:cs="Arial"/>
          <w:sz w:val="24"/>
          <w:szCs w:val="24"/>
        </w:rPr>
        <w:t>Giaccardi</w:t>
      </w:r>
      <w:proofErr w:type="spellEnd"/>
      <w:r w:rsidRPr="001F2DE7">
        <w:rPr>
          <w:rFonts w:ascii="Arial" w:hAnsi="Arial" w:cs="Arial"/>
          <w:sz w:val="24"/>
          <w:szCs w:val="24"/>
        </w:rPr>
        <w:t>, S. (2018). Less than human? Media use, objectification of women, and men’s acceptance of sexual aggression. Psychology of Violence.</w:t>
      </w:r>
    </w:p>
    <w:p w:rsidR="00B7155F" w:rsidRPr="001F2DE7" w:rsidRDefault="002F420B" w:rsidP="00004FBF">
      <w:pPr>
        <w:spacing w:line="480" w:lineRule="auto"/>
        <w:rPr>
          <w:rFonts w:ascii="Arial" w:hAnsi="Arial" w:cs="Arial"/>
          <w:sz w:val="24"/>
          <w:szCs w:val="24"/>
        </w:rPr>
      </w:pPr>
      <w:r w:rsidRPr="001F2DE7">
        <w:rPr>
          <w:rFonts w:ascii="Arial" w:hAnsi="Arial" w:cs="Arial"/>
          <w:sz w:val="24"/>
          <w:szCs w:val="24"/>
        </w:rPr>
        <w:lastRenderedPageBreak/>
        <w:t xml:space="preserve">Slater, A., &amp; </w:t>
      </w:r>
      <w:proofErr w:type="spellStart"/>
      <w:r w:rsidRPr="001F2DE7">
        <w:rPr>
          <w:rFonts w:ascii="Arial" w:hAnsi="Arial" w:cs="Arial"/>
          <w:sz w:val="24"/>
          <w:szCs w:val="24"/>
        </w:rPr>
        <w:t>Tiggemann</w:t>
      </w:r>
      <w:proofErr w:type="spellEnd"/>
      <w:r w:rsidRPr="001F2DE7">
        <w:rPr>
          <w:rFonts w:ascii="Arial" w:hAnsi="Arial" w:cs="Arial"/>
          <w:sz w:val="24"/>
          <w:szCs w:val="24"/>
        </w:rPr>
        <w:t>, M. (2015). Media exposure, extracurricular activities, and appearance-related comments as predictors of female adolescents’ self-objectification. Psychology of Women Quarterly, 39(3), 375-389.</w:t>
      </w:r>
    </w:p>
    <w:p w:rsidR="00266538" w:rsidRDefault="00266538" w:rsidP="00004FBF">
      <w:pPr>
        <w:spacing w:line="480" w:lineRule="auto"/>
        <w:rPr>
          <w:rFonts w:ascii="Arial" w:hAnsi="Arial" w:cs="Arial"/>
          <w:sz w:val="24"/>
          <w:szCs w:val="24"/>
        </w:rPr>
      </w:pPr>
      <w:r w:rsidRPr="00266538">
        <w:rPr>
          <w:rFonts w:ascii="Arial" w:hAnsi="Arial" w:cs="Arial"/>
          <w:sz w:val="24"/>
          <w:szCs w:val="24"/>
        </w:rPr>
        <w:t xml:space="preserve">Tajfel, H., Turner, J. C., Austin, W. G., &amp; </w:t>
      </w:r>
      <w:proofErr w:type="spellStart"/>
      <w:r w:rsidRPr="00266538">
        <w:rPr>
          <w:rFonts w:ascii="Arial" w:hAnsi="Arial" w:cs="Arial"/>
          <w:sz w:val="24"/>
          <w:szCs w:val="24"/>
        </w:rPr>
        <w:t>Worchel</w:t>
      </w:r>
      <w:proofErr w:type="spellEnd"/>
      <w:r w:rsidRPr="00266538">
        <w:rPr>
          <w:rFonts w:ascii="Arial" w:hAnsi="Arial" w:cs="Arial"/>
          <w:sz w:val="24"/>
          <w:szCs w:val="24"/>
        </w:rPr>
        <w:t>, S. (1979). An integrative theory of intergroup conflict. Organizational identity: A reader, 56-65.</w:t>
      </w:r>
    </w:p>
    <w:p w:rsidR="00266538" w:rsidRPr="00266538" w:rsidRDefault="00266538" w:rsidP="00266538">
      <w:pPr>
        <w:spacing w:line="480" w:lineRule="auto"/>
        <w:rPr>
          <w:rFonts w:ascii="Arial" w:hAnsi="Arial" w:cs="Arial"/>
          <w:sz w:val="24"/>
          <w:szCs w:val="24"/>
        </w:rPr>
      </w:pPr>
      <w:proofErr w:type="spellStart"/>
      <w:r w:rsidRPr="00266538">
        <w:rPr>
          <w:rFonts w:ascii="Arial" w:hAnsi="Arial" w:cs="Arial"/>
          <w:sz w:val="24"/>
          <w:szCs w:val="24"/>
        </w:rPr>
        <w:t>Aberson</w:t>
      </w:r>
      <w:proofErr w:type="spellEnd"/>
      <w:r w:rsidRPr="00266538">
        <w:rPr>
          <w:rFonts w:ascii="Arial" w:hAnsi="Arial" w:cs="Arial"/>
          <w:sz w:val="24"/>
          <w:szCs w:val="24"/>
        </w:rPr>
        <w:t>, C. L. (2015). Positive intergroup contact, negative intergroup contact, and threat as predictors of cognitive and affective dimensions of prejudice. Group Processes &amp; Intergroup Relations, 18(6), 743-760.</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Campbell, C. (1992). Learning to kill? Masculinity, the family and violence in Natal. Journal of Southern African Studies, 18(3), 614-628.</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 xml:space="preserve">Fox, J., Cruz, C., &amp; Lee, J. Y. (2015). Perpetuating online sexism offline: Anonymity, interactivity, and the effects of sexist hashtags on social media. Computers in Human </w:t>
      </w:r>
      <w:proofErr w:type="spellStart"/>
      <w:r w:rsidRPr="00266538">
        <w:rPr>
          <w:rFonts w:ascii="Arial" w:hAnsi="Arial" w:cs="Arial"/>
          <w:sz w:val="24"/>
          <w:szCs w:val="24"/>
        </w:rPr>
        <w:t>Behavior</w:t>
      </w:r>
      <w:proofErr w:type="spellEnd"/>
      <w:r w:rsidRPr="00266538">
        <w:rPr>
          <w:rFonts w:ascii="Arial" w:hAnsi="Arial" w:cs="Arial"/>
          <w:sz w:val="24"/>
          <w:szCs w:val="24"/>
        </w:rPr>
        <w:t>, 52, 436-442.</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 xml:space="preserve">Griffin, Angela M., and Judith H. Langlois. "Stereotype directionality and attractiveness stereotyping: Is beauty good or is ugly </w:t>
      </w:r>
      <w:proofErr w:type="gramStart"/>
      <w:r w:rsidRPr="00266538">
        <w:rPr>
          <w:rFonts w:ascii="Arial" w:hAnsi="Arial" w:cs="Arial"/>
          <w:sz w:val="24"/>
          <w:szCs w:val="24"/>
        </w:rPr>
        <w:t>bad?.</w:t>
      </w:r>
      <w:proofErr w:type="gramEnd"/>
      <w:r w:rsidRPr="00266538">
        <w:rPr>
          <w:rFonts w:ascii="Arial" w:hAnsi="Arial" w:cs="Arial"/>
          <w:sz w:val="24"/>
          <w:szCs w:val="24"/>
        </w:rPr>
        <w:t>" Social cognition 24.2 (2006): 187-206.</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 xml:space="preserve">Heron, M. J., Belford, P., &amp; </w:t>
      </w:r>
      <w:proofErr w:type="spellStart"/>
      <w:r w:rsidRPr="00266538">
        <w:rPr>
          <w:rFonts w:ascii="Arial" w:hAnsi="Arial" w:cs="Arial"/>
          <w:sz w:val="24"/>
          <w:szCs w:val="24"/>
        </w:rPr>
        <w:t>Goker</w:t>
      </w:r>
      <w:proofErr w:type="spellEnd"/>
      <w:r w:rsidRPr="00266538">
        <w:rPr>
          <w:rFonts w:ascii="Arial" w:hAnsi="Arial" w:cs="Arial"/>
          <w:sz w:val="24"/>
          <w:szCs w:val="24"/>
        </w:rPr>
        <w:t>, A. (2014). Sexism in the circuitry: female participation in male-dominated popular computer culture. ACM SIGCAS Computers and Society, 44(4), 18-29.</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 xml:space="preserve">Nagle, A. (2017). Kill all normies: Online culture wars from 4chan and Tumblr to Trump and the </w:t>
      </w:r>
      <w:proofErr w:type="gramStart"/>
      <w:r w:rsidRPr="00266538">
        <w:rPr>
          <w:rFonts w:ascii="Arial" w:hAnsi="Arial" w:cs="Arial"/>
          <w:sz w:val="24"/>
          <w:szCs w:val="24"/>
        </w:rPr>
        <w:t>alt-right</w:t>
      </w:r>
      <w:proofErr w:type="gramEnd"/>
      <w:r w:rsidRPr="00266538">
        <w:rPr>
          <w:rFonts w:ascii="Arial" w:hAnsi="Arial" w:cs="Arial"/>
          <w:sz w:val="24"/>
          <w:szCs w:val="24"/>
        </w:rPr>
        <w:t>. John Hunt Publishing.</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 xml:space="preserve">Rodger, E. (2014). My Twisted World: The Story of Elliot Rodger. Retrieved </w:t>
      </w:r>
      <w:proofErr w:type="gramStart"/>
      <w:r w:rsidRPr="00266538">
        <w:rPr>
          <w:rFonts w:ascii="Arial" w:hAnsi="Arial" w:cs="Arial"/>
          <w:sz w:val="24"/>
          <w:szCs w:val="24"/>
        </w:rPr>
        <w:t>February,</w:t>
      </w:r>
      <w:proofErr w:type="gramEnd"/>
      <w:r w:rsidRPr="00266538">
        <w:rPr>
          <w:rFonts w:ascii="Arial" w:hAnsi="Arial" w:cs="Arial"/>
          <w:sz w:val="24"/>
          <w:szCs w:val="24"/>
        </w:rPr>
        <w:t xml:space="preserve"> 3, 2016.</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lastRenderedPageBreak/>
        <w:t xml:space="preserve">Seabrook, R. C., Ward, L. M., &amp; </w:t>
      </w:r>
      <w:proofErr w:type="spellStart"/>
      <w:r w:rsidRPr="00266538">
        <w:rPr>
          <w:rFonts w:ascii="Arial" w:hAnsi="Arial" w:cs="Arial"/>
          <w:sz w:val="24"/>
          <w:szCs w:val="24"/>
        </w:rPr>
        <w:t>Giaccardi</w:t>
      </w:r>
      <w:proofErr w:type="spellEnd"/>
      <w:r w:rsidRPr="00266538">
        <w:rPr>
          <w:rFonts w:ascii="Arial" w:hAnsi="Arial" w:cs="Arial"/>
          <w:sz w:val="24"/>
          <w:szCs w:val="24"/>
        </w:rPr>
        <w:t>, S. (2018). Less than human? Media use, objectification of women, and men’s acceptance of sexual aggression. Psychology of Violence.</w:t>
      </w:r>
    </w:p>
    <w:p w:rsidR="00266538" w:rsidRPr="00266538" w:rsidRDefault="00266538" w:rsidP="00266538">
      <w:pPr>
        <w:spacing w:line="480" w:lineRule="auto"/>
        <w:rPr>
          <w:rFonts w:ascii="Arial" w:hAnsi="Arial" w:cs="Arial"/>
          <w:sz w:val="24"/>
          <w:szCs w:val="24"/>
        </w:rPr>
      </w:pPr>
      <w:r w:rsidRPr="00266538">
        <w:rPr>
          <w:rFonts w:ascii="Arial" w:hAnsi="Arial" w:cs="Arial"/>
          <w:sz w:val="24"/>
          <w:szCs w:val="24"/>
        </w:rPr>
        <w:t xml:space="preserve">Slater, A., &amp; </w:t>
      </w:r>
      <w:proofErr w:type="spellStart"/>
      <w:r w:rsidRPr="00266538">
        <w:rPr>
          <w:rFonts w:ascii="Arial" w:hAnsi="Arial" w:cs="Arial"/>
          <w:sz w:val="24"/>
          <w:szCs w:val="24"/>
        </w:rPr>
        <w:t>Tiggemann</w:t>
      </w:r>
      <w:proofErr w:type="spellEnd"/>
      <w:r w:rsidRPr="00266538">
        <w:rPr>
          <w:rFonts w:ascii="Arial" w:hAnsi="Arial" w:cs="Arial"/>
          <w:sz w:val="24"/>
          <w:szCs w:val="24"/>
        </w:rPr>
        <w:t>, M. (2015). Media exposure, extracurricular activities, and appearance-related comments as predictors of female adolescents’ self-objectification. Psychology of Women Quarterly, 39(3), 375-389.</w:t>
      </w:r>
    </w:p>
    <w:p w:rsidR="00266538" w:rsidRPr="001F2DE7" w:rsidRDefault="00266538" w:rsidP="00266538">
      <w:pPr>
        <w:spacing w:line="480" w:lineRule="auto"/>
        <w:rPr>
          <w:rFonts w:ascii="Arial" w:hAnsi="Arial" w:cs="Arial"/>
          <w:sz w:val="24"/>
          <w:szCs w:val="24"/>
        </w:rPr>
      </w:pPr>
      <w:r w:rsidRPr="00266538">
        <w:rPr>
          <w:rFonts w:ascii="Arial" w:hAnsi="Arial" w:cs="Arial"/>
          <w:sz w:val="24"/>
          <w:szCs w:val="24"/>
        </w:rPr>
        <w:t xml:space="preserve">Tajfel, H., Turner, J. C., Austin, W. G., &amp; </w:t>
      </w:r>
      <w:proofErr w:type="spellStart"/>
      <w:r w:rsidRPr="00266538">
        <w:rPr>
          <w:rFonts w:ascii="Arial" w:hAnsi="Arial" w:cs="Arial"/>
          <w:sz w:val="24"/>
          <w:szCs w:val="24"/>
        </w:rPr>
        <w:t>Worchel</w:t>
      </w:r>
      <w:proofErr w:type="spellEnd"/>
      <w:r w:rsidRPr="00266538">
        <w:rPr>
          <w:rFonts w:ascii="Arial" w:hAnsi="Arial" w:cs="Arial"/>
          <w:sz w:val="24"/>
          <w:szCs w:val="24"/>
        </w:rPr>
        <w:t>, S. (1979). An integrative theory of intergroup conflict. Organizational identity: A reader, 56-65.</w:t>
      </w:r>
    </w:p>
    <w:sectPr w:rsidR="00266538" w:rsidRPr="001F2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8AB"/>
    <w:rsid w:val="00004FBF"/>
    <w:rsid w:val="00067A30"/>
    <w:rsid w:val="001C277B"/>
    <w:rsid w:val="001F2DE7"/>
    <w:rsid w:val="00266538"/>
    <w:rsid w:val="00266EBD"/>
    <w:rsid w:val="002F420B"/>
    <w:rsid w:val="00340019"/>
    <w:rsid w:val="00347C62"/>
    <w:rsid w:val="003C55A5"/>
    <w:rsid w:val="00406775"/>
    <w:rsid w:val="00470922"/>
    <w:rsid w:val="005447DE"/>
    <w:rsid w:val="00545E26"/>
    <w:rsid w:val="00594D34"/>
    <w:rsid w:val="00616871"/>
    <w:rsid w:val="006B69D7"/>
    <w:rsid w:val="007D39C7"/>
    <w:rsid w:val="007E0751"/>
    <w:rsid w:val="008E3DE5"/>
    <w:rsid w:val="008F5F57"/>
    <w:rsid w:val="0092236F"/>
    <w:rsid w:val="009678E1"/>
    <w:rsid w:val="009A7DFF"/>
    <w:rsid w:val="009C6E1A"/>
    <w:rsid w:val="00A340F1"/>
    <w:rsid w:val="00A668AB"/>
    <w:rsid w:val="00A77557"/>
    <w:rsid w:val="00A805A2"/>
    <w:rsid w:val="00A907BC"/>
    <w:rsid w:val="00AA70E1"/>
    <w:rsid w:val="00AB237E"/>
    <w:rsid w:val="00AB5938"/>
    <w:rsid w:val="00AD33D3"/>
    <w:rsid w:val="00B41DE5"/>
    <w:rsid w:val="00B7155F"/>
    <w:rsid w:val="00C44267"/>
    <w:rsid w:val="00CE1BAF"/>
    <w:rsid w:val="00D57DB6"/>
    <w:rsid w:val="00E244B8"/>
    <w:rsid w:val="00EE3EFC"/>
    <w:rsid w:val="00F00D5C"/>
    <w:rsid w:val="00F15C5B"/>
    <w:rsid w:val="00F4209F"/>
    <w:rsid w:val="00F67705"/>
    <w:rsid w:val="00FC3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0B29"/>
  <w15:chartTrackingRefBased/>
  <w15:docId w15:val="{388FA511-5A64-438A-B8D2-D9A9FB69D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5726">
      <w:bodyDiv w:val="1"/>
      <w:marLeft w:val="0"/>
      <w:marRight w:val="0"/>
      <w:marTop w:val="0"/>
      <w:marBottom w:val="0"/>
      <w:divBdr>
        <w:top w:val="none" w:sz="0" w:space="0" w:color="auto"/>
        <w:left w:val="none" w:sz="0" w:space="0" w:color="auto"/>
        <w:bottom w:val="none" w:sz="0" w:space="0" w:color="auto"/>
        <w:right w:val="none" w:sz="0" w:space="0" w:color="auto"/>
      </w:divBdr>
      <w:divsChild>
        <w:div w:id="115687121">
          <w:marLeft w:val="0"/>
          <w:marRight w:val="0"/>
          <w:marTop w:val="0"/>
          <w:marBottom w:val="0"/>
          <w:divBdr>
            <w:top w:val="none" w:sz="0" w:space="0" w:color="auto"/>
            <w:left w:val="none" w:sz="0" w:space="0" w:color="auto"/>
            <w:bottom w:val="none" w:sz="0" w:space="0" w:color="auto"/>
            <w:right w:val="none" w:sz="0" w:space="0" w:color="auto"/>
          </w:divBdr>
        </w:div>
      </w:divsChild>
    </w:div>
    <w:div w:id="363529416">
      <w:bodyDiv w:val="1"/>
      <w:marLeft w:val="0"/>
      <w:marRight w:val="0"/>
      <w:marTop w:val="0"/>
      <w:marBottom w:val="0"/>
      <w:divBdr>
        <w:top w:val="none" w:sz="0" w:space="0" w:color="auto"/>
        <w:left w:val="none" w:sz="0" w:space="0" w:color="auto"/>
        <w:bottom w:val="none" w:sz="0" w:space="0" w:color="auto"/>
        <w:right w:val="none" w:sz="0" w:space="0" w:color="auto"/>
      </w:divBdr>
      <w:divsChild>
        <w:div w:id="1328627233">
          <w:marLeft w:val="0"/>
          <w:marRight w:val="0"/>
          <w:marTop w:val="0"/>
          <w:marBottom w:val="0"/>
          <w:divBdr>
            <w:top w:val="none" w:sz="0" w:space="0" w:color="auto"/>
            <w:left w:val="none" w:sz="0" w:space="0" w:color="auto"/>
            <w:bottom w:val="none" w:sz="0" w:space="0" w:color="auto"/>
            <w:right w:val="none" w:sz="0" w:space="0" w:color="auto"/>
          </w:divBdr>
        </w:div>
      </w:divsChild>
    </w:div>
    <w:div w:id="445740293">
      <w:bodyDiv w:val="1"/>
      <w:marLeft w:val="0"/>
      <w:marRight w:val="0"/>
      <w:marTop w:val="0"/>
      <w:marBottom w:val="0"/>
      <w:divBdr>
        <w:top w:val="none" w:sz="0" w:space="0" w:color="auto"/>
        <w:left w:val="none" w:sz="0" w:space="0" w:color="auto"/>
        <w:bottom w:val="none" w:sz="0" w:space="0" w:color="auto"/>
        <w:right w:val="none" w:sz="0" w:space="0" w:color="auto"/>
      </w:divBdr>
      <w:divsChild>
        <w:div w:id="684794860">
          <w:marLeft w:val="0"/>
          <w:marRight w:val="0"/>
          <w:marTop w:val="0"/>
          <w:marBottom w:val="0"/>
          <w:divBdr>
            <w:top w:val="none" w:sz="0" w:space="0" w:color="auto"/>
            <w:left w:val="none" w:sz="0" w:space="0" w:color="auto"/>
            <w:bottom w:val="none" w:sz="0" w:space="0" w:color="auto"/>
            <w:right w:val="none" w:sz="0" w:space="0" w:color="auto"/>
          </w:divBdr>
        </w:div>
      </w:divsChild>
    </w:div>
    <w:div w:id="561522831">
      <w:bodyDiv w:val="1"/>
      <w:marLeft w:val="0"/>
      <w:marRight w:val="0"/>
      <w:marTop w:val="0"/>
      <w:marBottom w:val="0"/>
      <w:divBdr>
        <w:top w:val="none" w:sz="0" w:space="0" w:color="auto"/>
        <w:left w:val="none" w:sz="0" w:space="0" w:color="auto"/>
        <w:bottom w:val="none" w:sz="0" w:space="0" w:color="auto"/>
        <w:right w:val="none" w:sz="0" w:space="0" w:color="auto"/>
      </w:divBdr>
      <w:divsChild>
        <w:div w:id="1492527228">
          <w:marLeft w:val="0"/>
          <w:marRight w:val="0"/>
          <w:marTop w:val="0"/>
          <w:marBottom w:val="0"/>
          <w:divBdr>
            <w:top w:val="none" w:sz="0" w:space="0" w:color="auto"/>
            <w:left w:val="none" w:sz="0" w:space="0" w:color="auto"/>
            <w:bottom w:val="none" w:sz="0" w:space="0" w:color="auto"/>
            <w:right w:val="none" w:sz="0" w:space="0" w:color="auto"/>
          </w:divBdr>
        </w:div>
      </w:divsChild>
    </w:div>
    <w:div w:id="585579501">
      <w:bodyDiv w:val="1"/>
      <w:marLeft w:val="0"/>
      <w:marRight w:val="0"/>
      <w:marTop w:val="0"/>
      <w:marBottom w:val="0"/>
      <w:divBdr>
        <w:top w:val="none" w:sz="0" w:space="0" w:color="auto"/>
        <w:left w:val="none" w:sz="0" w:space="0" w:color="auto"/>
        <w:bottom w:val="none" w:sz="0" w:space="0" w:color="auto"/>
        <w:right w:val="none" w:sz="0" w:space="0" w:color="auto"/>
      </w:divBdr>
      <w:divsChild>
        <w:div w:id="1171674713">
          <w:marLeft w:val="0"/>
          <w:marRight w:val="0"/>
          <w:marTop w:val="0"/>
          <w:marBottom w:val="0"/>
          <w:divBdr>
            <w:top w:val="none" w:sz="0" w:space="0" w:color="auto"/>
            <w:left w:val="none" w:sz="0" w:space="0" w:color="auto"/>
            <w:bottom w:val="none" w:sz="0" w:space="0" w:color="auto"/>
            <w:right w:val="none" w:sz="0" w:space="0" w:color="auto"/>
          </w:divBdr>
        </w:div>
      </w:divsChild>
    </w:div>
    <w:div w:id="833565025">
      <w:bodyDiv w:val="1"/>
      <w:marLeft w:val="0"/>
      <w:marRight w:val="0"/>
      <w:marTop w:val="0"/>
      <w:marBottom w:val="0"/>
      <w:divBdr>
        <w:top w:val="none" w:sz="0" w:space="0" w:color="auto"/>
        <w:left w:val="none" w:sz="0" w:space="0" w:color="auto"/>
        <w:bottom w:val="none" w:sz="0" w:space="0" w:color="auto"/>
        <w:right w:val="none" w:sz="0" w:space="0" w:color="auto"/>
      </w:divBdr>
      <w:divsChild>
        <w:div w:id="2005205944">
          <w:marLeft w:val="0"/>
          <w:marRight w:val="0"/>
          <w:marTop w:val="0"/>
          <w:marBottom w:val="0"/>
          <w:divBdr>
            <w:top w:val="none" w:sz="0" w:space="0" w:color="auto"/>
            <w:left w:val="none" w:sz="0" w:space="0" w:color="auto"/>
            <w:bottom w:val="none" w:sz="0" w:space="0" w:color="auto"/>
            <w:right w:val="none" w:sz="0" w:space="0" w:color="auto"/>
          </w:divBdr>
        </w:div>
      </w:divsChild>
    </w:div>
    <w:div w:id="913928456">
      <w:bodyDiv w:val="1"/>
      <w:marLeft w:val="0"/>
      <w:marRight w:val="0"/>
      <w:marTop w:val="0"/>
      <w:marBottom w:val="0"/>
      <w:divBdr>
        <w:top w:val="none" w:sz="0" w:space="0" w:color="auto"/>
        <w:left w:val="none" w:sz="0" w:space="0" w:color="auto"/>
        <w:bottom w:val="none" w:sz="0" w:space="0" w:color="auto"/>
        <w:right w:val="none" w:sz="0" w:space="0" w:color="auto"/>
      </w:divBdr>
      <w:divsChild>
        <w:div w:id="1999645507">
          <w:marLeft w:val="0"/>
          <w:marRight w:val="0"/>
          <w:marTop w:val="0"/>
          <w:marBottom w:val="0"/>
          <w:divBdr>
            <w:top w:val="none" w:sz="0" w:space="0" w:color="auto"/>
            <w:left w:val="none" w:sz="0" w:space="0" w:color="auto"/>
            <w:bottom w:val="none" w:sz="0" w:space="0" w:color="auto"/>
            <w:right w:val="none" w:sz="0" w:space="0" w:color="auto"/>
          </w:divBdr>
        </w:div>
      </w:divsChild>
    </w:div>
    <w:div w:id="1051727044">
      <w:bodyDiv w:val="1"/>
      <w:marLeft w:val="0"/>
      <w:marRight w:val="0"/>
      <w:marTop w:val="0"/>
      <w:marBottom w:val="0"/>
      <w:divBdr>
        <w:top w:val="none" w:sz="0" w:space="0" w:color="auto"/>
        <w:left w:val="none" w:sz="0" w:space="0" w:color="auto"/>
        <w:bottom w:val="none" w:sz="0" w:space="0" w:color="auto"/>
        <w:right w:val="none" w:sz="0" w:space="0" w:color="auto"/>
      </w:divBdr>
      <w:divsChild>
        <w:div w:id="1724477356">
          <w:marLeft w:val="0"/>
          <w:marRight w:val="0"/>
          <w:marTop w:val="0"/>
          <w:marBottom w:val="0"/>
          <w:divBdr>
            <w:top w:val="none" w:sz="0" w:space="0" w:color="auto"/>
            <w:left w:val="none" w:sz="0" w:space="0" w:color="auto"/>
            <w:bottom w:val="none" w:sz="0" w:space="0" w:color="auto"/>
            <w:right w:val="none" w:sz="0" w:space="0" w:color="auto"/>
          </w:divBdr>
        </w:div>
      </w:divsChild>
    </w:div>
    <w:div w:id="1664892311">
      <w:bodyDiv w:val="1"/>
      <w:marLeft w:val="0"/>
      <w:marRight w:val="0"/>
      <w:marTop w:val="0"/>
      <w:marBottom w:val="0"/>
      <w:divBdr>
        <w:top w:val="none" w:sz="0" w:space="0" w:color="auto"/>
        <w:left w:val="none" w:sz="0" w:space="0" w:color="auto"/>
        <w:bottom w:val="none" w:sz="0" w:space="0" w:color="auto"/>
        <w:right w:val="none" w:sz="0" w:space="0" w:color="auto"/>
      </w:divBdr>
      <w:divsChild>
        <w:div w:id="95783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12</Pages>
  <Words>2993</Words>
  <Characters>17065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Dade</dc:creator>
  <cp:keywords/>
  <dc:description/>
  <cp:lastModifiedBy>Dade</cp:lastModifiedBy>
  <cp:revision>1</cp:revision>
  <dcterms:created xsi:type="dcterms:W3CDTF">2019-05-25T08:03:00Z</dcterms:created>
  <dcterms:modified xsi:type="dcterms:W3CDTF">2019-05-25T19:14:00Z</dcterms:modified>
</cp:coreProperties>
</file>