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Y="4588"/>
        <w:tblW w:w="0" w:type="auto"/>
        <w:tblLook w:val="04A0" w:firstRow="1" w:lastRow="0" w:firstColumn="1" w:lastColumn="0" w:noHBand="0" w:noVBand="1"/>
      </w:tblPr>
      <w:tblGrid>
        <w:gridCol w:w="2254"/>
        <w:gridCol w:w="2254"/>
        <w:gridCol w:w="2254"/>
        <w:gridCol w:w="2254"/>
      </w:tblGrid>
      <w:tr w:rsidR="009B74EF" w14:paraId="669BF616" w14:textId="77777777" w:rsidTr="004F13BE">
        <w:tc>
          <w:tcPr>
            <w:tcW w:w="2254" w:type="dxa"/>
          </w:tcPr>
          <w:p w14:paraId="5C735F1B" w14:textId="1A50B40C" w:rsidR="009B74EF" w:rsidRPr="00946B81" w:rsidRDefault="009B74EF" w:rsidP="004F13BE">
            <w:pPr>
              <w:spacing w:line="360" w:lineRule="auto"/>
              <w:jc w:val="both"/>
              <w:rPr>
                <w:rFonts w:ascii="Times New Roman" w:hAnsi="Times New Roman" w:cs="Times New Roman"/>
                <w:b/>
                <w:bCs/>
                <w:sz w:val="24"/>
                <w:szCs w:val="24"/>
              </w:rPr>
            </w:pPr>
            <w:r w:rsidRPr="00946B81">
              <w:rPr>
                <w:rFonts w:ascii="Times New Roman" w:hAnsi="Times New Roman" w:cs="Times New Roman"/>
                <w:b/>
                <w:bCs/>
              </w:rPr>
              <w:t xml:space="preserve">Programme: </w:t>
            </w:r>
          </w:p>
        </w:tc>
        <w:tc>
          <w:tcPr>
            <w:tcW w:w="6762" w:type="dxa"/>
            <w:gridSpan w:val="3"/>
          </w:tcPr>
          <w:p w14:paraId="400DA5BC" w14:textId="28CF3656" w:rsidR="009B74EF" w:rsidRDefault="009B74EF" w:rsidP="004F13BE">
            <w:pPr>
              <w:spacing w:line="360" w:lineRule="auto"/>
              <w:jc w:val="both"/>
              <w:rPr>
                <w:rFonts w:ascii="Times New Roman" w:hAnsi="Times New Roman" w:cs="Times New Roman"/>
                <w:sz w:val="24"/>
                <w:szCs w:val="24"/>
              </w:rPr>
            </w:pPr>
            <w:r w:rsidRPr="008A499D">
              <w:t xml:space="preserve">Master of Business Administration </w:t>
            </w:r>
          </w:p>
        </w:tc>
      </w:tr>
      <w:tr w:rsidR="009B74EF" w14:paraId="4C6FCBB7" w14:textId="77777777" w:rsidTr="004F13BE">
        <w:tc>
          <w:tcPr>
            <w:tcW w:w="2254" w:type="dxa"/>
          </w:tcPr>
          <w:p w14:paraId="083C8D33" w14:textId="25180122" w:rsidR="009B74EF" w:rsidRPr="00946B81" w:rsidRDefault="009B74EF" w:rsidP="004F13BE">
            <w:pPr>
              <w:spacing w:line="360" w:lineRule="auto"/>
              <w:jc w:val="both"/>
              <w:rPr>
                <w:rFonts w:ascii="Times New Roman" w:hAnsi="Times New Roman" w:cs="Times New Roman"/>
                <w:b/>
                <w:bCs/>
                <w:sz w:val="24"/>
                <w:szCs w:val="24"/>
              </w:rPr>
            </w:pPr>
            <w:r w:rsidRPr="00946B81">
              <w:rPr>
                <w:rFonts w:ascii="Times New Roman" w:hAnsi="Times New Roman" w:cs="Times New Roman"/>
                <w:b/>
                <w:bCs/>
              </w:rPr>
              <w:t xml:space="preserve">Module: </w:t>
            </w:r>
          </w:p>
        </w:tc>
        <w:tc>
          <w:tcPr>
            <w:tcW w:w="6762" w:type="dxa"/>
            <w:gridSpan w:val="3"/>
          </w:tcPr>
          <w:p w14:paraId="072C601C" w14:textId="5591ECCF" w:rsidR="009B74EF" w:rsidRDefault="009B74EF" w:rsidP="004F13BE">
            <w:pPr>
              <w:spacing w:line="360" w:lineRule="auto"/>
              <w:jc w:val="both"/>
              <w:rPr>
                <w:rFonts w:ascii="Times New Roman" w:hAnsi="Times New Roman" w:cs="Times New Roman"/>
                <w:sz w:val="24"/>
                <w:szCs w:val="24"/>
              </w:rPr>
            </w:pPr>
            <w:r w:rsidRPr="008A499D">
              <w:t xml:space="preserve">Strategic Management </w:t>
            </w:r>
          </w:p>
        </w:tc>
      </w:tr>
      <w:tr w:rsidR="009B74EF" w14:paraId="77BAB6C1" w14:textId="77777777" w:rsidTr="004F13BE">
        <w:tc>
          <w:tcPr>
            <w:tcW w:w="2254" w:type="dxa"/>
          </w:tcPr>
          <w:p w14:paraId="77E7187F" w14:textId="2FDA30A6" w:rsidR="009B74EF" w:rsidRPr="00946B81" w:rsidRDefault="009B74EF" w:rsidP="004F13BE">
            <w:pPr>
              <w:spacing w:line="360" w:lineRule="auto"/>
              <w:jc w:val="both"/>
              <w:rPr>
                <w:rFonts w:ascii="Times New Roman" w:hAnsi="Times New Roman" w:cs="Times New Roman"/>
                <w:b/>
                <w:bCs/>
                <w:sz w:val="24"/>
                <w:szCs w:val="24"/>
              </w:rPr>
            </w:pPr>
            <w:r w:rsidRPr="00946B81">
              <w:rPr>
                <w:rFonts w:ascii="Times New Roman" w:hAnsi="Times New Roman" w:cs="Times New Roman"/>
                <w:b/>
                <w:bCs/>
              </w:rPr>
              <w:t>Module code:</w:t>
            </w:r>
          </w:p>
        </w:tc>
        <w:tc>
          <w:tcPr>
            <w:tcW w:w="2254" w:type="dxa"/>
          </w:tcPr>
          <w:p w14:paraId="77A3CB5A" w14:textId="08299296" w:rsidR="009B74EF" w:rsidRDefault="009B74EF" w:rsidP="004F13BE">
            <w:pPr>
              <w:spacing w:line="360" w:lineRule="auto"/>
              <w:jc w:val="both"/>
              <w:rPr>
                <w:rFonts w:ascii="Times New Roman" w:hAnsi="Times New Roman" w:cs="Times New Roman"/>
                <w:sz w:val="24"/>
                <w:szCs w:val="24"/>
              </w:rPr>
            </w:pPr>
            <w:r w:rsidRPr="005921C6">
              <w:t xml:space="preserve">LCMB7003 </w:t>
            </w:r>
          </w:p>
        </w:tc>
        <w:tc>
          <w:tcPr>
            <w:tcW w:w="2254" w:type="dxa"/>
          </w:tcPr>
          <w:p w14:paraId="1223ACB8" w14:textId="77777777" w:rsidR="009B74EF" w:rsidRPr="00946B81" w:rsidRDefault="009B74EF" w:rsidP="004F13BE">
            <w:pPr>
              <w:spacing w:line="360" w:lineRule="auto"/>
              <w:jc w:val="both"/>
              <w:rPr>
                <w:rFonts w:ascii="Times New Roman" w:hAnsi="Times New Roman" w:cs="Times New Roman"/>
                <w:b/>
                <w:bCs/>
              </w:rPr>
            </w:pPr>
            <w:r w:rsidRPr="00946B81">
              <w:rPr>
                <w:rFonts w:ascii="Times New Roman" w:hAnsi="Times New Roman" w:cs="Times New Roman"/>
                <w:b/>
                <w:bCs/>
              </w:rPr>
              <w:t xml:space="preserve">Contribution to </w:t>
            </w:r>
          </w:p>
          <w:p w14:paraId="7DA5D9FE" w14:textId="77777777" w:rsidR="009B74EF" w:rsidRPr="00946B81" w:rsidRDefault="009B74EF" w:rsidP="004F13BE">
            <w:pPr>
              <w:spacing w:line="360" w:lineRule="auto"/>
              <w:jc w:val="both"/>
              <w:rPr>
                <w:rFonts w:ascii="Times New Roman" w:hAnsi="Times New Roman" w:cs="Times New Roman"/>
                <w:b/>
                <w:bCs/>
              </w:rPr>
            </w:pPr>
            <w:r w:rsidRPr="00946B81">
              <w:rPr>
                <w:rFonts w:ascii="Times New Roman" w:hAnsi="Times New Roman" w:cs="Times New Roman"/>
                <w:b/>
                <w:bCs/>
              </w:rPr>
              <w:t xml:space="preserve">Overall Module </w:t>
            </w:r>
          </w:p>
          <w:p w14:paraId="61BD286A" w14:textId="5EA8EC98" w:rsidR="009B74EF" w:rsidRPr="00946B81" w:rsidRDefault="009B74EF" w:rsidP="004F13BE">
            <w:pPr>
              <w:spacing w:line="360" w:lineRule="auto"/>
              <w:jc w:val="both"/>
              <w:rPr>
                <w:rFonts w:ascii="Times New Roman" w:hAnsi="Times New Roman" w:cs="Times New Roman"/>
                <w:b/>
                <w:bCs/>
              </w:rPr>
            </w:pPr>
            <w:r w:rsidRPr="00946B81">
              <w:rPr>
                <w:rFonts w:ascii="Times New Roman" w:hAnsi="Times New Roman" w:cs="Times New Roman"/>
                <w:b/>
                <w:bCs/>
              </w:rPr>
              <w:t xml:space="preserve">Assessment (%): </w:t>
            </w:r>
          </w:p>
        </w:tc>
        <w:tc>
          <w:tcPr>
            <w:tcW w:w="2254" w:type="dxa"/>
          </w:tcPr>
          <w:p w14:paraId="30C459ED" w14:textId="25E4A6CB" w:rsidR="009B74EF" w:rsidRDefault="009B74EF" w:rsidP="004F13BE">
            <w:pPr>
              <w:spacing w:line="360" w:lineRule="auto"/>
              <w:jc w:val="both"/>
              <w:rPr>
                <w:rFonts w:ascii="Times New Roman" w:hAnsi="Times New Roman" w:cs="Times New Roman"/>
                <w:sz w:val="24"/>
                <w:szCs w:val="24"/>
              </w:rPr>
            </w:pPr>
            <w:r>
              <w:rPr>
                <w:rFonts w:ascii="Times New Roman" w:hAnsi="Times New Roman" w:cs="Times New Roman"/>
                <w:sz w:val="24"/>
                <w:szCs w:val="24"/>
              </w:rPr>
              <w:t>100%</w:t>
            </w:r>
          </w:p>
        </w:tc>
      </w:tr>
      <w:tr w:rsidR="009B74EF" w14:paraId="4F6781B3" w14:textId="77777777" w:rsidTr="004F13BE">
        <w:tc>
          <w:tcPr>
            <w:tcW w:w="2254" w:type="dxa"/>
          </w:tcPr>
          <w:p w14:paraId="51020C43" w14:textId="166660B0" w:rsidR="009B74EF" w:rsidRPr="00946B81" w:rsidRDefault="009B74EF" w:rsidP="004F13BE">
            <w:pPr>
              <w:spacing w:line="360" w:lineRule="auto"/>
              <w:jc w:val="both"/>
              <w:rPr>
                <w:rFonts w:ascii="Times New Roman" w:hAnsi="Times New Roman" w:cs="Times New Roman"/>
                <w:b/>
                <w:bCs/>
                <w:sz w:val="24"/>
                <w:szCs w:val="24"/>
              </w:rPr>
            </w:pPr>
            <w:r w:rsidRPr="00946B81">
              <w:rPr>
                <w:rFonts w:ascii="Times New Roman" w:hAnsi="Times New Roman" w:cs="Times New Roman"/>
                <w:b/>
                <w:bCs/>
              </w:rPr>
              <w:t xml:space="preserve">Lecturer: </w:t>
            </w:r>
          </w:p>
        </w:tc>
        <w:tc>
          <w:tcPr>
            <w:tcW w:w="2254" w:type="dxa"/>
          </w:tcPr>
          <w:p w14:paraId="569D53CF" w14:textId="1C6F4D95" w:rsidR="009B74EF" w:rsidRPr="004C35E6" w:rsidRDefault="00755EC7" w:rsidP="004F13BE">
            <w:pPr>
              <w:spacing w:line="360" w:lineRule="auto"/>
              <w:jc w:val="both"/>
              <w:rPr>
                <w:rFonts w:ascii="Times New Roman" w:hAnsi="Times New Roman" w:cs="Kartika" w:hint="cs"/>
                <w:sz w:val="24"/>
                <w:szCs w:val="24"/>
                <w:lang w:bidi="ml-IN"/>
              </w:rPr>
            </w:pPr>
            <w:r>
              <w:rPr>
                <w:rFonts w:ascii="Times New Roman" w:hAnsi="Times New Roman" w:cs="Kartika" w:hint="cs"/>
                <w:sz w:val="24"/>
                <w:szCs w:val="24"/>
                <w:lang w:bidi="ml-IN"/>
              </w:rPr>
              <w:t>Jia Miao</w:t>
            </w:r>
          </w:p>
        </w:tc>
        <w:tc>
          <w:tcPr>
            <w:tcW w:w="2254" w:type="dxa"/>
          </w:tcPr>
          <w:p w14:paraId="6CB98EFE" w14:textId="233587E6" w:rsidR="009B74EF" w:rsidRPr="00946B81" w:rsidRDefault="009B74EF" w:rsidP="004F13BE">
            <w:pPr>
              <w:spacing w:line="360" w:lineRule="auto"/>
              <w:jc w:val="both"/>
              <w:rPr>
                <w:rFonts w:ascii="Times New Roman" w:hAnsi="Times New Roman" w:cs="Times New Roman"/>
                <w:b/>
                <w:bCs/>
              </w:rPr>
            </w:pPr>
            <w:r w:rsidRPr="00946B81">
              <w:rPr>
                <w:rFonts w:ascii="Times New Roman" w:hAnsi="Times New Roman" w:cs="Times New Roman"/>
                <w:b/>
                <w:bCs/>
              </w:rPr>
              <w:t xml:space="preserve">Internal Verifier: </w:t>
            </w:r>
          </w:p>
          <w:p w14:paraId="6CA5147F" w14:textId="2DF90706" w:rsidR="009B74EF" w:rsidRPr="00946B81" w:rsidRDefault="009B74EF" w:rsidP="004F13BE">
            <w:pPr>
              <w:spacing w:line="360" w:lineRule="auto"/>
              <w:jc w:val="both"/>
              <w:rPr>
                <w:rFonts w:ascii="Times New Roman" w:hAnsi="Times New Roman" w:cs="Times New Roman"/>
                <w:b/>
                <w:bCs/>
              </w:rPr>
            </w:pPr>
          </w:p>
        </w:tc>
        <w:tc>
          <w:tcPr>
            <w:tcW w:w="2254" w:type="dxa"/>
          </w:tcPr>
          <w:p w14:paraId="4F48E0C6" w14:textId="77777777" w:rsidR="009B74EF" w:rsidRPr="009B74EF" w:rsidRDefault="009B74EF" w:rsidP="004F13BE">
            <w:pPr>
              <w:spacing w:line="360" w:lineRule="auto"/>
              <w:jc w:val="both"/>
              <w:rPr>
                <w:rFonts w:ascii="Times New Roman" w:hAnsi="Times New Roman" w:cs="Times New Roman"/>
                <w:sz w:val="24"/>
                <w:szCs w:val="24"/>
              </w:rPr>
            </w:pPr>
            <w:r w:rsidRPr="009B74EF">
              <w:rPr>
                <w:rFonts w:ascii="Times New Roman" w:hAnsi="Times New Roman" w:cs="Times New Roman"/>
                <w:sz w:val="24"/>
                <w:szCs w:val="24"/>
              </w:rPr>
              <w:t xml:space="preserve">Vasilios Tavlaridis </w:t>
            </w:r>
          </w:p>
          <w:p w14:paraId="14104659" w14:textId="39E3FBA6" w:rsidR="009B74EF" w:rsidRDefault="009B74EF" w:rsidP="004F13BE">
            <w:pPr>
              <w:spacing w:line="360" w:lineRule="auto"/>
              <w:jc w:val="both"/>
              <w:rPr>
                <w:rFonts w:ascii="Times New Roman" w:hAnsi="Times New Roman" w:cs="Times New Roman"/>
                <w:sz w:val="24"/>
                <w:szCs w:val="24"/>
              </w:rPr>
            </w:pPr>
            <w:r w:rsidRPr="009B74EF">
              <w:rPr>
                <w:rFonts w:ascii="Times New Roman" w:hAnsi="Times New Roman" w:cs="Times New Roman"/>
                <w:sz w:val="24"/>
                <w:szCs w:val="24"/>
              </w:rPr>
              <w:t>and Hoang Nguyen</w:t>
            </w:r>
          </w:p>
        </w:tc>
      </w:tr>
      <w:tr w:rsidR="009B74EF" w14:paraId="2E8E634B" w14:textId="77777777" w:rsidTr="004F13BE">
        <w:tc>
          <w:tcPr>
            <w:tcW w:w="2254" w:type="dxa"/>
          </w:tcPr>
          <w:p w14:paraId="50E780CD" w14:textId="291DA7C6" w:rsidR="009B74EF" w:rsidRPr="00946B81" w:rsidRDefault="009B74EF" w:rsidP="004F13BE">
            <w:pPr>
              <w:spacing w:line="360" w:lineRule="auto"/>
              <w:jc w:val="both"/>
              <w:rPr>
                <w:rFonts w:ascii="Times New Roman" w:hAnsi="Times New Roman" w:cs="Times New Roman"/>
                <w:b/>
                <w:bCs/>
                <w:sz w:val="24"/>
                <w:szCs w:val="24"/>
              </w:rPr>
            </w:pPr>
            <w:r w:rsidRPr="00946B81">
              <w:rPr>
                <w:rFonts w:ascii="Times New Roman" w:hAnsi="Times New Roman" w:cs="Times New Roman"/>
                <w:b/>
                <w:bCs/>
              </w:rPr>
              <w:t xml:space="preserve">Assignment Title: </w:t>
            </w:r>
          </w:p>
        </w:tc>
        <w:tc>
          <w:tcPr>
            <w:tcW w:w="2254" w:type="dxa"/>
          </w:tcPr>
          <w:p w14:paraId="5C450AF8" w14:textId="6EF40B1A" w:rsidR="009B74EF" w:rsidRDefault="009B74EF" w:rsidP="004F13BE">
            <w:pPr>
              <w:spacing w:line="360" w:lineRule="auto"/>
              <w:jc w:val="both"/>
              <w:rPr>
                <w:rFonts w:ascii="Times New Roman" w:hAnsi="Times New Roman" w:cs="Times New Roman"/>
                <w:sz w:val="24"/>
                <w:szCs w:val="24"/>
              </w:rPr>
            </w:pPr>
            <w:r w:rsidRPr="009B74EF">
              <w:rPr>
                <w:rFonts w:ascii="Times New Roman" w:hAnsi="Times New Roman" w:cs="Times New Roman"/>
                <w:sz w:val="24"/>
                <w:szCs w:val="24"/>
              </w:rPr>
              <w:t xml:space="preserve">Assessment component: Individual report </w:t>
            </w:r>
          </w:p>
        </w:tc>
        <w:tc>
          <w:tcPr>
            <w:tcW w:w="2254" w:type="dxa"/>
          </w:tcPr>
          <w:p w14:paraId="5FC2A568" w14:textId="41A11FB6" w:rsidR="009B74EF" w:rsidRPr="00946B81" w:rsidRDefault="009B74EF" w:rsidP="004F13BE">
            <w:pPr>
              <w:spacing w:line="360" w:lineRule="auto"/>
              <w:jc w:val="both"/>
              <w:rPr>
                <w:rFonts w:ascii="Times New Roman" w:hAnsi="Times New Roman" w:cs="Times New Roman"/>
                <w:b/>
                <w:bCs/>
              </w:rPr>
            </w:pPr>
            <w:r w:rsidRPr="00946B81">
              <w:rPr>
                <w:rFonts w:ascii="Times New Roman" w:hAnsi="Times New Roman" w:cs="Times New Roman"/>
                <w:b/>
                <w:bCs/>
              </w:rPr>
              <w:t xml:space="preserve">Word count (or equivalent): </w:t>
            </w:r>
          </w:p>
        </w:tc>
        <w:tc>
          <w:tcPr>
            <w:tcW w:w="2254" w:type="dxa"/>
          </w:tcPr>
          <w:p w14:paraId="49507467" w14:textId="3EC4ECE9" w:rsidR="009B74EF" w:rsidRDefault="009B74EF" w:rsidP="004F13BE">
            <w:pPr>
              <w:spacing w:line="360" w:lineRule="auto"/>
              <w:jc w:val="both"/>
              <w:rPr>
                <w:rFonts w:ascii="Times New Roman" w:hAnsi="Times New Roman" w:cs="Times New Roman"/>
                <w:sz w:val="24"/>
                <w:szCs w:val="24"/>
              </w:rPr>
            </w:pPr>
            <w:r w:rsidRPr="009B74EF">
              <w:rPr>
                <w:rFonts w:ascii="Times New Roman" w:hAnsi="Times New Roman" w:cs="Times New Roman"/>
                <w:sz w:val="24"/>
                <w:szCs w:val="24"/>
              </w:rPr>
              <w:t xml:space="preserve">5,000 words (± 10%) </w:t>
            </w:r>
          </w:p>
        </w:tc>
      </w:tr>
      <w:tr w:rsidR="009B74EF" w14:paraId="772ED0B2" w14:textId="77777777" w:rsidTr="004F13BE">
        <w:tc>
          <w:tcPr>
            <w:tcW w:w="2254" w:type="dxa"/>
          </w:tcPr>
          <w:p w14:paraId="2783FFDA" w14:textId="77862AB3" w:rsidR="009B74EF" w:rsidRPr="00946B81" w:rsidRDefault="009B74EF" w:rsidP="004F13BE">
            <w:pPr>
              <w:spacing w:line="360" w:lineRule="auto"/>
              <w:jc w:val="both"/>
              <w:rPr>
                <w:rFonts w:ascii="Times New Roman" w:hAnsi="Times New Roman" w:cs="Times New Roman"/>
                <w:b/>
                <w:bCs/>
                <w:sz w:val="24"/>
                <w:szCs w:val="24"/>
              </w:rPr>
            </w:pPr>
            <w:r w:rsidRPr="00946B81">
              <w:rPr>
                <w:rFonts w:ascii="Times New Roman" w:hAnsi="Times New Roman" w:cs="Times New Roman"/>
                <w:b/>
                <w:bCs/>
              </w:rPr>
              <w:t xml:space="preserve">Submission deadline: </w:t>
            </w:r>
          </w:p>
        </w:tc>
        <w:tc>
          <w:tcPr>
            <w:tcW w:w="2254" w:type="dxa"/>
          </w:tcPr>
          <w:p w14:paraId="0DFB0C3D" w14:textId="5C9EA438" w:rsidR="009B74EF" w:rsidRDefault="009B74EF" w:rsidP="004F13BE">
            <w:pPr>
              <w:spacing w:line="360" w:lineRule="auto"/>
              <w:jc w:val="both"/>
              <w:rPr>
                <w:rFonts w:ascii="Times New Roman" w:hAnsi="Times New Roman" w:cs="Times New Roman"/>
                <w:sz w:val="24"/>
                <w:szCs w:val="24"/>
              </w:rPr>
            </w:pPr>
            <w:r w:rsidRPr="009B74EF">
              <w:rPr>
                <w:rFonts w:ascii="Times New Roman" w:hAnsi="Times New Roman" w:cs="Times New Roman"/>
                <w:sz w:val="24"/>
                <w:szCs w:val="24"/>
              </w:rPr>
              <w:t xml:space="preserve">Monday 22nd December 2025 by </w:t>
            </w:r>
            <w:r w:rsidR="00946B81">
              <w:rPr>
                <w:rFonts w:ascii="Times New Roman" w:hAnsi="Times New Roman" w:cs="Times New Roman"/>
                <w:sz w:val="24"/>
                <w:szCs w:val="24"/>
              </w:rPr>
              <w:t>2 pm</w:t>
            </w:r>
          </w:p>
        </w:tc>
        <w:tc>
          <w:tcPr>
            <w:tcW w:w="2254" w:type="dxa"/>
          </w:tcPr>
          <w:p w14:paraId="731142EB" w14:textId="485190C0" w:rsidR="009B74EF" w:rsidRPr="00946B81" w:rsidRDefault="009B74EF" w:rsidP="004F13BE">
            <w:pPr>
              <w:spacing w:line="360" w:lineRule="auto"/>
              <w:jc w:val="both"/>
              <w:rPr>
                <w:rFonts w:ascii="Times New Roman" w:hAnsi="Times New Roman" w:cs="Times New Roman"/>
                <w:b/>
                <w:bCs/>
              </w:rPr>
            </w:pPr>
            <w:r w:rsidRPr="00946B81">
              <w:rPr>
                <w:rFonts w:ascii="Times New Roman" w:hAnsi="Times New Roman" w:cs="Times New Roman"/>
                <w:b/>
                <w:bCs/>
              </w:rPr>
              <w:t xml:space="preserve">Return date of provisional marks &amp; written feedback: </w:t>
            </w:r>
          </w:p>
        </w:tc>
        <w:tc>
          <w:tcPr>
            <w:tcW w:w="2254" w:type="dxa"/>
          </w:tcPr>
          <w:p w14:paraId="78412B80" w14:textId="5E8F274C" w:rsidR="009B74EF" w:rsidRDefault="009B74EF" w:rsidP="004F13BE">
            <w:pPr>
              <w:spacing w:line="360" w:lineRule="auto"/>
              <w:jc w:val="both"/>
              <w:rPr>
                <w:rFonts w:ascii="Times New Roman" w:hAnsi="Times New Roman" w:cs="Times New Roman"/>
                <w:sz w:val="24"/>
                <w:szCs w:val="24"/>
              </w:rPr>
            </w:pPr>
            <w:r w:rsidRPr="009B74EF">
              <w:rPr>
                <w:rFonts w:ascii="Times New Roman" w:hAnsi="Times New Roman" w:cs="Times New Roman"/>
                <w:sz w:val="24"/>
                <w:szCs w:val="24"/>
              </w:rPr>
              <w:t xml:space="preserve">30th January 2026 </w:t>
            </w:r>
          </w:p>
        </w:tc>
      </w:tr>
    </w:tbl>
    <w:p w14:paraId="77956D0D" w14:textId="77777777" w:rsidR="007D7B21" w:rsidRDefault="007D7B21" w:rsidP="009B74EF">
      <w:pPr>
        <w:spacing w:line="360" w:lineRule="auto"/>
        <w:jc w:val="both"/>
        <w:rPr>
          <w:rFonts w:ascii="Times New Roman" w:hAnsi="Times New Roman" w:cs="Times New Roman"/>
          <w:sz w:val="24"/>
          <w:szCs w:val="24"/>
        </w:rPr>
      </w:pPr>
    </w:p>
    <w:p w14:paraId="5A149F7D" w14:textId="77777777" w:rsidR="00946B81" w:rsidRDefault="00946B81" w:rsidP="009B74EF">
      <w:pPr>
        <w:spacing w:line="360" w:lineRule="auto"/>
        <w:jc w:val="both"/>
        <w:rPr>
          <w:rFonts w:ascii="Times New Roman" w:hAnsi="Times New Roman" w:cs="Times New Roman"/>
          <w:sz w:val="24"/>
          <w:szCs w:val="24"/>
        </w:rPr>
      </w:pPr>
    </w:p>
    <w:p w14:paraId="7B2C9E0F" w14:textId="77777777" w:rsidR="006C7453" w:rsidRDefault="006C7453" w:rsidP="009B74EF">
      <w:pPr>
        <w:spacing w:line="360" w:lineRule="auto"/>
        <w:jc w:val="both"/>
        <w:rPr>
          <w:rFonts w:ascii="Times New Roman" w:hAnsi="Times New Roman" w:cs="Times New Roman"/>
          <w:sz w:val="24"/>
          <w:szCs w:val="24"/>
        </w:rPr>
      </w:pPr>
    </w:p>
    <w:p w14:paraId="3C53026F" w14:textId="77777777" w:rsidR="006C7453" w:rsidRDefault="006C7453" w:rsidP="009B74EF">
      <w:pPr>
        <w:spacing w:line="360" w:lineRule="auto"/>
        <w:jc w:val="both"/>
        <w:rPr>
          <w:rFonts w:ascii="Times New Roman" w:hAnsi="Times New Roman" w:cs="Times New Roman"/>
          <w:sz w:val="24"/>
          <w:szCs w:val="24"/>
        </w:rPr>
      </w:pPr>
    </w:p>
    <w:p w14:paraId="753A2492" w14:textId="77777777" w:rsidR="006C7453" w:rsidRDefault="006C7453" w:rsidP="009B74EF">
      <w:pPr>
        <w:spacing w:line="360" w:lineRule="auto"/>
        <w:jc w:val="both"/>
        <w:rPr>
          <w:rFonts w:ascii="Times New Roman" w:hAnsi="Times New Roman" w:cs="Times New Roman"/>
          <w:sz w:val="24"/>
          <w:szCs w:val="24"/>
        </w:rPr>
      </w:pPr>
    </w:p>
    <w:p w14:paraId="74F53934" w14:textId="77777777" w:rsidR="006C7453" w:rsidRDefault="006C7453" w:rsidP="009B74EF">
      <w:pPr>
        <w:spacing w:line="360" w:lineRule="auto"/>
        <w:jc w:val="both"/>
        <w:rPr>
          <w:rFonts w:ascii="Times New Roman" w:hAnsi="Times New Roman" w:cs="Times New Roman"/>
          <w:sz w:val="24"/>
          <w:szCs w:val="24"/>
        </w:rPr>
      </w:pPr>
    </w:p>
    <w:p w14:paraId="6AC4340D" w14:textId="77777777" w:rsidR="006C7453" w:rsidRDefault="006C7453" w:rsidP="009B74EF">
      <w:pPr>
        <w:spacing w:line="360" w:lineRule="auto"/>
        <w:jc w:val="both"/>
        <w:rPr>
          <w:rFonts w:ascii="Times New Roman" w:hAnsi="Times New Roman" w:cs="Times New Roman"/>
          <w:sz w:val="24"/>
          <w:szCs w:val="24"/>
        </w:rPr>
      </w:pPr>
    </w:p>
    <w:p w14:paraId="21099EB6" w14:textId="77777777" w:rsidR="006C7453" w:rsidRDefault="006C7453" w:rsidP="009B74EF">
      <w:pPr>
        <w:spacing w:line="360" w:lineRule="auto"/>
        <w:jc w:val="both"/>
        <w:rPr>
          <w:rFonts w:ascii="Times New Roman" w:hAnsi="Times New Roman" w:cs="Times New Roman"/>
          <w:sz w:val="24"/>
          <w:szCs w:val="24"/>
        </w:rPr>
      </w:pPr>
    </w:p>
    <w:p w14:paraId="54EEAF16" w14:textId="77777777" w:rsidR="006C7453" w:rsidRDefault="006C7453" w:rsidP="009B74EF">
      <w:pPr>
        <w:spacing w:line="360" w:lineRule="auto"/>
        <w:jc w:val="both"/>
        <w:rPr>
          <w:rFonts w:ascii="Times New Roman" w:hAnsi="Times New Roman" w:cs="Times New Roman"/>
          <w:sz w:val="24"/>
          <w:szCs w:val="24"/>
        </w:rPr>
      </w:pPr>
    </w:p>
    <w:p w14:paraId="4F2ADDA4" w14:textId="77777777" w:rsidR="006C7453" w:rsidRDefault="006C7453" w:rsidP="009B74EF">
      <w:pPr>
        <w:spacing w:line="360" w:lineRule="auto"/>
        <w:jc w:val="both"/>
        <w:rPr>
          <w:rFonts w:ascii="Times New Roman" w:hAnsi="Times New Roman" w:cs="Times New Roman"/>
          <w:sz w:val="24"/>
          <w:szCs w:val="24"/>
        </w:rPr>
      </w:pPr>
    </w:p>
    <w:p w14:paraId="7FD8A761" w14:textId="77777777" w:rsidR="00F35A26" w:rsidRDefault="00F35A26" w:rsidP="009B74EF">
      <w:pPr>
        <w:spacing w:line="360" w:lineRule="auto"/>
        <w:jc w:val="both"/>
        <w:rPr>
          <w:rFonts w:ascii="Times New Roman" w:hAnsi="Times New Roman" w:cs="Times New Roman"/>
          <w:sz w:val="24"/>
          <w:szCs w:val="24"/>
        </w:rPr>
      </w:pPr>
    </w:p>
    <w:p w14:paraId="78422024" w14:textId="77777777" w:rsidR="00F35A26" w:rsidRDefault="00F35A26" w:rsidP="009B74EF">
      <w:pPr>
        <w:spacing w:line="360" w:lineRule="auto"/>
        <w:jc w:val="both"/>
        <w:rPr>
          <w:rFonts w:ascii="Times New Roman" w:hAnsi="Times New Roman" w:cs="Times New Roman"/>
          <w:sz w:val="24"/>
          <w:szCs w:val="24"/>
        </w:rPr>
      </w:pPr>
    </w:p>
    <w:p w14:paraId="39D5F476" w14:textId="77777777" w:rsidR="006C7453" w:rsidRDefault="006C7453" w:rsidP="009B74EF">
      <w:pPr>
        <w:spacing w:line="360" w:lineRule="auto"/>
        <w:jc w:val="both"/>
        <w:rPr>
          <w:rFonts w:ascii="Times New Roman" w:hAnsi="Times New Roman" w:cs="Times New Roman"/>
          <w:sz w:val="24"/>
          <w:szCs w:val="24"/>
        </w:rPr>
      </w:pPr>
    </w:p>
    <w:p w14:paraId="67A9CC42" w14:textId="77777777" w:rsidR="006C7453" w:rsidRDefault="006C7453" w:rsidP="009B74EF">
      <w:pPr>
        <w:spacing w:line="360" w:lineRule="auto"/>
        <w:jc w:val="both"/>
        <w:rPr>
          <w:rFonts w:ascii="Times New Roman" w:hAnsi="Times New Roman" w:cs="Times New Roman"/>
          <w:sz w:val="24"/>
          <w:szCs w:val="24"/>
        </w:rPr>
      </w:pPr>
    </w:p>
    <w:p w14:paraId="4C4954F6" w14:textId="77777777" w:rsidR="006C7453" w:rsidRDefault="006C7453" w:rsidP="009B74EF">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0D0D0D" w:themeColor="text1" w:themeTint="F2"/>
          <w:kern w:val="2"/>
          <w:sz w:val="24"/>
          <w:szCs w:val="24"/>
          <w:lang w:val="en-IN"/>
          <w14:ligatures w14:val="standardContextual"/>
        </w:rPr>
        <w:id w:val="-104506657"/>
        <w:docPartObj>
          <w:docPartGallery w:val="Table of Contents"/>
          <w:docPartUnique/>
        </w:docPartObj>
      </w:sdtPr>
      <w:sdtEndPr>
        <w:rPr>
          <w:rFonts w:asciiTheme="minorHAnsi" w:hAnsiTheme="minorHAnsi" w:cstheme="minorBidi"/>
          <w:b/>
          <w:bCs/>
          <w:noProof/>
          <w:color w:val="auto"/>
          <w:sz w:val="22"/>
          <w:szCs w:val="22"/>
        </w:rPr>
      </w:sdtEndPr>
      <w:sdtContent>
        <w:p w14:paraId="70CDB01D" w14:textId="12E110F4" w:rsidR="00A65B94" w:rsidRPr="00A65B94" w:rsidRDefault="00A65B94" w:rsidP="00A65B94">
          <w:pPr>
            <w:pStyle w:val="TOCHeading"/>
            <w:spacing w:line="360" w:lineRule="auto"/>
            <w:jc w:val="center"/>
            <w:rPr>
              <w:rFonts w:ascii="Times New Roman" w:hAnsi="Times New Roman" w:cs="Times New Roman"/>
              <w:b/>
              <w:bCs/>
              <w:color w:val="0D0D0D" w:themeColor="text1" w:themeTint="F2"/>
              <w:sz w:val="24"/>
              <w:szCs w:val="24"/>
            </w:rPr>
          </w:pPr>
          <w:r w:rsidRPr="00A65B94">
            <w:rPr>
              <w:rFonts w:ascii="Times New Roman" w:hAnsi="Times New Roman" w:cs="Times New Roman"/>
              <w:b/>
              <w:bCs/>
              <w:color w:val="0D0D0D" w:themeColor="text1" w:themeTint="F2"/>
              <w:sz w:val="24"/>
              <w:szCs w:val="24"/>
            </w:rPr>
            <w:t>CONTENTS</w:t>
          </w:r>
        </w:p>
        <w:p w14:paraId="4400083A" w14:textId="6740C905" w:rsidR="00A65B94" w:rsidRPr="00DB707E" w:rsidRDefault="00A65B94" w:rsidP="00A65B94">
          <w:pPr>
            <w:pStyle w:val="TOC1"/>
            <w:tabs>
              <w:tab w:val="left" w:pos="480"/>
              <w:tab w:val="right" w:leader="dot" w:pos="9016"/>
            </w:tabs>
            <w:spacing w:line="360" w:lineRule="auto"/>
            <w:jc w:val="both"/>
            <w:rPr>
              <w:rFonts w:ascii="Times New Roman" w:hAnsi="Times New Roman" w:cs="Times New Roman"/>
              <w:noProof/>
              <w:color w:val="0D0D0D" w:themeColor="text1" w:themeTint="F2"/>
              <w:sz w:val="24"/>
              <w:szCs w:val="24"/>
            </w:rPr>
          </w:pPr>
          <w:r w:rsidRPr="00A65B94">
            <w:rPr>
              <w:rFonts w:ascii="Times New Roman" w:hAnsi="Times New Roman" w:cs="Times New Roman"/>
              <w:color w:val="0D0D0D" w:themeColor="text1" w:themeTint="F2"/>
              <w:sz w:val="24"/>
              <w:szCs w:val="24"/>
            </w:rPr>
            <w:fldChar w:fldCharType="begin"/>
          </w:r>
          <w:r w:rsidRPr="00A65B94">
            <w:rPr>
              <w:rFonts w:ascii="Times New Roman" w:hAnsi="Times New Roman" w:cs="Times New Roman"/>
              <w:color w:val="0D0D0D" w:themeColor="text1" w:themeTint="F2"/>
              <w:sz w:val="24"/>
              <w:szCs w:val="24"/>
            </w:rPr>
            <w:instrText xml:space="preserve"> TOC \o "1-3" \h \z \u </w:instrText>
          </w:r>
          <w:r w:rsidRPr="00A65B94">
            <w:rPr>
              <w:rFonts w:ascii="Times New Roman" w:hAnsi="Times New Roman" w:cs="Times New Roman"/>
              <w:color w:val="0D0D0D" w:themeColor="text1" w:themeTint="F2"/>
              <w:sz w:val="24"/>
              <w:szCs w:val="24"/>
            </w:rPr>
            <w:fldChar w:fldCharType="separate"/>
          </w:r>
          <w:hyperlink w:anchor="_Toc217165270" w:history="1">
            <w:r w:rsidRPr="00DB707E">
              <w:rPr>
                <w:rStyle w:val="Hyperlink"/>
                <w:rFonts w:ascii="Times New Roman" w:hAnsi="Times New Roman" w:cs="Times New Roman"/>
                <w:noProof/>
                <w:color w:val="0D0D0D" w:themeColor="text1" w:themeTint="F2"/>
                <w:sz w:val="24"/>
                <w:szCs w:val="24"/>
              </w:rPr>
              <w:t>1.</w:t>
            </w:r>
            <w:r w:rsidRPr="00DB707E">
              <w:rPr>
                <w:rFonts w:ascii="Times New Roman" w:hAnsi="Times New Roman" w:cs="Times New Roman"/>
                <w:noProof/>
                <w:color w:val="0D0D0D" w:themeColor="text1" w:themeTint="F2"/>
                <w:sz w:val="24"/>
                <w:szCs w:val="24"/>
              </w:rPr>
              <w:tab/>
            </w:r>
            <w:r w:rsidRPr="00DB707E">
              <w:rPr>
                <w:rStyle w:val="Hyperlink"/>
                <w:rFonts w:ascii="Times New Roman" w:hAnsi="Times New Roman" w:cs="Times New Roman"/>
                <w:noProof/>
                <w:color w:val="0D0D0D" w:themeColor="text1" w:themeTint="F2"/>
                <w:sz w:val="24"/>
                <w:szCs w:val="24"/>
              </w:rPr>
              <w:t>INTRODUCTION</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_Toc217165270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3</w:t>
            </w:r>
            <w:r w:rsidRPr="00DB707E">
              <w:rPr>
                <w:rFonts w:ascii="Times New Roman" w:hAnsi="Times New Roman" w:cs="Times New Roman"/>
                <w:noProof/>
                <w:webHidden/>
                <w:color w:val="0D0D0D" w:themeColor="text1" w:themeTint="F2"/>
                <w:sz w:val="24"/>
                <w:szCs w:val="24"/>
              </w:rPr>
              <w:fldChar w:fldCharType="end"/>
            </w:r>
          </w:hyperlink>
        </w:p>
        <w:p w14:paraId="50486BF1" w14:textId="394ADA10" w:rsidR="00A65B94" w:rsidRPr="00DB707E" w:rsidRDefault="00A65B94" w:rsidP="00A65B94">
          <w:pPr>
            <w:pStyle w:val="TOC1"/>
            <w:tabs>
              <w:tab w:val="left" w:pos="480"/>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71" w:history="1">
            <w:r w:rsidRPr="00DB707E">
              <w:rPr>
                <w:rStyle w:val="Hyperlink"/>
                <w:rFonts w:ascii="Times New Roman" w:hAnsi="Times New Roman" w:cs="Times New Roman"/>
                <w:noProof/>
                <w:color w:val="0D0D0D" w:themeColor="text1" w:themeTint="F2"/>
                <w:sz w:val="24"/>
                <w:szCs w:val="24"/>
              </w:rPr>
              <w:t>2.</w:t>
            </w:r>
            <w:r w:rsidRPr="00DB707E">
              <w:rPr>
                <w:rFonts w:ascii="Times New Roman" w:hAnsi="Times New Roman" w:cs="Times New Roman"/>
                <w:noProof/>
                <w:color w:val="0D0D0D" w:themeColor="text1" w:themeTint="F2"/>
                <w:sz w:val="24"/>
                <w:szCs w:val="24"/>
              </w:rPr>
              <w:tab/>
            </w:r>
            <w:r w:rsidRPr="00DB707E">
              <w:rPr>
                <w:rStyle w:val="Hyperlink"/>
                <w:rFonts w:ascii="Times New Roman" w:hAnsi="Times New Roman" w:cs="Times New Roman"/>
                <w:noProof/>
                <w:color w:val="0D0D0D" w:themeColor="text1" w:themeTint="F2"/>
                <w:sz w:val="24"/>
                <w:szCs w:val="24"/>
              </w:rPr>
              <w:t>SELECTION OF ORGANISATION AND TARGET MARKET</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_Toc217165271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5</w:t>
            </w:r>
            <w:r w:rsidRPr="00DB707E">
              <w:rPr>
                <w:rFonts w:ascii="Times New Roman" w:hAnsi="Times New Roman" w:cs="Times New Roman"/>
                <w:noProof/>
                <w:webHidden/>
                <w:color w:val="0D0D0D" w:themeColor="text1" w:themeTint="F2"/>
                <w:sz w:val="24"/>
                <w:szCs w:val="24"/>
              </w:rPr>
              <w:fldChar w:fldCharType="end"/>
            </w:r>
          </w:hyperlink>
        </w:p>
        <w:p w14:paraId="0561D259" w14:textId="165C7561" w:rsidR="00A65B94" w:rsidRPr="00DB707E" w:rsidRDefault="00A65B94" w:rsidP="00A65B94">
          <w:pPr>
            <w:pStyle w:val="TOC2"/>
            <w:tabs>
              <w:tab w:val="left" w:pos="960"/>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72" w:history="1">
            <w:r w:rsidRPr="00DB707E">
              <w:rPr>
                <w:rStyle w:val="Hyperlink"/>
                <w:rFonts w:ascii="Times New Roman" w:hAnsi="Times New Roman" w:cs="Times New Roman"/>
                <w:noProof/>
                <w:color w:val="0D0D0D" w:themeColor="text1" w:themeTint="F2"/>
                <w:sz w:val="24"/>
                <w:szCs w:val="24"/>
              </w:rPr>
              <w:t>2.1</w:t>
            </w:r>
            <w:r w:rsidRPr="00DB707E">
              <w:rPr>
                <w:rFonts w:ascii="Times New Roman" w:hAnsi="Times New Roman" w:cs="Times New Roman"/>
                <w:noProof/>
                <w:color w:val="0D0D0D" w:themeColor="text1" w:themeTint="F2"/>
                <w:sz w:val="24"/>
                <w:szCs w:val="24"/>
              </w:rPr>
              <w:tab/>
            </w:r>
            <w:r w:rsidRPr="00DB707E">
              <w:rPr>
                <w:rStyle w:val="Hyperlink"/>
                <w:rFonts w:ascii="Times New Roman" w:hAnsi="Times New Roman" w:cs="Times New Roman"/>
                <w:noProof/>
                <w:color w:val="0D0D0D" w:themeColor="text1" w:themeTint="F2"/>
                <w:sz w:val="24"/>
                <w:szCs w:val="24"/>
              </w:rPr>
              <w:t>Overview of Netflix Inc.</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_Toc217165272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5</w:t>
            </w:r>
            <w:r w:rsidRPr="00DB707E">
              <w:rPr>
                <w:rFonts w:ascii="Times New Roman" w:hAnsi="Times New Roman" w:cs="Times New Roman"/>
                <w:noProof/>
                <w:webHidden/>
                <w:color w:val="0D0D0D" w:themeColor="text1" w:themeTint="F2"/>
                <w:sz w:val="24"/>
                <w:szCs w:val="24"/>
              </w:rPr>
              <w:fldChar w:fldCharType="end"/>
            </w:r>
          </w:hyperlink>
        </w:p>
        <w:p w14:paraId="14CF52FD" w14:textId="1CB412B9" w:rsidR="00A65B94" w:rsidRPr="00DB707E" w:rsidRDefault="00A65B94" w:rsidP="00A65B94">
          <w:pPr>
            <w:pStyle w:val="TOC2"/>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73" w:history="1">
            <w:r w:rsidRPr="00DB707E">
              <w:rPr>
                <w:rStyle w:val="Hyperlink"/>
                <w:rFonts w:ascii="Times New Roman" w:hAnsi="Times New Roman" w:cs="Times New Roman"/>
                <w:noProof/>
                <w:color w:val="0D0D0D" w:themeColor="text1" w:themeTint="F2"/>
                <w:sz w:val="24"/>
                <w:szCs w:val="24"/>
              </w:rPr>
              <w:t>2.2 Rationale for Selecting India as the Target Market</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_Toc217165273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6</w:t>
            </w:r>
            <w:r w:rsidRPr="00DB707E">
              <w:rPr>
                <w:rFonts w:ascii="Times New Roman" w:hAnsi="Times New Roman" w:cs="Times New Roman"/>
                <w:noProof/>
                <w:webHidden/>
                <w:color w:val="0D0D0D" w:themeColor="text1" w:themeTint="F2"/>
                <w:sz w:val="24"/>
                <w:szCs w:val="24"/>
              </w:rPr>
              <w:fldChar w:fldCharType="end"/>
            </w:r>
          </w:hyperlink>
        </w:p>
        <w:p w14:paraId="70AF5F4A" w14:textId="61A16836" w:rsidR="00A65B94" w:rsidRPr="00DB707E" w:rsidRDefault="00A65B94" w:rsidP="00A65B94">
          <w:pPr>
            <w:pStyle w:val="TOC2"/>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74" w:history="1">
            <w:r w:rsidRPr="00DB707E">
              <w:rPr>
                <w:rStyle w:val="Hyperlink"/>
                <w:rFonts w:ascii="Times New Roman" w:hAnsi="Times New Roman" w:cs="Times New Roman"/>
                <w:noProof/>
                <w:color w:val="0D0D0D" w:themeColor="text1" w:themeTint="F2"/>
                <w:sz w:val="24"/>
                <w:szCs w:val="24"/>
              </w:rPr>
              <w:t>2.3 Strategic Fit Between Netflix and India</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_Toc217165274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7</w:t>
            </w:r>
            <w:r w:rsidRPr="00DB707E">
              <w:rPr>
                <w:rFonts w:ascii="Times New Roman" w:hAnsi="Times New Roman" w:cs="Times New Roman"/>
                <w:noProof/>
                <w:webHidden/>
                <w:color w:val="0D0D0D" w:themeColor="text1" w:themeTint="F2"/>
                <w:sz w:val="24"/>
                <w:szCs w:val="24"/>
              </w:rPr>
              <w:fldChar w:fldCharType="end"/>
            </w:r>
          </w:hyperlink>
        </w:p>
        <w:p w14:paraId="12E7A09B" w14:textId="77C046A3" w:rsidR="00A65B94" w:rsidRPr="00DB707E" w:rsidRDefault="00A65B94" w:rsidP="00A65B94">
          <w:pPr>
            <w:pStyle w:val="TOC1"/>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75" w:history="1">
            <w:r w:rsidRPr="00DB707E">
              <w:rPr>
                <w:rStyle w:val="Hyperlink"/>
                <w:rFonts w:ascii="Times New Roman" w:hAnsi="Times New Roman" w:cs="Times New Roman"/>
                <w:noProof/>
                <w:color w:val="0D0D0D" w:themeColor="text1" w:themeTint="F2"/>
                <w:sz w:val="24"/>
                <w:szCs w:val="24"/>
              </w:rPr>
              <w:t>3. COMPREHENSIVE STRATEGIC ANALYSIS</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_Toc217165275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8</w:t>
            </w:r>
            <w:r w:rsidRPr="00DB707E">
              <w:rPr>
                <w:rFonts w:ascii="Times New Roman" w:hAnsi="Times New Roman" w:cs="Times New Roman"/>
                <w:noProof/>
                <w:webHidden/>
                <w:color w:val="0D0D0D" w:themeColor="text1" w:themeTint="F2"/>
                <w:sz w:val="24"/>
                <w:szCs w:val="24"/>
              </w:rPr>
              <w:fldChar w:fldCharType="end"/>
            </w:r>
          </w:hyperlink>
        </w:p>
        <w:p w14:paraId="5B092490" w14:textId="38F2F058" w:rsidR="00A65B94" w:rsidRPr="00DB707E" w:rsidRDefault="00A65B94" w:rsidP="00A65B94">
          <w:pPr>
            <w:pStyle w:val="TOC2"/>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76" w:history="1">
            <w:r w:rsidRPr="00DB707E">
              <w:rPr>
                <w:rStyle w:val="Hyperlink"/>
                <w:rFonts w:ascii="Times New Roman" w:hAnsi="Times New Roman" w:cs="Times New Roman"/>
                <w:noProof/>
                <w:color w:val="0D0D0D" w:themeColor="text1" w:themeTint="F2"/>
                <w:sz w:val="24"/>
                <w:szCs w:val="24"/>
              </w:rPr>
              <w:t>3.1 PESTLE Analysis – India</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_Toc217165276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8</w:t>
            </w:r>
            <w:r w:rsidRPr="00DB707E">
              <w:rPr>
                <w:rFonts w:ascii="Times New Roman" w:hAnsi="Times New Roman" w:cs="Times New Roman"/>
                <w:noProof/>
                <w:webHidden/>
                <w:color w:val="0D0D0D" w:themeColor="text1" w:themeTint="F2"/>
                <w:sz w:val="24"/>
                <w:szCs w:val="24"/>
              </w:rPr>
              <w:fldChar w:fldCharType="end"/>
            </w:r>
          </w:hyperlink>
        </w:p>
        <w:p w14:paraId="08CC8261" w14:textId="717E3C09" w:rsidR="00A65B94" w:rsidRPr="00DB707E" w:rsidRDefault="00A65B94" w:rsidP="00A65B94">
          <w:pPr>
            <w:pStyle w:val="TOC2"/>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77" w:history="1">
            <w:r w:rsidRPr="00DB707E">
              <w:rPr>
                <w:rStyle w:val="Hyperlink"/>
                <w:rFonts w:ascii="Times New Roman" w:hAnsi="Times New Roman" w:cs="Times New Roman"/>
                <w:noProof/>
                <w:color w:val="0D0D0D" w:themeColor="text1" w:themeTint="F2"/>
                <w:sz w:val="24"/>
                <w:szCs w:val="24"/>
              </w:rPr>
              <w:t>3.2 Porter’s Five Forces – Indian OTT Industry</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_Toc217165277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11</w:t>
            </w:r>
            <w:r w:rsidRPr="00DB707E">
              <w:rPr>
                <w:rFonts w:ascii="Times New Roman" w:hAnsi="Times New Roman" w:cs="Times New Roman"/>
                <w:noProof/>
                <w:webHidden/>
                <w:color w:val="0D0D0D" w:themeColor="text1" w:themeTint="F2"/>
                <w:sz w:val="24"/>
                <w:szCs w:val="24"/>
              </w:rPr>
              <w:fldChar w:fldCharType="end"/>
            </w:r>
          </w:hyperlink>
        </w:p>
        <w:p w14:paraId="28B28374" w14:textId="1F98EB4D" w:rsidR="00A65B94" w:rsidRPr="00DB707E" w:rsidRDefault="00A65B94" w:rsidP="00A65B94">
          <w:pPr>
            <w:pStyle w:val="TOC2"/>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78" w:history="1">
            <w:r w:rsidRPr="00DB707E">
              <w:rPr>
                <w:rStyle w:val="Hyperlink"/>
                <w:rFonts w:ascii="Times New Roman" w:hAnsi="Times New Roman" w:cs="Times New Roman"/>
                <w:noProof/>
                <w:color w:val="0D0D0D" w:themeColor="text1" w:themeTint="F2"/>
                <w:sz w:val="24"/>
                <w:szCs w:val="24"/>
              </w:rPr>
              <w:t>3.3 Internal Analysis – VRIO Framework</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_Toc217165278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13</w:t>
            </w:r>
            <w:r w:rsidRPr="00DB707E">
              <w:rPr>
                <w:rFonts w:ascii="Times New Roman" w:hAnsi="Times New Roman" w:cs="Times New Roman"/>
                <w:noProof/>
                <w:webHidden/>
                <w:color w:val="0D0D0D" w:themeColor="text1" w:themeTint="F2"/>
                <w:sz w:val="24"/>
                <w:szCs w:val="24"/>
              </w:rPr>
              <w:fldChar w:fldCharType="end"/>
            </w:r>
          </w:hyperlink>
        </w:p>
        <w:p w14:paraId="6369C62A" w14:textId="1627D257" w:rsidR="00A65B94" w:rsidRPr="00DB707E" w:rsidRDefault="00A65B94" w:rsidP="00A65B94">
          <w:pPr>
            <w:pStyle w:val="TOC2"/>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79" w:history="1">
            <w:r w:rsidRPr="00DB707E">
              <w:rPr>
                <w:rStyle w:val="Hyperlink"/>
                <w:rFonts w:ascii="Times New Roman" w:hAnsi="Times New Roman" w:cs="Times New Roman"/>
                <w:noProof/>
                <w:color w:val="0D0D0D" w:themeColor="text1" w:themeTint="F2"/>
                <w:sz w:val="24"/>
                <w:szCs w:val="24"/>
              </w:rPr>
              <w:t>3.4 Porter’s Diamond Model – India</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_Toc217165279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14</w:t>
            </w:r>
            <w:r w:rsidRPr="00DB707E">
              <w:rPr>
                <w:rFonts w:ascii="Times New Roman" w:hAnsi="Times New Roman" w:cs="Times New Roman"/>
                <w:noProof/>
                <w:webHidden/>
                <w:color w:val="0D0D0D" w:themeColor="text1" w:themeTint="F2"/>
                <w:sz w:val="24"/>
                <w:szCs w:val="24"/>
              </w:rPr>
              <w:fldChar w:fldCharType="end"/>
            </w:r>
          </w:hyperlink>
        </w:p>
        <w:p w14:paraId="6BE42EF8" w14:textId="3F3B5D00" w:rsidR="00A65B94" w:rsidRPr="00DB707E" w:rsidRDefault="00A65B94" w:rsidP="00A65B94">
          <w:pPr>
            <w:pStyle w:val="TOC1"/>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80" w:history="1">
            <w:r w:rsidRPr="00DB707E">
              <w:rPr>
                <w:rStyle w:val="Hyperlink"/>
                <w:rFonts w:ascii="Times New Roman" w:hAnsi="Times New Roman" w:cs="Times New Roman"/>
                <w:noProof/>
                <w:color w:val="0D0D0D" w:themeColor="text1" w:themeTint="F2"/>
                <w:sz w:val="24"/>
                <w:szCs w:val="24"/>
              </w:rPr>
              <w:t>4. STRATEGY DEVELOPMENT AND FORMULATION</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_Toc217165280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16</w:t>
            </w:r>
            <w:r w:rsidRPr="00DB707E">
              <w:rPr>
                <w:rFonts w:ascii="Times New Roman" w:hAnsi="Times New Roman" w:cs="Times New Roman"/>
                <w:noProof/>
                <w:webHidden/>
                <w:color w:val="0D0D0D" w:themeColor="text1" w:themeTint="F2"/>
                <w:sz w:val="24"/>
                <w:szCs w:val="24"/>
              </w:rPr>
              <w:fldChar w:fldCharType="end"/>
            </w:r>
          </w:hyperlink>
        </w:p>
        <w:p w14:paraId="2BEAC7A5" w14:textId="30EE9F53" w:rsidR="00A65B94" w:rsidRPr="00DB707E" w:rsidRDefault="00A65B94" w:rsidP="00A65B94">
          <w:pPr>
            <w:pStyle w:val="TOC2"/>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81" w:history="1">
            <w:r w:rsidRPr="00DB707E">
              <w:rPr>
                <w:rStyle w:val="Hyperlink"/>
                <w:rFonts w:ascii="Times New Roman" w:hAnsi="Times New Roman" w:cs="Times New Roman"/>
                <w:noProof/>
                <w:color w:val="0D0D0D" w:themeColor="text1" w:themeTint="F2"/>
                <w:sz w:val="24"/>
                <w:szCs w:val="24"/>
              </w:rPr>
              <w:t>4.1 Ansoff Matrix – Market Development Strategy</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_Toc217165281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16</w:t>
            </w:r>
            <w:r w:rsidRPr="00DB707E">
              <w:rPr>
                <w:rFonts w:ascii="Times New Roman" w:hAnsi="Times New Roman" w:cs="Times New Roman"/>
                <w:noProof/>
                <w:webHidden/>
                <w:color w:val="0D0D0D" w:themeColor="text1" w:themeTint="F2"/>
                <w:sz w:val="24"/>
                <w:szCs w:val="24"/>
              </w:rPr>
              <w:fldChar w:fldCharType="end"/>
            </w:r>
          </w:hyperlink>
        </w:p>
        <w:p w14:paraId="68F9DFFA" w14:textId="6B35A69C" w:rsidR="00A65B94" w:rsidRPr="00DB707E" w:rsidRDefault="00A65B94" w:rsidP="00A65B94">
          <w:pPr>
            <w:pStyle w:val="TOC2"/>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82" w:history="1">
            <w:r w:rsidRPr="00DB707E">
              <w:rPr>
                <w:rStyle w:val="Hyperlink"/>
                <w:rFonts w:ascii="Times New Roman" w:hAnsi="Times New Roman" w:cs="Times New Roman"/>
                <w:noProof/>
                <w:color w:val="0D0D0D" w:themeColor="text1" w:themeTint="F2"/>
                <w:sz w:val="24"/>
                <w:szCs w:val="24"/>
              </w:rPr>
              <w:t>4.2 Generic Strategy – Differentiation with Cost Sensitivity</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_Toc217165282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17</w:t>
            </w:r>
            <w:r w:rsidRPr="00DB707E">
              <w:rPr>
                <w:rFonts w:ascii="Times New Roman" w:hAnsi="Times New Roman" w:cs="Times New Roman"/>
                <w:noProof/>
                <w:webHidden/>
                <w:color w:val="0D0D0D" w:themeColor="text1" w:themeTint="F2"/>
                <w:sz w:val="24"/>
                <w:szCs w:val="24"/>
              </w:rPr>
              <w:fldChar w:fldCharType="end"/>
            </w:r>
          </w:hyperlink>
        </w:p>
        <w:p w14:paraId="55126E42" w14:textId="7BA3EF1F" w:rsidR="00A65B94" w:rsidRPr="00DB707E" w:rsidRDefault="00A65B94" w:rsidP="00A65B94">
          <w:pPr>
            <w:pStyle w:val="TOC2"/>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83" w:history="1">
            <w:r w:rsidRPr="00DB707E">
              <w:rPr>
                <w:rStyle w:val="Hyperlink"/>
                <w:rFonts w:ascii="Times New Roman" w:hAnsi="Times New Roman" w:cs="Times New Roman"/>
                <w:noProof/>
                <w:color w:val="0D0D0D" w:themeColor="text1" w:themeTint="F2"/>
                <w:sz w:val="24"/>
                <w:szCs w:val="24"/>
              </w:rPr>
              <w:t>4.3 Competitive Strategy Actions</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_Toc217165283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18</w:t>
            </w:r>
            <w:r w:rsidRPr="00DB707E">
              <w:rPr>
                <w:rFonts w:ascii="Times New Roman" w:hAnsi="Times New Roman" w:cs="Times New Roman"/>
                <w:noProof/>
                <w:webHidden/>
                <w:color w:val="0D0D0D" w:themeColor="text1" w:themeTint="F2"/>
                <w:sz w:val="24"/>
                <w:szCs w:val="24"/>
              </w:rPr>
              <w:fldChar w:fldCharType="end"/>
            </w:r>
          </w:hyperlink>
        </w:p>
        <w:p w14:paraId="3F1CBE28" w14:textId="7C06D559" w:rsidR="00A65B94" w:rsidRPr="00DB707E" w:rsidRDefault="00A65B94" w:rsidP="00A65B94">
          <w:pPr>
            <w:pStyle w:val="TOC3"/>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84" w:history="1">
            <w:r w:rsidRPr="00DB707E">
              <w:rPr>
                <w:rStyle w:val="Hyperlink"/>
                <w:rFonts w:ascii="Times New Roman" w:hAnsi="Times New Roman" w:cs="Times New Roman"/>
                <w:noProof/>
                <w:color w:val="0D0D0D" w:themeColor="text1" w:themeTint="F2"/>
                <w:sz w:val="24"/>
                <w:szCs w:val="24"/>
              </w:rPr>
              <w:t>4.3.1 Local Content Investment</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_Toc217165284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18</w:t>
            </w:r>
            <w:r w:rsidRPr="00DB707E">
              <w:rPr>
                <w:rFonts w:ascii="Times New Roman" w:hAnsi="Times New Roman" w:cs="Times New Roman"/>
                <w:noProof/>
                <w:webHidden/>
                <w:color w:val="0D0D0D" w:themeColor="text1" w:themeTint="F2"/>
                <w:sz w:val="24"/>
                <w:szCs w:val="24"/>
              </w:rPr>
              <w:fldChar w:fldCharType="end"/>
            </w:r>
          </w:hyperlink>
        </w:p>
        <w:p w14:paraId="4CB7D8C0" w14:textId="35C6E110" w:rsidR="00A65B94" w:rsidRPr="00DB707E" w:rsidRDefault="00A65B94" w:rsidP="00A65B94">
          <w:pPr>
            <w:pStyle w:val="TOC3"/>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85" w:history="1">
            <w:r w:rsidRPr="00DB707E">
              <w:rPr>
                <w:rStyle w:val="Hyperlink"/>
                <w:rFonts w:ascii="Times New Roman" w:hAnsi="Times New Roman" w:cs="Times New Roman"/>
                <w:noProof/>
                <w:color w:val="0D0D0D" w:themeColor="text1" w:themeTint="F2"/>
                <w:sz w:val="24"/>
                <w:szCs w:val="24"/>
              </w:rPr>
              <w:t>4.3.2 Pricing Innovation</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_Toc217165285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19</w:t>
            </w:r>
            <w:r w:rsidRPr="00DB707E">
              <w:rPr>
                <w:rFonts w:ascii="Times New Roman" w:hAnsi="Times New Roman" w:cs="Times New Roman"/>
                <w:noProof/>
                <w:webHidden/>
                <w:color w:val="0D0D0D" w:themeColor="text1" w:themeTint="F2"/>
                <w:sz w:val="24"/>
                <w:szCs w:val="24"/>
              </w:rPr>
              <w:fldChar w:fldCharType="end"/>
            </w:r>
          </w:hyperlink>
        </w:p>
        <w:p w14:paraId="44031DE2" w14:textId="200DFBAD" w:rsidR="00A65B94" w:rsidRPr="00DB707E" w:rsidRDefault="00A65B94" w:rsidP="00A65B94">
          <w:pPr>
            <w:pStyle w:val="TOC3"/>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86" w:history="1">
            <w:r w:rsidRPr="00DB707E">
              <w:rPr>
                <w:rStyle w:val="Hyperlink"/>
                <w:rFonts w:ascii="Times New Roman" w:hAnsi="Times New Roman" w:cs="Times New Roman"/>
                <w:noProof/>
                <w:color w:val="0D0D0D" w:themeColor="text1" w:themeTint="F2"/>
                <w:sz w:val="24"/>
                <w:szCs w:val="24"/>
              </w:rPr>
              <w:t>4.3.3 Strategic Partnerships</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_Toc217165286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19</w:t>
            </w:r>
            <w:r w:rsidRPr="00DB707E">
              <w:rPr>
                <w:rFonts w:ascii="Times New Roman" w:hAnsi="Times New Roman" w:cs="Times New Roman"/>
                <w:noProof/>
                <w:webHidden/>
                <w:color w:val="0D0D0D" w:themeColor="text1" w:themeTint="F2"/>
                <w:sz w:val="24"/>
                <w:szCs w:val="24"/>
              </w:rPr>
              <w:fldChar w:fldCharType="end"/>
            </w:r>
          </w:hyperlink>
        </w:p>
        <w:p w14:paraId="469E42AA" w14:textId="7AB6A072" w:rsidR="00A65B94" w:rsidRPr="00DB707E" w:rsidRDefault="00A65B94" w:rsidP="00A65B94">
          <w:pPr>
            <w:pStyle w:val="TOC2"/>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87" w:history="1">
            <w:r w:rsidRPr="00DB707E">
              <w:rPr>
                <w:rStyle w:val="Hyperlink"/>
                <w:rFonts w:ascii="Times New Roman" w:hAnsi="Times New Roman" w:cs="Times New Roman"/>
                <w:noProof/>
                <w:color w:val="0D0D0D" w:themeColor="text1" w:themeTint="F2"/>
                <w:sz w:val="24"/>
                <w:szCs w:val="24"/>
              </w:rPr>
              <w:t>4.4 Risk Assessment and Mitigation</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_Toc217165287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20</w:t>
            </w:r>
            <w:r w:rsidRPr="00DB707E">
              <w:rPr>
                <w:rFonts w:ascii="Times New Roman" w:hAnsi="Times New Roman" w:cs="Times New Roman"/>
                <w:noProof/>
                <w:webHidden/>
                <w:color w:val="0D0D0D" w:themeColor="text1" w:themeTint="F2"/>
                <w:sz w:val="24"/>
                <w:szCs w:val="24"/>
              </w:rPr>
              <w:fldChar w:fldCharType="end"/>
            </w:r>
          </w:hyperlink>
        </w:p>
        <w:p w14:paraId="40704C40" w14:textId="76BA027D" w:rsidR="00A65B94" w:rsidRPr="00DB707E" w:rsidRDefault="00A65B94" w:rsidP="00A65B94">
          <w:pPr>
            <w:pStyle w:val="TOC1"/>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88" w:history="1">
            <w:r w:rsidRPr="00DB707E">
              <w:rPr>
                <w:rStyle w:val="Hyperlink"/>
                <w:rFonts w:ascii="Times New Roman" w:hAnsi="Times New Roman" w:cs="Times New Roman"/>
                <w:noProof/>
                <w:color w:val="0D0D0D" w:themeColor="text1" w:themeTint="F2"/>
                <w:sz w:val="24"/>
                <w:szCs w:val="24"/>
              </w:rPr>
              <w:t>5. PERFORMANCE EVALUATION FRAMEWORK</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_Toc217165288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21</w:t>
            </w:r>
            <w:r w:rsidRPr="00DB707E">
              <w:rPr>
                <w:rFonts w:ascii="Times New Roman" w:hAnsi="Times New Roman" w:cs="Times New Roman"/>
                <w:noProof/>
                <w:webHidden/>
                <w:color w:val="0D0D0D" w:themeColor="text1" w:themeTint="F2"/>
                <w:sz w:val="24"/>
                <w:szCs w:val="24"/>
              </w:rPr>
              <w:fldChar w:fldCharType="end"/>
            </w:r>
          </w:hyperlink>
        </w:p>
        <w:p w14:paraId="2F29FA95" w14:textId="33E785E3" w:rsidR="00A65B94" w:rsidRPr="00DB707E" w:rsidRDefault="00A65B94" w:rsidP="00A65B94">
          <w:pPr>
            <w:pStyle w:val="TOC2"/>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89" w:history="1">
            <w:r w:rsidRPr="00DB707E">
              <w:rPr>
                <w:rStyle w:val="Hyperlink"/>
                <w:rFonts w:ascii="Times New Roman" w:hAnsi="Times New Roman" w:cs="Times New Roman"/>
                <w:noProof/>
                <w:color w:val="0D0D0D" w:themeColor="text1" w:themeTint="F2"/>
                <w:sz w:val="24"/>
                <w:szCs w:val="24"/>
              </w:rPr>
              <w:t>5.1 Balanced Scorecard for Netflix India</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_Toc217165289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21</w:t>
            </w:r>
            <w:r w:rsidRPr="00DB707E">
              <w:rPr>
                <w:rFonts w:ascii="Times New Roman" w:hAnsi="Times New Roman" w:cs="Times New Roman"/>
                <w:noProof/>
                <w:webHidden/>
                <w:color w:val="0D0D0D" w:themeColor="text1" w:themeTint="F2"/>
                <w:sz w:val="24"/>
                <w:szCs w:val="24"/>
              </w:rPr>
              <w:fldChar w:fldCharType="end"/>
            </w:r>
          </w:hyperlink>
        </w:p>
        <w:p w14:paraId="787EFCF8" w14:textId="5542E097" w:rsidR="00A65B94" w:rsidRPr="00DB707E" w:rsidRDefault="00A65B94" w:rsidP="00A65B94">
          <w:pPr>
            <w:pStyle w:val="TOC2"/>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90" w:history="1">
            <w:r w:rsidRPr="00DB707E">
              <w:rPr>
                <w:rStyle w:val="Hyperlink"/>
                <w:rFonts w:ascii="Times New Roman" w:hAnsi="Times New Roman" w:cs="Times New Roman"/>
                <w:noProof/>
                <w:color w:val="0D0D0D" w:themeColor="text1" w:themeTint="F2"/>
                <w:sz w:val="24"/>
                <w:szCs w:val="24"/>
              </w:rPr>
              <w:t>Table 5.1: Balanced Scorecard for Netflix India</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_Toc217165290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23</w:t>
            </w:r>
            <w:r w:rsidRPr="00DB707E">
              <w:rPr>
                <w:rFonts w:ascii="Times New Roman" w:hAnsi="Times New Roman" w:cs="Times New Roman"/>
                <w:noProof/>
                <w:webHidden/>
                <w:color w:val="0D0D0D" w:themeColor="text1" w:themeTint="F2"/>
                <w:sz w:val="24"/>
                <w:szCs w:val="24"/>
              </w:rPr>
              <w:fldChar w:fldCharType="end"/>
            </w:r>
          </w:hyperlink>
        </w:p>
        <w:p w14:paraId="3ABBA3F0" w14:textId="2D1F83CB" w:rsidR="00A65B94" w:rsidRPr="00DB707E" w:rsidRDefault="00A65B94" w:rsidP="00A65B94">
          <w:pPr>
            <w:pStyle w:val="TOC2"/>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91" w:history="1">
            <w:r w:rsidRPr="00DB707E">
              <w:rPr>
                <w:rStyle w:val="Hyperlink"/>
                <w:rFonts w:ascii="Times New Roman" w:hAnsi="Times New Roman" w:cs="Times New Roman"/>
                <w:noProof/>
                <w:color w:val="0D0D0D" w:themeColor="text1" w:themeTint="F2"/>
                <w:sz w:val="24"/>
                <w:szCs w:val="24"/>
              </w:rPr>
              <w:t>5.2 Triple Bottom Line Integration</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_Toc217165291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24</w:t>
            </w:r>
            <w:r w:rsidRPr="00DB707E">
              <w:rPr>
                <w:rFonts w:ascii="Times New Roman" w:hAnsi="Times New Roman" w:cs="Times New Roman"/>
                <w:noProof/>
                <w:webHidden/>
                <w:color w:val="0D0D0D" w:themeColor="text1" w:themeTint="F2"/>
                <w:sz w:val="24"/>
                <w:szCs w:val="24"/>
              </w:rPr>
              <w:fldChar w:fldCharType="end"/>
            </w:r>
          </w:hyperlink>
        </w:p>
        <w:p w14:paraId="4B8D131E" w14:textId="52130BBF" w:rsidR="00A65B94" w:rsidRPr="00DB707E" w:rsidRDefault="00A65B94" w:rsidP="00A65B94">
          <w:pPr>
            <w:pStyle w:val="TOC2"/>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92" w:history="1">
            <w:r w:rsidRPr="00DB707E">
              <w:rPr>
                <w:rStyle w:val="Hyperlink"/>
                <w:rFonts w:ascii="Times New Roman" w:hAnsi="Times New Roman" w:cs="Times New Roman"/>
                <w:noProof/>
                <w:color w:val="0D0D0D" w:themeColor="text1" w:themeTint="F2"/>
                <w:sz w:val="24"/>
                <w:szCs w:val="24"/>
              </w:rPr>
              <w:t>5.3 Strategic Value of the Performance Framework</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_Toc217165292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25</w:t>
            </w:r>
            <w:r w:rsidRPr="00DB707E">
              <w:rPr>
                <w:rFonts w:ascii="Times New Roman" w:hAnsi="Times New Roman" w:cs="Times New Roman"/>
                <w:noProof/>
                <w:webHidden/>
                <w:color w:val="0D0D0D" w:themeColor="text1" w:themeTint="F2"/>
                <w:sz w:val="24"/>
                <w:szCs w:val="24"/>
              </w:rPr>
              <w:fldChar w:fldCharType="end"/>
            </w:r>
          </w:hyperlink>
        </w:p>
        <w:p w14:paraId="7E233312" w14:textId="59037A27" w:rsidR="00A65B94" w:rsidRPr="00DB707E" w:rsidRDefault="00A65B94" w:rsidP="00A65B94">
          <w:pPr>
            <w:pStyle w:val="TOC1"/>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93" w:history="1">
            <w:r w:rsidRPr="00DB707E">
              <w:rPr>
                <w:rStyle w:val="Hyperlink"/>
                <w:rFonts w:ascii="Times New Roman" w:hAnsi="Times New Roman" w:cs="Times New Roman"/>
                <w:noProof/>
                <w:color w:val="0D0D0D" w:themeColor="text1" w:themeTint="F2"/>
                <w:sz w:val="24"/>
                <w:szCs w:val="24"/>
              </w:rPr>
              <w:t>6. CONCLUSION</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_Toc217165293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25</w:t>
            </w:r>
            <w:r w:rsidRPr="00DB707E">
              <w:rPr>
                <w:rFonts w:ascii="Times New Roman" w:hAnsi="Times New Roman" w:cs="Times New Roman"/>
                <w:noProof/>
                <w:webHidden/>
                <w:color w:val="0D0D0D" w:themeColor="text1" w:themeTint="F2"/>
                <w:sz w:val="24"/>
                <w:szCs w:val="24"/>
              </w:rPr>
              <w:fldChar w:fldCharType="end"/>
            </w:r>
          </w:hyperlink>
        </w:p>
        <w:p w14:paraId="276B3D31" w14:textId="3197D7D5" w:rsidR="00A65B94" w:rsidRPr="00A65B94" w:rsidRDefault="00A65B94" w:rsidP="00A65B94">
          <w:pPr>
            <w:pStyle w:val="TOC1"/>
            <w:tabs>
              <w:tab w:val="right" w:leader="dot" w:pos="9016"/>
            </w:tabs>
            <w:spacing w:line="360" w:lineRule="auto"/>
            <w:jc w:val="both"/>
            <w:rPr>
              <w:rFonts w:ascii="Times New Roman" w:hAnsi="Times New Roman" w:cs="Times New Roman"/>
              <w:noProof/>
              <w:color w:val="0D0D0D" w:themeColor="text1" w:themeTint="F2"/>
              <w:sz w:val="24"/>
              <w:szCs w:val="24"/>
            </w:rPr>
          </w:pPr>
          <w:hyperlink w:anchor="_Toc217165294" w:history="1">
            <w:r w:rsidRPr="00DB707E">
              <w:rPr>
                <w:rStyle w:val="Hyperlink"/>
                <w:rFonts w:ascii="Times New Roman" w:hAnsi="Times New Roman" w:cs="Times New Roman"/>
                <w:noProof/>
                <w:color w:val="0D0D0D" w:themeColor="text1" w:themeTint="F2"/>
                <w:sz w:val="24"/>
                <w:szCs w:val="24"/>
              </w:rPr>
              <w:t>7. REFERENCE</w:t>
            </w:r>
            <w:r w:rsidRPr="00DB707E">
              <w:rPr>
                <w:rFonts w:ascii="Times New Roman" w:hAnsi="Times New Roman" w:cs="Times New Roman"/>
                <w:noProof/>
                <w:webHidden/>
                <w:color w:val="0D0D0D" w:themeColor="text1" w:themeTint="F2"/>
                <w:sz w:val="24"/>
                <w:szCs w:val="24"/>
              </w:rPr>
              <w:tab/>
            </w:r>
            <w:r w:rsidRPr="00DB707E">
              <w:rPr>
                <w:rFonts w:ascii="Times New Roman" w:hAnsi="Times New Roman" w:cs="Times New Roman"/>
                <w:noProof/>
                <w:webHidden/>
                <w:color w:val="0D0D0D" w:themeColor="text1" w:themeTint="F2"/>
                <w:sz w:val="24"/>
                <w:szCs w:val="24"/>
              </w:rPr>
              <w:fldChar w:fldCharType="begin"/>
            </w:r>
            <w:r w:rsidRPr="00DB707E">
              <w:rPr>
                <w:rFonts w:ascii="Times New Roman" w:hAnsi="Times New Roman" w:cs="Times New Roman"/>
                <w:noProof/>
                <w:webHidden/>
                <w:color w:val="0D0D0D" w:themeColor="text1" w:themeTint="F2"/>
                <w:sz w:val="24"/>
                <w:szCs w:val="24"/>
              </w:rPr>
              <w:instrText xml:space="preserve"> PAGEREF _Toc217165294 \h </w:instrText>
            </w:r>
            <w:r w:rsidRPr="00DB707E">
              <w:rPr>
                <w:rFonts w:ascii="Times New Roman" w:hAnsi="Times New Roman" w:cs="Times New Roman"/>
                <w:noProof/>
                <w:webHidden/>
                <w:color w:val="0D0D0D" w:themeColor="text1" w:themeTint="F2"/>
                <w:sz w:val="24"/>
                <w:szCs w:val="24"/>
              </w:rPr>
            </w:r>
            <w:r w:rsidRPr="00DB707E">
              <w:rPr>
                <w:rFonts w:ascii="Times New Roman" w:hAnsi="Times New Roman" w:cs="Times New Roman"/>
                <w:noProof/>
                <w:webHidden/>
                <w:color w:val="0D0D0D" w:themeColor="text1" w:themeTint="F2"/>
                <w:sz w:val="24"/>
                <w:szCs w:val="24"/>
              </w:rPr>
              <w:fldChar w:fldCharType="separate"/>
            </w:r>
            <w:r w:rsidRPr="00DB707E">
              <w:rPr>
                <w:rFonts w:ascii="Times New Roman" w:hAnsi="Times New Roman" w:cs="Times New Roman"/>
                <w:noProof/>
                <w:webHidden/>
                <w:color w:val="0D0D0D" w:themeColor="text1" w:themeTint="F2"/>
                <w:sz w:val="24"/>
                <w:szCs w:val="24"/>
              </w:rPr>
              <w:t>27</w:t>
            </w:r>
            <w:r w:rsidRPr="00DB707E">
              <w:rPr>
                <w:rFonts w:ascii="Times New Roman" w:hAnsi="Times New Roman" w:cs="Times New Roman"/>
                <w:noProof/>
                <w:webHidden/>
                <w:color w:val="0D0D0D" w:themeColor="text1" w:themeTint="F2"/>
                <w:sz w:val="24"/>
                <w:szCs w:val="24"/>
              </w:rPr>
              <w:fldChar w:fldCharType="end"/>
            </w:r>
          </w:hyperlink>
        </w:p>
        <w:p w14:paraId="3D904A86" w14:textId="505BA7CA" w:rsidR="00F35A26" w:rsidRPr="00A65B94" w:rsidRDefault="00A65B94" w:rsidP="006C7453">
          <w:pPr>
            <w:spacing w:line="360" w:lineRule="auto"/>
            <w:jc w:val="both"/>
          </w:pPr>
          <w:r w:rsidRPr="00A65B94">
            <w:rPr>
              <w:rFonts w:ascii="Times New Roman" w:hAnsi="Times New Roman" w:cs="Times New Roman"/>
              <w:b/>
              <w:bCs/>
              <w:noProof/>
              <w:color w:val="0D0D0D" w:themeColor="text1" w:themeTint="F2"/>
              <w:sz w:val="24"/>
              <w:szCs w:val="24"/>
            </w:rPr>
            <w:fldChar w:fldCharType="end"/>
          </w:r>
        </w:p>
      </w:sdtContent>
    </w:sdt>
    <w:p w14:paraId="15081B1B" w14:textId="137959EC" w:rsidR="006C7453" w:rsidRPr="006C7453" w:rsidRDefault="006C7453" w:rsidP="006C7453">
      <w:pPr>
        <w:pStyle w:val="Heading1"/>
        <w:numPr>
          <w:ilvl w:val="0"/>
          <w:numId w:val="1"/>
        </w:numPr>
        <w:jc w:val="center"/>
        <w:rPr>
          <w:rFonts w:ascii="Times New Roman" w:hAnsi="Times New Roman" w:cs="Times New Roman"/>
          <w:b/>
          <w:bCs/>
          <w:color w:val="0D0D0D" w:themeColor="text1" w:themeTint="F2"/>
          <w:sz w:val="24"/>
          <w:szCs w:val="24"/>
        </w:rPr>
      </w:pPr>
      <w:bookmarkStart w:id="0" w:name="_Toc217165270"/>
      <w:r w:rsidRPr="006C7453">
        <w:rPr>
          <w:rFonts w:ascii="Times New Roman" w:hAnsi="Times New Roman" w:cs="Times New Roman"/>
          <w:b/>
          <w:bCs/>
          <w:color w:val="0D0D0D" w:themeColor="text1" w:themeTint="F2"/>
          <w:sz w:val="24"/>
          <w:szCs w:val="24"/>
        </w:rPr>
        <w:t>INTRODUCTION</w:t>
      </w:r>
      <w:bookmarkEnd w:id="0"/>
    </w:p>
    <w:p w14:paraId="7304A12A" w14:textId="77777777" w:rsidR="006C7453" w:rsidRPr="006C7453" w:rsidRDefault="006C7453" w:rsidP="006C7453">
      <w:pPr>
        <w:spacing w:line="360" w:lineRule="auto"/>
        <w:jc w:val="both"/>
        <w:rPr>
          <w:rFonts w:ascii="Times New Roman" w:hAnsi="Times New Roman" w:cs="Times New Roman"/>
          <w:sz w:val="24"/>
          <w:szCs w:val="24"/>
        </w:rPr>
      </w:pPr>
    </w:p>
    <w:p w14:paraId="243B65CA" w14:textId="4BAF0A78" w:rsidR="006C7453" w:rsidRPr="00F35A26" w:rsidRDefault="006C7453"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The contemporary international business environment is characterised by rapid technological advancement, intensifying global competition, and continuously evolving consumer preferences. Processes of globalisation and digitalisation have significantly transformed the way organisations compete and expand across national boundaries, particularly within platform-based and knowledge-intensive industries such as digital media and streaming services </w:t>
      </w:r>
      <w:sdt>
        <w:sdtPr>
          <w:rPr>
            <w:rFonts w:ascii="Times New Roman" w:hAnsi="Times New Roman" w:cs="Times New Roman"/>
            <w:color w:val="0D0D0D" w:themeColor="text1" w:themeTint="F2"/>
            <w:sz w:val="24"/>
            <w:szCs w:val="24"/>
          </w:rPr>
          <w:id w:val="1431321041"/>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And25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(Andersen, 2025)</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xml:space="preserve">. In such a volatile, uncertain, complex, and ambiguous (VUCA) environment, organisations are required to demonstrate strategic agility, enabling them to continuously analyse their internal and external environments, respond to change, and sustain long-term competitive advantage </w:t>
      </w:r>
      <w:sdt>
        <w:sdtPr>
          <w:rPr>
            <w:rFonts w:ascii="Times New Roman" w:hAnsi="Times New Roman" w:cs="Times New Roman"/>
            <w:color w:val="0D0D0D" w:themeColor="text1" w:themeTint="F2"/>
            <w:sz w:val="24"/>
            <w:szCs w:val="24"/>
          </w:rPr>
          <w:id w:val="632600927"/>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Tee16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(Teece, 2016)</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04CCAC11" w14:textId="7EB8050A" w:rsidR="006C7453" w:rsidRPr="00F35A26" w:rsidRDefault="006C7453"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Netflix Inc. is widely recognised as a global leader in subscription-based video-on-demand (SVOD) services, offering a diverse portfolio of films, television series, documentaries, and original content across more than 190 countries </w:t>
      </w:r>
      <w:sdt>
        <w:sdtPr>
          <w:rPr>
            <w:rFonts w:ascii="Times New Roman" w:hAnsi="Times New Roman" w:cs="Times New Roman"/>
            <w:color w:val="0D0D0D" w:themeColor="text1" w:themeTint="F2"/>
            <w:sz w:val="24"/>
            <w:szCs w:val="24"/>
          </w:rPr>
          <w:id w:val="-734002162"/>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Net25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(Netflix, 2025)</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xml:space="preserve">. The company’s international growth strategy has been underpinned by its strong brand equity, advanced data analytics capabilities, and significant investment in original content production. While Netflix has achieved considerable success in developed markets, emerging economies such as India present a distinct set of strategic opportunities and challenges. These challenges include high levels of price sensitivity, cultural and linguistic diversity, regulatory oversight of digital content, and intense competition from both global and domestic streaming platforms </w:t>
      </w:r>
      <w:sdt>
        <w:sdtPr>
          <w:rPr>
            <w:rFonts w:ascii="Times New Roman" w:hAnsi="Times New Roman" w:cs="Times New Roman"/>
            <w:color w:val="0D0D0D" w:themeColor="text1" w:themeTint="F2"/>
            <w:sz w:val="24"/>
            <w:szCs w:val="24"/>
          </w:rPr>
          <w:id w:val="-513073112"/>
          <w:citation/>
        </w:sdtPr>
        <w:sdtEndPr/>
        <w:sdtContent>
          <w:r w:rsidR="006B65D1" w:rsidRPr="00F35A26">
            <w:rPr>
              <w:rFonts w:ascii="Times New Roman" w:hAnsi="Times New Roman" w:cs="Times New Roman"/>
              <w:color w:val="0D0D0D" w:themeColor="text1" w:themeTint="F2"/>
              <w:sz w:val="24"/>
              <w:szCs w:val="24"/>
            </w:rPr>
            <w:fldChar w:fldCharType="begin"/>
          </w:r>
          <w:r w:rsidR="006B65D1" w:rsidRPr="00F35A26">
            <w:rPr>
              <w:rFonts w:ascii="Times New Roman" w:hAnsi="Times New Roman" w:cs="Times New Roman"/>
              <w:color w:val="0D0D0D" w:themeColor="text1" w:themeTint="F2"/>
              <w:sz w:val="24"/>
              <w:szCs w:val="24"/>
              <w:lang w:val="en-US"/>
            </w:rPr>
            <w:instrText xml:space="preserve"> CITATION Por083 \l 1033 </w:instrText>
          </w:r>
          <w:r w:rsidR="006B65D1" w:rsidRPr="00F35A26">
            <w:rPr>
              <w:rFonts w:ascii="Times New Roman" w:hAnsi="Times New Roman" w:cs="Times New Roman"/>
              <w:color w:val="0D0D0D" w:themeColor="text1" w:themeTint="F2"/>
              <w:sz w:val="24"/>
              <w:szCs w:val="24"/>
            </w:rPr>
            <w:fldChar w:fldCharType="separate"/>
          </w:r>
          <w:r w:rsidR="006B65D1" w:rsidRPr="00F35A26">
            <w:rPr>
              <w:rFonts w:ascii="Times New Roman" w:hAnsi="Times New Roman" w:cs="Times New Roman"/>
              <w:noProof/>
              <w:color w:val="0D0D0D" w:themeColor="text1" w:themeTint="F2"/>
              <w:sz w:val="24"/>
              <w:szCs w:val="24"/>
              <w:lang w:val="en-US"/>
            </w:rPr>
            <w:t>(Porter, 2008)</w:t>
          </w:r>
          <w:r w:rsidR="006B65D1" w:rsidRPr="00F35A26">
            <w:rPr>
              <w:rFonts w:ascii="Times New Roman" w:hAnsi="Times New Roman" w:cs="Times New Roman"/>
              <w:color w:val="0D0D0D" w:themeColor="text1" w:themeTint="F2"/>
              <w:sz w:val="24"/>
              <w:szCs w:val="24"/>
            </w:rPr>
            <w:fldChar w:fldCharType="end"/>
          </w:r>
        </w:sdtContent>
      </w:sdt>
      <w:sdt>
        <w:sdtPr>
          <w:rPr>
            <w:rFonts w:ascii="Times New Roman" w:hAnsi="Times New Roman" w:cs="Times New Roman"/>
            <w:color w:val="0D0D0D" w:themeColor="text1" w:themeTint="F2"/>
            <w:sz w:val="24"/>
            <w:szCs w:val="24"/>
          </w:rPr>
          <w:id w:val="-195152076"/>
          <w:citation/>
        </w:sdtPr>
        <w:sdtEndPr/>
        <w:sdtContent>
          <w:r w:rsidR="006B65D1" w:rsidRPr="00F35A26">
            <w:rPr>
              <w:rFonts w:ascii="Times New Roman" w:hAnsi="Times New Roman" w:cs="Times New Roman"/>
              <w:color w:val="0D0D0D" w:themeColor="text1" w:themeTint="F2"/>
              <w:sz w:val="24"/>
              <w:szCs w:val="24"/>
            </w:rPr>
            <w:fldChar w:fldCharType="begin"/>
          </w:r>
          <w:r w:rsidR="006B65D1" w:rsidRPr="00F35A26">
            <w:rPr>
              <w:rFonts w:ascii="Times New Roman" w:hAnsi="Times New Roman" w:cs="Times New Roman"/>
              <w:color w:val="0D0D0D" w:themeColor="text1" w:themeTint="F2"/>
              <w:sz w:val="24"/>
              <w:szCs w:val="24"/>
              <w:lang w:val="en-US"/>
            </w:rPr>
            <w:instrText xml:space="preserve"> CITATION Mau \l 1033 </w:instrText>
          </w:r>
          <w:r w:rsidR="006B65D1" w:rsidRPr="00F35A26">
            <w:rPr>
              <w:rFonts w:ascii="Times New Roman" w:hAnsi="Times New Roman" w:cs="Times New Roman"/>
              <w:color w:val="0D0D0D" w:themeColor="text1" w:themeTint="F2"/>
              <w:sz w:val="24"/>
              <w:szCs w:val="24"/>
            </w:rPr>
            <w:fldChar w:fldCharType="separate"/>
          </w:r>
          <w:r w:rsidR="006B65D1" w:rsidRPr="00F35A26">
            <w:rPr>
              <w:rFonts w:ascii="Times New Roman" w:hAnsi="Times New Roman" w:cs="Times New Roman"/>
              <w:noProof/>
              <w:color w:val="0D0D0D" w:themeColor="text1" w:themeTint="F2"/>
              <w:sz w:val="24"/>
              <w:szCs w:val="24"/>
              <w:lang w:val="en-US"/>
            </w:rPr>
            <w:t xml:space="preserve"> (Maurya)</w:t>
          </w:r>
          <w:r w:rsidR="006B65D1"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687C1309" w14:textId="6D4BEF88" w:rsidR="006C7453" w:rsidRPr="00F35A26" w:rsidRDefault="006C7453"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India represents one of the fastest-growing digital entertainment markets globally, driven by a rapidly expanding digital economy, widespread smartphone adoption, affordable mobile data, and a young, digitally engaged population. The growing demand for regional and vernacular content further enhances India’s strategic attractiveness for global streaming platforms seeking long-term subscriber growth. Despite Netflix’s entry into the Indian market in 2016, its market penetration remains relatively modest compared to competitors such as Disney+ Hotstar and Amazon Prime Video, highlighting both the complexity of the market and the existence of substantial untapped growth potential </w:t>
      </w:r>
      <w:sdt>
        <w:sdtPr>
          <w:rPr>
            <w:rFonts w:ascii="Times New Roman" w:hAnsi="Times New Roman" w:cs="Times New Roman"/>
            <w:color w:val="0D0D0D" w:themeColor="text1" w:themeTint="F2"/>
            <w:sz w:val="24"/>
            <w:szCs w:val="24"/>
          </w:rPr>
          <w:id w:val="892545505"/>
          <w:citation/>
        </w:sdtPr>
        <w:sdtEndPr/>
        <w:sdtContent>
          <w:r w:rsidR="006B65D1" w:rsidRPr="00F35A26">
            <w:rPr>
              <w:rFonts w:ascii="Times New Roman" w:hAnsi="Times New Roman" w:cs="Times New Roman"/>
              <w:color w:val="0D0D0D" w:themeColor="text1" w:themeTint="F2"/>
              <w:sz w:val="24"/>
              <w:szCs w:val="24"/>
            </w:rPr>
            <w:fldChar w:fldCharType="begin"/>
          </w:r>
          <w:r w:rsidR="006B65D1" w:rsidRPr="00F35A26">
            <w:rPr>
              <w:rFonts w:ascii="Times New Roman" w:hAnsi="Times New Roman" w:cs="Times New Roman"/>
              <w:color w:val="0D0D0D" w:themeColor="text1" w:themeTint="F2"/>
              <w:sz w:val="24"/>
              <w:szCs w:val="24"/>
              <w:lang w:val="en-US"/>
            </w:rPr>
            <w:instrText xml:space="preserve"> CITATION Bha25 \l 1033 </w:instrText>
          </w:r>
          <w:r w:rsidR="006B65D1" w:rsidRPr="00F35A26">
            <w:rPr>
              <w:rFonts w:ascii="Times New Roman" w:hAnsi="Times New Roman" w:cs="Times New Roman"/>
              <w:color w:val="0D0D0D" w:themeColor="text1" w:themeTint="F2"/>
              <w:sz w:val="24"/>
              <w:szCs w:val="24"/>
            </w:rPr>
            <w:fldChar w:fldCharType="separate"/>
          </w:r>
          <w:r w:rsidR="006B65D1" w:rsidRPr="00F35A26">
            <w:rPr>
              <w:rFonts w:ascii="Times New Roman" w:hAnsi="Times New Roman" w:cs="Times New Roman"/>
              <w:noProof/>
              <w:color w:val="0D0D0D" w:themeColor="text1" w:themeTint="F2"/>
              <w:sz w:val="24"/>
              <w:szCs w:val="24"/>
              <w:lang w:val="en-US"/>
            </w:rPr>
            <w:t>(Bhadeshiya, 2025)</w:t>
          </w:r>
          <w:r w:rsidR="006B65D1"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7C37143D" w14:textId="7AF31ED3" w:rsidR="006C7453" w:rsidRPr="00F35A26" w:rsidRDefault="006C7453"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This report presents a comprehensive organisational expansion plan for Netflix in India, critically applying established strategic management frameworks to evaluate the macro-environmental and competitive conditions, assess Netflix’s internal resources and capabilities, and formulate an effective international expansion strategy. Frameworks such as PESTLE analysis, Porter’s Five Forces, VRIO, Ansoff’s Matrix, and Porter’s Generic Strategies are employed to support systematic and evidence-based strategic decision-making. Furthermore, a performance evaluation framework is developed using a Balanced Scorecard approach to assess the effectiveness and sustainability of the proposed expansion strategy. Through critical engagement with contemporary academic literature and real-world industry data, this report aims to propose a coherent, feasible, and strategically sound roadmap for Netflix’s expansion within the Indian market.</w:t>
      </w:r>
    </w:p>
    <w:p w14:paraId="550B315D" w14:textId="77777777" w:rsidR="006C7453" w:rsidRDefault="006C7453" w:rsidP="00F35A26">
      <w:pPr>
        <w:spacing w:line="360" w:lineRule="auto"/>
        <w:jc w:val="both"/>
        <w:rPr>
          <w:rFonts w:ascii="Times New Roman" w:hAnsi="Times New Roman" w:cs="Times New Roman"/>
          <w:color w:val="0D0D0D" w:themeColor="text1" w:themeTint="F2"/>
          <w:sz w:val="24"/>
          <w:szCs w:val="24"/>
        </w:rPr>
      </w:pPr>
    </w:p>
    <w:p w14:paraId="6D3D45A4"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0434467F"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4CDAFE8A"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78743488"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1179C3CF"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11A1D4C1"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284F5CE9"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73627B80"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4E977685"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64E03C43"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5EC26D6C"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098B13A3"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52214888"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2EB23157"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1A8E12F3"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1C343C72" w14:textId="77777777" w:rsidR="004F13BE" w:rsidRPr="00F35A26" w:rsidRDefault="004F13BE" w:rsidP="00F35A26">
      <w:pPr>
        <w:spacing w:line="360" w:lineRule="auto"/>
        <w:jc w:val="both"/>
        <w:rPr>
          <w:rFonts w:ascii="Times New Roman" w:hAnsi="Times New Roman" w:cs="Times New Roman"/>
          <w:color w:val="0D0D0D" w:themeColor="text1" w:themeTint="F2"/>
          <w:sz w:val="24"/>
          <w:szCs w:val="24"/>
        </w:rPr>
      </w:pPr>
    </w:p>
    <w:p w14:paraId="08CC8AF5" w14:textId="7F2BD5A8" w:rsidR="00643068" w:rsidRDefault="00643068" w:rsidP="00F35A26">
      <w:pPr>
        <w:pStyle w:val="Heading1"/>
        <w:numPr>
          <w:ilvl w:val="0"/>
          <w:numId w:val="1"/>
        </w:numPr>
        <w:spacing w:line="360" w:lineRule="auto"/>
        <w:jc w:val="center"/>
        <w:rPr>
          <w:rFonts w:ascii="Times New Roman" w:hAnsi="Times New Roman" w:cs="Times New Roman"/>
          <w:b/>
          <w:bCs/>
          <w:color w:val="0D0D0D" w:themeColor="text1" w:themeTint="F2"/>
          <w:sz w:val="24"/>
          <w:szCs w:val="24"/>
        </w:rPr>
      </w:pPr>
      <w:bookmarkStart w:id="1" w:name="_Toc217165271"/>
      <w:r w:rsidRPr="00F35A26">
        <w:rPr>
          <w:rFonts w:ascii="Times New Roman" w:hAnsi="Times New Roman" w:cs="Times New Roman"/>
          <w:b/>
          <w:bCs/>
          <w:color w:val="0D0D0D" w:themeColor="text1" w:themeTint="F2"/>
          <w:sz w:val="24"/>
          <w:szCs w:val="24"/>
        </w:rPr>
        <w:t>SELECTION OF ORGANISATION AND TARGET MARKET</w:t>
      </w:r>
      <w:bookmarkEnd w:id="1"/>
    </w:p>
    <w:p w14:paraId="5618596F" w14:textId="77777777" w:rsidR="00F35A26" w:rsidRPr="00F35A26" w:rsidRDefault="00F35A26" w:rsidP="00F35A26"/>
    <w:p w14:paraId="339F2CF7" w14:textId="67320A8E" w:rsidR="00643068" w:rsidRDefault="00643068" w:rsidP="00F35A26">
      <w:pPr>
        <w:pStyle w:val="Heading2"/>
        <w:numPr>
          <w:ilvl w:val="1"/>
          <w:numId w:val="1"/>
        </w:numPr>
        <w:spacing w:line="360" w:lineRule="auto"/>
        <w:jc w:val="both"/>
        <w:rPr>
          <w:rFonts w:ascii="Times New Roman" w:hAnsi="Times New Roman" w:cs="Times New Roman"/>
          <w:b/>
          <w:bCs/>
          <w:color w:val="0D0D0D" w:themeColor="text1" w:themeTint="F2"/>
          <w:sz w:val="24"/>
          <w:szCs w:val="24"/>
        </w:rPr>
      </w:pPr>
      <w:bookmarkStart w:id="2" w:name="_Toc217165272"/>
      <w:r w:rsidRPr="00F35A26">
        <w:rPr>
          <w:rFonts w:ascii="Times New Roman" w:hAnsi="Times New Roman" w:cs="Times New Roman"/>
          <w:b/>
          <w:bCs/>
          <w:color w:val="0D0D0D" w:themeColor="text1" w:themeTint="F2"/>
          <w:sz w:val="24"/>
          <w:szCs w:val="24"/>
        </w:rPr>
        <w:t>Overview of Netflix Inc.</w:t>
      </w:r>
      <w:bookmarkEnd w:id="2"/>
    </w:p>
    <w:p w14:paraId="5191F35D" w14:textId="77777777" w:rsidR="00F35A26" w:rsidRPr="00F35A26" w:rsidRDefault="00F35A26" w:rsidP="00F35A26"/>
    <w:p w14:paraId="43B15A22" w14:textId="7D4E65E6" w:rsidR="00643068" w:rsidRPr="00F35A26" w:rsidRDefault="00643068"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Netflix Inc. is a United States–based multinational streaming entertainment company founded in 1997 and headquartered in Los Gatos, California. Originally established as a DVD-by-mail service, Netflix has evolved into the world’s leading subscription-based video-on-demand (SVOD) platform, offering a wide range of films, television series, documentaries, and award-winning original productions </w:t>
      </w:r>
      <w:sdt>
        <w:sdtPr>
          <w:rPr>
            <w:rFonts w:ascii="Times New Roman" w:hAnsi="Times New Roman" w:cs="Times New Roman"/>
            <w:color w:val="0D0D0D" w:themeColor="text1" w:themeTint="F2"/>
            <w:sz w:val="24"/>
            <w:szCs w:val="24"/>
          </w:rPr>
          <w:id w:val="-2055542126"/>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Net25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(Netflix, 2025)</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The company operates across more than 190 countries and has positioned itself as a pioneer in digital disruption within the global media and entertainment industry.</w:t>
      </w:r>
    </w:p>
    <w:p w14:paraId="05DB991B" w14:textId="6673CD17" w:rsidR="00643068" w:rsidRPr="00F35A26" w:rsidRDefault="00643068"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Netflix’s competitive strength is underpinned by several key strategic capabilities. The company possesses strong global brand equity, which is associated with high-quality content, innovation, and user-centric design </w:t>
      </w:r>
      <w:sdt>
        <w:sdtPr>
          <w:rPr>
            <w:rFonts w:ascii="Times New Roman" w:hAnsi="Times New Roman" w:cs="Times New Roman"/>
            <w:color w:val="0D0D0D" w:themeColor="text1" w:themeTint="F2"/>
            <w:sz w:val="24"/>
            <w:szCs w:val="24"/>
          </w:rPr>
          <w:id w:val="1787005596"/>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And25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(Andersen, 2025)</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xml:space="preserve">. Netflix has developed advanced data analytics and recommendation algorithms that enable personalised content curation, enhancing customer engagement and retention (Marr, 2016). The firm has significant global content production capabilities, supported by substantial investment in original programming tailored to diverse international audiences. Netflix operates a highly scalable digital platform, allowing it to efficiently expand into new markets without the constraints of physical infrastructure </w:t>
      </w:r>
      <w:sdt>
        <w:sdtPr>
          <w:rPr>
            <w:rFonts w:ascii="Times New Roman" w:hAnsi="Times New Roman" w:cs="Times New Roman"/>
            <w:color w:val="0D0D0D" w:themeColor="text1" w:themeTint="F2"/>
            <w:sz w:val="24"/>
            <w:szCs w:val="24"/>
          </w:rPr>
          <w:id w:val="-1324116265"/>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Por083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(Porter, 2008)</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4C5A6C87" w14:textId="545C4D5E" w:rsidR="00643068" w:rsidRPr="00F35A26" w:rsidRDefault="00643068"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Strategically, Netflix’s corporate intent focuses on sustained international subscriber growth, continued investment in original and localised content, and ongoing technological innovation to enhance user experience. These strategic priorities make international expansion a central component of Netflix’s long-term growth strategy, particularly within high-potential emerging markets </w:t>
      </w:r>
      <w:sdt>
        <w:sdtPr>
          <w:rPr>
            <w:rFonts w:ascii="Times New Roman" w:hAnsi="Times New Roman" w:cs="Times New Roman"/>
            <w:color w:val="0D0D0D" w:themeColor="text1" w:themeTint="F2"/>
            <w:sz w:val="24"/>
            <w:szCs w:val="24"/>
          </w:rPr>
          <w:id w:val="169300687"/>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Net25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(Netflix, 2025)</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742F3732"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4D449464"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1A18FB08"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37799142" w14:textId="77777777" w:rsidR="00F35A26" w:rsidRPr="00F35A26" w:rsidRDefault="00F35A26" w:rsidP="00F35A26">
      <w:pPr>
        <w:spacing w:line="360" w:lineRule="auto"/>
        <w:jc w:val="both"/>
        <w:rPr>
          <w:rFonts w:ascii="Times New Roman" w:hAnsi="Times New Roman" w:cs="Times New Roman"/>
          <w:color w:val="0D0D0D" w:themeColor="text1" w:themeTint="F2"/>
          <w:sz w:val="24"/>
          <w:szCs w:val="24"/>
        </w:rPr>
      </w:pPr>
    </w:p>
    <w:p w14:paraId="29588F18" w14:textId="77777777" w:rsidR="00643068" w:rsidRPr="00F35A26" w:rsidRDefault="00643068" w:rsidP="00F35A26">
      <w:pPr>
        <w:pStyle w:val="Heading2"/>
        <w:spacing w:line="360" w:lineRule="auto"/>
        <w:jc w:val="both"/>
        <w:rPr>
          <w:rFonts w:ascii="Times New Roman" w:hAnsi="Times New Roman" w:cs="Times New Roman"/>
          <w:b/>
          <w:bCs/>
          <w:color w:val="0D0D0D" w:themeColor="text1" w:themeTint="F2"/>
          <w:sz w:val="24"/>
          <w:szCs w:val="24"/>
        </w:rPr>
      </w:pPr>
      <w:bookmarkStart w:id="3" w:name="_Toc217165273"/>
      <w:r w:rsidRPr="00F35A26">
        <w:rPr>
          <w:rFonts w:ascii="Times New Roman" w:hAnsi="Times New Roman" w:cs="Times New Roman"/>
          <w:b/>
          <w:bCs/>
          <w:color w:val="0D0D0D" w:themeColor="text1" w:themeTint="F2"/>
          <w:sz w:val="24"/>
          <w:szCs w:val="24"/>
        </w:rPr>
        <w:t>2.2 Rationale for Selecting India as the Target Market</w:t>
      </w:r>
      <w:bookmarkEnd w:id="3"/>
    </w:p>
    <w:p w14:paraId="45764437" w14:textId="77777777" w:rsidR="00643068" w:rsidRPr="00F35A26" w:rsidRDefault="00643068" w:rsidP="00F35A26">
      <w:pPr>
        <w:spacing w:line="360" w:lineRule="auto"/>
        <w:jc w:val="both"/>
        <w:rPr>
          <w:rFonts w:ascii="Times New Roman" w:hAnsi="Times New Roman" w:cs="Times New Roman"/>
          <w:color w:val="0D0D0D" w:themeColor="text1" w:themeTint="F2"/>
          <w:sz w:val="24"/>
          <w:szCs w:val="24"/>
        </w:rPr>
      </w:pPr>
    </w:p>
    <w:p w14:paraId="6523CA2B" w14:textId="74422D56" w:rsidR="00643068" w:rsidRPr="00F35A26" w:rsidRDefault="00643068"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India has been selected as the target market for expansion due to its position as one of the world’s largest and fastest-growing digital entertainment markets. The country has over 700 million internet users, driven by rapid smartphone adoption and the widespread availability of affordable mobile data services </w:t>
      </w:r>
      <w:sdt>
        <w:sdtPr>
          <w:rPr>
            <w:rFonts w:ascii="Times New Roman" w:hAnsi="Times New Roman" w:cs="Times New Roman"/>
            <w:color w:val="0D0D0D" w:themeColor="text1" w:themeTint="F2"/>
            <w:sz w:val="24"/>
            <w:szCs w:val="24"/>
          </w:rPr>
          <w:id w:val="-1507042869"/>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Sta17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(Statista., 2017)</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India’s digital transformation has significantly altered media consumption patterns, with streaming platforms increasingly replacing traditional television among younger demographics.</w:t>
      </w:r>
    </w:p>
    <w:p w14:paraId="54A3623D" w14:textId="0F05CA42" w:rsidR="00643068" w:rsidRPr="00F35A26" w:rsidRDefault="00643068"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There is a growing demand for regional and vernacular content across languages such as Hindi, Tamil, Telugu, Malayalam, and Bengali, reflecting India’s cultural and linguistic </w:t>
      </w:r>
      <w:sdt>
        <w:sdtPr>
          <w:rPr>
            <w:rFonts w:ascii="Times New Roman" w:hAnsi="Times New Roman" w:cs="Times New Roman"/>
            <w:color w:val="0D0D0D" w:themeColor="text1" w:themeTint="F2"/>
            <w:sz w:val="24"/>
            <w:szCs w:val="24"/>
          </w:rPr>
          <w:id w:val="1882981322"/>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Med24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(Media, I. , 2024)</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xml:space="preserve">. This demand creates opportunities for global streaming platforms capable of producing and distributing localised content at scale. Industry reports also highlight that India’s OTT market is expected to experience sustained double-digit growth over the next decade, making it strategically attractive for long-term investment </w:t>
      </w:r>
      <w:sdt>
        <w:sdtPr>
          <w:rPr>
            <w:rFonts w:ascii="Times New Roman" w:hAnsi="Times New Roman" w:cs="Times New Roman"/>
            <w:color w:val="0D0D0D" w:themeColor="text1" w:themeTint="F2"/>
            <w:sz w:val="24"/>
            <w:szCs w:val="24"/>
          </w:rPr>
          <w:id w:val="1779988076"/>
          <w:citation/>
        </w:sdtPr>
        <w:sdtEndPr/>
        <w:sdtContent>
          <w:r w:rsidR="00106BCC" w:rsidRPr="00F35A26">
            <w:rPr>
              <w:rFonts w:ascii="Times New Roman" w:hAnsi="Times New Roman" w:cs="Times New Roman"/>
              <w:color w:val="0D0D0D" w:themeColor="text1" w:themeTint="F2"/>
              <w:sz w:val="24"/>
              <w:szCs w:val="24"/>
            </w:rPr>
            <w:fldChar w:fldCharType="begin"/>
          </w:r>
          <w:r w:rsidR="00106BCC" w:rsidRPr="00F35A26">
            <w:rPr>
              <w:rFonts w:ascii="Times New Roman" w:hAnsi="Times New Roman" w:cs="Times New Roman"/>
              <w:color w:val="0D0D0D" w:themeColor="text1" w:themeTint="F2"/>
              <w:sz w:val="24"/>
              <w:szCs w:val="24"/>
              <w:lang w:val="en-US"/>
            </w:rPr>
            <w:instrText xml:space="preserve"> CITATION Del23 \l 1033 </w:instrText>
          </w:r>
          <w:r w:rsidR="00106BCC" w:rsidRPr="00F35A26">
            <w:rPr>
              <w:rFonts w:ascii="Times New Roman" w:hAnsi="Times New Roman" w:cs="Times New Roman"/>
              <w:color w:val="0D0D0D" w:themeColor="text1" w:themeTint="F2"/>
              <w:sz w:val="24"/>
              <w:szCs w:val="24"/>
            </w:rPr>
            <w:fldChar w:fldCharType="separate"/>
          </w:r>
          <w:r w:rsidR="00106BCC" w:rsidRPr="00F35A26">
            <w:rPr>
              <w:rFonts w:ascii="Times New Roman" w:hAnsi="Times New Roman" w:cs="Times New Roman"/>
              <w:noProof/>
              <w:color w:val="0D0D0D" w:themeColor="text1" w:themeTint="F2"/>
              <w:sz w:val="24"/>
              <w:szCs w:val="24"/>
              <w:lang w:val="en-US"/>
            </w:rPr>
            <w:t>(Deloitte Insights. , 2023)</w:t>
          </w:r>
          <w:r w:rsidR="00106BCC" w:rsidRPr="00F35A26">
            <w:rPr>
              <w:rFonts w:ascii="Times New Roman" w:hAnsi="Times New Roman" w:cs="Times New Roman"/>
              <w:color w:val="0D0D0D" w:themeColor="text1" w:themeTint="F2"/>
              <w:sz w:val="24"/>
              <w:szCs w:val="24"/>
            </w:rPr>
            <w:fldChar w:fldCharType="end"/>
          </w:r>
        </w:sdtContent>
      </w:sdt>
    </w:p>
    <w:p w14:paraId="1AFCB107" w14:textId="4EDD7D3E" w:rsidR="00643068" w:rsidRPr="00F35A26" w:rsidRDefault="00643068"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Despite Netflix’s entry into the Indian market in 2016, its market share remains relatively modest when compared to competitors such as Disney+ Hotstar and Amazon Prime Video. These platforms have gained stronger traction through aggressive pricing strategies and extensive local content libraries </w:t>
      </w:r>
      <w:sdt>
        <w:sdtPr>
          <w:rPr>
            <w:rFonts w:ascii="Times New Roman" w:hAnsi="Times New Roman" w:cs="Times New Roman"/>
            <w:color w:val="0D0D0D" w:themeColor="text1" w:themeTint="F2"/>
            <w:sz w:val="24"/>
            <w:szCs w:val="24"/>
          </w:rPr>
          <w:id w:val="-1563249583"/>
          <w:citation/>
        </w:sdtPr>
        <w:sdtEndPr/>
        <w:sdtContent>
          <w:r w:rsidR="00106BCC" w:rsidRPr="00F35A26">
            <w:rPr>
              <w:rFonts w:ascii="Times New Roman" w:hAnsi="Times New Roman" w:cs="Times New Roman"/>
              <w:color w:val="0D0D0D" w:themeColor="text1" w:themeTint="F2"/>
              <w:sz w:val="24"/>
              <w:szCs w:val="24"/>
            </w:rPr>
            <w:fldChar w:fldCharType="begin"/>
          </w:r>
          <w:r w:rsidR="00106BCC" w:rsidRPr="00F35A26">
            <w:rPr>
              <w:rFonts w:ascii="Times New Roman" w:hAnsi="Times New Roman" w:cs="Times New Roman"/>
              <w:color w:val="0D0D0D" w:themeColor="text1" w:themeTint="F2"/>
              <w:sz w:val="24"/>
              <w:szCs w:val="24"/>
              <w:lang w:val="en-US"/>
            </w:rPr>
            <w:instrText xml:space="preserve"> CITATION Pri23 \l 1033 </w:instrText>
          </w:r>
          <w:r w:rsidR="00106BCC" w:rsidRPr="00F35A26">
            <w:rPr>
              <w:rFonts w:ascii="Times New Roman" w:hAnsi="Times New Roman" w:cs="Times New Roman"/>
              <w:color w:val="0D0D0D" w:themeColor="text1" w:themeTint="F2"/>
              <w:sz w:val="24"/>
              <w:szCs w:val="24"/>
            </w:rPr>
            <w:fldChar w:fldCharType="separate"/>
          </w:r>
          <w:r w:rsidR="00106BCC" w:rsidRPr="00F35A26">
            <w:rPr>
              <w:rFonts w:ascii="Times New Roman" w:hAnsi="Times New Roman" w:cs="Times New Roman"/>
              <w:noProof/>
              <w:color w:val="0D0D0D" w:themeColor="text1" w:themeTint="F2"/>
              <w:sz w:val="24"/>
              <w:szCs w:val="24"/>
              <w:lang w:val="en-US"/>
            </w:rPr>
            <w:t>(PricewaterhouseCoopers, 2023)</w:t>
          </w:r>
          <w:r w:rsidR="00106BCC"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Netflix’s comparatively lower penetration indicates significant untapped potential, suggesting that India should be approached as a strategic expansion opportunity rather than a mature or saturated market. This context justifies the selection of India as a focal market for renewed strategic investment and market development.</w:t>
      </w:r>
    </w:p>
    <w:p w14:paraId="6B201E7A" w14:textId="77777777" w:rsidR="00643068" w:rsidRDefault="00643068" w:rsidP="00F35A26">
      <w:pPr>
        <w:spacing w:line="360" w:lineRule="auto"/>
        <w:jc w:val="both"/>
        <w:rPr>
          <w:rFonts w:ascii="Times New Roman" w:hAnsi="Times New Roman" w:cs="Times New Roman"/>
          <w:color w:val="0D0D0D" w:themeColor="text1" w:themeTint="F2"/>
          <w:sz w:val="24"/>
          <w:szCs w:val="24"/>
        </w:rPr>
      </w:pPr>
    </w:p>
    <w:p w14:paraId="4F5226CF"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4466ED26"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38528856"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62ACBF52"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32BE98EB" w14:textId="77777777" w:rsidR="00F35A26" w:rsidRPr="00F35A26" w:rsidRDefault="00F35A26" w:rsidP="00F35A26">
      <w:pPr>
        <w:spacing w:line="360" w:lineRule="auto"/>
        <w:jc w:val="both"/>
        <w:rPr>
          <w:rFonts w:ascii="Times New Roman" w:hAnsi="Times New Roman" w:cs="Times New Roman"/>
          <w:color w:val="0D0D0D" w:themeColor="text1" w:themeTint="F2"/>
          <w:sz w:val="24"/>
          <w:szCs w:val="24"/>
        </w:rPr>
      </w:pPr>
    </w:p>
    <w:p w14:paraId="4A3E0C5B" w14:textId="77777777" w:rsidR="00643068" w:rsidRPr="00F35A26" w:rsidRDefault="00643068" w:rsidP="00F35A26">
      <w:pPr>
        <w:pStyle w:val="Heading2"/>
        <w:spacing w:line="360" w:lineRule="auto"/>
        <w:jc w:val="both"/>
        <w:rPr>
          <w:rFonts w:ascii="Times New Roman" w:hAnsi="Times New Roman" w:cs="Times New Roman"/>
          <w:b/>
          <w:bCs/>
          <w:color w:val="0D0D0D" w:themeColor="text1" w:themeTint="F2"/>
          <w:sz w:val="24"/>
          <w:szCs w:val="24"/>
        </w:rPr>
      </w:pPr>
      <w:bookmarkStart w:id="4" w:name="_Toc217165274"/>
      <w:r w:rsidRPr="00F35A26">
        <w:rPr>
          <w:rFonts w:ascii="Times New Roman" w:hAnsi="Times New Roman" w:cs="Times New Roman"/>
          <w:b/>
          <w:bCs/>
          <w:color w:val="0D0D0D" w:themeColor="text1" w:themeTint="F2"/>
          <w:sz w:val="24"/>
          <w:szCs w:val="24"/>
        </w:rPr>
        <w:t>2.3 Strategic Fit Between Netflix and India</w:t>
      </w:r>
      <w:bookmarkEnd w:id="4"/>
    </w:p>
    <w:p w14:paraId="496CD766" w14:textId="77777777" w:rsidR="00643068" w:rsidRPr="00F35A26" w:rsidRDefault="00643068" w:rsidP="00F35A26">
      <w:pPr>
        <w:spacing w:line="360" w:lineRule="auto"/>
        <w:jc w:val="both"/>
        <w:rPr>
          <w:rFonts w:ascii="Times New Roman" w:hAnsi="Times New Roman" w:cs="Times New Roman"/>
          <w:color w:val="0D0D0D" w:themeColor="text1" w:themeTint="F2"/>
          <w:sz w:val="24"/>
          <w:szCs w:val="24"/>
        </w:rPr>
      </w:pPr>
    </w:p>
    <w:p w14:paraId="6F9043CF" w14:textId="0DD66C52" w:rsidR="00643068" w:rsidRPr="00F35A26" w:rsidRDefault="00643068"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The strategic fit between Netflix and the Indian market can be justified through several complementary factors. India’s large population and expanding digital user base align with Netflix’s growth-oriented international strategy. Netflix’s digital delivery and mobile-optimised platform correspond well with India’s mobile-first consumption behaviour, where a substantial proportion of users access streaming services via smartphones rather than traditional television or desktop devices </w:t>
      </w:r>
      <w:sdt>
        <w:sdtPr>
          <w:rPr>
            <w:rFonts w:ascii="Times New Roman" w:hAnsi="Times New Roman" w:cs="Times New Roman"/>
            <w:color w:val="0D0D0D" w:themeColor="text1" w:themeTint="F2"/>
            <w:sz w:val="24"/>
            <w:szCs w:val="24"/>
          </w:rPr>
          <w:id w:val="291562426"/>
          <w:citation/>
        </w:sdtPr>
        <w:sdtEndPr/>
        <w:sdtContent>
          <w:r w:rsidR="00106BCC" w:rsidRPr="00F35A26">
            <w:rPr>
              <w:rFonts w:ascii="Times New Roman" w:hAnsi="Times New Roman" w:cs="Times New Roman"/>
              <w:color w:val="0D0D0D" w:themeColor="text1" w:themeTint="F2"/>
              <w:sz w:val="24"/>
              <w:szCs w:val="24"/>
            </w:rPr>
            <w:fldChar w:fldCharType="begin"/>
          </w:r>
          <w:r w:rsidR="00106BCC" w:rsidRPr="00F35A26">
            <w:rPr>
              <w:rFonts w:ascii="Times New Roman" w:hAnsi="Times New Roman" w:cs="Times New Roman"/>
              <w:color w:val="0D0D0D" w:themeColor="text1" w:themeTint="F2"/>
              <w:sz w:val="24"/>
              <w:szCs w:val="24"/>
              <w:lang w:val="en-US"/>
            </w:rPr>
            <w:instrText xml:space="preserve"> CITATION Sta17 \l 1033 </w:instrText>
          </w:r>
          <w:r w:rsidR="00106BCC" w:rsidRPr="00F35A26">
            <w:rPr>
              <w:rFonts w:ascii="Times New Roman" w:hAnsi="Times New Roman" w:cs="Times New Roman"/>
              <w:color w:val="0D0D0D" w:themeColor="text1" w:themeTint="F2"/>
              <w:sz w:val="24"/>
              <w:szCs w:val="24"/>
            </w:rPr>
            <w:fldChar w:fldCharType="separate"/>
          </w:r>
          <w:r w:rsidR="00106BCC" w:rsidRPr="00F35A26">
            <w:rPr>
              <w:rFonts w:ascii="Times New Roman" w:hAnsi="Times New Roman" w:cs="Times New Roman"/>
              <w:noProof/>
              <w:color w:val="0D0D0D" w:themeColor="text1" w:themeTint="F2"/>
              <w:sz w:val="24"/>
              <w:szCs w:val="24"/>
              <w:lang w:val="en-US"/>
            </w:rPr>
            <w:t>(Statista., 2017)</w:t>
          </w:r>
          <w:r w:rsidR="00106BCC"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1A5CE41D" w14:textId="0BE89C30" w:rsidR="00643068" w:rsidRPr="00F35A26" w:rsidRDefault="00643068"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Netflix’s expertise in producing high-quality original content provides an opportunity to develop India-specific programming that resonates with local audiences while maintaining global production standards. Successful Indian originals can also be leveraged internationally, enhancing Netflix’s global content portfolio and reinforcing its differentiation strategy </w:t>
      </w:r>
      <w:sdt>
        <w:sdtPr>
          <w:rPr>
            <w:rFonts w:ascii="Times New Roman" w:hAnsi="Times New Roman" w:cs="Times New Roman"/>
            <w:color w:val="0D0D0D" w:themeColor="text1" w:themeTint="F2"/>
            <w:sz w:val="24"/>
            <w:szCs w:val="24"/>
          </w:rPr>
          <w:id w:val="834722586"/>
          <w:citation/>
        </w:sdtPr>
        <w:sdtEndPr/>
        <w:sdtContent>
          <w:r w:rsidR="00106BCC" w:rsidRPr="00F35A26">
            <w:rPr>
              <w:rFonts w:ascii="Times New Roman" w:hAnsi="Times New Roman" w:cs="Times New Roman"/>
              <w:color w:val="0D0D0D" w:themeColor="text1" w:themeTint="F2"/>
              <w:sz w:val="24"/>
              <w:szCs w:val="24"/>
            </w:rPr>
            <w:fldChar w:fldCharType="begin"/>
          </w:r>
          <w:r w:rsidR="00106BCC" w:rsidRPr="00F35A26">
            <w:rPr>
              <w:rFonts w:ascii="Times New Roman" w:hAnsi="Times New Roman" w:cs="Times New Roman"/>
              <w:color w:val="0D0D0D" w:themeColor="text1" w:themeTint="F2"/>
              <w:sz w:val="24"/>
              <w:szCs w:val="24"/>
              <w:lang w:val="en-US"/>
            </w:rPr>
            <w:instrText xml:space="preserve"> CITATION Por083 \l 1033 </w:instrText>
          </w:r>
          <w:r w:rsidR="00106BCC" w:rsidRPr="00F35A26">
            <w:rPr>
              <w:rFonts w:ascii="Times New Roman" w:hAnsi="Times New Roman" w:cs="Times New Roman"/>
              <w:color w:val="0D0D0D" w:themeColor="text1" w:themeTint="F2"/>
              <w:sz w:val="24"/>
              <w:szCs w:val="24"/>
            </w:rPr>
            <w:fldChar w:fldCharType="separate"/>
          </w:r>
          <w:r w:rsidR="00106BCC" w:rsidRPr="00F35A26">
            <w:rPr>
              <w:rFonts w:ascii="Times New Roman" w:hAnsi="Times New Roman" w:cs="Times New Roman"/>
              <w:noProof/>
              <w:color w:val="0D0D0D" w:themeColor="text1" w:themeTint="F2"/>
              <w:sz w:val="24"/>
              <w:szCs w:val="24"/>
              <w:lang w:val="en-US"/>
            </w:rPr>
            <w:t>(Porter, 2008)</w:t>
          </w:r>
          <w:r w:rsidR="00106BCC"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0724D8DC" w14:textId="7A71D2B1" w:rsidR="006C7453" w:rsidRPr="00F35A26" w:rsidRDefault="00643068"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The Indian market also presents notable strategic challenges. High levels of price sensitivity necessitate innovative pricing models, while intense competition from domestic and international platforms places pressure on customer acquisition and retention. Moreover, increasing regulatory scrutiny over digital content requires careful compliance and cultural sensitivity </w:t>
      </w:r>
      <w:sdt>
        <w:sdtPr>
          <w:rPr>
            <w:rFonts w:ascii="Times New Roman" w:hAnsi="Times New Roman" w:cs="Times New Roman"/>
            <w:color w:val="0D0D0D" w:themeColor="text1" w:themeTint="F2"/>
            <w:sz w:val="24"/>
            <w:szCs w:val="24"/>
          </w:rPr>
          <w:id w:val="-1892960575"/>
          <w:citation/>
        </w:sdtPr>
        <w:sdtEndPr/>
        <w:sdtContent>
          <w:r w:rsidR="00106BCC" w:rsidRPr="00F35A26">
            <w:rPr>
              <w:rFonts w:ascii="Times New Roman" w:hAnsi="Times New Roman" w:cs="Times New Roman"/>
              <w:color w:val="0D0D0D" w:themeColor="text1" w:themeTint="F2"/>
              <w:sz w:val="24"/>
              <w:szCs w:val="24"/>
            </w:rPr>
            <w:fldChar w:fldCharType="begin"/>
          </w:r>
          <w:r w:rsidR="00106BCC" w:rsidRPr="00F35A26">
            <w:rPr>
              <w:rFonts w:ascii="Times New Roman" w:hAnsi="Times New Roman" w:cs="Times New Roman"/>
              <w:color w:val="0D0D0D" w:themeColor="text1" w:themeTint="F2"/>
              <w:sz w:val="24"/>
              <w:szCs w:val="24"/>
              <w:lang w:val="en-US"/>
            </w:rPr>
            <w:instrText xml:space="preserve"> CITATION Del23 \l 1033 </w:instrText>
          </w:r>
          <w:r w:rsidR="00106BCC" w:rsidRPr="00F35A26">
            <w:rPr>
              <w:rFonts w:ascii="Times New Roman" w:hAnsi="Times New Roman" w:cs="Times New Roman"/>
              <w:color w:val="0D0D0D" w:themeColor="text1" w:themeTint="F2"/>
              <w:sz w:val="24"/>
              <w:szCs w:val="24"/>
            </w:rPr>
            <w:fldChar w:fldCharType="separate"/>
          </w:r>
          <w:r w:rsidR="00106BCC" w:rsidRPr="00F35A26">
            <w:rPr>
              <w:rFonts w:ascii="Times New Roman" w:hAnsi="Times New Roman" w:cs="Times New Roman"/>
              <w:noProof/>
              <w:color w:val="0D0D0D" w:themeColor="text1" w:themeTint="F2"/>
              <w:sz w:val="24"/>
              <w:szCs w:val="24"/>
              <w:lang w:val="en-US"/>
            </w:rPr>
            <w:t>(Deloitte Insights. , 2023)</w:t>
          </w:r>
          <w:r w:rsidR="00106BCC"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xml:space="preserve">. </w:t>
      </w:r>
      <w:r w:rsidR="00106BCC" w:rsidRPr="00F35A26">
        <w:rPr>
          <w:rFonts w:ascii="Times New Roman" w:hAnsi="Times New Roman" w:cs="Times New Roman"/>
          <w:color w:val="0D0D0D" w:themeColor="text1" w:themeTint="F2"/>
          <w:sz w:val="24"/>
          <w:szCs w:val="24"/>
        </w:rPr>
        <w:t>W</w:t>
      </w:r>
      <w:r w:rsidRPr="00F35A26">
        <w:rPr>
          <w:rFonts w:ascii="Times New Roman" w:hAnsi="Times New Roman" w:cs="Times New Roman"/>
          <w:color w:val="0D0D0D" w:themeColor="text1" w:themeTint="F2"/>
          <w:sz w:val="24"/>
          <w:szCs w:val="24"/>
        </w:rPr>
        <w:t>hile there is strong strategic alignment between Netflix’s capabilities and India’s market potential, success depends on the implementation of a carefully localised and adaptive expansion strategy.</w:t>
      </w:r>
    </w:p>
    <w:p w14:paraId="38FF374A" w14:textId="77777777" w:rsidR="006C7453" w:rsidRDefault="006C7453" w:rsidP="00F35A26">
      <w:pPr>
        <w:spacing w:line="360" w:lineRule="auto"/>
        <w:jc w:val="both"/>
        <w:rPr>
          <w:rFonts w:ascii="Times New Roman" w:hAnsi="Times New Roman" w:cs="Times New Roman"/>
          <w:color w:val="0D0D0D" w:themeColor="text1" w:themeTint="F2"/>
          <w:sz w:val="24"/>
          <w:szCs w:val="24"/>
        </w:rPr>
      </w:pPr>
    </w:p>
    <w:p w14:paraId="13C6301A"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11A776D2"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10B8BB4F"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227363EA"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2F0FF563"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176017B7" w14:textId="77777777" w:rsidR="00F35A26" w:rsidRPr="00F35A26" w:rsidRDefault="00F35A26" w:rsidP="00F35A26">
      <w:pPr>
        <w:spacing w:line="360" w:lineRule="auto"/>
        <w:jc w:val="both"/>
        <w:rPr>
          <w:rFonts w:ascii="Times New Roman" w:hAnsi="Times New Roman" w:cs="Times New Roman"/>
          <w:color w:val="0D0D0D" w:themeColor="text1" w:themeTint="F2"/>
          <w:sz w:val="24"/>
          <w:szCs w:val="24"/>
        </w:rPr>
      </w:pPr>
    </w:p>
    <w:p w14:paraId="0E09544F" w14:textId="7D09A127" w:rsidR="00B151EF" w:rsidRPr="00F35A26" w:rsidRDefault="00B151EF" w:rsidP="00F35A26">
      <w:pPr>
        <w:pStyle w:val="Heading1"/>
        <w:spacing w:line="360" w:lineRule="auto"/>
        <w:jc w:val="center"/>
        <w:rPr>
          <w:rFonts w:ascii="Times New Roman" w:hAnsi="Times New Roman" w:cs="Times New Roman"/>
          <w:b/>
          <w:bCs/>
          <w:color w:val="0D0D0D" w:themeColor="text1" w:themeTint="F2"/>
          <w:sz w:val="24"/>
          <w:szCs w:val="24"/>
        </w:rPr>
      </w:pPr>
      <w:bookmarkStart w:id="5" w:name="_Toc217165275"/>
      <w:r w:rsidRPr="00F35A26">
        <w:rPr>
          <w:rFonts w:ascii="Times New Roman" w:hAnsi="Times New Roman" w:cs="Times New Roman"/>
          <w:b/>
          <w:bCs/>
          <w:color w:val="0D0D0D" w:themeColor="text1" w:themeTint="F2"/>
          <w:sz w:val="24"/>
          <w:szCs w:val="24"/>
        </w:rPr>
        <w:t>3. COMPREHENSIVE STRATEGIC ANALYSIS</w:t>
      </w:r>
      <w:bookmarkEnd w:id="5"/>
    </w:p>
    <w:p w14:paraId="16F40AA8" w14:textId="77777777" w:rsidR="00B151EF" w:rsidRPr="00F35A26" w:rsidRDefault="00B151EF" w:rsidP="00F35A26">
      <w:pPr>
        <w:spacing w:line="360" w:lineRule="auto"/>
        <w:jc w:val="both"/>
        <w:rPr>
          <w:rFonts w:ascii="Times New Roman" w:hAnsi="Times New Roman" w:cs="Times New Roman"/>
          <w:color w:val="0D0D0D" w:themeColor="text1" w:themeTint="F2"/>
          <w:sz w:val="24"/>
          <w:szCs w:val="24"/>
        </w:rPr>
      </w:pPr>
    </w:p>
    <w:p w14:paraId="2B498C19" w14:textId="77777777" w:rsidR="00B151EF" w:rsidRPr="00F35A26" w:rsidRDefault="00B151E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A comprehensive strategic analysis is essential for understanding the external and internal factors that influence Netflix’s expansion strategy in India. This section applies established strategic management frameworks to systematically examine the macro-environmental context, industry structure, and internal resources of Netflix. Critical evaluation of each framework is integrated to highlight both their analytical value and inherent limitations, ensuring a balanced and rigorous strategic assessment.</w:t>
      </w:r>
    </w:p>
    <w:p w14:paraId="3F907658" w14:textId="77777777" w:rsidR="00B151EF" w:rsidRPr="00F35A26" w:rsidRDefault="00B151EF" w:rsidP="00F35A26">
      <w:pPr>
        <w:spacing w:line="360" w:lineRule="auto"/>
        <w:jc w:val="both"/>
        <w:rPr>
          <w:rFonts w:ascii="Times New Roman" w:hAnsi="Times New Roman" w:cs="Times New Roman"/>
          <w:color w:val="0D0D0D" w:themeColor="text1" w:themeTint="F2"/>
          <w:sz w:val="24"/>
          <w:szCs w:val="24"/>
        </w:rPr>
      </w:pPr>
    </w:p>
    <w:p w14:paraId="6BE07217" w14:textId="5C7A952E" w:rsidR="00B151EF" w:rsidRPr="00F35A26" w:rsidRDefault="00B151EF" w:rsidP="00F35A26">
      <w:pPr>
        <w:pStyle w:val="Heading2"/>
        <w:spacing w:line="360" w:lineRule="auto"/>
        <w:jc w:val="both"/>
        <w:rPr>
          <w:rFonts w:ascii="Times New Roman" w:hAnsi="Times New Roman" w:cs="Times New Roman"/>
          <w:b/>
          <w:bCs/>
          <w:color w:val="0D0D0D" w:themeColor="text1" w:themeTint="F2"/>
          <w:sz w:val="24"/>
          <w:szCs w:val="24"/>
        </w:rPr>
      </w:pPr>
      <w:bookmarkStart w:id="6" w:name="_Toc217165276"/>
      <w:r w:rsidRPr="00F35A26">
        <w:rPr>
          <w:rFonts w:ascii="Times New Roman" w:hAnsi="Times New Roman" w:cs="Times New Roman"/>
          <w:b/>
          <w:bCs/>
          <w:color w:val="0D0D0D" w:themeColor="text1" w:themeTint="F2"/>
          <w:sz w:val="24"/>
          <w:szCs w:val="24"/>
        </w:rPr>
        <w:t>3.1 PESTLE Analysis – India</w:t>
      </w:r>
      <w:bookmarkEnd w:id="6"/>
    </w:p>
    <w:p w14:paraId="28D5BDF9"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1C85D811" w14:textId="65B9ED69" w:rsidR="00B151EF" w:rsidRPr="00F35A26" w:rsidRDefault="00B151E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The PESTLE framework is used to analyse the macro-environmental factors influencing Netflix’s operations in India. It provides a structured overview of political, economic, social, technological, legal, and environmental forces shaping the Indian OTT market.</w:t>
      </w:r>
    </w:p>
    <w:p w14:paraId="55BEB374" w14:textId="77777777" w:rsidR="00B151EF" w:rsidRPr="00F35A26" w:rsidRDefault="00B151EF" w:rsidP="00F35A26">
      <w:pPr>
        <w:spacing w:line="360" w:lineRule="auto"/>
        <w:jc w:val="both"/>
        <w:rPr>
          <w:rFonts w:ascii="Times New Roman" w:hAnsi="Times New Roman" w:cs="Times New Roman"/>
          <w:color w:val="0D0D0D" w:themeColor="text1" w:themeTint="F2"/>
          <w:sz w:val="24"/>
          <w:szCs w:val="24"/>
        </w:rPr>
      </w:pPr>
    </w:p>
    <w:p w14:paraId="1F5AE01F" w14:textId="1B33A834" w:rsidR="00B151EF" w:rsidRPr="00F35A26" w:rsidRDefault="00B151E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Political Factors</w:t>
      </w:r>
    </w:p>
    <w:p w14:paraId="5A1D525F" w14:textId="4CB68669" w:rsidR="00B151EF" w:rsidRPr="00F35A26" w:rsidRDefault="00B151E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The political environment in India has become increasingly relevant for digital streaming platforms due to heightened government oversight of online content. The Indian government has introduced stricter monitoring mechanisms for OTT platforms, reflecting concerns around cultural sensitivity, national security, and misinformation </w:t>
      </w:r>
      <w:sdt>
        <w:sdtPr>
          <w:rPr>
            <w:rFonts w:ascii="Times New Roman" w:hAnsi="Times New Roman" w:cs="Times New Roman"/>
            <w:color w:val="0D0D0D" w:themeColor="text1" w:themeTint="F2"/>
            <w:sz w:val="24"/>
            <w:szCs w:val="24"/>
          </w:rPr>
          <w:id w:val="1229659035"/>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Del23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(Deloitte Insights. , 2023)</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Increased scrutiny over censorship has resulted in greater accountability requirements for global streaming services, including Netflix.</w:t>
      </w:r>
    </w:p>
    <w:p w14:paraId="31EDFBED" w14:textId="14964D9E" w:rsidR="00B151EF" w:rsidRPr="00F35A26" w:rsidRDefault="00B151E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Policy uncertainty surrounding data protection laws also poses a challenge. While India’s Digital Personal Data Protection Act aims to enhance consumer data security, ambiguities regarding enforcement and compliance requirements create strategic uncertainty for multinational digital firms </w:t>
      </w:r>
      <w:sdt>
        <w:sdtPr>
          <w:rPr>
            <w:rFonts w:ascii="Times New Roman" w:hAnsi="Times New Roman" w:cs="Times New Roman"/>
            <w:color w:val="0D0D0D" w:themeColor="text1" w:themeTint="F2"/>
            <w:sz w:val="24"/>
            <w:szCs w:val="24"/>
          </w:rPr>
          <w:id w:val="-1953313682"/>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Pri23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(PricewaterhouseCoopers, 2023)</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For Netflix, political intervention represents both a compliance risk and a reputational concern, particularly if content is perceived as culturally or politically sensitive.</w:t>
      </w:r>
    </w:p>
    <w:p w14:paraId="11E67EC7" w14:textId="77777777" w:rsidR="00B151EF" w:rsidRPr="00F35A26" w:rsidRDefault="00B151EF" w:rsidP="00F35A26">
      <w:pPr>
        <w:spacing w:line="360" w:lineRule="auto"/>
        <w:jc w:val="both"/>
        <w:rPr>
          <w:rFonts w:ascii="Times New Roman" w:hAnsi="Times New Roman" w:cs="Times New Roman"/>
          <w:color w:val="0D0D0D" w:themeColor="text1" w:themeTint="F2"/>
          <w:sz w:val="24"/>
          <w:szCs w:val="24"/>
        </w:rPr>
      </w:pPr>
    </w:p>
    <w:p w14:paraId="529A5D4D" w14:textId="77777777" w:rsidR="00B151EF" w:rsidRPr="00F35A26" w:rsidRDefault="00B151E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Critical Evaluation:</w:t>
      </w:r>
    </w:p>
    <w:p w14:paraId="06FA37FB" w14:textId="77777777" w:rsidR="00B151EF" w:rsidRPr="00F35A26" w:rsidRDefault="00B151E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While the PESTLE framework effectively identifies macro-level political risks, it remains limited in its ability to capture rapid policy changes and informal regulatory enforcement mechanisms that are common in emerging markets such as India. Consequently, strategic decisions based solely on PESTLE analysis may underestimate regulatory volatility.</w:t>
      </w:r>
    </w:p>
    <w:p w14:paraId="484245F7" w14:textId="77777777" w:rsidR="00B151EF" w:rsidRPr="00F35A26" w:rsidRDefault="00B151EF" w:rsidP="00F35A26">
      <w:pPr>
        <w:spacing w:line="360" w:lineRule="auto"/>
        <w:jc w:val="both"/>
        <w:rPr>
          <w:rFonts w:ascii="Times New Roman" w:hAnsi="Times New Roman" w:cs="Times New Roman"/>
          <w:color w:val="0D0D0D" w:themeColor="text1" w:themeTint="F2"/>
          <w:sz w:val="24"/>
          <w:szCs w:val="24"/>
        </w:rPr>
      </w:pPr>
    </w:p>
    <w:p w14:paraId="06ED49E1" w14:textId="652C663C" w:rsidR="00B151EF" w:rsidRPr="00F35A26" w:rsidRDefault="00B151E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Economic Factors</w:t>
      </w:r>
    </w:p>
    <w:p w14:paraId="5837EE7D" w14:textId="1867BED2" w:rsidR="00B151EF" w:rsidRPr="00F35A26" w:rsidRDefault="00B151E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India’s economic environment presents a complex mix of opportunity and constraint for Netflix. The country has a rapidly expanding middle class and sustained economic growth, which support increasing discretionary spending on digital entertainment </w:t>
      </w:r>
      <w:sdt>
        <w:sdtPr>
          <w:rPr>
            <w:rFonts w:ascii="Times New Roman" w:hAnsi="Times New Roman" w:cs="Times New Roman"/>
            <w:color w:val="0D0D0D" w:themeColor="text1" w:themeTint="F2"/>
            <w:sz w:val="24"/>
            <w:szCs w:val="24"/>
          </w:rPr>
          <w:id w:val="-1732846990"/>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Med24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(Media, I. , 2024)</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Income distribution remains uneven, and a significant proportion of consumers exhibit high price sensitivity.</w:t>
      </w:r>
    </w:p>
    <w:p w14:paraId="49CE3F92" w14:textId="75723985" w:rsidR="00B151EF" w:rsidRPr="00F35A26" w:rsidRDefault="00B151E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This economic reality has a direct impact on Netflix’s revenue model, as subscription affordability becomes a key determinant of market penetration. Compared to Western markets, average revenue per user (ARPU) in India is considerably lower, placing pressure on profitability </w:t>
      </w:r>
      <w:sdt>
        <w:sdtPr>
          <w:rPr>
            <w:rFonts w:ascii="Times New Roman" w:hAnsi="Times New Roman" w:cs="Times New Roman"/>
            <w:color w:val="0D0D0D" w:themeColor="text1" w:themeTint="F2"/>
            <w:sz w:val="24"/>
            <w:szCs w:val="24"/>
          </w:rPr>
          <w:id w:val="1292166902"/>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Sta17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(Statista., 2017)</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0869B02A" w14:textId="77777777" w:rsidR="00B151EF" w:rsidRPr="00F35A26" w:rsidRDefault="00B151EF" w:rsidP="00F35A26">
      <w:pPr>
        <w:spacing w:line="360" w:lineRule="auto"/>
        <w:jc w:val="both"/>
        <w:rPr>
          <w:rFonts w:ascii="Times New Roman" w:hAnsi="Times New Roman" w:cs="Times New Roman"/>
          <w:color w:val="0D0D0D" w:themeColor="text1" w:themeTint="F2"/>
          <w:sz w:val="24"/>
          <w:szCs w:val="24"/>
        </w:rPr>
      </w:pPr>
    </w:p>
    <w:p w14:paraId="5997F2DA" w14:textId="77777777" w:rsidR="00B151EF" w:rsidRPr="00F35A26" w:rsidRDefault="00B151E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Strategic Implication:</w:t>
      </w:r>
    </w:p>
    <w:p w14:paraId="354C8CDB" w14:textId="77777777" w:rsidR="00B151EF" w:rsidRPr="00F35A26" w:rsidRDefault="00B151E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Netflix must adopt flexible pricing strategies, such as mobile-only subscription plans and bundled offerings with telecom providers, to align with local purchasing power while maintaining scale-based profitability.</w:t>
      </w:r>
    </w:p>
    <w:p w14:paraId="54C48A78" w14:textId="77777777" w:rsidR="00B151EF" w:rsidRPr="00F35A26" w:rsidRDefault="00B151EF" w:rsidP="00F35A26">
      <w:pPr>
        <w:spacing w:line="360" w:lineRule="auto"/>
        <w:jc w:val="both"/>
        <w:rPr>
          <w:rFonts w:ascii="Times New Roman" w:hAnsi="Times New Roman" w:cs="Times New Roman"/>
          <w:color w:val="0D0D0D" w:themeColor="text1" w:themeTint="F2"/>
          <w:sz w:val="24"/>
          <w:szCs w:val="24"/>
        </w:rPr>
      </w:pPr>
    </w:p>
    <w:p w14:paraId="287A1F7B" w14:textId="69F5A53B" w:rsidR="00B151EF" w:rsidRPr="00F35A26" w:rsidRDefault="00B151E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Social Factors</w:t>
      </w:r>
    </w:p>
    <w:p w14:paraId="701668E7" w14:textId="1F35E57E" w:rsidR="00B151EF" w:rsidRPr="00F35A26" w:rsidRDefault="00B151E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Social and cultural dynamics play a critical role in shaping consumer behaviour in India’s OTT market. Indian audiences demonstrate a strong preference for regional and vernacular language content, reflecting the country’s linguistic diversity and cultural heterogeneity </w:t>
      </w:r>
      <w:sdt>
        <w:sdtPr>
          <w:rPr>
            <w:rFonts w:ascii="Times New Roman" w:hAnsi="Times New Roman" w:cs="Times New Roman"/>
            <w:color w:val="0D0D0D" w:themeColor="text1" w:themeTint="F2"/>
            <w:sz w:val="24"/>
            <w:szCs w:val="24"/>
          </w:rPr>
          <w:id w:val="126683574"/>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Med24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(Media, I. , 2024)</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Family-oriented viewing patterns further influence content preferences, with audiences favouring narratives that resonate with social values and shared viewing experiences.</w:t>
      </w:r>
    </w:p>
    <w:p w14:paraId="3070ED9A" w14:textId="4004757F" w:rsidR="00B151EF" w:rsidRPr="00F35A26" w:rsidRDefault="00B151E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Indian consumers exhibit high engagement with locally produced stories that reflect domestic social realities, traditions, and identities. This creates both an opportunity and a challenge for Netflix, which must balance global brand identity with deep cultural localisation.</w:t>
      </w:r>
    </w:p>
    <w:p w14:paraId="7757E789" w14:textId="77777777" w:rsidR="00B151EF" w:rsidRPr="00F35A26" w:rsidRDefault="00B151EF" w:rsidP="00F35A26">
      <w:pPr>
        <w:spacing w:line="360" w:lineRule="auto"/>
        <w:jc w:val="both"/>
        <w:rPr>
          <w:rFonts w:ascii="Times New Roman" w:hAnsi="Times New Roman" w:cs="Times New Roman"/>
          <w:color w:val="0D0D0D" w:themeColor="text1" w:themeTint="F2"/>
          <w:sz w:val="24"/>
          <w:szCs w:val="24"/>
        </w:rPr>
      </w:pPr>
    </w:p>
    <w:p w14:paraId="6338C95B" w14:textId="71B1D156" w:rsidR="00B151EF" w:rsidRPr="00F35A26" w:rsidRDefault="00B151E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Technological Factors</w:t>
      </w:r>
    </w:p>
    <w:p w14:paraId="31D467D2" w14:textId="25F2C343" w:rsidR="00B151EF" w:rsidRPr="00F35A26" w:rsidRDefault="00B151E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Technological developments strongly favour the growth of OTT platforms in India. Rapid expansion of 4G and 5G networks, combined with declining data costs, has significantly increased access to high-quality video streaming </w:t>
      </w:r>
      <w:sdt>
        <w:sdtPr>
          <w:rPr>
            <w:rFonts w:ascii="Times New Roman" w:hAnsi="Times New Roman" w:cs="Times New Roman"/>
            <w:color w:val="0D0D0D" w:themeColor="text1" w:themeTint="F2"/>
            <w:sz w:val="24"/>
            <w:szCs w:val="24"/>
          </w:rPr>
          <w:id w:val="629676925"/>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Sta17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(Statista., 2017)</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India is a predominantly mobile-first market, with a large proportion of users consuming digital content via smartphones rather than desktop devices or smart televisions.</w:t>
      </w:r>
    </w:p>
    <w:p w14:paraId="3C9FA59A" w14:textId="77777777" w:rsidR="00B151EF" w:rsidRPr="00F35A26" w:rsidRDefault="00B151E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At the same time, urban areas are witnessing increased adoption of smart TVs, expanding opportunities for premium viewing experiences. Netflix’s advanced streaming technology and adaptive bandwidth capabilities position it well to leverage these technological trends.</w:t>
      </w:r>
    </w:p>
    <w:p w14:paraId="53A0D544" w14:textId="77777777" w:rsidR="00B151EF" w:rsidRPr="00F35A26" w:rsidRDefault="00B151EF" w:rsidP="00F35A26">
      <w:pPr>
        <w:spacing w:line="360" w:lineRule="auto"/>
        <w:jc w:val="both"/>
        <w:rPr>
          <w:rFonts w:ascii="Times New Roman" w:hAnsi="Times New Roman" w:cs="Times New Roman"/>
          <w:color w:val="0D0D0D" w:themeColor="text1" w:themeTint="F2"/>
          <w:sz w:val="24"/>
          <w:szCs w:val="24"/>
        </w:rPr>
      </w:pPr>
    </w:p>
    <w:p w14:paraId="33A65594" w14:textId="2AE5B15B" w:rsidR="00B151EF" w:rsidRPr="00F35A26" w:rsidRDefault="00B151E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Legal Factors</w:t>
      </w:r>
    </w:p>
    <w:p w14:paraId="6C2237EE" w14:textId="2096E0FB" w:rsidR="00B151EF" w:rsidRPr="00F35A26" w:rsidRDefault="00B151E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India’s legal environment for OTT platforms has become more formalised in recent years. The Information Technology (Intermediary Guidelines and Digital Media Ethics Code) Rules, 2021, impose compliance obligations related to content classification, grievance redressal mechanisms, and local accountability structures </w:t>
      </w:r>
      <w:sdt>
        <w:sdtPr>
          <w:rPr>
            <w:rFonts w:ascii="Times New Roman" w:hAnsi="Times New Roman" w:cs="Times New Roman"/>
            <w:color w:val="0D0D0D" w:themeColor="text1" w:themeTint="F2"/>
            <w:sz w:val="24"/>
            <w:szCs w:val="24"/>
          </w:rPr>
          <w:id w:val="1732886296"/>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Gov211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(Government of India, 2021)</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77C89FF7" w14:textId="77777777" w:rsidR="00B151EF" w:rsidRPr="00F35A26" w:rsidRDefault="00B151E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For foreign digital firms such as Netflix, these regulations increase operational complexity and compliance costs. Failure to adhere to legal standards may result in financial penalties or restrictions on content availability.</w:t>
      </w:r>
    </w:p>
    <w:p w14:paraId="66ADC655" w14:textId="77777777" w:rsidR="00B151EF" w:rsidRPr="00F35A26" w:rsidRDefault="00B151EF" w:rsidP="00F35A26">
      <w:pPr>
        <w:spacing w:line="360" w:lineRule="auto"/>
        <w:jc w:val="both"/>
        <w:rPr>
          <w:rFonts w:ascii="Times New Roman" w:hAnsi="Times New Roman" w:cs="Times New Roman"/>
          <w:color w:val="0D0D0D" w:themeColor="text1" w:themeTint="F2"/>
          <w:sz w:val="24"/>
          <w:szCs w:val="24"/>
        </w:rPr>
      </w:pPr>
    </w:p>
    <w:p w14:paraId="6544C245" w14:textId="48D1B6DE" w:rsidR="00B151EF" w:rsidRPr="00F35A26" w:rsidRDefault="00B151E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Environmental Factors</w:t>
      </w:r>
    </w:p>
    <w:p w14:paraId="6AE37611" w14:textId="5FE624CE" w:rsidR="00B151EF" w:rsidRPr="00F35A26" w:rsidRDefault="00B151E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Netflix’s operations have a relatively low direct environmental footprint, as its core services are digitally delivered. Rising societal expectations around corporate sustainability and responsible business practices necessitate greater transparency regarding environmental impact, particularly in relation to data centre energy consumption and sustainable content production </w:t>
      </w:r>
      <w:sdt>
        <w:sdtPr>
          <w:rPr>
            <w:rFonts w:ascii="Times New Roman" w:hAnsi="Times New Roman" w:cs="Times New Roman"/>
            <w:color w:val="0D0D0D" w:themeColor="text1" w:themeTint="F2"/>
            <w:sz w:val="24"/>
            <w:szCs w:val="24"/>
          </w:rPr>
          <w:id w:val="-787345448"/>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Del23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(Deloitte Insights. , 2023)</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33356463" w14:textId="77777777" w:rsidR="00B151EF" w:rsidRPr="00F35A26" w:rsidRDefault="00B151EF" w:rsidP="00F35A26">
      <w:pPr>
        <w:pStyle w:val="Heading2"/>
        <w:spacing w:line="360" w:lineRule="auto"/>
        <w:jc w:val="both"/>
        <w:rPr>
          <w:rFonts w:ascii="Times New Roman" w:hAnsi="Times New Roman" w:cs="Times New Roman"/>
          <w:b/>
          <w:bCs/>
          <w:color w:val="0D0D0D" w:themeColor="text1" w:themeTint="F2"/>
          <w:sz w:val="24"/>
          <w:szCs w:val="24"/>
        </w:rPr>
      </w:pPr>
      <w:bookmarkStart w:id="7" w:name="_Toc217165277"/>
      <w:r w:rsidRPr="00F35A26">
        <w:rPr>
          <w:rFonts w:ascii="Times New Roman" w:hAnsi="Times New Roman" w:cs="Times New Roman"/>
          <w:b/>
          <w:bCs/>
          <w:color w:val="0D0D0D" w:themeColor="text1" w:themeTint="F2"/>
          <w:sz w:val="24"/>
          <w:szCs w:val="24"/>
        </w:rPr>
        <w:t>3.2 Porter’s Five Forces – Indian OTT Industry</w:t>
      </w:r>
      <w:bookmarkEnd w:id="7"/>
    </w:p>
    <w:p w14:paraId="388A9C1E"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p>
    <w:p w14:paraId="2214EC65" w14:textId="10BF3CB0"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Porter’s Five Forces framework is applied to assess the competitive intensity of the Indian over-the-top (OTT) streaming industry and to evaluate Netflix’s strategic positioning within this highly dynamic market. The framework enables a structured analysis of industry attractiveness by examining competitive rivalry, threats from new entrants and substitutes, and the bargaining power of buyers and suppliers </w:t>
      </w:r>
      <w:sdt>
        <w:sdtPr>
          <w:rPr>
            <w:rFonts w:ascii="Times New Roman" w:hAnsi="Times New Roman" w:cs="Times New Roman"/>
            <w:color w:val="0D0D0D" w:themeColor="text1" w:themeTint="F2"/>
            <w:sz w:val="24"/>
            <w:szCs w:val="24"/>
          </w:rPr>
          <w:id w:val="2043782743"/>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Por083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(Porter, 2008)</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17BDA98C"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p>
    <w:p w14:paraId="670F68D4" w14:textId="77777777" w:rsidR="006B1C31" w:rsidRPr="00F35A26" w:rsidRDefault="006B1C31"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Competitive Rivalry – High</w:t>
      </w:r>
    </w:p>
    <w:p w14:paraId="3ECE6BEE" w14:textId="0A576732" w:rsidR="006B1C31" w:rsidRPr="00F35A26" w:rsidRDefault="006B1C31"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color w:val="0D0D0D" w:themeColor="text1" w:themeTint="F2"/>
          <w:sz w:val="24"/>
          <w:szCs w:val="24"/>
        </w:rPr>
        <w:t xml:space="preserve">Competitive rivalry in the Indian OTT market is exceptionally intense due to the presence of both global and domestic platforms competing aggressively for market share. Major competitors include Disney+ Hotstar, Amazon Prime Video, and JioCinema, all of which possess extensive content libraries and adopt aggressive pricing and bundling strategies. Disney+ Hotstar benefits from exclusive sports broadcasting rights, while Amazon Prime Video leverages cross-subsidisation through its e-commerce ecosystem. JioCinema, supported by Reliance Industries, has disrupted the market by offering free or low-cost access to premium content </w:t>
      </w:r>
      <w:sdt>
        <w:sdtPr>
          <w:rPr>
            <w:rFonts w:ascii="Times New Roman" w:hAnsi="Times New Roman" w:cs="Times New Roman"/>
            <w:color w:val="0D0D0D" w:themeColor="text1" w:themeTint="F2"/>
            <w:sz w:val="24"/>
            <w:szCs w:val="24"/>
          </w:rPr>
          <w:id w:val="1928458535"/>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Pri23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(PricewaterhouseCoopers, 2023)</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100F65A0"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High levels of rivalry are further exacerbated by substantial content acquisition and production costs, frequent promotional campaigns, and rapid imitation of successful formats. As platforms compete for exclusive content and subscriber attention, profit margins are increasingly compressed, making differentiation and scale critical for long-term sustainability.</w:t>
      </w:r>
    </w:p>
    <w:p w14:paraId="39BA6EA3"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p>
    <w:p w14:paraId="06C30A65" w14:textId="561E9B4A" w:rsidR="006B1C31" w:rsidRPr="00F35A26" w:rsidRDefault="006B1C31"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Threat of New Entrants – Moderate</w:t>
      </w:r>
    </w:p>
    <w:p w14:paraId="03727001"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The threat of new entrants in the Indian OTT market is moderate. On one hand, significant capital investment is required for platform development, content production, marketing, and licensing, creating a barrier to entry. On the other hand, technological barriers are relatively low, as cloud infrastructure and third-party content distribution technologies reduce the complexity of launching streaming services.</w:t>
      </w:r>
    </w:p>
    <w:p w14:paraId="18868F8E" w14:textId="1B53C77D"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Low switching costs for consumers allow new entrants to attract users through introductory pricing, exclusive content, or ad-supported models. This dynamic environment encourages experimentation and periodic entry by niche or regional platforms, increasing competitive pressure on established players such as Netflix.</w:t>
      </w:r>
    </w:p>
    <w:p w14:paraId="7D3E0656"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p>
    <w:p w14:paraId="63444C29" w14:textId="4A41F879" w:rsidR="006B1C31" w:rsidRPr="00F35A26" w:rsidRDefault="006B1C31"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Bargaining Power of Buyers – High</w:t>
      </w:r>
    </w:p>
    <w:p w14:paraId="54C98118" w14:textId="3812A1CC"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The bargaining power of buyers in the Indian OTT industry is high, driven by price sensitivity and the abundance of alternative platforms. Indian consumers are highly cost-conscious and demonstrate a strong willingness to switch between services based on price, content availability, and promotional offers </w:t>
      </w:r>
      <w:sdt>
        <w:sdtPr>
          <w:rPr>
            <w:rFonts w:ascii="Times New Roman" w:hAnsi="Times New Roman" w:cs="Times New Roman"/>
            <w:color w:val="0D0D0D" w:themeColor="text1" w:themeTint="F2"/>
            <w:sz w:val="24"/>
            <w:szCs w:val="24"/>
          </w:rPr>
          <w:id w:val="1671064691"/>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Sta20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(Statista, 2020)</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The prevalence of short-term subscriptions and easy cancellation options further increases consumer leverage.</w:t>
      </w:r>
    </w:p>
    <w:p w14:paraId="516A67E9"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This high buyer power places pressure on Netflix to continuously justify subscription value through compelling original content, competitive pricing models, and enhanced user experience. Failure to meet evolving consumer expectations can result in increased churn rates, directly impacting revenue growth.</w:t>
      </w:r>
    </w:p>
    <w:p w14:paraId="7A212896"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p>
    <w:p w14:paraId="72275370" w14:textId="3DD5EF78" w:rsidR="006B1C31" w:rsidRPr="00F35A26" w:rsidRDefault="006B1C31"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Bargaining Power of Suppliers – Moderate</w:t>
      </w:r>
    </w:p>
    <w:p w14:paraId="77C664EA" w14:textId="5B836C08"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Suppliers in the OTT ecosystem primarily include content creators, production houses, and creative talent. Their bargaining power is moderate, particularly in the context of high-quality regional content. India’s diverse linguistic landscape means that skilled regional creators are in high demand, enabling them to negotiate favourable terms with streaming platforms </w:t>
      </w:r>
      <w:sdt>
        <w:sdtPr>
          <w:rPr>
            <w:rFonts w:ascii="Times New Roman" w:hAnsi="Times New Roman" w:cs="Times New Roman"/>
            <w:color w:val="0D0D0D" w:themeColor="text1" w:themeTint="F2"/>
            <w:sz w:val="24"/>
            <w:szCs w:val="24"/>
          </w:rPr>
          <w:id w:val="-1703629630"/>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Med24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(Media, I. , 2024)</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396ADFD1" w14:textId="30612F14" w:rsidR="006B1C31"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While Netflix benefits from its global scale and financial resources, it remains dependent on creative talent to produce differentiated local content that resonates with Indian audiences. As competition for exclusive content intensifies, supplier influence may increase further, particularly for premium or culturally significant productions.</w:t>
      </w:r>
    </w:p>
    <w:p w14:paraId="12DC4998"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22B664B3"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07BB993B"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5D408501"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75C31A3A" w14:textId="77777777" w:rsidR="00F35A26" w:rsidRPr="00F35A26" w:rsidRDefault="00F35A26" w:rsidP="00F35A26">
      <w:pPr>
        <w:spacing w:line="360" w:lineRule="auto"/>
        <w:jc w:val="both"/>
        <w:rPr>
          <w:rFonts w:ascii="Times New Roman" w:hAnsi="Times New Roman" w:cs="Times New Roman"/>
          <w:color w:val="0D0D0D" w:themeColor="text1" w:themeTint="F2"/>
          <w:sz w:val="24"/>
          <w:szCs w:val="24"/>
        </w:rPr>
      </w:pPr>
    </w:p>
    <w:p w14:paraId="61ABAED6" w14:textId="5BD45D20" w:rsidR="006B1C31" w:rsidRPr="00F35A26" w:rsidRDefault="006B1C31"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Threat of Substitutes – High</w:t>
      </w:r>
    </w:p>
    <w:p w14:paraId="67A376C5" w14:textId="1091E7AB"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The threat of substitutes in India is substantial. Consumers can access entertainment through traditional television, free ad-supported platforms such as YouTube, social media content, and, in some cases, pirated material. These substitutes reduce consumers’ willingness to pay for premium subscriptions, particularly in price-sensitive segments of the market </w:t>
      </w:r>
      <w:sdt>
        <w:sdtPr>
          <w:rPr>
            <w:rFonts w:ascii="Times New Roman" w:hAnsi="Times New Roman" w:cs="Times New Roman"/>
            <w:color w:val="0D0D0D" w:themeColor="text1" w:themeTint="F2"/>
            <w:sz w:val="24"/>
            <w:szCs w:val="24"/>
          </w:rPr>
          <w:id w:val="-664853474"/>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Pri23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(PricewaterhouseCoopers, 2023)</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051063B3"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The availability of free or low-cost alternatives compels Netflix to clearly articulate its value proposition, emphasising content quality, exclusivity, and viewing experience.</w:t>
      </w:r>
    </w:p>
    <w:p w14:paraId="60CD6E5E"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p>
    <w:p w14:paraId="440FE9A9" w14:textId="77777777" w:rsidR="006B1C31" w:rsidRPr="00F35A26" w:rsidRDefault="006B1C31"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Critical Evaluation of Porter’s Five Forces</w:t>
      </w:r>
    </w:p>
    <w:p w14:paraId="27592E2A" w14:textId="6D6F44C6"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Although Porter’s Five Forces framework provides valuable insights into industry structure and competitive intensity, it has limitations in the context of digital platform markets. The model underestimates the role of platform ecosystems, multi-homing behaviour (where consumers use multiple services simultaneously), and cross-subsidisation strategies employed by conglomerates such as Amazon and Reliance. Consequently, the framework should be complemented with dynamic capability and ecosystem-based analyses to fully capture competitive realities in the Indian OTT market </w:t>
      </w:r>
      <w:sdt>
        <w:sdtPr>
          <w:rPr>
            <w:rFonts w:ascii="Times New Roman" w:hAnsi="Times New Roman" w:cs="Times New Roman"/>
            <w:color w:val="0D0D0D" w:themeColor="text1" w:themeTint="F2"/>
            <w:sz w:val="24"/>
            <w:szCs w:val="24"/>
          </w:rPr>
          <w:id w:val="597749178"/>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Tee16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(Teece, 2016)</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234CBB7B"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p>
    <w:p w14:paraId="51C11654" w14:textId="77777777" w:rsidR="006B1C31" w:rsidRPr="00F35A26" w:rsidRDefault="006B1C31" w:rsidP="00F35A26">
      <w:pPr>
        <w:pStyle w:val="Heading2"/>
        <w:spacing w:line="360" w:lineRule="auto"/>
        <w:jc w:val="both"/>
        <w:rPr>
          <w:rFonts w:ascii="Times New Roman" w:hAnsi="Times New Roman" w:cs="Times New Roman"/>
          <w:b/>
          <w:bCs/>
          <w:color w:val="0D0D0D" w:themeColor="text1" w:themeTint="F2"/>
          <w:sz w:val="24"/>
          <w:szCs w:val="24"/>
        </w:rPr>
      </w:pPr>
      <w:bookmarkStart w:id="8" w:name="_Toc217165278"/>
      <w:r w:rsidRPr="00F35A26">
        <w:rPr>
          <w:rFonts w:ascii="Times New Roman" w:hAnsi="Times New Roman" w:cs="Times New Roman"/>
          <w:b/>
          <w:bCs/>
          <w:color w:val="0D0D0D" w:themeColor="text1" w:themeTint="F2"/>
          <w:sz w:val="24"/>
          <w:szCs w:val="24"/>
        </w:rPr>
        <w:t>3.3 Internal Analysis – VRIO Framework</w:t>
      </w:r>
      <w:bookmarkEnd w:id="8"/>
    </w:p>
    <w:p w14:paraId="77827AA4"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p>
    <w:p w14:paraId="38B7378B" w14:textId="139BC2BA"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The VRIO framework is employed to assess Netflix’s internal resources and capabilities and determine their potential to generate sustained competitive advantage.</w:t>
      </w:r>
    </w:p>
    <w:p w14:paraId="48ADD04A" w14:textId="094702AE"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Netflix’s brand reputation represents a core strategic asset. The brand is globally associated with premium content quality, innovation, and reliability, making it valuable and rare within the OTT industry. It is difficult for competitors to replicate Netflix’s brand equity due to its long-term investment in original programming and global recognition. Organisational structures and processes effectively support brand development, resulting in sustained competitive advantage </w:t>
      </w:r>
      <w:sdt>
        <w:sdtPr>
          <w:rPr>
            <w:rFonts w:ascii="Times New Roman" w:hAnsi="Times New Roman" w:cs="Times New Roman"/>
            <w:color w:val="0D0D0D" w:themeColor="text1" w:themeTint="F2"/>
            <w:sz w:val="24"/>
            <w:szCs w:val="24"/>
          </w:rPr>
          <w:id w:val="-674648973"/>
          <w:citation/>
        </w:sdtPr>
        <w:sdtEndPr/>
        <w:sdtContent>
          <w:r w:rsidR="00E4056E" w:rsidRPr="00F35A26">
            <w:rPr>
              <w:rFonts w:ascii="Times New Roman" w:hAnsi="Times New Roman" w:cs="Times New Roman"/>
              <w:color w:val="0D0D0D" w:themeColor="text1" w:themeTint="F2"/>
              <w:sz w:val="24"/>
              <w:szCs w:val="24"/>
            </w:rPr>
            <w:fldChar w:fldCharType="begin"/>
          </w:r>
          <w:r w:rsidR="00E4056E" w:rsidRPr="00F35A26">
            <w:rPr>
              <w:rFonts w:ascii="Times New Roman" w:hAnsi="Times New Roman" w:cs="Times New Roman"/>
              <w:color w:val="0D0D0D" w:themeColor="text1" w:themeTint="F2"/>
              <w:sz w:val="24"/>
              <w:szCs w:val="24"/>
              <w:lang w:val="en-US"/>
            </w:rPr>
            <w:instrText xml:space="preserve"> CITATION And25 \l 1033 </w:instrText>
          </w:r>
          <w:r w:rsidR="00E4056E" w:rsidRPr="00F35A26">
            <w:rPr>
              <w:rFonts w:ascii="Times New Roman" w:hAnsi="Times New Roman" w:cs="Times New Roman"/>
              <w:color w:val="0D0D0D" w:themeColor="text1" w:themeTint="F2"/>
              <w:sz w:val="24"/>
              <w:szCs w:val="24"/>
            </w:rPr>
            <w:fldChar w:fldCharType="separate"/>
          </w:r>
          <w:r w:rsidR="00E4056E" w:rsidRPr="00F35A26">
            <w:rPr>
              <w:rFonts w:ascii="Times New Roman" w:hAnsi="Times New Roman" w:cs="Times New Roman"/>
              <w:noProof/>
              <w:color w:val="0D0D0D" w:themeColor="text1" w:themeTint="F2"/>
              <w:sz w:val="24"/>
              <w:szCs w:val="24"/>
              <w:lang w:val="en-US"/>
            </w:rPr>
            <w:t>(Andersen, 2025)</w:t>
          </w:r>
          <w:r w:rsidR="00E4056E"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4F1C7050" w14:textId="0FDE1B7B"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Another critical resource is Netflix’s recommendation algorithm and data analytics capability. The firm’s ability to collect and analyse vast amounts of viewer data enables personalised content recommendations, enhancing customer engagement and retention. This capability is valuable, rare, and highly difficult to imitate due to the scale and sophistication of Netflix’s data infrastructure. As such, it meets all VRIO criteria and contributes significantly to Netflix’s competitive advantage </w:t>
      </w:r>
      <w:sdt>
        <w:sdtPr>
          <w:rPr>
            <w:rFonts w:ascii="Times New Roman" w:hAnsi="Times New Roman" w:cs="Times New Roman"/>
            <w:color w:val="0D0D0D" w:themeColor="text1" w:themeTint="F2"/>
            <w:sz w:val="24"/>
            <w:szCs w:val="24"/>
          </w:rPr>
          <w:id w:val="-363981821"/>
          <w:citation/>
        </w:sdtPr>
        <w:sdtEndPr/>
        <w:sdtContent>
          <w:r w:rsidR="00E4056E" w:rsidRPr="00F35A26">
            <w:rPr>
              <w:rFonts w:ascii="Times New Roman" w:hAnsi="Times New Roman" w:cs="Times New Roman"/>
              <w:color w:val="0D0D0D" w:themeColor="text1" w:themeTint="F2"/>
              <w:sz w:val="24"/>
              <w:szCs w:val="24"/>
            </w:rPr>
            <w:fldChar w:fldCharType="begin"/>
          </w:r>
          <w:r w:rsidR="00E4056E" w:rsidRPr="00F35A26">
            <w:rPr>
              <w:rFonts w:ascii="Times New Roman" w:hAnsi="Times New Roman" w:cs="Times New Roman"/>
              <w:color w:val="0D0D0D" w:themeColor="text1" w:themeTint="F2"/>
              <w:sz w:val="24"/>
              <w:szCs w:val="24"/>
              <w:lang w:val="en-US"/>
            </w:rPr>
            <w:instrText xml:space="preserve">CITATION For \l 1033 </w:instrText>
          </w:r>
          <w:r w:rsidR="00E4056E" w:rsidRPr="00F35A26">
            <w:rPr>
              <w:rFonts w:ascii="Times New Roman" w:hAnsi="Times New Roman" w:cs="Times New Roman"/>
              <w:color w:val="0D0D0D" w:themeColor="text1" w:themeTint="F2"/>
              <w:sz w:val="24"/>
              <w:szCs w:val="24"/>
            </w:rPr>
            <w:fldChar w:fldCharType="separate"/>
          </w:r>
          <w:r w:rsidR="00E4056E" w:rsidRPr="00F35A26">
            <w:rPr>
              <w:rFonts w:ascii="Times New Roman" w:hAnsi="Times New Roman" w:cs="Times New Roman"/>
              <w:noProof/>
              <w:color w:val="0D0D0D" w:themeColor="text1" w:themeTint="F2"/>
              <w:sz w:val="24"/>
              <w:szCs w:val="24"/>
              <w:lang w:val="en-US"/>
            </w:rPr>
            <w:t>(Forbes, 2016)</w:t>
          </w:r>
          <w:r w:rsidR="00E4056E"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4F089D12" w14:textId="1D1CBE0C"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Netflix’s local Indian content portfolio, while valuable in attracting domestic audiences, lacks rarity and inimitability. Competing platforms are equally capable of producing regional content, often at lower costs or with stronger local networks. As a result, this resource offers competitive parity rather than sustained advantage, highlighting the need for continuous innovation and differentiation in content strategy.</w:t>
      </w:r>
    </w:p>
    <w:p w14:paraId="187EAACF"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p>
    <w:p w14:paraId="1089BFC4" w14:textId="58D216AF" w:rsidR="006B1C31" w:rsidRPr="00F35A26" w:rsidRDefault="006B1C31" w:rsidP="00F35A26">
      <w:pPr>
        <w:pStyle w:val="Heading2"/>
        <w:spacing w:line="360" w:lineRule="auto"/>
        <w:jc w:val="both"/>
        <w:rPr>
          <w:rFonts w:ascii="Times New Roman" w:hAnsi="Times New Roman" w:cs="Times New Roman"/>
          <w:b/>
          <w:bCs/>
          <w:color w:val="0D0D0D" w:themeColor="text1" w:themeTint="F2"/>
          <w:sz w:val="24"/>
          <w:szCs w:val="24"/>
        </w:rPr>
      </w:pPr>
      <w:bookmarkStart w:id="9" w:name="_Toc217165279"/>
      <w:r w:rsidRPr="00F35A26">
        <w:rPr>
          <w:rFonts w:ascii="Times New Roman" w:hAnsi="Times New Roman" w:cs="Times New Roman"/>
          <w:b/>
          <w:bCs/>
          <w:color w:val="0D0D0D" w:themeColor="text1" w:themeTint="F2"/>
          <w:sz w:val="24"/>
          <w:szCs w:val="24"/>
        </w:rPr>
        <w:t>3.4 Porter’s Diamond Model – India</w:t>
      </w:r>
      <w:bookmarkEnd w:id="9"/>
    </w:p>
    <w:p w14:paraId="0F8E887D" w14:textId="0337A1A8"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Porter’s Diamond Model is applied to evaluate India’s national competitive advantage as both a production base and </w:t>
      </w:r>
      <w:r w:rsidR="00E4056E" w:rsidRPr="00F35A26">
        <w:rPr>
          <w:rFonts w:ascii="Times New Roman" w:hAnsi="Times New Roman" w:cs="Times New Roman"/>
          <w:color w:val="0D0D0D" w:themeColor="text1" w:themeTint="F2"/>
          <w:sz w:val="24"/>
          <w:szCs w:val="24"/>
        </w:rPr>
        <w:t xml:space="preserve">a </w:t>
      </w:r>
      <w:r w:rsidRPr="00F35A26">
        <w:rPr>
          <w:rFonts w:ascii="Times New Roman" w:hAnsi="Times New Roman" w:cs="Times New Roman"/>
          <w:color w:val="0D0D0D" w:themeColor="text1" w:themeTint="F2"/>
          <w:sz w:val="24"/>
          <w:szCs w:val="24"/>
        </w:rPr>
        <w:t>consumption market for digital entertainment services.</w:t>
      </w:r>
    </w:p>
    <w:p w14:paraId="6A16E56B"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p>
    <w:p w14:paraId="52221AE4" w14:textId="2E2F3530" w:rsidR="006B1C31" w:rsidRPr="00F35A26" w:rsidRDefault="006B1C31"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Factor Conditions</w:t>
      </w:r>
    </w:p>
    <w:p w14:paraId="016E8D60" w14:textId="53376BFA"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India possesses a large and skilled pool of creative talent, including writers, directors, actors, and production professionals. This talent base is supported by a well-established film and television industry, particularly in regional markets such as Bollywood, Kollywood, and Mollywood, providing Netflix with access to cost-effective and high-quality content production resources </w:t>
      </w:r>
      <w:sdt>
        <w:sdtPr>
          <w:rPr>
            <w:rFonts w:ascii="Times New Roman" w:hAnsi="Times New Roman" w:cs="Times New Roman"/>
            <w:color w:val="0D0D0D" w:themeColor="text1" w:themeTint="F2"/>
            <w:sz w:val="24"/>
            <w:szCs w:val="24"/>
          </w:rPr>
          <w:id w:val="52820080"/>
          <w:citation/>
        </w:sdtPr>
        <w:sdtEndPr/>
        <w:sdtContent>
          <w:r w:rsidR="00E4056E" w:rsidRPr="00F35A26">
            <w:rPr>
              <w:rFonts w:ascii="Times New Roman" w:hAnsi="Times New Roman" w:cs="Times New Roman"/>
              <w:color w:val="0D0D0D" w:themeColor="text1" w:themeTint="F2"/>
              <w:sz w:val="24"/>
              <w:szCs w:val="24"/>
            </w:rPr>
            <w:fldChar w:fldCharType="begin"/>
          </w:r>
          <w:r w:rsidR="00E4056E" w:rsidRPr="00F35A26">
            <w:rPr>
              <w:rFonts w:ascii="Times New Roman" w:hAnsi="Times New Roman" w:cs="Times New Roman"/>
              <w:color w:val="0D0D0D" w:themeColor="text1" w:themeTint="F2"/>
              <w:sz w:val="24"/>
              <w:szCs w:val="24"/>
              <w:lang w:val="en-US"/>
            </w:rPr>
            <w:instrText xml:space="preserve"> CITATION Med24 \l 1033 </w:instrText>
          </w:r>
          <w:r w:rsidR="00E4056E" w:rsidRPr="00F35A26">
            <w:rPr>
              <w:rFonts w:ascii="Times New Roman" w:hAnsi="Times New Roman" w:cs="Times New Roman"/>
              <w:color w:val="0D0D0D" w:themeColor="text1" w:themeTint="F2"/>
              <w:sz w:val="24"/>
              <w:szCs w:val="24"/>
            </w:rPr>
            <w:fldChar w:fldCharType="separate"/>
          </w:r>
          <w:r w:rsidR="00E4056E" w:rsidRPr="00F35A26">
            <w:rPr>
              <w:rFonts w:ascii="Times New Roman" w:hAnsi="Times New Roman" w:cs="Times New Roman"/>
              <w:noProof/>
              <w:color w:val="0D0D0D" w:themeColor="text1" w:themeTint="F2"/>
              <w:sz w:val="24"/>
              <w:szCs w:val="24"/>
              <w:lang w:val="en-US"/>
            </w:rPr>
            <w:t>(Media, I. , 2024)</w:t>
          </w:r>
          <w:r w:rsidR="00E4056E"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0932489C"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p>
    <w:p w14:paraId="644F1DE1" w14:textId="10362CAA" w:rsidR="006B1C31" w:rsidRPr="00F35A26" w:rsidRDefault="006B1C31"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Demand Conditions</w:t>
      </w:r>
    </w:p>
    <w:p w14:paraId="4A3A224B"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Domestic demand for OTT content in India is strong and increasingly sophisticated. Consumers exhibit a growing preference for vernacular and culturally relevant narratives, driving platforms to innovate and localise content offerings. This demand environment encourages continuous improvement in content quality and diversity.</w:t>
      </w:r>
    </w:p>
    <w:p w14:paraId="3342841E"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p>
    <w:p w14:paraId="59C3A560" w14:textId="095C3D3E" w:rsidR="006B1C31" w:rsidRPr="00F35A26" w:rsidRDefault="006B1C31"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Related and Supporting Industries</w:t>
      </w:r>
    </w:p>
    <w:p w14:paraId="41AC3488"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India’s extensive film, television, advertising, and digital technology sectors provide strong support for OTT platforms. These related industries facilitate content creation, marketing, and technological integration at scale.</w:t>
      </w:r>
    </w:p>
    <w:p w14:paraId="06682B63"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p>
    <w:p w14:paraId="10369AA1" w14:textId="56D10730" w:rsidR="006B1C31" w:rsidRPr="00F35A26" w:rsidRDefault="006B1C31"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Firm Strategy, Structure and Rivalry</w:t>
      </w:r>
    </w:p>
    <w:p w14:paraId="19D6D0AE" w14:textId="77777777" w:rsidR="006B1C31" w:rsidRPr="00F35A26" w:rsidRDefault="006B1C31"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Intense competition among OTT platforms fosters innovation, operational efficiency, and strategic experimentation. While rivalry increases pressure on profitability, it also accelerates market development and consumer adoption.</w:t>
      </w:r>
    </w:p>
    <w:p w14:paraId="465D8314" w14:textId="52652DA1" w:rsidR="006C7453"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w:t>
      </w:r>
      <w:r w:rsidR="006B1C31" w:rsidRPr="00F35A26">
        <w:rPr>
          <w:rFonts w:ascii="Times New Roman" w:hAnsi="Times New Roman" w:cs="Times New Roman"/>
          <w:color w:val="0D0D0D" w:themeColor="text1" w:themeTint="F2"/>
          <w:sz w:val="24"/>
          <w:szCs w:val="24"/>
        </w:rPr>
        <w:t>hese factors reinforce India’s attractiveness as a strategic expansion market for Netflix, despite the competitive and regulatory challenges involved.</w:t>
      </w:r>
    </w:p>
    <w:p w14:paraId="6DF110CB"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25761BE5" w14:textId="77777777" w:rsidR="00E4056E" w:rsidRDefault="00E4056E" w:rsidP="00F35A26">
      <w:pPr>
        <w:spacing w:line="360" w:lineRule="auto"/>
        <w:jc w:val="both"/>
        <w:rPr>
          <w:rFonts w:ascii="Times New Roman" w:hAnsi="Times New Roman" w:cs="Times New Roman"/>
          <w:color w:val="0D0D0D" w:themeColor="text1" w:themeTint="F2"/>
          <w:sz w:val="24"/>
          <w:szCs w:val="24"/>
        </w:rPr>
      </w:pPr>
    </w:p>
    <w:p w14:paraId="07E44F14"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75933F0E"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3327831D"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11AB4C3B"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2EA96F5D"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73F9AE1C"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34E135A4"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56369A50"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0D7B0A33"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5A1E9748"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77D95305"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6E90095D" w14:textId="77777777" w:rsidR="00F35A26" w:rsidRPr="00F35A26" w:rsidRDefault="00F35A26" w:rsidP="00F35A26">
      <w:pPr>
        <w:spacing w:line="360" w:lineRule="auto"/>
        <w:jc w:val="both"/>
        <w:rPr>
          <w:rFonts w:ascii="Times New Roman" w:hAnsi="Times New Roman" w:cs="Times New Roman"/>
          <w:color w:val="0D0D0D" w:themeColor="text1" w:themeTint="F2"/>
          <w:sz w:val="24"/>
          <w:szCs w:val="24"/>
        </w:rPr>
      </w:pPr>
    </w:p>
    <w:p w14:paraId="5343C56D" w14:textId="50556210" w:rsidR="00E4056E" w:rsidRPr="00F35A26" w:rsidRDefault="00E4056E" w:rsidP="00F35A26">
      <w:pPr>
        <w:pStyle w:val="Heading1"/>
        <w:spacing w:line="360" w:lineRule="auto"/>
        <w:jc w:val="center"/>
        <w:rPr>
          <w:rFonts w:ascii="Times New Roman" w:hAnsi="Times New Roman" w:cs="Times New Roman"/>
          <w:b/>
          <w:bCs/>
          <w:color w:val="0D0D0D" w:themeColor="text1" w:themeTint="F2"/>
          <w:sz w:val="24"/>
          <w:szCs w:val="24"/>
        </w:rPr>
      </w:pPr>
      <w:bookmarkStart w:id="10" w:name="_Toc217165280"/>
      <w:r w:rsidRPr="00F35A26">
        <w:rPr>
          <w:rFonts w:ascii="Times New Roman" w:hAnsi="Times New Roman" w:cs="Times New Roman"/>
          <w:b/>
          <w:bCs/>
          <w:color w:val="0D0D0D" w:themeColor="text1" w:themeTint="F2"/>
          <w:sz w:val="24"/>
          <w:szCs w:val="24"/>
        </w:rPr>
        <w:t>4. STRATEGY DEVELOPMENT AND FORMULATION</w:t>
      </w:r>
      <w:bookmarkEnd w:id="10"/>
    </w:p>
    <w:p w14:paraId="69F9C0F5"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2D6C7975"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Strategy development and formulation represent the critical stage at which insights derived from external and internal analyses are translated into actionable strategic choices. For Netflix, expanding and strengthening its position in the Indian market requires a carefully designed strategy that aligns organisational capabilities with local market conditions while mitigating identified risks. This section applies established strategic management models, including Ansoff’s Matrix and Porter’s Generic Strategies, to formulate a coherent expansion strategy for Netflix in India. It further outlines specific competitive actions and assesses key risks associated with implementation.</w:t>
      </w:r>
    </w:p>
    <w:p w14:paraId="357C3A0C"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79CBAF34" w14:textId="77777777" w:rsidR="00E4056E" w:rsidRPr="00F35A26" w:rsidRDefault="00E4056E" w:rsidP="00F35A26">
      <w:pPr>
        <w:pStyle w:val="Heading2"/>
        <w:spacing w:line="360" w:lineRule="auto"/>
        <w:jc w:val="both"/>
        <w:rPr>
          <w:rFonts w:ascii="Times New Roman" w:hAnsi="Times New Roman" w:cs="Times New Roman"/>
          <w:b/>
          <w:bCs/>
          <w:color w:val="0D0D0D" w:themeColor="text1" w:themeTint="F2"/>
          <w:sz w:val="24"/>
          <w:szCs w:val="24"/>
        </w:rPr>
      </w:pPr>
      <w:bookmarkStart w:id="11" w:name="_Toc217165281"/>
      <w:r w:rsidRPr="00F35A26">
        <w:rPr>
          <w:rFonts w:ascii="Times New Roman" w:hAnsi="Times New Roman" w:cs="Times New Roman"/>
          <w:b/>
          <w:bCs/>
          <w:color w:val="0D0D0D" w:themeColor="text1" w:themeTint="F2"/>
          <w:sz w:val="24"/>
          <w:szCs w:val="24"/>
        </w:rPr>
        <w:t>4.1 Ansoff Matrix – Market Development Strategy</w:t>
      </w:r>
      <w:bookmarkEnd w:id="11"/>
    </w:p>
    <w:p w14:paraId="160D5DB9"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0958D402" w14:textId="40B3F88F"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Ansoff’s Matrix provides a useful framework for identifying growth strategies by examining the relationship between products and markets (Ansoff, 1957). The matrix categorises growth strategies into market penetration, product development, market development, and diversification. Netflix’s strategic approach to India most closely aligns with a market development strategy, whereby existing products and services are offered to a new or underdeveloped geographic market.</w:t>
      </w:r>
    </w:p>
    <w:p w14:paraId="768E33D9" w14:textId="7C7057CE"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Although Netflix has operated in India since 2016, the market remains relatively underpenetrated compared to its scale in developed economies and relative to competitors such as Disney+ Hotstar and Amazon Prime Video. This suggests that India should not be treated as a mature market but rather as a strategic growth opportunity requiring renewed investment and adaptation. Market development is therefore appropriate, as Netflix continues to offer its core SVOD service while tailoring content, pricing, and partnerships to better meet local market needs </w:t>
      </w:r>
      <w:sdt>
        <w:sdtPr>
          <w:rPr>
            <w:rFonts w:ascii="Times New Roman" w:hAnsi="Times New Roman" w:cs="Times New Roman"/>
            <w:color w:val="0D0D0D" w:themeColor="text1" w:themeTint="F2"/>
            <w:sz w:val="24"/>
            <w:szCs w:val="24"/>
          </w:rPr>
          <w:id w:val="-727463367"/>
          <w:citation/>
        </w:sdtPr>
        <w:sdtEndPr/>
        <w:sdtContent>
          <w:r w:rsidR="00214BFD" w:rsidRPr="00F35A26">
            <w:rPr>
              <w:rFonts w:ascii="Times New Roman" w:hAnsi="Times New Roman" w:cs="Times New Roman"/>
              <w:color w:val="0D0D0D" w:themeColor="text1" w:themeTint="F2"/>
              <w:sz w:val="24"/>
              <w:szCs w:val="24"/>
            </w:rPr>
            <w:fldChar w:fldCharType="begin"/>
          </w:r>
          <w:r w:rsidR="00214BFD" w:rsidRPr="00F35A26">
            <w:rPr>
              <w:rFonts w:ascii="Times New Roman" w:hAnsi="Times New Roman" w:cs="Times New Roman"/>
              <w:color w:val="0D0D0D" w:themeColor="text1" w:themeTint="F2"/>
              <w:sz w:val="24"/>
              <w:szCs w:val="24"/>
              <w:lang w:val="en-US"/>
            </w:rPr>
            <w:instrText xml:space="preserve"> CITATION And25 \l 1033 </w:instrText>
          </w:r>
          <w:r w:rsidR="00214BFD" w:rsidRPr="00F35A26">
            <w:rPr>
              <w:rFonts w:ascii="Times New Roman" w:hAnsi="Times New Roman" w:cs="Times New Roman"/>
              <w:color w:val="0D0D0D" w:themeColor="text1" w:themeTint="F2"/>
              <w:sz w:val="24"/>
              <w:szCs w:val="24"/>
            </w:rPr>
            <w:fldChar w:fldCharType="separate"/>
          </w:r>
          <w:r w:rsidR="00214BFD" w:rsidRPr="00F35A26">
            <w:rPr>
              <w:rFonts w:ascii="Times New Roman" w:hAnsi="Times New Roman" w:cs="Times New Roman"/>
              <w:noProof/>
              <w:color w:val="0D0D0D" w:themeColor="text1" w:themeTint="F2"/>
              <w:sz w:val="24"/>
              <w:szCs w:val="24"/>
              <w:lang w:val="en-US"/>
            </w:rPr>
            <w:t>(Andersen, 2025)</w:t>
          </w:r>
          <w:r w:rsidR="00214BFD"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5B717DB4" w14:textId="7CE56C53"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A key feature of Netflix’s market development strategy in India is localisation rather than product reinvention. The core platform, streaming technology, and subscription model remain unchanged; however, value is enhanced through culturally relevant content, regional language offerings, and flexible pricing structures. This approach allows Netflix to leverage its existing technological and organisational capabilities while adapting to India’s unique socio-economic and cultural environment.</w:t>
      </w:r>
    </w:p>
    <w:p w14:paraId="2BF04CF1" w14:textId="519C2A42"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From a risk perspective, market development is less uncertain than diversification, as Netflix is operating within its core competency of digital content delivery. </w:t>
      </w:r>
      <w:r w:rsidR="00214BFD" w:rsidRPr="00F35A26">
        <w:rPr>
          <w:rFonts w:ascii="Times New Roman" w:hAnsi="Times New Roman" w:cs="Times New Roman"/>
          <w:color w:val="0D0D0D" w:themeColor="text1" w:themeTint="F2"/>
          <w:sz w:val="24"/>
          <w:szCs w:val="24"/>
        </w:rPr>
        <w:t>T</w:t>
      </w:r>
      <w:r w:rsidRPr="00F35A26">
        <w:rPr>
          <w:rFonts w:ascii="Times New Roman" w:hAnsi="Times New Roman" w:cs="Times New Roman"/>
          <w:color w:val="0D0D0D" w:themeColor="text1" w:themeTint="F2"/>
          <w:sz w:val="24"/>
          <w:szCs w:val="24"/>
        </w:rPr>
        <w:t xml:space="preserve">he strategy requires significant investment in local content production and marketing, as well as the ability to respond effectively to regulatory and competitive pressures. </w:t>
      </w:r>
      <w:r w:rsidR="00214BFD" w:rsidRPr="00F35A26">
        <w:rPr>
          <w:rFonts w:ascii="Times New Roman" w:hAnsi="Times New Roman" w:cs="Times New Roman"/>
          <w:color w:val="0D0D0D" w:themeColor="text1" w:themeTint="F2"/>
          <w:sz w:val="24"/>
          <w:szCs w:val="24"/>
        </w:rPr>
        <w:t>S</w:t>
      </w:r>
      <w:r w:rsidRPr="00F35A26">
        <w:rPr>
          <w:rFonts w:ascii="Times New Roman" w:hAnsi="Times New Roman" w:cs="Times New Roman"/>
          <w:color w:val="0D0D0D" w:themeColor="text1" w:themeTint="F2"/>
          <w:sz w:val="24"/>
          <w:szCs w:val="24"/>
        </w:rPr>
        <w:t xml:space="preserve">uccessful implementation depends on Netflix’s dynamic capabilities—its capacity to sense market opportunities, seize them through strategic investment, and reconfigure resources accordingly </w:t>
      </w:r>
      <w:sdt>
        <w:sdtPr>
          <w:rPr>
            <w:rFonts w:ascii="Times New Roman" w:hAnsi="Times New Roman" w:cs="Times New Roman"/>
            <w:color w:val="0D0D0D" w:themeColor="text1" w:themeTint="F2"/>
            <w:sz w:val="24"/>
            <w:szCs w:val="24"/>
          </w:rPr>
          <w:id w:val="-34041323"/>
          <w:citation/>
        </w:sdtPr>
        <w:sdtEndPr/>
        <w:sdtContent>
          <w:r w:rsidR="00214BFD" w:rsidRPr="00F35A26">
            <w:rPr>
              <w:rFonts w:ascii="Times New Roman" w:hAnsi="Times New Roman" w:cs="Times New Roman"/>
              <w:color w:val="0D0D0D" w:themeColor="text1" w:themeTint="F2"/>
              <w:sz w:val="24"/>
              <w:szCs w:val="24"/>
            </w:rPr>
            <w:fldChar w:fldCharType="begin"/>
          </w:r>
          <w:r w:rsidR="00214BFD" w:rsidRPr="00F35A26">
            <w:rPr>
              <w:rFonts w:ascii="Times New Roman" w:hAnsi="Times New Roman" w:cs="Times New Roman"/>
              <w:color w:val="0D0D0D" w:themeColor="text1" w:themeTint="F2"/>
              <w:sz w:val="24"/>
              <w:szCs w:val="24"/>
              <w:lang w:val="en-US"/>
            </w:rPr>
            <w:instrText xml:space="preserve"> CITATION Tee16 \l 1033 </w:instrText>
          </w:r>
          <w:r w:rsidR="00214BFD" w:rsidRPr="00F35A26">
            <w:rPr>
              <w:rFonts w:ascii="Times New Roman" w:hAnsi="Times New Roman" w:cs="Times New Roman"/>
              <w:color w:val="0D0D0D" w:themeColor="text1" w:themeTint="F2"/>
              <w:sz w:val="24"/>
              <w:szCs w:val="24"/>
            </w:rPr>
            <w:fldChar w:fldCharType="separate"/>
          </w:r>
          <w:r w:rsidR="00214BFD" w:rsidRPr="00F35A26">
            <w:rPr>
              <w:rFonts w:ascii="Times New Roman" w:hAnsi="Times New Roman" w:cs="Times New Roman"/>
              <w:noProof/>
              <w:color w:val="0D0D0D" w:themeColor="text1" w:themeTint="F2"/>
              <w:sz w:val="24"/>
              <w:szCs w:val="24"/>
              <w:lang w:val="en-US"/>
            </w:rPr>
            <w:t>(Teece, 2016)</w:t>
          </w:r>
          <w:r w:rsidR="00214BFD" w:rsidRPr="00F35A26">
            <w:rPr>
              <w:rFonts w:ascii="Times New Roman" w:hAnsi="Times New Roman" w:cs="Times New Roman"/>
              <w:color w:val="0D0D0D" w:themeColor="text1" w:themeTint="F2"/>
              <w:sz w:val="24"/>
              <w:szCs w:val="24"/>
            </w:rPr>
            <w:fldChar w:fldCharType="end"/>
          </w:r>
        </w:sdtContent>
      </w:sdt>
    </w:p>
    <w:p w14:paraId="3CC47844"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5846A3D1" w14:textId="77777777" w:rsidR="00E4056E" w:rsidRPr="00F35A26" w:rsidRDefault="00E4056E" w:rsidP="00F35A26">
      <w:pPr>
        <w:pStyle w:val="Heading2"/>
        <w:spacing w:line="360" w:lineRule="auto"/>
        <w:jc w:val="both"/>
        <w:rPr>
          <w:rFonts w:ascii="Times New Roman" w:hAnsi="Times New Roman" w:cs="Times New Roman"/>
          <w:b/>
          <w:bCs/>
          <w:color w:val="0D0D0D" w:themeColor="text1" w:themeTint="F2"/>
          <w:sz w:val="24"/>
          <w:szCs w:val="24"/>
        </w:rPr>
      </w:pPr>
      <w:bookmarkStart w:id="12" w:name="_Toc217165282"/>
      <w:r w:rsidRPr="00F35A26">
        <w:rPr>
          <w:rFonts w:ascii="Times New Roman" w:hAnsi="Times New Roman" w:cs="Times New Roman"/>
          <w:b/>
          <w:bCs/>
          <w:color w:val="0D0D0D" w:themeColor="text1" w:themeTint="F2"/>
          <w:sz w:val="24"/>
          <w:szCs w:val="24"/>
        </w:rPr>
        <w:t>4.2 Generic Strategy – Differentiation with Cost Sensitivity</w:t>
      </w:r>
      <w:bookmarkEnd w:id="12"/>
    </w:p>
    <w:p w14:paraId="29075DF9"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1AACD328" w14:textId="0C3BB825"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Porter’s Generic Strategies framework identifies cost leadership, differentiation, and focus as the primary sources of competitive advantage </w:t>
      </w:r>
      <w:sdt>
        <w:sdtPr>
          <w:rPr>
            <w:rFonts w:ascii="Times New Roman" w:hAnsi="Times New Roman" w:cs="Times New Roman"/>
            <w:color w:val="0D0D0D" w:themeColor="text1" w:themeTint="F2"/>
            <w:sz w:val="24"/>
            <w:szCs w:val="24"/>
          </w:rPr>
          <w:id w:val="1587041819"/>
          <w:citation/>
        </w:sdtPr>
        <w:sdtEndPr/>
        <w:sdtContent>
          <w:r w:rsidR="00214BFD" w:rsidRPr="00F35A26">
            <w:rPr>
              <w:rFonts w:ascii="Times New Roman" w:hAnsi="Times New Roman" w:cs="Times New Roman"/>
              <w:color w:val="0D0D0D" w:themeColor="text1" w:themeTint="F2"/>
              <w:sz w:val="24"/>
              <w:szCs w:val="24"/>
            </w:rPr>
            <w:fldChar w:fldCharType="begin"/>
          </w:r>
          <w:r w:rsidR="00214BFD" w:rsidRPr="00F35A26">
            <w:rPr>
              <w:rFonts w:ascii="Times New Roman" w:hAnsi="Times New Roman" w:cs="Times New Roman"/>
              <w:color w:val="0D0D0D" w:themeColor="text1" w:themeTint="F2"/>
              <w:sz w:val="24"/>
              <w:szCs w:val="24"/>
              <w:lang w:val="en-US"/>
            </w:rPr>
            <w:instrText xml:space="preserve"> CITATION Por083 \l 1033 </w:instrText>
          </w:r>
          <w:r w:rsidR="00214BFD" w:rsidRPr="00F35A26">
            <w:rPr>
              <w:rFonts w:ascii="Times New Roman" w:hAnsi="Times New Roman" w:cs="Times New Roman"/>
              <w:color w:val="0D0D0D" w:themeColor="text1" w:themeTint="F2"/>
              <w:sz w:val="24"/>
              <w:szCs w:val="24"/>
            </w:rPr>
            <w:fldChar w:fldCharType="separate"/>
          </w:r>
          <w:r w:rsidR="00214BFD" w:rsidRPr="00F35A26">
            <w:rPr>
              <w:rFonts w:ascii="Times New Roman" w:hAnsi="Times New Roman" w:cs="Times New Roman"/>
              <w:noProof/>
              <w:color w:val="0D0D0D" w:themeColor="text1" w:themeTint="F2"/>
              <w:sz w:val="24"/>
              <w:szCs w:val="24"/>
              <w:lang w:val="en-US"/>
            </w:rPr>
            <w:t>(Porter, 2008)</w:t>
          </w:r>
          <w:r w:rsidR="00214BFD"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In the Indian OTT market, pure cost leadership is difficult for Netflix to achieve due to its premium positioning and higher content production costs. Conversely, a pure differentiation strategy without regard for price sensitivity risks limiting market penetration in a highly price-conscious environment.</w:t>
      </w:r>
    </w:p>
    <w:p w14:paraId="0A62F51A" w14:textId="52C74436"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Netflix should pursue a focused differentiation strategy with cost sensitivity, combining high-quality, differentiated content with pricing models adapted to local affordability. This hybrid approach allows Netflix to maintain its premium brand identity while expanding its appeal to a broader segment of Indian consumers.</w:t>
      </w:r>
    </w:p>
    <w:p w14:paraId="686EE380" w14:textId="3A3DCD8E"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Differentiation should be primarily content-driven. Netflix’s competitive advantage lies in its ability to produce high-quality original content that resonates emotionally with audiences while maintaining global production standards. In India, this involves emphasising Indian originals, regional language storytelling, and culturally authentic narratives. Such differentiation reduces direct price-based competition and increases perceived value, supporting customer retention and brand loyalty </w:t>
      </w:r>
      <w:sdt>
        <w:sdtPr>
          <w:rPr>
            <w:rFonts w:ascii="Times New Roman" w:hAnsi="Times New Roman" w:cs="Times New Roman"/>
            <w:color w:val="0D0D0D" w:themeColor="text1" w:themeTint="F2"/>
            <w:sz w:val="24"/>
            <w:szCs w:val="24"/>
          </w:rPr>
          <w:id w:val="-1648513558"/>
          <w:citation/>
        </w:sdtPr>
        <w:sdtEndPr/>
        <w:sdtContent>
          <w:r w:rsidR="00214BFD" w:rsidRPr="00F35A26">
            <w:rPr>
              <w:rFonts w:ascii="Times New Roman" w:hAnsi="Times New Roman" w:cs="Times New Roman"/>
              <w:color w:val="0D0D0D" w:themeColor="text1" w:themeTint="F2"/>
              <w:sz w:val="24"/>
              <w:szCs w:val="24"/>
            </w:rPr>
            <w:fldChar w:fldCharType="begin"/>
          </w:r>
          <w:r w:rsidR="00214BFD" w:rsidRPr="00F35A26">
            <w:rPr>
              <w:rFonts w:ascii="Times New Roman" w:hAnsi="Times New Roman" w:cs="Times New Roman"/>
              <w:color w:val="0D0D0D" w:themeColor="text1" w:themeTint="F2"/>
              <w:sz w:val="24"/>
              <w:szCs w:val="24"/>
              <w:lang w:val="en-US"/>
            </w:rPr>
            <w:instrText xml:space="preserve"> CITATION Por083 \l 1033 </w:instrText>
          </w:r>
          <w:r w:rsidR="00214BFD" w:rsidRPr="00F35A26">
            <w:rPr>
              <w:rFonts w:ascii="Times New Roman" w:hAnsi="Times New Roman" w:cs="Times New Roman"/>
              <w:color w:val="0D0D0D" w:themeColor="text1" w:themeTint="F2"/>
              <w:sz w:val="24"/>
              <w:szCs w:val="24"/>
            </w:rPr>
            <w:fldChar w:fldCharType="separate"/>
          </w:r>
          <w:r w:rsidR="00214BFD" w:rsidRPr="00F35A26">
            <w:rPr>
              <w:rFonts w:ascii="Times New Roman" w:hAnsi="Times New Roman" w:cs="Times New Roman"/>
              <w:noProof/>
              <w:color w:val="0D0D0D" w:themeColor="text1" w:themeTint="F2"/>
              <w:sz w:val="24"/>
              <w:szCs w:val="24"/>
              <w:lang w:val="en-US"/>
            </w:rPr>
            <w:t>(Porter, 2008)</w:t>
          </w:r>
          <w:r w:rsidR="00214BFD"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71EFCEA0" w14:textId="70038A2A"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At the same time, cost sensitivity must be integrated into the strategy. Indian consumers are highly responsive to price, and competitors have successfully attracted subscribers through low-cost or bundled offerings. Netflix’s introduction of mobile-only plans demonstrates strategic awareness of this reality. Tiered pricing enables Netflix to segment the market, offering entry-level affordability while preserving premium tiers for higher-income consumers seeking enhanced viewing experiences.</w:t>
      </w:r>
    </w:p>
    <w:p w14:paraId="17D6CFF5"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This balanced approach aligns with Netflix’s internal capabilities identified through VRIO analysis, particularly its brand reputation and data-driven personalisation, while addressing external pressures such as high buyer power and intense rivalry in the Indian OTT industry.</w:t>
      </w:r>
    </w:p>
    <w:p w14:paraId="26F4A460"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1252BD76" w14:textId="77777777" w:rsidR="00E4056E" w:rsidRPr="00F35A26" w:rsidRDefault="00E4056E" w:rsidP="00F35A26">
      <w:pPr>
        <w:pStyle w:val="Heading2"/>
        <w:spacing w:line="360" w:lineRule="auto"/>
        <w:jc w:val="both"/>
        <w:rPr>
          <w:rFonts w:ascii="Times New Roman" w:hAnsi="Times New Roman" w:cs="Times New Roman"/>
          <w:b/>
          <w:bCs/>
          <w:color w:val="0D0D0D" w:themeColor="text1" w:themeTint="F2"/>
          <w:sz w:val="24"/>
          <w:szCs w:val="24"/>
        </w:rPr>
      </w:pPr>
      <w:bookmarkStart w:id="13" w:name="_Toc217165283"/>
      <w:r w:rsidRPr="00F35A26">
        <w:rPr>
          <w:rFonts w:ascii="Times New Roman" w:hAnsi="Times New Roman" w:cs="Times New Roman"/>
          <w:b/>
          <w:bCs/>
          <w:color w:val="0D0D0D" w:themeColor="text1" w:themeTint="F2"/>
          <w:sz w:val="24"/>
          <w:szCs w:val="24"/>
        </w:rPr>
        <w:t>4.3 Competitive Strategy Actions</w:t>
      </w:r>
      <w:bookmarkEnd w:id="13"/>
    </w:p>
    <w:p w14:paraId="0B3B0F65"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73CA39A7"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To operationalise its market development and focused differentiation strategy, Netflix must implement a set of coordinated competitive actions across content, pricing, and partnerships.</w:t>
      </w:r>
    </w:p>
    <w:p w14:paraId="3012C311"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5AD21F58" w14:textId="77777777" w:rsidR="00E4056E" w:rsidRPr="00F35A26" w:rsidRDefault="00E4056E" w:rsidP="00F35A26">
      <w:pPr>
        <w:pStyle w:val="Heading3"/>
        <w:spacing w:line="360" w:lineRule="auto"/>
        <w:jc w:val="both"/>
        <w:rPr>
          <w:rFonts w:ascii="Times New Roman" w:hAnsi="Times New Roman" w:cs="Times New Roman"/>
          <w:b/>
          <w:bCs/>
          <w:color w:val="0D0D0D" w:themeColor="text1" w:themeTint="F2"/>
          <w:sz w:val="24"/>
          <w:szCs w:val="24"/>
        </w:rPr>
      </w:pPr>
      <w:bookmarkStart w:id="14" w:name="_Toc217165284"/>
      <w:r w:rsidRPr="00F35A26">
        <w:rPr>
          <w:rFonts w:ascii="Times New Roman" w:hAnsi="Times New Roman" w:cs="Times New Roman"/>
          <w:b/>
          <w:bCs/>
          <w:color w:val="0D0D0D" w:themeColor="text1" w:themeTint="F2"/>
          <w:sz w:val="24"/>
          <w:szCs w:val="24"/>
        </w:rPr>
        <w:t>4.3.1 Local Content Investment</w:t>
      </w:r>
      <w:bookmarkEnd w:id="14"/>
    </w:p>
    <w:p w14:paraId="4A094756"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3C337C62" w14:textId="16CEAFAB"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Investment in local content is central to Netflix’s competitive strategy in India. Indian audiences exhibit a strong preference for regional and vernacular content that reflects local culture, social realities, and linguistic diversity </w:t>
      </w:r>
      <w:sdt>
        <w:sdtPr>
          <w:rPr>
            <w:rFonts w:ascii="Times New Roman" w:hAnsi="Times New Roman" w:cs="Times New Roman"/>
            <w:color w:val="0D0D0D" w:themeColor="text1" w:themeTint="F2"/>
            <w:sz w:val="24"/>
            <w:szCs w:val="24"/>
          </w:rPr>
          <w:id w:val="-1814862150"/>
          <w:citation/>
        </w:sdtPr>
        <w:sdtEndPr/>
        <w:sdtContent>
          <w:r w:rsidR="00214BFD" w:rsidRPr="00F35A26">
            <w:rPr>
              <w:rFonts w:ascii="Times New Roman" w:hAnsi="Times New Roman" w:cs="Times New Roman"/>
              <w:color w:val="0D0D0D" w:themeColor="text1" w:themeTint="F2"/>
              <w:sz w:val="24"/>
              <w:szCs w:val="24"/>
            </w:rPr>
            <w:fldChar w:fldCharType="begin"/>
          </w:r>
          <w:r w:rsidR="00214BFD" w:rsidRPr="00F35A26">
            <w:rPr>
              <w:rFonts w:ascii="Times New Roman" w:hAnsi="Times New Roman" w:cs="Times New Roman"/>
              <w:color w:val="0D0D0D" w:themeColor="text1" w:themeTint="F2"/>
              <w:sz w:val="24"/>
              <w:szCs w:val="24"/>
              <w:lang w:val="en-US"/>
            </w:rPr>
            <w:instrText xml:space="preserve">CITATION Bha251 \l 1033 </w:instrText>
          </w:r>
          <w:r w:rsidR="00214BFD" w:rsidRPr="00F35A26">
            <w:rPr>
              <w:rFonts w:ascii="Times New Roman" w:hAnsi="Times New Roman" w:cs="Times New Roman"/>
              <w:color w:val="0D0D0D" w:themeColor="text1" w:themeTint="F2"/>
              <w:sz w:val="24"/>
              <w:szCs w:val="24"/>
            </w:rPr>
            <w:fldChar w:fldCharType="separate"/>
          </w:r>
          <w:r w:rsidR="00214BFD" w:rsidRPr="00F35A26">
            <w:rPr>
              <w:rFonts w:ascii="Times New Roman" w:hAnsi="Times New Roman" w:cs="Times New Roman"/>
              <w:noProof/>
              <w:color w:val="0D0D0D" w:themeColor="text1" w:themeTint="F2"/>
              <w:sz w:val="24"/>
              <w:szCs w:val="24"/>
              <w:lang w:val="en-US"/>
            </w:rPr>
            <w:t>(Bhadeshiya H. , 2025)</w:t>
          </w:r>
          <w:r w:rsidR="00214BFD"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While Netflix has already produced Indian originals, greater scale and depth are required to compete effectively with domestic platforms.</w:t>
      </w:r>
    </w:p>
    <w:p w14:paraId="5555E2C2" w14:textId="26C58433"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Netflix should expand partnerships with established Indian directors, writers, and production studios to co-create original content. Collaborating with local talent enhances cultural authenticity, reduces the risk of misrepresentation, and increases audience acceptance. </w:t>
      </w:r>
      <w:r w:rsidR="00214BFD" w:rsidRPr="00F35A26">
        <w:rPr>
          <w:rFonts w:ascii="Times New Roman" w:hAnsi="Times New Roman" w:cs="Times New Roman"/>
          <w:color w:val="0D0D0D" w:themeColor="text1" w:themeTint="F2"/>
          <w:sz w:val="24"/>
          <w:szCs w:val="24"/>
        </w:rPr>
        <w:t>L</w:t>
      </w:r>
      <w:r w:rsidRPr="00F35A26">
        <w:rPr>
          <w:rFonts w:ascii="Times New Roman" w:hAnsi="Times New Roman" w:cs="Times New Roman"/>
          <w:color w:val="0D0D0D" w:themeColor="text1" w:themeTint="F2"/>
          <w:sz w:val="24"/>
          <w:szCs w:val="24"/>
        </w:rPr>
        <w:t>ocal partnerships can improve cost efficiency by leveraging existing production ecosystems.</w:t>
      </w:r>
    </w:p>
    <w:p w14:paraId="5AE90078"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Expanding regional language offerings is particularly critical. Languages such as Tamil, Malayalam, Telugu, Kannada, and Bengali represent substantial audience segments with strong content loyalty. By investing in region-specific originals rather than relying predominantly on Hindi-language content, Netflix can differentiate itself and access underserved markets.</w:t>
      </w:r>
    </w:p>
    <w:p w14:paraId="292C335E" w14:textId="26C418BE" w:rsidR="00E4056E" w:rsidRPr="00F35A26" w:rsidRDefault="00214BFD"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w:t>
      </w:r>
      <w:r w:rsidR="00E4056E" w:rsidRPr="00F35A26">
        <w:rPr>
          <w:rFonts w:ascii="Times New Roman" w:hAnsi="Times New Roman" w:cs="Times New Roman"/>
          <w:color w:val="0D0D0D" w:themeColor="text1" w:themeTint="F2"/>
          <w:sz w:val="24"/>
          <w:szCs w:val="24"/>
        </w:rPr>
        <w:t>o serving domestic audiences, high-quality Indian originals have the potential to travel globally, contributing to Netflix’s international content portfolio. This dual-market benefit strengthens the business case for sustained local content investment.</w:t>
      </w:r>
    </w:p>
    <w:p w14:paraId="1FBB6F32" w14:textId="77777777" w:rsidR="00E4056E" w:rsidRPr="00F35A26" w:rsidRDefault="00E4056E" w:rsidP="00F35A26">
      <w:pPr>
        <w:pStyle w:val="Heading3"/>
        <w:spacing w:line="360" w:lineRule="auto"/>
        <w:jc w:val="both"/>
        <w:rPr>
          <w:rFonts w:ascii="Times New Roman" w:hAnsi="Times New Roman" w:cs="Times New Roman"/>
          <w:b/>
          <w:bCs/>
          <w:color w:val="0D0D0D" w:themeColor="text1" w:themeTint="F2"/>
          <w:sz w:val="24"/>
          <w:szCs w:val="24"/>
        </w:rPr>
      </w:pPr>
      <w:bookmarkStart w:id="15" w:name="_Toc217165285"/>
      <w:r w:rsidRPr="00F35A26">
        <w:rPr>
          <w:rFonts w:ascii="Times New Roman" w:hAnsi="Times New Roman" w:cs="Times New Roman"/>
          <w:b/>
          <w:bCs/>
          <w:color w:val="0D0D0D" w:themeColor="text1" w:themeTint="F2"/>
          <w:sz w:val="24"/>
          <w:szCs w:val="24"/>
        </w:rPr>
        <w:t>4.3.2 Pricing Innovation</w:t>
      </w:r>
      <w:bookmarkEnd w:id="15"/>
    </w:p>
    <w:p w14:paraId="74A5A707"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0152A188" w14:textId="55AFC222"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Pricing innovation is essential for improving Netflix’s competitiveness in a price-sensitive market. While premium pricing supports content investment and brand positioning, rigid pricing structures can limit subscriber growth in emerging markets.</w:t>
      </w:r>
    </w:p>
    <w:p w14:paraId="5A0B9FBE" w14:textId="1CAE2374"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Netflix should continue to refine its tiered pricing strategy, ensuring clear differentiation between mobile-only, standard, and premium plans. Mobile-only subscriptions are particularly important in India’s mobile-first environment, where smartphones are the primary mode of content consumption for many users </w:t>
      </w:r>
      <w:sdt>
        <w:sdtPr>
          <w:rPr>
            <w:rFonts w:ascii="Times New Roman" w:hAnsi="Times New Roman" w:cs="Times New Roman"/>
            <w:color w:val="0D0D0D" w:themeColor="text1" w:themeTint="F2"/>
            <w:sz w:val="24"/>
            <w:szCs w:val="24"/>
          </w:rPr>
          <w:id w:val="1584807801"/>
          <w:citation/>
        </w:sdtPr>
        <w:sdtEndPr/>
        <w:sdtContent>
          <w:r w:rsidR="00214BFD" w:rsidRPr="00F35A26">
            <w:rPr>
              <w:rFonts w:ascii="Times New Roman" w:hAnsi="Times New Roman" w:cs="Times New Roman"/>
              <w:color w:val="0D0D0D" w:themeColor="text1" w:themeTint="F2"/>
              <w:sz w:val="24"/>
              <w:szCs w:val="24"/>
            </w:rPr>
            <w:fldChar w:fldCharType="begin"/>
          </w:r>
          <w:r w:rsidR="00214BFD" w:rsidRPr="00F35A26">
            <w:rPr>
              <w:rFonts w:ascii="Times New Roman" w:hAnsi="Times New Roman" w:cs="Times New Roman"/>
              <w:color w:val="0D0D0D" w:themeColor="text1" w:themeTint="F2"/>
              <w:sz w:val="24"/>
              <w:szCs w:val="24"/>
              <w:lang w:val="en-US"/>
            </w:rPr>
            <w:instrText xml:space="preserve"> CITATION Sta17 \l 1033 </w:instrText>
          </w:r>
          <w:r w:rsidR="00214BFD" w:rsidRPr="00F35A26">
            <w:rPr>
              <w:rFonts w:ascii="Times New Roman" w:hAnsi="Times New Roman" w:cs="Times New Roman"/>
              <w:color w:val="0D0D0D" w:themeColor="text1" w:themeTint="F2"/>
              <w:sz w:val="24"/>
              <w:szCs w:val="24"/>
            </w:rPr>
            <w:fldChar w:fldCharType="separate"/>
          </w:r>
          <w:r w:rsidR="00214BFD" w:rsidRPr="00F35A26">
            <w:rPr>
              <w:rFonts w:ascii="Times New Roman" w:hAnsi="Times New Roman" w:cs="Times New Roman"/>
              <w:noProof/>
              <w:color w:val="0D0D0D" w:themeColor="text1" w:themeTint="F2"/>
              <w:sz w:val="24"/>
              <w:szCs w:val="24"/>
              <w:lang w:val="en-US"/>
            </w:rPr>
            <w:t>(Statista., 2017)</w:t>
          </w:r>
          <w:r w:rsidR="00214BFD"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5B8366BD" w14:textId="6AD10876" w:rsidR="00E4056E" w:rsidRPr="00F35A26" w:rsidRDefault="00214BFD"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w:t>
      </w:r>
      <w:r w:rsidR="00E4056E" w:rsidRPr="00F35A26">
        <w:rPr>
          <w:rFonts w:ascii="Times New Roman" w:hAnsi="Times New Roman" w:cs="Times New Roman"/>
          <w:color w:val="0D0D0D" w:themeColor="text1" w:themeTint="F2"/>
          <w:sz w:val="24"/>
          <w:szCs w:val="24"/>
        </w:rPr>
        <w:t>o tiered pricing, Netflix should pursue bundling strategies through partnerships with telecom providers such as Jio and Airtel. Bundling Netflix subscriptions with mobile data or broadband plans can significantly reduce perceived cost while increasing customer acquisition. Competitors have successfully used this approach to rapidly expand their subscriber base, highlighting its strategic relevance.</w:t>
      </w:r>
    </w:p>
    <w:p w14:paraId="5B0942BD"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From a strategic perspective, pricing innovation should be viewed not merely as a revenue mechanism but as a market access tool that supports long-term customer lifetime value and scale-based profitability.</w:t>
      </w:r>
    </w:p>
    <w:p w14:paraId="0D5243F3"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7559D667" w14:textId="4BF5F07D" w:rsidR="00E4056E" w:rsidRPr="00F35A26" w:rsidRDefault="00E4056E" w:rsidP="00F35A26">
      <w:pPr>
        <w:pStyle w:val="Heading3"/>
        <w:spacing w:line="360" w:lineRule="auto"/>
        <w:jc w:val="both"/>
        <w:rPr>
          <w:rFonts w:ascii="Times New Roman" w:hAnsi="Times New Roman" w:cs="Times New Roman"/>
          <w:b/>
          <w:bCs/>
          <w:color w:val="0D0D0D" w:themeColor="text1" w:themeTint="F2"/>
          <w:sz w:val="24"/>
          <w:szCs w:val="24"/>
        </w:rPr>
      </w:pPr>
      <w:bookmarkStart w:id="16" w:name="_Toc217165286"/>
      <w:r w:rsidRPr="00F35A26">
        <w:rPr>
          <w:rFonts w:ascii="Times New Roman" w:hAnsi="Times New Roman" w:cs="Times New Roman"/>
          <w:b/>
          <w:bCs/>
          <w:color w:val="0D0D0D" w:themeColor="text1" w:themeTint="F2"/>
          <w:sz w:val="24"/>
          <w:szCs w:val="24"/>
        </w:rPr>
        <w:t>4.3.3 Strategic Partnerships</w:t>
      </w:r>
      <w:bookmarkEnd w:id="16"/>
    </w:p>
    <w:p w14:paraId="4ACDDD4A" w14:textId="4E1DAF81"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Strategic partnerships represent a critical enabler of Netflix’s expansion strategy in India. Alliances with telecom providers, device manufacturers, and content production houses can enhance market reach, reduce costs, and improve strategic flexibility.</w:t>
      </w:r>
    </w:p>
    <w:p w14:paraId="19C23157" w14:textId="63E2BEEE"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Telecom partnerships are particularly valuable, as they provide access to large customer bases and support bundled offerings. Collaborations with internet service providers can also improve streaming quality and user experience, reinforcing Netflix’s premium positioning.</w:t>
      </w:r>
    </w:p>
    <w:p w14:paraId="49EB9CE3"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Co-production partnerships with Indian studios allow Netflix to share production risks, access local expertise, and accelerate content development. Such collaborations also demonstrate commitment to the local creative ecosystem, supporting brand legitimacy and regulatory goodwill.</w:t>
      </w:r>
    </w:p>
    <w:p w14:paraId="526A4AEB" w14:textId="1052AEE9" w:rsidR="00E4056E" w:rsidRPr="00F35A26" w:rsidRDefault="00214BFD"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w:t>
      </w:r>
      <w:r w:rsidR="00E4056E" w:rsidRPr="00F35A26">
        <w:rPr>
          <w:rFonts w:ascii="Times New Roman" w:hAnsi="Times New Roman" w:cs="Times New Roman"/>
          <w:color w:val="0D0D0D" w:themeColor="text1" w:themeTint="F2"/>
          <w:sz w:val="24"/>
          <w:szCs w:val="24"/>
        </w:rPr>
        <w:t>hese partnerships enhance Netflix’s ability to compete against ecosystem-based rivals that benefit from cross-subsidisation and integrated service offerings.</w:t>
      </w:r>
    </w:p>
    <w:p w14:paraId="52C8F8E7"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715BCFF6" w14:textId="3517BF7B" w:rsidR="00E4056E" w:rsidRPr="00F35A26" w:rsidRDefault="00E4056E" w:rsidP="00F35A26">
      <w:pPr>
        <w:pStyle w:val="Heading2"/>
        <w:spacing w:line="360" w:lineRule="auto"/>
        <w:jc w:val="both"/>
        <w:rPr>
          <w:rFonts w:ascii="Times New Roman" w:hAnsi="Times New Roman" w:cs="Times New Roman"/>
          <w:b/>
          <w:bCs/>
          <w:color w:val="0D0D0D" w:themeColor="text1" w:themeTint="F2"/>
          <w:sz w:val="24"/>
          <w:szCs w:val="24"/>
        </w:rPr>
      </w:pPr>
      <w:bookmarkStart w:id="17" w:name="_Toc217165287"/>
      <w:r w:rsidRPr="00F35A26">
        <w:rPr>
          <w:rFonts w:ascii="Times New Roman" w:hAnsi="Times New Roman" w:cs="Times New Roman"/>
          <w:b/>
          <w:bCs/>
          <w:color w:val="0D0D0D" w:themeColor="text1" w:themeTint="F2"/>
          <w:sz w:val="24"/>
          <w:szCs w:val="24"/>
        </w:rPr>
        <w:t>4.4 Risk Assessment and Mitigation</w:t>
      </w:r>
      <w:bookmarkEnd w:id="17"/>
    </w:p>
    <w:p w14:paraId="6A45FB11"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Effective strategy formulation must be accompanied by a realistic assessment of risks and corresponding mitigation measures.</w:t>
      </w:r>
    </w:p>
    <w:p w14:paraId="19BD9EE8"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20FD1A96" w14:textId="42789E4C" w:rsidR="00E4056E" w:rsidRPr="00F35A26" w:rsidRDefault="00E4056E"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Regulatory Intervention – High Impact</w:t>
      </w:r>
    </w:p>
    <w:p w14:paraId="28F19F72"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Regulatory intervention poses a significant risk due to increasing government oversight of OTT content in India. Compliance with content guidelines and data protection regulations is essential to avoid legal penalties and reputational damage.</w:t>
      </w:r>
    </w:p>
    <w:p w14:paraId="587E9FAB"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0CC0595D"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Mitigation Strategy:</w:t>
      </w:r>
    </w:p>
    <w:p w14:paraId="4A30EA06"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Netflix should strengthen its local compliance teams, implement robust content review processes, and engage proactively with regulatory authorities. Transparent governance structures and cultural sensitivity training for content teams can further reduce regulatory risk.</w:t>
      </w:r>
    </w:p>
    <w:p w14:paraId="518ECC95"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5BABE662" w14:textId="285D9D4E" w:rsidR="00E4056E" w:rsidRPr="00F35A26" w:rsidRDefault="00E4056E"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Price Competition – High Impact</w:t>
      </w:r>
    </w:p>
    <w:p w14:paraId="6CB21A6F"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Aggressive pricing strategies by competitors threaten Netflix’s market share and profitability. Sustained price wars could erode margins and undermine long-term investment capacity.</w:t>
      </w:r>
    </w:p>
    <w:p w14:paraId="07AD168E"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1646ED60"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Mitigation Strategy:</w:t>
      </w:r>
    </w:p>
    <w:p w14:paraId="3A0D40A9"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Netflix should avoid competing solely on price and instead emphasise differentiated value through content quality and user experience. Flexible pricing and bundling can address affordability without diluting brand equity.</w:t>
      </w:r>
    </w:p>
    <w:p w14:paraId="2976637F" w14:textId="77777777" w:rsidR="00E4056E" w:rsidRDefault="00E4056E" w:rsidP="00F35A26">
      <w:pPr>
        <w:spacing w:line="360" w:lineRule="auto"/>
        <w:jc w:val="both"/>
        <w:rPr>
          <w:rFonts w:ascii="Times New Roman" w:hAnsi="Times New Roman" w:cs="Times New Roman"/>
          <w:color w:val="0D0D0D" w:themeColor="text1" w:themeTint="F2"/>
          <w:sz w:val="24"/>
          <w:szCs w:val="24"/>
        </w:rPr>
      </w:pPr>
    </w:p>
    <w:p w14:paraId="51B0D28B" w14:textId="77777777" w:rsidR="00F35A26" w:rsidRPr="00F35A26" w:rsidRDefault="00F35A26" w:rsidP="00F35A26">
      <w:pPr>
        <w:spacing w:line="360" w:lineRule="auto"/>
        <w:jc w:val="both"/>
        <w:rPr>
          <w:rFonts w:ascii="Times New Roman" w:hAnsi="Times New Roman" w:cs="Times New Roman"/>
          <w:color w:val="0D0D0D" w:themeColor="text1" w:themeTint="F2"/>
          <w:sz w:val="24"/>
          <w:szCs w:val="24"/>
        </w:rPr>
      </w:pPr>
    </w:p>
    <w:p w14:paraId="7E77D732" w14:textId="2A688F0E" w:rsidR="00E4056E" w:rsidRPr="00F35A26" w:rsidRDefault="00E4056E"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Cultural Misalignment – Medium Impact</w:t>
      </w:r>
    </w:p>
    <w:p w14:paraId="56878369"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Cultural misalignment in content representation can lead to audience backlash or regulatory scrutiny, damaging brand reputation.</w:t>
      </w:r>
    </w:p>
    <w:p w14:paraId="27C942DD"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p>
    <w:p w14:paraId="6F16EB74"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Mitigation Strategy:</w:t>
      </w:r>
    </w:p>
    <w:p w14:paraId="5D53B2CE" w14:textId="77777777" w:rsidR="00E4056E" w:rsidRPr="00F35A26" w:rsidRDefault="00E4056E"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Employing local creative teams, conducting audience research, and involving cultural consultants in content development can ensure authenticity and alignment with audience expectations.</w:t>
      </w:r>
    </w:p>
    <w:p w14:paraId="28508543" w14:textId="77777777" w:rsidR="00214BFD" w:rsidRPr="00F35A26" w:rsidRDefault="00214BFD" w:rsidP="00F35A26">
      <w:pPr>
        <w:spacing w:line="360" w:lineRule="auto"/>
        <w:jc w:val="both"/>
        <w:rPr>
          <w:rFonts w:ascii="Times New Roman" w:hAnsi="Times New Roman" w:cs="Times New Roman"/>
          <w:color w:val="0D0D0D" w:themeColor="text1" w:themeTint="F2"/>
          <w:sz w:val="24"/>
          <w:szCs w:val="24"/>
        </w:rPr>
      </w:pPr>
    </w:p>
    <w:p w14:paraId="4539D9A0" w14:textId="7005F177" w:rsidR="00D40EFF" w:rsidRPr="00F35A26" w:rsidRDefault="00F35A26" w:rsidP="00F35A26">
      <w:pPr>
        <w:pStyle w:val="Heading1"/>
        <w:spacing w:line="360" w:lineRule="auto"/>
        <w:jc w:val="center"/>
        <w:rPr>
          <w:rFonts w:ascii="Times New Roman" w:hAnsi="Times New Roman" w:cs="Times New Roman"/>
          <w:b/>
          <w:bCs/>
          <w:color w:val="0D0D0D" w:themeColor="text1" w:themeTint="F2"/>
          <w:sz w:val="24"/>
          <w:szCs w:val="24"/>
        </w:rPr>
      </w:pPr>
      <w:bookmarkStart w:id="18" w:name="_Toc217165288"/>
      <w:r w:rsidRPr="00F35A26">
        <w:rPr>
          <w:rFonts w:ascii="Times New Roman" w:hAnsi="Times New Roman" w:cs="Times New Roman"/>
          <w:b/>
          <w:bCs/>
          <w:color w:val="0D0D0D" w:themeColor="text1" w:themeTint="F2"/>
          <w:sz w:val="24"/>
          <w:szCs w:val="24"/>
        </w:rPr>
        <w:t>5. PERFORMANCE EVALUATION FRAMEWORK</w:t>
      </w:r>
      <w:bookmarkEnd w:id="18"/>
    </w:p>
    <w:p w14:paraId="575EB7CC"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p>
    <w:p w14:paraId="67BE03CB"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Effective strategy implementation requires a robust performance evaluation framework to monitor progress, assess strategic alignment, and support informed managerial decision-making. Given the complexity of Netflix’s expansion strategy in India, a multidimensional performance measurement system is essential. This section proposes a Balanced Scorecard (BSC) as the primary evaluation framework, complemented by elements of the Triple Bottom Line (TBL) approach to ensure economic, social, and environmental sustainability.</w:t>
      </w:r>
    </w:p>
    <w:p w14:paraId="7FA47828"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p>
    <w:p w14:paraId="63A28892" w14:textId="77777777" w:rsidR="00D40EFF" w:rsidRPr="00F35A26" w:rsidRDefault="00D40EFF" w:rsidP="00F35A26">
      <w:pPr>
        <w:pStyle w:val="Heading2"/>
        <w:spacing w:line="360" w:lineRule="auto"/>
        <w:jc w:val="both"/>
        <w:rPr>
          <w:rFonts w:ascii="Times New Roman" w:hAnsi="Times New Roman" w:cs="Times New Roman"/>
          <w:b/>
          <w:bCs/>
          <w:color w:val="0D0D0D" w:themeColor="text1" w:themeTint="F2"/>
          <w:sz w:val="24"/>
          <w:szCs w:val="24"/>
        </w:rPr>
      </w:pPr>
      <w:bookmarkStart w:id="19" w:name="_Toc217165289"/>
      <w:r w:rsidRPr="00F35A26">
        <w:rPr>
          <w:rFonts w:ascii="Times New Roman" w:hAnsi="Times New Roman" w:cs="Times New Roman"/>
          <w:b/>
          <w:bCs/>
          <w:color w:val="0D0D0D" w:themeColor="text1" w:themeTint="F2"/>
          <w:sz w:val="24"/>
          <w:szCs w:val="24"/>
        </w:rPr>
        <w:t>5.1 Balanced Scorecard for Netflix India</w:t>
      </w:r>
      <w:bookmarkEnd w:id="19"/>
    </w:p>
    <w:p w14:paraId="6D5E348F"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p>
    <w:p w14:paraId="521344E3" w14:textId="33623EF1"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The Balanced Scorecard, developed by Kaplan and Norton (1996), extends traditional financial performance measurement by incorporating customer, internal process, and learning and growth perspectives. This framework is particularly suitable for Netflix’s Indian expansion, as it captures both short-term financial outcomes and long-term strategic capabilities critical for success in a highly competitive and dynamic OTT market</w:t>
      </w:r>
      <w:sdt>
        <w:sdtPr>
          <w:rPr>
            <w:rFonts w:ascii="Times New Roman" w:hAnsi="Times New Roman" w:cs="Times New Roman"/>
            <w:color w:val="0D0D0D" w:themeColor="text1" w:themeTint="F2"/>
            <w:sz w:val="24"/>
            <w:szCs w:val="24"/>
          </w:rPr>
          <w:id w:val="-345167001"/>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Kap961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 xml:space="preserve"> (Kaplan, 1996)</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4846AAE1" w14:textId="77777777" w:rsidR="00D40EFF" w:rsidRDefault="00D40EFF" w:rsidP="00F35A26">
      <w:pPr>
        <w:spacing w:line="360" w:lineRule="auto"/>
        <w:jc w:val="both"/>
        <w:rPr>
          <w:rFonts w:ascii="Times New Roman" w:hAnsi="Times New Roman" w:cs="Times New Roman"/>
          <w:color w:val="0D0D0D" w:themeColor="text1" w:themeTint="F2"/>
          <w:sz w:val="24"/>
          <w:szCs w:val="24"/>
        </w:rPr>
      </w:pPr>
    </w:p>
    <w:p w14:paraId="3040E597"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62343CF2" w14:textId="77777777" w:rsidR="00F35A26" w:rsidRPr="00F35A26" w:rsidRDefault="00F35A26" w:rsidP="00F35A26">
      <w:pPr>
        <w:spacing w:line="360" w:lineRule="auto"/>
        <w:jc w:val="both"/>
        <w:rPr>
          <w:rFonts w:ascii="Times New Roman" w:hAnsi="Times New Roman" w:cs="Times New Roman"/>
          <w:color w:val="0D0D0D" w:themeColor="text1" w:themeTint="F2"/>
          <w:sz w:val="24"/>
          <w:szCs w:val="24"/>
        </w:rPr>
      </w:pPr>
    </w:p>
    <w:p w14:paraId="27AAAE41" w14:textId="20B01DB6" w:rsidR="00D40EFF" w:rsidRPr="00F35A26" w:rsidRDefault="00D40EF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Financial Perspective</w:t>
      </w:r>
    </w:p>
    <w:p w14:paraId="45A31368" w14:textId="093F4F01"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The financial perspective evaluates whether Netflix’s expansion strategy in India contributes to value creation and sustainable profitability. Key performance indicators (KPIs) include subscriber growth and average revenue per user (ARPU). Subscriber growth reflects market penetration and the effectiveness of localisation and pricing strategies, while ARPU provides insight into revenue quality and pricing optimisation in a price-sensitive market </w:t>
      </w:r>
      <w:sdt>
        <w:sdtPr>
          <w:rPr>
            <w:rFonts w:ascii="Times New Roman" w:hAnsi="Times New Roman" w:cs="Times New Roman"/>
            <w:color w:val="0D0D0D" w:themeColor="text1" w:themeTint="F2"/>
            <w:sz w:val="24"/>
            <w:szCs w:val="24"/>
          </w:rPr>
          <w:id w:val="-1078363557"/>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Pri23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(PricewaterhouseCoopers, 2023)</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1C2C6888"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Monitoring these indicators enables Netflix to balance scale and profitability. While aggressive pricing may drive subscriber growth, sustained declines in ARPU could undermine long-term financial viability. Therefore, financial KPIs should be evaluated in conjunction with customer and operational metrics rather than in isolation.</w:t>
      </w:r>
    </w:p>
    <w:p w14:paraId="6EB2E486"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p>
    <w:p w14:paraId="7403052A" w14:textId="1F70921B" w:rsidR="00D40EFF" w:rsidRPr="00F35A26" w:rsidRDefault="00D40EF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Customer Perspective</w:t>
      </w:r>
    </w:p>
    <w:p w14:paraId="588F60FE" w14:textId="22A669C5"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The customer perspective focuses on how Netflix is perceived by Indian consumers and how effectively it meets their expectations. Customer retention rate and user engagement levels (such as average viewing hours and content completion rates) are critical indicators of customer satisfaction and perceived value </w:t>
      </w:r>
      <w:sdt>
        <w:sdtPr>
          <w:rPr>
            <w:rFonts w:ascii="Times New Roman" w:hAnsi="Times New Roman" w:cs="Times New Roman"/>
            <w:color w:val="0D0D0D" w:themeColor="text1" w:themeTint="F2"/>
            <w:sz w:val="24"/>
            <w:szCs w:val="24"/>
          </w:rPr>
          <w:id w:val="-253816649"/>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Sta20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(Statista, 2020)</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0F88D26F"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High retention rates indicate successful differentiation through content quality, user experience, and personalisation. Engagement metrics are particularly important in the OTT industry, as increased engagement strengthens platform loyalty and reduces churn. Given India’s high buyer power and low switching costs, customer-focused KPIs play a central role in sustaining Netflix’s competitive position.</w:t>
      </w:r>
    </w:p>
    <w:p w14:paraId="0EFD9DDB"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p>
    <w:p w14:paraId="61BD9CAC" w14:textId="27ECED96" w:rsidR="00D40EFF" w:rsidRPr="00F35A26" w:rsidRDefault="00D40EF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Internal Process Perspective</w:t>
      </w:r>
    </w:p>
    <w:p w14:paraId="54796077" w14:textId="4763628B"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The internal process perspective assesses the efficiency and effectiveness of key operational activities that support strategic objectives. For Netflix India, the local content production cycle serves as a critical KPI. This includes metrics related to content development timelines, production costs, and release frequency of Indian originals.</w:t>
      </w:r>
    </w:p>
    <w:p w14:paraId="4F76A639" w14:textId="14147BDE"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Efficient internal processes enable Netflix to respond quickly to changing consumer preferences and competitive pressures. Reducing content production lead times while maintaining quality supports differentiation and enhances responsiveness in a fast-moving digital market </w:t>
      </w:r>
      <w:sdt>
        <w:sdtPr>
          <w:rPr>
            <w:rFonts w:ascii="Times New Roman" w:hAnsi="Times New Roman" w:cs="Times New Roman"/>
            <w:color w:val="0D0D0D" w:themeColor="text1" w:themeTint="F2"/>
            <w:sz w:val="24"/>
            <w:szCs w:val="24"/>
          </w:rPr>
          <w:id w:val="-310173771"/>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And25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(Andersen, 2025)</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15D3AF41"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p>
    <w:p w14:paraId="4236E59B" w14:textId="7E6C955A" w:rsidR="00D40EFF" w:rsidRPr="00F35A26" w:rsidRDefault="00D40EF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Learning and Growth Perspective</w:t>
      </w:r>
    </w:p>
    <w:p w14:paraId="32DD42A1" w14:textId="0CF1CB34"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The learning and growth perspective focuses on organisational capabilities that enable long-term strategic success. Key indicators include talent development, creative capability building, and innovation in content formats and delivery.</w:t>
      </w:r>
    </w:p>
    <w:p w14:paraId="2AA08EAA" w14:textId="4E11A869" w:rsidR="00214BFD"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For Netflix India, investing in local creative talent and strengthening data analytics capabilities are essential for sustaining differentiation. Continuous learning supports adaptability in an environment characterised by regulatory uncertainty, technological change, and evolving audience preferences </w:t>
      </w:r>
      <w:sdt>
        <w:sdtPr>
          <w:rPr>
            <w:rFonts w:ascii="Times New Roman" w:hAnsi="Times New Roman" w:cs="Times New Roman"/>
            <w:color w:val="0D0D0D" w:themeColor="text1" w:themeTint="F2"/>
            <w:sz w:val="24"/>
            <w:szCs w:val="24"/>
          </w:rPr>
          <w:id w:val="-267474837"/>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Tee16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(Teece, 2016)</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20ACD1A8"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p>
    <w:p w14:paraId="1D2B5EE1" w14:textId="0913034F" w:rsidR="00D40EFF" w:rsidRPr="00F35A26" w:rsidRDefault="00D40EFF" w:rsidP="00F35A26">
      <w:pPr>
        <w:pStyle w:val="Heading2"/>
        <w:spacing w:line="360" w:lineRule="auto"/>
        <w:jc w:val="both"/>
        <w:rPr>
          <w:rFonts w:ascii="Times New Roman" w:hAnsi="Times New Roman" w:cs="Times New Roman"/>
          <w:b/>
          <w:bCs/>
          <w:color w:val="0D0D0D" w:themeColor="text1" w:themeTint="F2"/>
          <w:sz w:val="24"/>
          <w:szCs w:val="24"/>
        </w:rPr>
      </w:pPr>
      <w:bookmarkStart w:id="20" w:name="_Toc217165290"/>
      <w:r w:rsidRPr="00F35A26">
        <w:rPr>
          <w:rFonts w:ascii="Times New Roman" w:hAnsi="Times New Roman" w:cs="Times New Roman"/>
          <w:b/>
          <w:bCs/>
          <w:color w:val="0D0D0D" w:themeColor="text1" w:themeTint="F2"/>
          <w:sz w:val="24"/>
          <w:szCs w:val="24"/>
        </w:rPr>
        <w:t>Table 5.1: Balanced Scorecard for Netflix India</w:t>
      </w:r>
      <w:bookmarkEnd w:id="20"/>
    </w:p>
    <w:tbl>
      <w:tblPr>
        <w:tblStyle w:val="TableGrid"/>
        <w:tblW w:w="0" w:type="auto"/>
        <w:tblLook w:val="04A0" w:firstRow="1" w:lastRow="0" w:firstColumn="1" w:lastColumn="0" w:noHBand="0" w:noVBand="1"/>
      </w:tblPr>
      <w:tblGrid>
        <w:gridCol w:w="2547"/>
        <w:gridCol w:w="6469"/>
      </w:tblGrid>
      <w:tr w:rsidR="00F35A26" w:rsidRPr="00F35A26" w14:paraId="376A28EA" w14:textId="77777777" w:rsidTr="00D40EFF">
        <w:tc>
          <w:tcPr>
            <w:tcW w:w="2547" w:type="dxa"/>
          </w:tcPr>
          <w:p w14:paraId="67A227BA" w14:textId="2F475136" w:rsidR="00D40EFF" w:rsidRPr="00F35A26" w:rsidRDefault="00D40EF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Perspective</w:t>
            </w:r>
          </w:p>
        </w:tc>
        <w:tc>
          <w:tcPr>
            <w:tcW w:w="6469" w:type="dxa"/>
          </w:tcPr>
          <w:p w14:paraId="52DB0561" w14:textId="5E034055" w:rsidR="00D40EFF" w:rsidRPr="00F35A26" w:rsidRDefault="00D40EF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Key Performance Indicators (KPIs)</w:t>
            </w:r>
          </w:p>
        </w:tc>
      </w:tr>
      <w:tr w:rsidR="00F35A26" w:rsidRPr="00F35A26" w14:paraId="550131C7" w14:textId="77777777" w:rsidTr="00D40EFF">
        <w:tc>
          <w:tcPr>
            <w:tcW w:w="2547" w:type="dxa"/>
          </w:tcPr>
          <w:p w14:paraId="7EB06834" w14:textId="3DC7F42A"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Financial</w:t>
            </w:r>
          </w:p>
        </w:tc>
        <w:tc>
          <w:tcPr>
            <w:tcW w:w="6469" w:type="dxa"/>
          </w:tcPr>
          <w:p w14:paraId="509A92DE" w14:textId="3AEECFB1"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Subscriber growth rate, Average Revenue Per User (ARPU)</w:t>
            </w:r>
          </w:p>
        </w:tc>
      </w:tr>
      <w:tr w:rsidR="00F35A26" w:rsidRPr="00F35A26" w14:paraId="3AD2872F" w14:textId="77777777" w:rsidTr="00D40EFF">
        <w:tc>
          <w:tcPr>
            <w:tcW w:w="2547" w:type="dxa"/>
          </w:tcPr>
          <w:p w14:paraId="29DF850C" w14:textId="76A28A5F"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Customer</w:t>
            </w:r>
          </w:p>
        </w:tc>
        <w:tc>
          <w:tcPr>
            <w:tcW w:w="6469" w:type="dxa"/>
          </w:tcPr>
          <w:p w14:paraId="7EFFEA75" w14:textId="54A34CE1"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Customer retention rate, User engagement levels</w:t>
            </w:r>
          </w:p>
        </w:tc>
      </w:tr>
      <w:tr w:rsidR="00F35A26" w:rsidRPr="00F35A26" w14:paraId="2CD39F9B" w14:textId="77777777" w:rsidTr="00D40EFF">
        <w:tc>
          <w:tcPr>
            <w:tcW w:w="2547" w:type="dxa"/>
          </w:tcPr>
          <w:p w14:paraId="3998F981" w14:textId="17C94302"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Internal Process</w:t>
            </w:r>
          </w:p>
        </w:tc>
        <w:tc>
          <w:tcPr>
            <w:tcW w:w="6469" w:type="dxa"/>
          </w:tcPr>
          <w:p w14:paraId="3CA8A520" w14:textId="1F1C7374"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Local content production cycle time, Content release frequency</w:t>
            </w:r>
          </w:p>
        </w:tc>
      </w:tr>
      <w:tr w:rsidR="00D40EFF" w:rsidRPr="00F35A26" w14:paraId="2E4F5CAA" w14:textId="77777777" w:rsidTr="00D40EFF">
        <w:tc>
          <w:tcPr>
            <w:tcW w:w="2547" w:type="dxa"/>
          </w:tcPr>
          <w:p w14:paraId="4D9ED520" w14:textId="2185E6CF"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Learning &amp; Growth</w:t>
            </w:r>
          </w:p>
        </w:tc>
        <w:tc>
          <w:tcPr>
            <w:tcW w:w="6469" w:type="dxa"/>
          </w:tcPr>
          <w:p w14:paraId="616301F7" w14:textId="28F4597C"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Talent development initiatives, Innovation in content and technology</w:t>
            </w:r>
          </w:p>
        </w:tc>
      </w:tr>
    </w:tbl>
    <w:p w14:paraId="701AF08D"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p>
    <w:p w14:paraId="312E7C84" w14:textId="77777777" w:rsidR="00D40EFF" w:rsidRDefault="00D40EFF" w:rsidP="00F35A26">
      <w:pPr>
        <w:spacing w:line="360" w:lineRule="auto"/>
        <w:jc w:val="both"/>
        <w:rPr>
          <w:rFonts w:ascii="Times New Roman" w:hAnsi="Times New Roman" w:cs="Times New Roman"/>
          <w:color w:val="0D0D0D" w:themeColor="text1" w:themeTint="F2"/>
          <w:sz w:val="24"/>
          <w:szCs w:val="24"/>
        </w:rPr>
      </w:pPr>
    </w:p>
    <w:p w14:paraId="374D904B"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26A41AD4"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7AF8F4B9"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68E28EE6"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123A6626" w14:textId="77777777" w:rsidR="00F35A26" w:rsidRPr="00F35A26" w:rsidRDefault="00F35A26" w:rsidP="00F35A26">
      <w:pPr>
        <w:spacing w:line="360" w:lineRule="auto"/>
        <w:jc w:val="both"/>
        <w:rPr>
          <w:rFonts w:ascii="Times New Roman" w:hAnsi="Times New Roman" w:cs="Times New Roman"/>
          <w:color w:val="0D0D0D" w:themeColor="text1" w:themeTint="F2"/>
          <w:sz w:val="24"/>
          <w:szCs w:val="24"/>
        </w:rPr>
      </w:pPr>
    </w:p>
    <w:p w14:paraId="3C510BF6"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p>
    <w:p w14:paraId="08B5DF82" w14:textId="64E46983" w:rsidR="00D40EFF" w:rsidRDefault="00D40EFF" w:rsidP="00F35A26">
      <w:pPr>
        <w:pStyle w:val="Heading2"/>
        <w:spacing w:line="360" w:lineRule="auto"/>
        <w:jc w:val="both"/>
        <w:rPr>
          <w:rFonts w:ascii="Times New Roman" w:hAnsi="Times New Roman" w:cs="Times New Roman"/>
          <w:b/>
          <w:bCs/>
          <w:color w:val="0D0D0D" w:themeColor="text1" w:themeTint="F2"/>
          <w:sz w:val="24"/>
          <w:szCs w:val="24"/>
        </w:rPr>
      </w:pPr>
      <w:bookmarkStart w:id="21" w:name="_Toc217165291"/>
      <w:r w:rsidRPr="00F35A26">
        <w:rPr>
          <w:rFonts w:ascii="Times New Roman" w:hAnsi="Times New Roman" w:cs="Times New Roman"/>
          <w:b/>
          <w:bCs/>
          <w:color w:val="0D0D0D" w:themeColor="text1" w:themeTint="F2"/>
          <w:sz w:val="24"/>
          <w:szCs w:val="24"/>
        </w:rPr>
        <w:t>5.2 Triple Bottom Line Integration</w:t>
      </w:r>
      <w:bookmarkEnd w:id="21"/>
    </w:p>
    <w:p w14:paraId="79F017A5" w14:textId="77777777" w:rsidR="00F35A26" w:rsidRPr="00F35A26" w:rsidRDefault="00F35A26" w:rsidP="00F35A26"/>
    <w:p w14:paraId="444C299C" w14:textId="1C8DFFCE"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While the Balanced Scorecard provides a comprehensive internal performance measurement system, integrating the Triple Bottom Line (TBL) framework enhances Netflix’s ability to evaluate sustainability outcomes across economic, social, and environmental dimensions </w:t>
      </w:r>
      <w:sdt>
        <w:sdtPr>
          <w:rPr>
            <w:rFonts w:ascii="Times New Roman" w:hAnsi="Times New Roman" w:cs="Times New Roman"/>
            <w:color w:val="0D0D0D" w:themeColor="text1" w:themeTint="F2"/>
            <w:sz w:val="24"/>
            <w:szCs w:val="24"/>
          </w:rPr>
          <w:id w:val="337738047"/>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Elk99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(Elkington, 1999)</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 This integration is particularly relevant in emerging markets such as India, where stakeholder expectations extend beyond financial performance.</w:t>
      </w:r>
    </w:p>
    <w:p w14:paraId="38E52608"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p>
    <w:p w14:paraId="35A8FE38" w14:textId="095C807F" w:rsidR="00D40EFF" w:rsidRPr="00F35A26" w:rsidRDefault="00D40EF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Economic Dimension</w:t>
      </w:r>
    </w:p>
    <w:p w14:paraId="2F2D72CD"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The economic dimension aligns closely with the financial perspective of the Balanced Scorecard and focuses on revenue growth, market share expansion, and long-term profitability. Sustainable economic performance ensures Netflix’s capacity to continue investing in local content, technology, and partnerships within the Indian market.</w:t>
      </w:r>
    </w:p>
    <w:p w14:paraId="7D99EEBF"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p>
    <w:p w14:paraId="7AE9D98C" w14:textId="3CBA2C54" w:rsidR="00D40EFF" w:rsidRPr="00F35A26" w:rsidRDefault="00D40EF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Social Dimension</w:t>
      </w:r>
    </w:p>
    <w:p w14:paraId="101DA01E" w14:textId="5A33E48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The social dimension assesses Netflix’s impact on society and local communities. Key indicators include local employment generation, engagement with Indian creative talent, and cultural representation in content offerings. By promoting diverse regional narratives and inclusive storytelling, Netflix can enhance its social legitimacy and strengthen audience connection </w:t>
      </w:r>
      <w:sdt>
        <w:sdtPr>
          <w:rPr>
            <w:rFonts w:ascii="Times New Roman" w:hAnsi="Times New Roman" w:cs="Times New Roman"/>
            <w:color w:val="0D0D0D" w:themeColor="text1" w:themeTint="F2"/>
            <w:sz w:val="24"/>
            <w:szCs w:val="24"/>
          </w:rPr>
          <w:id w:val="-1823577692"/>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Med24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(Media, I. , 2024)</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63658757"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p>
    <w:p w14:paraId="054889B1" w14:textId="2D16E273" w:rsidR="00D40EFF" w:rsidRPr="00F35A26" w:rsidRDefault="00D40EFF" w:rsidP="00F35A26">
      <w:pPr>
        <w:spacing w:line="360" w:lineRule="auto"/>
        <w:jc w:val="both"/>
        <w:rPr>
          <w:rFonts w:ascii="Times New Roman" w:hAnsi="Times New Roman" w:cs="Times New Roman"/>
          <w:b/>
          <w:bCs/>
          <w:color w:val="0D0D0D" w:themeColor="text1" w:themeTint="F2"/>
          <w:sz w:val="24"/>
          <w:szCs w:val="24"/>
        </w:rPr>
      </w:pPr>
      <w:r w:rsidRPr="00F35A26">
        <w:rPr>
          <w:rFonts w:ascii="Times New Roman" w:hAnsi="Times New Roman" w:cs="Times New Roman"/>
          <w:b/>
          <w:bCs/>
          <w:color w:val="0D0D0D" w:themeColor="text1" w:themeTint="F2"/>
          <w:sz w:val="24"/>
          <w:szCs w:val="24"/>
        </w:rPr>
        <w:t>Environmental Dimension</w:t>
      </w:r>
    </w:p>
    <w:p w14:paraId="3440F23E" w14:textId="533CE0BA"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Netflix’s environmental impact is relatively limited due to its digital business model. However, increasing expectations around corporate responsibility necessitate attention to sustainable production practices and energy efficiency, particularly in content production and data centre operations </w:t>
      </w:r>
      <w:sdt>
        <w:sdtPr>
          <w:rPr>
            <w:rFonts w:ascii="Times New Roman" w:hAnsi="Times New Roman" w:cs="Times New Roman"/>
            <w:color w:val="0D0D0D" w:themeColor="text1" w:themeTint="F2"/>
            <w:sz w:val="24"/>
            <w:szCs w:val="24"/>
          </w:rPr>
          <w:id w:val="-1861507298"/>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Del23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(Deloitte Insights. , 2023)</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3A9A091E"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Monitoring environmental performance supports corporate sustainability goals and aligns Netflix with global best practices in responsible digital operations.</w:t>
      </w:r>
    </w:p>
    <w:p w14:paraId="425CA083"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p>
    <w:p w14:paraId="7686888B" w14:textId="77777777" w:rsidR="00D40EFF" w:rsidRPr="00F35A26" w:rsidRDefault="00D40EFF" w:rsidP="00F35A26">
      <w:pPr>
        <w:pStyle w:val="Heading2"/>
        <w:spacing w:line="360" w:lineRule="auto"/>
        <w:jc w:val="both"/>
        <w:rPr>
          <w:rFonts w:ascii="Times New Roman" w:hAnsi="Times New Roman" w:cs="Times New Roman"/>
          <w:b/>
          <w:bCs/>
          <w:color w:val="0D0D0D" w:themeColor="text1" w:themeTint="F2"/>
          <w:sz w:val="24"/>
          <w:szCs w:val="24"/>
        </w:rPr>
      </w:pPr>
      <w:bookmarkStart w:id="22" w:name="_Toc217165292"/>
      <w:r w:rsidRPr="00F35A26">
        <w:rPr>
          <w:rFonts w:ascii="Times New Roman" w:hAnsi="Times New Roman" w:cs="Times New Roman"/>
          <w:b/>
          <w:bCs/>
          <w:color w:val="0D0D0D" w:themeColor="text1" w:themeTint="F2"/>
          <w:sz w:val="24"/>
          <w:szCs w:val="24"/>
        </w:rPr>
        <w:t>5.3 Strategic Value of the Performance Framework</w:t>
      </w:r>
      <w:bookmarkEnd w:id="22"/>
    </w:p>
    <w:p w14:paraId="22313D3A"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p>
    <w:p w14:paraId="56068FF1" w14:textId="77777777"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The combined use of the Balanced Scorecard and Triple Bottom Line provides Netflix with a holistic performance evaluation system that aligns strategic objectives with operational execution and sustainability considerations. This integrated framework supports strategic control, enables early identification of performance gaps, and facilitates adaptive decision-making in response to market changes.</w:t>
      </w:r>
    </w:p>
    <w:p w14:paraId="3FF5849F" w14:textId="43141113" w:rsidR="00D40EFF" w:rsidRPr="00F35A26" w:rsidRDefault="00D40EFF"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The proposed performance evaluation framework ensures that Netflix’s expansion strategy in India is assessed not only in terms of financial success but also through customer value creation, organisational capability development, and broader societal impact.</w:t>
      </w:r>
    </w:p>
    <w:p w14:paraId="52CB5B4D" w14:textId="77777777" w:rsidR="00D7633D" w:rsidRPr="00F35A26" w:rsidRDefault="00D7633D" w:rsidP="00F35A26">
      <w:pPr>
        <w:spacing w:line="360" w:lineRule="auto"/>
        <w:jc w:val="both"/>
        <w:rPr>
          <w:rFonts w:ascii="Times New Roman" w:hAnsi="Times New Roman" w:cs="Times New Roman"/>
          <w:color w:val="0D0D0D" w:themeColor="text1" w:themeTint="F2"/>
          <w:sz w:val="24"/>
          <w:szCs w:val="24"/>
        </w:rPr>
      </w:pPr>
    </w:p>
    <w:p w14:paraId="06337288" w14:textId="656D74DA" w:rsidR="002A5832" w:rsidRDefault="002A5832" w:rsidP="00F35A26">
      <w:pPr>
        <w:pStyle w:val="Heading1"/>
        <w:spacing w:line="360" w:lineRule="auto"/>
        <w:jc w:val="center"/>
        <w:rPr>
          <w:rFonts w:ascii="Times New Roman" w:hAnsi="Times New Roman" w:cs="Times New Roman"/>
          <w:b/>
          <w:bCs/>
          <w:color w:val="0D0D0D" w:themeColor="text1" w:themeTint="F2"/>
          <w:sz w:val="24"/>
          <w:szCs w:val="24"/>
        </w:rPr>
      </w:pPr>
      <w:bookmarkStart w:id="23" w:name="_Toc217165293"/>
      <w:r w:rsidRPr="00F35A26">
        <w:rPr>
          <w:rFonts w:ascii="Times New Roman" w:hAnsi="Times New Roman" w:cs="Times New Roman"/>
          <w:b/>
          <w:bCs/>
          <w:color w:val="0D0D0D" w:themeColor="text1" w:themeTint="F2"/>
          <w:sz w:val="24"/>
          <w:szCs w:val="24"/>
        </w:rPr>
        <w:t>6. CONCLUSION</w:t>
      </w:r>
      <w:bookmarkEnd w:id="23"/>
    </w:p>
    <w:p w14:paraId="3D5EE81C" w14:textId="77777777" w:rsidR="00F35A26" w:rsidRPr="00F35A26" w:rsidRDefault="00F35A26" w:rsidP="00F35A26"/>
    <w:p w14:paraId="7EBD7CC8" w14:textId="1FEDC60F" w:rsidR="002A5832" w:rsidRPr="00F35A26" w:rsidRDefault="002A5832"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Netflix’s expansion strategy in India represents a strategically significant opportunity within the broader context of the rapidly evolving global digital entertainment industry. India’s large population, accelerating digital infrastructure development, and increasing demand for on-demand and localised content position it as a critical growth market for subscription-based video-on-demand platforms. The analysis conducted in this report demonstrates that favourable market conditions alone are insufficient to guarantee sustained success in a complex and highly competitive environment.</w:t>
      </w:r>
    </w:p>
    <w:p w14:paraId="2AF44014" w14:textId="6731C61D" w:rsidR="002A5832" w:rsidRPr="00F35A26" w:rsidRDefault="002A5832"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The external environment analysis highlights that while India offers substantial growth potential, it is characterised by high competitive rivalry, strong buyer power, regulatory uncertainty, and pronounced price sensitivity. These factors necessitate a carefully calibrated strategy that balances differentiation with affordability. Netflix’s premium positioning, which has underpinned its success in developed markets, must therefore be adapted to reflect India’s mobile-first consumption patterns and diverse socio-economic landscape </w:t>
      </w:r>
      <w:sdt>
        <w:sdtPr>
          <w:rPr>
            <w:rFonts w:ascii="Times New Roman" w:hAnsi="Times New Roman" w:cs="Times New Roman"/>
            <w:color w:val="0D0D0D" w:themeColor="text1" w:themeTint="F2"/>
            <w:sz w:val="24"/>
            <w:szCs w:val="24"/>
          </w:rPr>
          <w:id w:val="282696408"/>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Pri23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(PricewaterhouseCoopers, 2023)</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16FDB342" w14:textId="7484FB0F" w:rsidR="002A5832" w:rsidRPr="00F35A26" w:rsidRDefault="002A5832"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Internal analysis confirms that Netflix possesses several strategic assets capable of supporting long-term competitive advantage, including its strong global brand, advanced recommendation algorithms, and scalable digital platform. These resources alone are insufficient to create sustained differentiation in the Indian market, where competitors are increasingly replicating local content strategies. As such, the strategic emphasis must shift towards deep localisation, continuous innovation in content formats, and the development of strong partnerships with Indian creative ecosystems and telecom providers </w:t>
      </w:r>
      <w:sdt>
        <w:sdtPr>
          <w:rPr>
            <w:rFonts w:ascii="Times New Roman" w:hAnsi="Times New Roman" w:cs="Times New Roman"/>
            <w:color w:val="0D0D0D" w:themeColor="text1" w:themeTint="F2"/>
            <w:sz w:val="24"/>
            <w:szCs w:val="24"/>
          </w:rPr>
          <w:id w:val="1040090130"/>
          <w:citation/>
        </w:sdtPr>
        <w:sdtEndPr/>
        <w:sdtContent>
          <w:r w:rsidRPr="00F35A26">
            <w:rPr>
              <w:rFonts w:ascii="Times New Roman" w:hAnsi="Times New Roman" w:cs="Times New Roman"/>
              <w:color w:val="0D0D0D" w:themeColor="text1" w:themeTint="F2"/>
              <w:sz w:val="24"/>
              <w:szCs w:val="24"/>
            </w:rPr>
            <w:fldChar w:fldCharType="begin"/>
          </w:r>
          <w:r w:rsidRPr="00F35A26">
            <w:rPr>
              <w:rFonts w:ascii="Times New Roman" w:hAnsi="Times New Roman" w:cs="Times New Roman"/>
              <w:color w:val="0D0D0D" w:themeColor="text1" w:themeTint="F2"/>
              <w:sz w:val="24"/>
              <w:szCs w:val="24"/>
              <w:lang w:val="en-US"/>
            </w:rPr>
            <w:instrText xml:space="preserve"> CITATION And25 \l 1033 </w:instrText>
          </w:r>
          <w:r w:rsidRPr="00F35A26">
            <w:rPr>
              <w:rFonts w:ascii="Times New Roman" w:hAnsi="Times New Roman" w:cs="Times New Roman"/>
              <w:color w:val="0D0D0D" w:themeColor="text1" w:themeTint="F2"/>
              <w:sz w:val="24"/>
              <w:szCs w:val="24"/>
            </w:rPr>
            <w:fldChar w:fldCharType="separate"/>
          </w:r>
          <w:r w:rsidRPr="00F35A26">
            <w:rPr>
              <w:rFonts w:ascii="Times New Roman" w:hAnsi="Times New Roman" w:cs="Times New Roman"/>
              <w:noProof/>
              <w:color w:val="0D0D0D" w:themeColor="text1" w:themeTint="F2"/>
              <w:sz w:val="24"/>
              <w:szCs w:val="24"/>
              <w:lang w:val="en-US"/>
            </w:rPr>
            <w:t>(Andersen, 2025)</w:t>
          </w:r>
          <w:r w:rsidRPr="00F35A26">
            <w:rPr>
              <w:rFonts w:ascii="Times New Roman" w:hAnsi="Times New Roman" w:cs="Times New Roman"/>
              <w:color w:val="0D0D0D" w:themeColor="text1" w:themeTint="F2"/>
              <w:sz w:val="24"/>
              <w:szCs w:val="24"/>
            </w:rPr>
            <w:fldChar w:fldCharType="end"/>
          </w:r>
        </w:sdtContent>
      </w:sdt>
      <w:r w:rsidRPr="00F35A26">
        <w:rPr>
          <w:rFonts w:ascii="Times New Roman" w:hAnsi="Times New Roman" w:cs="Times New Roman"/>
          <w:color w:val="0D0D0D" w:themeColor="text1" w:themeTint="F2"/>
          <w:sz w:val="24"/>
          <w:szCs w:val="24"/>
        </w:rPr>
        <w:t>.</w:t>
      </w:r>
    </w:p>
    <w:p w14:paraId="1DD2B6BB" w14:textId="77777777" w:rsidR="002A5832" w:rsidRPr="00F35A26" w:rsidRDefault="002A5832" w:rsidP="00F35A26">
      <w:p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The strategy formulation presented in this report demonstrates that a focused differentiation approach, combined with cost-sensitive pricing models, provides the most appropriate path forward. Investment in regional language content, flexible subscription tiers, and strategic alliances can enable Netflix to enhance customer value while managing competitive and regulatory risks. Furthermore, the proposed performance evaluation framework ensures that strategic objectives are effectively translated into measurable outcomes, supporting strategic control and adaptive decision-making.</w:t>
      </w:r>
    </w:p>
    <w:p w14:paraId="1B70BD47" w14:textId="7FD3FC32" w:rsidR="00D7633D" w:rsidRDefault="00D7633D" w:rsidP="00F35A26">
      <w:pPr>
        <w:spacing w:line="360" w:lineRule="auto"/>
        <w:jc w:val="both"/>
        <w:rPr>
          <w:rFonts w:ascii="Times New Roman" w:hAnsi="Times New Roman" w:cs="Times New Roman"/>
          <w:color w:val="0D0D0D" w:themeColor="text1" w:themeTint="F2"/>
          <w:sz w:val="24"/>
          <w:szCs w:val="24"/>
        </w:rPr>
      </w:pPr>
    </w:p>
    <w:p w14:paraId="50430F3A"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5E498D85"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5CCBDE75"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7CEB387E"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372B3272"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68E008CF"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37338AC6"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22D3CC54"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203BFAA2"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15DC8FAF"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5F0384F7" w14:textId="77777777" w:rsidR="00F35A26" w:rsidRDefault="00F35A26" w:rsidP="00F35A26">
      <w:pPr>
        <w:spacing w:line="360" w:lineRule="auto"/>
        <w:jc w:val="both"/>
        <w:rPr>
          <w:rFonts w:ascii="Times New Roman" w:hAnsi="Times New Roman" w:cs="Times New Roman"/>
          <w:color w:val="0D0D0D" w:themeColor="text1" w:themeTint="F2"/>
          <w:sz w:val="24"/>
          <w:szCs w:val="24"/>
        </w:rPr>
      </w:pPr>
    </w:p>
    <w:p w14:paraId="14891A14" w14:textId="77777777" w:rsidR="00F35A26" w:rsidRPr="00F35A26" w:rsidRDefault="00F35A26" w:rsidP="00F35A26">
      <w:pPr>
        <w:spacing w:line="360" w:lineRule="auto"/>
        <w:jc w:val="both"/>
        <w:rPr>
          <w:rFonts w:ascii="Times New Roman" w:hAnsi="Times New Roman" w:cs="Times New Roman"/>
          <w:color w:val="0D0D0D" w:themeColor="text1" w:themeTint="F2"/>
          <w:sz w:val="24"/>
          <w:szCs w:val="24"/>
        </w:rPr>
      </w:pPr>
    </w:p>
    <w:p w14:paraId="0180E114" w14:textId="552C5237" w:rsidR="002A5832" w:rsidRPr="00F35A26" w:rsidRDefault="002A5832" w:rsidP="00F35A26">
      <w:pPr>
        <w:pStyle w:val="Heading1"/>
        <w:spacing w:line="360" w:lineRule="auto"/>
        <w:jc w:val="center"/>
        <w:rPr>
          <w:rFonts w:ascii="Times New Roman" w:hAnsi="Times New Roman" w:cs="Times New Roman"/>
          <w:b/>
          <w:bCs/>
          <w:color w:val="0D0D0D" w:themeColor="text1" w:themeTint="F2"/>
          <w:sz w:val="24"/>
          <w:szCs w:val="24"/>
        </w:rPr>
      </w:pPr>
      <w:bookmarkStart w:id="24" w:name="_Toc217165294"/>
      <w:r w:rsidRPr="00F35A26">
        <w:rPr>
          <w:rFonts w:ascii="Times New Roman" w:hAnsi="Times New Roman" w:cs="Times New Roman"/>
          <w:b/>
          <w:bCs/>
          <w:color w:val="0D0D0D" w:themeColor="text1" w:themeTint="F2"/>
          <w:sz w:val="24"/>
          <w:szCs w:val="24"/>
        </w:rPr>
        <w:t>7. REFERENCE</w:t>
      </w:r>
      <w:bookmarkEnd w:id="24"/>
    </w:p>
    <w:p w14:paraId="1790F5CA"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Andersen, P.D., 2025. The PESTEL framework and its variants for analysing the strategic environment: evolution, limitations and adoption in energy policy research. Limitations and Adoption in Energy Policy Research.</w:t>
      </w:r>
    </w:p>
    <w:p w14:paraId="2F32089F"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Baranidharan, S. and Kulkarni, S., 2025. Beyond binge-watching: How Netflix can adapt its digital marketing strategy for long-term success. In Cases on Effective Digital Marketing for Competitive Organizations (pp. 43-90). IGI Global Scientific Publishing.</w:t>
      </w:r>
    </w:p>
    <w:p w14:paraId="2D81851E"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Barraza, C., 2025. Global Brand, Local Market: A Strategic Analysis of Netflix’s Adaptation Challenges in India.</w:t>
      </w:r>
    </w:p>
    <w:p w14:paraId="5CDCA311"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Bhadeshiya, H., 2025. Digital Entertainment: The New Normal of Customer Experience Post Pandemic and the Path Ahead in India. In Digital Transformation in the Customer Experience (pp. 195-211). Apple Academic Press.</w:t>
      </w:r>
    </w:p>
    <w:p w14:paraId="26EE8B00"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Deloitte Insights. (2023). 2023 Digital media trends survey | Deloitte Insights. [online] Available at: https://www.deloitte.com/us/en/insights/industry/technology/digital-media-trends-consumption-habits-survey/2023.html#gen-zs-and-millennials-find-meaning-and-connection-online.</w:t>
      </w:r>
    </w:p>
    <w:p w14:paraId="2857523F"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Elkington, J. and Rowlands, I.H., 1999. Cannibals with forks: The triple bottom line of 21st century business. Alternatives Journal, 25(4), p.42.</w:t>
      </w:r>
    </w:p>
    <w:p w14:paraId="38FB0D29"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Forbes Search. (2016). Forbes. [online] Available at: https://www.forbes.com/search/?q=Marr.</w:t>
      </w:r>
    </w:p>
    <w:p w14:paraId="1234A24F"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Jati, I.M. and Serenade, V., 2024. Netflix's Global Market Entry and Adaptation Strategies Critical Review. Jurnal Informatika Ekonomi Bisnis, pp.932-936.</w:t>
      </w:r>
    </w:p>
    <w:p w14:paraId="08435DF6"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Kaplan, R.S. and Norton, D.P., 1996. Using the balanced scorecard as a strategic management system.</w:t>
      </w:r>
    </w:p>
    <w:p w14:paraId="1B784EC2"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Kapoor, K., Misra, R., Aggarwal, P.J. and Maurya, M., 2025. What ails Netflix in India-positioning vs pricing dilemma. Emerald Emerging Markets Case Studies, 15(2), pp.1-17.</w:t>
      </w:r>
    </w:p>
    <w:p w14:paraId="71721847"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Kumar, J., Gupta, A. and Dixit, S., 2020. Netflix: SVoD entertainment of next gen. Emerald Emerging Markets Case Studies, 10(3), pp.1-36.</w:t>
      </w:r>
    </w:p>
    <w:p w14:paraId="411A57A6"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Maurya, N., The Digital Transformation of India’s Advertising Industry: Trends, Challenges, and Strategic Implications.</w:t>
      </w:r>
    </w:p>
    <w:p w14:paraId="2AA15EE3"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Media, I. (2024). Shape the future: The revolution in Indian Media and Entertainment sector. [online] Ey.com. Available at: https://www.ey.com/en_in/insights/media-entertainment/shape-the-future-the-revolution-in-indian-media-and-entertainment-sector.</w:t>
      </w:r>
    </w:p>
    <w:p w14:paraId="0BC1ED4E"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Nafees, L., Mehdi, M., Gupta, R., Kalia, S., Banerjee, S. and Kapoor, S., 2021. Netflix in India: expanding to success. Emerald Emerging Markets Case Studies, 11(2), pp.1-31.</w:t>
      </w:r>
    </w:p>
    <w:p w14:paraId="29B97DB6"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Netflix (2025). Company Profile. [online] Netflix Investors. Available at: https://ir.netflix.net/ir-overview/profile/default.aspx.</w:t>
      </w:r>
    </w:p>
    <w:p w14:paraId="4C1887AF"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Porter, M.E., 2008. The five competitive forces that shape strategy. Harvard business review, 86(1), p.78.</w:t>
      </w:r>
    </w:p>
    <w:p w14:paraId="641A12DF" w14:textId="7777777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PricewaterhouseCoopers (2023). Global Entertainment &amp; Media Outlook 2023–2027: India perspective. [online] PwC. Available at: https://www.pwc.in/industries/entertainment-and-media/india-edition-GEMO23.html.</w:t>
      </w:r>
    </w:p>
    <w:p w14:paraId="5752EE18" w14:textId="423679A4"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Statista. (2017). Revenue in the video streaming (SVoD) segment of the digital media market India 2017-2027| Statista. [online] Available at: https://www.statista.com/forecasts/1435468/revenue-video-streaming-svod-video-on-demand-market-india/ [Accessed 18 Dec. 2025].</w:t>
      </w:r>
    </w:p>
    <w:p w14:paraId="2384FCF1" w14:textId="22E10E67"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Statista. (2020). Number of users in the OTT video segment of the media market India 2020-2030| Statista. [online] Available at: https://www.statista.com/forecasts/1435924/number-of-users-ott-video-tv-video-market-india/ [Accessed 19 Dec. 2025].</w:t>
      </w:r>
    </w:p>
    <w:p w14:paraId="0BA22F84" w14:textId="02F4270D"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Teece, D., Peteraf, M. and Leih, S. (2016). Dynamic capabilities and organizational agility: Risk, uncertainty, and strategy in the innovation economy. California Management Review, 58(4), pp.13–35. doi:https://doi.org/10.1525/cmr.2016.58.4.13.</w:t>
      </w:r>
    </w:p>
    <w:p w14:paraId="51623A69" w14:textId="1AB39F52" w:rsidR="00E0226F" w:rsidRPr="00F35A26" w:rsidRDefault="00E0226F" w:rsidP="00F35A26">
      <w:pPr>
        <w:pStyle w:val="ListParagraph"/>
        <w:numPr>
          <w:ilvl w:val="0"/>
          <w:numId w:val="2"/>
        </w:numPr>
        <w:spacing w:line="360" w:lineRule="auto"/>
        <w:jc w:val="both"/>
        <w:rPr>
          <w:rFonts w:ascii="Times New Roman" w:hAnsi="Times New Roman" w:cs="Times New Roman"/>
          <w:color w:val="0D0D0D" w:themeColor="text1" w:themeTint="F2"/>
          <w:sz w:val="24"/>
          <w:szCs w:val="24"/>
        </w:rPr>
      </w:pPr>
      <w:r w:rsidRPr="00F35A26">
        <w:rPr>
          <w:rFonts w:ascii="Times New Roman" w:hAnsi="Times New Roman" w:cs="Times New Roman"/>
          <w:color w:val="0D0D0D" w:themeColor="text1" w:themeTint="F2"/>
          <w:sz w:val="24"/>
          <w:szCs w:val="24"/>
        </w:rPr>
        <w:t xml:space="preserve">The Information Technology (Intermediary Guidelines and Digital Media Ethics Code) Rules, 2021 1. (n.d.). Available at: </w:t>
      </w:r>
      <w:hyperlink r:id="rId8" w:history="1">
        <w:r w:rsidRPr="00F35A26">
          <w:rPr>
            <w:rStyle w:val="Hyperlink"/>
            <w:rFonts w:ascii="Times New Roman" w:hAnsi="Times New Roman" w:cs="Times New Roman"/>
            <w:color w:val="0D0D0D" w:themeColor="text1" w:themeTint="F2"/>
            <w:sz w:val="24"/>
            <w:szCs w:val="24"/>
          </w:rPr>
          <w:t>https://www.meity.gov.in/static/uploads/2024/02/Information-Technology-Intermediary-Guidelines-and-Digital-Media-Ethics-Code-Rules-2021-updated-06.04.2023-.pdf</w:t>
        </w:r>
      </w:hyperlink>
      <w:r w:rsidRPr="00F35A26">
        <w:rPr>
          <w:rFonts w:ascii="Times New Roman" w:hAnsi="Times New Roman" w:cs="Times New Roman"/>
          <w:color w:val="0D0D0D" w:themeColor="text1" w:themeTint="F2"/>
          <w:sz w:val="24"/>
          <w:szCs w:val="24"/>
        </w:rPr>
        <w:t>.</w:t>
      </w:r>
    </w:p>
    <w:p w14:paraId="067E9FBF" w14:textId="77777777" w:rsidR="00E0226F" w:rsidRPr="00E0226F" w:rsidRDefault="00E0226F" w:rsidP="00E0226F">
      <w:pPr>
        <w:spacing w:line="360" w:lineRule="auto"/>
        <w:jc w:val="both"/>
        <w:rPr>
          <w:rFonts w:ascii="Times New Roman" w:hAnsi="Times New Roman" w:cs="Times New Roman"/>
          <w:sz w:val="24"/>
          <w:szCs w:val="24"/>
        </w:rPr>
      </w:pPr>
    </w:p>
    <w:sectPr w:rsidR="00E0226F" w:rsidRPr="00E0226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CCE06" w14:textId="77777777" w:rsidR="00604E52" w:rsidRDefault="00604E52" w:rsidP="00946B81">
      <w:pPr>
        <w:spacing w:after="0" w:line="240" w:lineRule="auto"/>
      </w:pPr>
      <w:r>
        <w:separator/>
      </w:r>
    </w:p>
  </w:endnote>
  <w:endnote w:type="continuationSeparator" w:id="0">
    <w:p w14:paraId="02CD54FB" w14:textId="77777777" w:rsidR="00604E52" w:rsidRDefault="00604E52" w:rsidP="00946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Kartika">
    <w:panose1 w:val="02020503030404060203"/>
    <w:charset w:val="00"/>
    <w:family w:val="roman"/>
    <w:pitch w:val="variable"/>
    <w:sig w:usb0="008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5483446"/>
      <w:docPartObj>
        <w:docPartGallery w:val="Page Numbers (Bottom of Page)"/>
        <w:docPartUnique/>
      </w:docPartObj>
    </w:sdtPr>
    <w:sdtEndPr>
      <w:rPr>
        <w:noProof/>
      </w:rPr>
    </w:sdtEndPr>
    <w:sdtContent>
      <w:p w14:paraId="595255DC" w14:textId="1D37D4A5" w:rsidR="00946B81" w:rsidRDefault="00946B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D5DE3D" w14:textId="77777777" w:rsidR="00946B81" w:rsidRDefault="00946B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828BA" w14:textId="77777777" w:rsidR="00604E52" w:rsidRDefault="00604E52" w:rsidP="00946B81">
      <w:pPr>
        <w:spacing w:after="0" w:line="240" w:lineRule="auto"/>
      </w:pPr>
      <w:r>
        <w:separator/>
      </w:r>
    </w:p>
  </w:footnote>
  <w:footnote w:type="continuationSeparator" w:id="0">
    <w:p w14:paraId="3250C13B" w14:textId="77777777" w:rsidR="00604E52" w:rsidRDefault="00604E52" w:rsidP="00946B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7B6881"/>
    <w:multiLevelType w:val="multilevel"/>
    <w:tmpl w:val="5EA41A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337A0C2D"/>
    <w:multiLevelType w:val="hybridMultilevel"/>
    <w:tmpl w:val="782EF9A2"/>
    <w:lvl w:ilvl="0" w:tplc="01569740">
      <w:start w:val="1"/>
      <w:numFmt w:val="decimal"/>
      <w:lvlText w:val="%1."/>
      <w:lvlJc w:val="center"/>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33807834">
    <w:abstractNumId w:val="0"/>
  </w:num>
  <w:num w:numId="2" w16cid:durableId="9463535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CA6"/>
    <w:rsid w:val="00106BCC"/>
    <w:rsid w:val="00214BFD"/>
    <w:rsid w:val="002A5832"/>
    <w:rsid w:val="003A1B2C"/>
    <w:rsid w:val="00483DA3"/>
    <w:rsid w:val="004C35E6"/>
    <w:rsid w:val="004F13BE"/>
    <w:rsid w:val="00604E52"/>
    <w:rsid w:val="00643068"/>
    <w:rsid w:val="006B1C31"/>
    <w:rsid w:val="006B65D1"/>
    <w:rsid w:val="006C7453"/>
    <w:rsid w:val="00755EC7"/>
    <w:rsid w:val="007D7B21"/>
    <w:rsid w:val="00842CA6"/>
    <w:rsid w:val="00867121"/>
    <w:rsid w:val="00946B81"/>
    <w:rsid w:val="009B74EF"/>
    <w:rsid w:val="00A036BB"/>
    <w:rsid w:val="00A65B94"/>
    <w:rsid w:val="00A7561B"/>
    <w:rsid w:val="00B151EF"/>
    <w:rsid w:val="00B24782"/>
    <w:rsid w:val="00C839CA"/>
    <w:rsid w:val="00CE57AD"/>
    <w:rsid w:val="00D40EFF"/>
    <w:rsid w:val="00D7633D"/>
    <w:rsid w:val="00DB707E"/>
    <w:rsid w:val="00E0226F"/>
    <w:rsid w:val="00E4056E"/>
    <w:rsid w:val="00F35A26"/>
    <w:rsid w:val="00FA707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D4A86"/>
  <w15:chartTrackingRefBased/>
  <w15:docId w15:val="{FFC8E78A-C534-4D82-8DBD-E3AE820CD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C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42C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42C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2C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2C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2C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C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C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C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C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42C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42C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2C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2C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2C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C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C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CA6"/>
    <w:rPr>
      <w:rFonts w:eastAsiaTheme="majorEastAsia" w:cstheme="majorBidi"/>
      <w:color w:val="272727" w:themeColor="text1" w:themeTint="D8"/>
    </w:rPr>
  </w:style>
  <w:style w:type="paragraph" w:styleId="Title">
    <w:name w:val="Title"/>
    <w:basedOn w:val="Normal"/>
    <w:next w:val="Normal"/>
    <w:link w:val="TitleChar"/>
    <w:uiPriority w:val="10"/>
    <w:qFormat/>
    <w:rsid w:val="00842C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C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C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C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CA6"/>
    <w:pPr>
      <w:spacing w:before="160"/>
      <w:jc w:val="center"/>
    </w:pPr>
    <w:rPr>
      <w:i/>
      <w:iCs/>
      <w:color w:val="404040" w:themeColor="text1" w:themeTint="BF"/>
    </w:rPr>
  </w:style>
  <w:style w:type="character" w:customStyle="1" w:styleId="QuoteChar">
    <w:name w:val="Quote Char"/>
    <w:basedOn w:val="DefaultParagraphFont"/>
    <w:link w:val="Quote"/>
    <w:uiPriority w:val="29"/>
    <w:rsid w:val="00842CA6"/>
    <w:rPr>
      <w:i/>
      <w:iCs/>
      <w:color w:val="404040" w:themeColor="text1" w:themeTint="BF"/>
    </w:rPr>
  </w:style>
  <w:style w:type="paragraph" w:styleId="ListParagraph">
    <w:name w:val="List Paragraph"/>
    <w:basedOn w:val="Normal"/>
    <w:uiPriority w:val="34"/>
    <w:qFormat/>
    <w:rsid w:val="00842CA6"/>
    <w:pPr>
      <w:ind w:left="720"/>
      <w:contextualSpacing/>
    </w:pPr>
  </w:style>
  <w:style w:type="character" w:styleId="IntenseEmphasis">
    <w:name w:val="Intense Emphasis"/>
    <w:basedOn w:val="DefaultParagraphFont"/>
    <w:uiPriority w:val="21"/>
    <w:qFormat/>
    <w:rsid w:val="00842CA6"/>
    <w:rPr>
      <w:i/>
      <w:iCs/>
      <w:color w:val="2F5496" w:themeColor="accent1" w:themeShade="BF"/>
    </w:rPr>
  </w:style>
  <w:style w:type="paragraph" w:styleId="IntenseQuote">
    <w:name w:val="Intense Quote"/>
    <w:basedOn w:val="Normal"/>
    <w:next w:val="Normal"/>
    <w:link w:val="IntenseQuoteChar"/>
    <w:uiPriority w:val="30"/>
    <w:qFormat/>
    <w:rsid w:val="00842C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2CA6"/>
    <w:rPr>
      <w:i/>
      <w:iCs/>
      <w:color w:val="2F5496" w:themeColor="accent1" w:themeShade="BF"/>
    </w:rPr>
  </w:style>
  <w:style w:type="character" w:styleId="IntenseReference">
    <w:name w:val="Intense Reference"/>
    <w:basedOn w:val="DefaultParagraphFont"/>
    <w:uiPriority w:val="32"/>
    <w:qFormat/>
    <w:rsid w:val="00842CA6"/>
    <w:rPr>
      <w:b/>
      <w:bCs/>
      <w:smallCaps/>
      <w:color w:val="2F5496" w:themeColor="accent1" w:themeShade="BF"/>
      <w:spacing w:val="5"/>
    </w:rPr>
  </w:style>
  <w:style w:type="table" w:styleId="TableGrid">
    <w:name w:val="Table Grid"/>
    <w:basedOn w:val="TableNormal"/>
    <w:uiPriority w:val="39"/>
    <w:rsid w:val="009B7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6B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B81"/>
  </w:style>
  <w:style w:type="paragraph" w:styleId="Footer">
    <w:name w:val="footer"/>
    <w:basedOn w:val="Normal"/>
    <w:link w:val="FooterChar"/>
    <w:uiPriority w:val="99"/>
    <w:unhideWhenUsed/>
    <w:rsid w:val="00946B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B81"/>
  </w:style>
  <w:style w:type="character" w:styleId="Hyperlink">
    <w:name w:val="Hyperlink"/>
    <w:basedOn w:val="DefaultParagraphFont"/>
    <w:uiPriority w:val="99"/>
    <w:unhideWhenUsed/>
    <w:rsid w:val="00E0226F"/>
    <w:rPr>
      <w:color w:val="0563C1" w:themeColor="hyperlink"/>
      <w:u w:val="single"/>
    </w:rPr>
  </w:style>
  <w:style w:type="character" w:styleId="UnresolvedMention">
    <w:name w:val="Unresolved Mention"/>
    <w:basedOn w:val="DefaultParagraphFont"/>
    <w:uiPriority w:val="99"/>
    <w:semiHidden/>
    <w:unhideWhenUsed/>
    <w:rsid w:val="00E0226F"/>
    <w:rPr>
      <w:color w:val="605E5C"/>
      <w:shd w:val="clear" w:color="auto" w:fill="E1DFDD"/>
    </w:rPr>
  </w:style>
  <w:style w:type="paragraph" w:styleId="TOCHeading">
    <w:name w:val="TOC Heading"/>
    <w:basedOn w:val="Heading1"/>
    <w:next w:val="Normal"/>
    <w:uiPriority w:val="39"/>
    <w:unhideWhenUsed/>
    <w:qFormat/>
    <w:rsid w:val="00A65B9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65B94"/>
    <w:pPr>
      <w:spacing w:after="100"/>
    </w:pPr>
  </w:style>
  <w:style w:type="paragraph" w:styleId="TOC2">
    <w:name w:val="toc 2"/>
    <w:basedOn w:val="Normal"/>
    <w:next w:val="Normal"/>
    <w:autoRedefine/>
    <w:uiPriority w:val="39"/>
    <w:unhideWhenUsed/>
    <w:rsid w:val="00A65B94"/>
    <w:pPr>
      <w:spacing w:after="100"/>
      <w:ind w:left="220"/>
    </w:pPr>
  </w:style>
  <w:style w:type="paragraph" w:styleId="TOC3">
    <w:name w:val="toc 3"/>
    <w:basedOn w:val="Normal"/>
    <w:next w:val="Normal"/>
    <w:autoRedefine/>
    <w:uiPriority w:val="39"/>
    <w:unhideWhenUsed/>
    <w:rsid w:val="00A65B9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25613">
      <w:bodyDiv w:val="1"/>
      <w:marLeft w:val="0"/>
      <w:marRight w:val="0"/>
      <w:marTop w:val="0"/>
      <w:marBottom w:val="0"/>
      <w:divBdr>
        <w:top w:val="none" w:sz="0" w:space="0" w:color="auto"/>
        <w:left w:val="none" w:sz="0" w:space="0" w:color="auto"/>
        <w:bottom w:val="none" w:sz="0" w:space="0" w:color="auto"/>
        <w:right w:val="none" w:sz="0" w:space="0" w:color="auto"/>
      </w:divBdr>
    </w:div>
    <w:div w:id="75440940">
      <w:bodyDiv w:val="1"/>
      <w:marLeft w:val="0"/>
      <w:marRight w:val="0"/>
      <w:marTop w:val="0"/>
      <w:marBottom w:val="0"/>
      <w:divBdr>
        <w:top w:val="none" w:sz="0" w:space="0" w:color="auto"/>
        <w:left w:val="none" w:sz="0" w:space="0" w:color="auto"/>
        <w:bottom w:val="none" w:sz="0" w:space="0" w:color="auto"/>
        <w:right w:val="none" w:sz="0" w:space="0" w:color="auto"/>
      </w:divBdr>
    </w:div>
    <w:div w:id="77407133">
      <w:bodyDiv w:val="1"/>
      <w:marLeft w:val="0"/>
      <w:marRight w:val="0"/>
      <w:marTop w:val="0"/>
      <w:marBottom w:val="0"/>
      <w:divBdr>
        <w:top w:val="none" w:sz="0" w:space="0" w:color="auto"/>
        <w:left w:val="none" w:sz="0" w:space="0" w:color="auto"/>
        <w:bottom w:val="none" w:sz="0" w:space="0" w:color="auto"/>
        <w:right w:val="none" w:sz="0" w:space="0" w:color="auto"/>
      </w:divBdr>
    </w:div>
    <w:div w:id="96100820">
      <w:bodyDiv w:val="1"/>
      <w:marLeft w:val="0"/>
      <w:marRight w:val="0"/>
      <w:marTop w:val="0"/>
      <w:marBottom w:val="0"/>
      <w:divBdr>
        <w:top w:val="none" w:sz="0" w:space="0" w:color="auto"/>
        <w:left w:val="none" w:sz="0" w:space="0" w:color="auto"/>
        <w:bottom w:val="none" w:sz="0" w:space="0" w:color="auto"/>
        <w:right w:val="none" w:sz="0" w:space="0" w:color="auto"/>
      </w:divBdr>
    </w:div>
    <w:div w:id="98063633">
      <w:bodyDiv w:val="1"/>
      <w:marLeft w:val="0"/>
      <w:marRight w:val="0"/>
      <w:marTop w:val="0"/>
      <w:marBottom w:val="0"/>
      <w:divBdr>
        <w:top w:val="none" w:sz="0" w:space="0" w:color="auto"/>
        <w:left w:val="none" w:sz="0" w:space="0" w:color="auto"/>
        <w:bottom w:val="none" w:sz="0" w:space="0" w:color="auto"/>
        <w:right w:val="none" w:sz="0" w:space="0" w:color="auto"/>
      </w:divBdr>
    </w:div>
    <w:div w:id="121533229">
      <w:bodyDiv w:val="1"/>
      <w:marLeft w:val="0"/>
      <w:marRight w:val="0"/>
      <w:marTop w:val="0"/>
      <w:marBottom w:val="0"/>
      <w:divBdr>
        <w:top w:val="none" w:sz="0" w:space="0" w:color="auto"/>
        <w:left w:val="none" w:sz="0" w:space="0" w:color="auto"/>
        <w:bottom w:val="none" w:sz="0" w:space="0" w:color="auto"/>
        <w:right w:val="none" w:sz="0" w:space="0" w:color="auto"/>
      </w:divBdr>
    </w:div>
    <w:div w:id="201096867">
      <w:bodyDiv w:val="1"/>
      <w:marLeft w:val="0"/>
      <w:marRight w:val="0"/>
      <w:marTop w:val="0"/>
      <w:marBottom w:val="0"/>
      <w:divBdr>
        <w:top w:val="none" w:sz="0" w:space="0" w:color="auto"/>
        <w:left w:val="none" w:sz="0" w:space="0" w:color="auto"/>
        <w:bottom w:val="none" w:sz="0" w:space="0" w:color="auto"/>
        <w:right w:val="none" w:sz="0" w:space="0" w:color="auto"/>
      </w:divBdr>
    </w:div>
    <w:div w:id="216431165">
      <w:bodyDiv w:val="1"/>
      <w:marLeft w:val="0"/>
      <w:marRight w:val="0"/>
      <w:marTop w:val="0"/>
      <w:marBottom w:val="0"/>
      <w:divBdr>
        <w:top w:val="none" w:sz="0" w:space="0" w:color="auto"/>
        <w:left w:val="none" w:sz="0" w:space="0" w:color="auto"/>
        <w:bottom w:val="none" w:sz="0" w:space="0" w:color="auto"/>
        <w:right w:val="none" w:sz="0" w:space="0" w:color="auto"/>
      </w:divBdr>
    </w:div>
    <w:div w:id="269631205">
      <w:bodyDiv w:val="1"/>
      <w:marLeft w:val="0"/>
      <w:marRight w:val="0"/>
      <w:marTop w:val="0"/>
      <w:marBottom w:val="0"/>
      <w:divBdr>
        <w:top w:val="none" w:sz="0" w:space="0" w:color="auto"/>
        <w:left w:val="none" w:sz="0" w:space="0" w:color="auto"/>
        <w:bottom w:val="none" w:sz="0" w:space="0" w:color="auto"/>
        <w:right w:val="none" w:sz="0" w:space="0" w:color="auto"/>
      </w:divBdr>
    </w:div>
    <w:div w:id="272905786">
      <w:bodyDiv w:val="1"/>
      <w:marLeft w:val="0"/>
      <w:marRight w:val="0"/>
      <w:marTop w:val="0"/>
      <w:marBottom w:val="0"/>
      <w:divBdr>
        <w:top w:val="none" w:sz="0" w:space="0" w:color="auto"/>
        <w:left w:val="none" w:sz="0" w:space="0" w:color="auto"/>
        <w:bottom w:val="none" w:sz="0" w:space="0" w:color="auto"/>
        <w:right w:val="none" w:sz="0" w:space="0" w:color="auto"/>
      </w:divBdr>
    </w:div>
    <w:div w:id="309095579">
      <w:bodyDiv w:val="1"/>
      <w:marLeft w:val="0"/>
      <w:marRight w:val="0"/>
      <w:marTop w:val="0"/>
      <w:marBottom w:val="0"/>
      <w:divBdr>
        <w:top w:val="none" w:sz="0" w:space="0" w:color="auto"/>
        <w:left w:val="none" w:sz="0" w:space="0" w:color="auto"/>
        <w:bottom w:val="none" w:sz="0" w:space="0" w:color="auto"/>
        <w:right w:val="none" w:sz="0" w:space="0" w:color="auto"/>
      </w:divBdr>
    </w:div>
    <w:div w:id="363288942">
      <w:bodyDiv w:val="1"/>
      <w:marLeft w:val="0"/>
      <w:marRight w:val="0"/>
      <w:marTop w:val="0"/>
      <w:marBottom w:val="0"/>
      <w:divBdr>
        <w:top w:val="none" w:sz="0" w:space="0" w:color="auto"/>
        <w:left w:val="none" w:sz="0" w:space="0" w:color="auto"/>
        <w:bottom w:val="none" w:sz="0" w:space="0" w:color="auto"/>
        <w:right w:val="none" w:sz="0" w:space="0" w:color="auto"/>
      </w:divBdr>
    </w:div>
    <w:div w:id="367610394">
      <w:bodyDiv w:val="1"/>
      <w:marLeft w:val="0"/>
      <w:marRight w:val="0"/>
      <w:marTop w:val="0"/>
      <w:marBottom w:val="0"/>
      <w:divBdr>
        <w:top w:val="none" w:sz="0" w:space="0" w:color="auto"/>
        <w:left w:val="none" w:sz="0" w:space="0" w:color="auto"/>
        <w:bottom w:val="none" w:sz="0" w:space="0" w:color="auto"/>
        <w:right w:val="none" w:sz="0" w:space="0" w:color="auto"/>
      </w:divBdr>
    </w:div>
    <w:div w:id="395739094">
      <w:bodyDiv w:val="1"/>
      <w:marLeft w:val="0"/>
      <w:marRight w:val="0"/>
      <w:marTop w:val="0"/>
      <w:marBottom w:val="0"/>
      <w:divBdr>
        <w:top w:val="none" w:sz="0" w:space="0" w:color="auto"/>
        <w:left w:val="none" w:sz="0" w:space="0" w:color="auto"/>
        <w:bottom w:val="none" w:sz="0" w:space="0" w:color="auto"/>
        <w:right w:val="none" w:sz="0" w:space="0" w:color="auto"/>
      </w:divBdr>
    </w:div>
    <w:div w:id="458306055">
      <w:bodyDiv w:val="1"/>
      <w:marLeft w:val="0"/>
      <w:marRight w:val="0"/>
      <w:marTop w:val="0"/>
      <w:marBottom w:val="0"/>
      <w:divBdr>
        <w:top w:val="none" w:sz="0" w:space="0" w:color="auto"/>
        <w:left w:val="none" w:sz="0" w:space="0" w:color="auto"/>
        <w:bottom w:val="none" w:sz="0" w:space="0" w:color="auto"/>
        <w:right w:val="none" w:sz="0" w:space="0" w:color="auto"/>
      </w:divBdr>
    </w:div>
    <w:div w:id="538325295">
      <w:bodyDiv w:val="1"/>
      <w:marLeft w:val="0"/>
      <w:marRight w:val="0"/>
      <w:marTop w:val="0"/>
      <w:marBottom w:val="0"/>
      <w:divBdr>
        <w:top w:val="none" w:sz="0" w:space="0" w:color="auto"/>
        <w:left w:val="none" w:sz="0" w:space="0" w:color="auto"/>
        <w:bottom w:val="none" w:sz="0" w:space="0" w:color="auto"/>
        <w:right w:val="none" w:sz="0" w:space="0" w:color="auto"/>
      </w:divBdr>
    </w:div>
    <w:div w:id="567038490">
      <w:bodyDiv w:val="1"/>
      <w:marLeft w:val="0"/>
      <w:marRight w:val="0"/>
      <w:marTop w:val="0"/>
      <w:marBottom w:val="0"/>
      <w:divBdr>
        <w:top w:val="none" w:sz="0" w:space="0" w:color="auto"/>
        <w:left w:val="none" w:sz="0" w:space="0" w:color="auto"/>
        <w:bottom w:val="none" w:sz="0" w:space="0" w:color="auto"/>
        <w:right w:val="none" w:sz="0" w:space="0" w:color="auto"/>
      </w:divBdr>
    </w:div>
    <w:div w:id="665743771">
      <w:bodyDiv w:val="1"/>
      <w:marLeft w:val="0"/>
      <w:marRight w:val="0"/>
      <w:marTop w:val="0"/>
      <w:marBottom w:val="0"/>
      <w:divBdr>
        <w:top w:val="none" w:sz="0" w:space="0" w:color="auto"/>
        <w:left w:val="none" w:sz="0" w:space="0" w:color="auto"/>
        <w:bottom w:val="none" w:sz="0" w:space="0" w:color="auto"/>
        <w:right w:val="none" w:sz="0" w:space="0" w:color="auto"/>
      </w:divBdr>
    </w:div>
    <w:div w:id="667249521">
      <w:bodyDiv w:val="1"/>
      <w:marLeft w:val="0"/>
      <w:marRight w:val="0"/>
      <w:marTop w:val="0"/>
      <w:marBottom w:val="0"/>
      <w:divBdr>
        <w:top w:val="none" w:sz="0" w:space="0" w:color="auto"/>
        <w:left w:val="none" w:sz="0" w:space="0" w:color="auto"/>
        <w:bottom w:val="none" w:sz="0" w:space="0" w:color="auto"/>
        <w:right w:val="none" w:sz="0" w:space="0" w:color="auto"/>
      </w:divBdr>
    </w:div>
    <w:div w:id="675886389">
      <w:bodyDiv w:val="1"/>
      <w:marLeft w:val="0"/>
      <w:marRight w:val="0"/>
      <w:marTop w:val="0"/>
      <w:marBottom w:val="0"/>
      <w:divBdr>
        <w:top w:val="none" w:sz="0" w:space="0" w:color="auto"/>
        <w:left w:val="none" w:sz="0" w:space="0" w:color="auto"/>
        <w:bottom w:val="none" w:sz="0" w:space="0" w:color="auto"/>
        <w:right w:val="none" w:sz="0" w:space="0" w:color="auto"/>
      </w:divBdr>
    </w:div>
    <w:div w:id="679308109">
      <w:bodyDiv w:val="1"/>
      <w:marLeft w:val="0"/>
      <w:marRight w:val="0"/>
      <w:marTop w:val="0"/>
      <w:marBottom w:val="0"/>
      <w:divBdr>
        <w:top w:val="none" w:sz="0" w:space="0" w:color="auto"/>
        <w:left w:val="none" w:sz="0" w:space="0" w:color="auto"/>
        <w:bottom w:val="none" w:sz="0" w:space="0" w:color="auto"/>
        <w:right w:val="none" w:sz="0" w:space="0" w:color="auto"/>
      </w:divBdr>
    </w:div>
    <w:div w:id="716322272">
      <w:bodyDiv w:val="1"/>
      <w:marLeft w:val="0"/>
      <w:marRight w:val="0"/>
      <w:marTop w:val="0"/>
      <w:marBottom w:val="0"/>
      <w:divBdr>
        <w:top w:val="none" w:sz="0" w:space="0" w:color="auto"/>
        <w:left w:val="none" w:sz="0" w:space="0" w:color="auto"/>
        <w:bottom w:val="none" w:sz="0" w:space="0" w:color="auto"/>
        <w:right w:val="none" w:sz="0" w:space="0" w:color="auto"/>
      </w:divBdr>
    </w:div>
    <w:div w:id="746002981">
      <w:bodyDiv w:val="1"/>
      <w:marLeft w:val="0"/>
      <w:marRight w:val="0"/>
      <w:marTop w:val="0"/>
      <w:marBottom w:val="0"/>
      <w:divBdr>
        <w:top w:val="none" w:sz="0" w:space="0" w:color="auto"/>
        <w:left w:val="none" w:sz="0" w:space="0" w:color="auto"/>
        <w:bottom w:val="none" w:sz="0" w:space="0" w:color="auto"/>
        <w:right w:val="none" w:sz="0" w:space="0" w:color="auto"/>
      </w:divBdr>
    </w:div>
    <w:div w:id="807086502">
      <w:bodyDiv w:val="1"/>
      <w:marLeft w:val="0"/>
      <w:marRight w:val="0"/>
      <w:marTop w:val="0"/>
      <w:marBottom w:val="0"/>
      <w:divBdr>
        <w:top w:val="none" w:sz="0" w:space="0" w:color="auto"/>
        <w:left w:val="none" w:sz="0" w:space="0" w:color="auto"/>
        <w:bottom w:val="none" w:sz="0" w:space="0" w:color="auto"/>
        <w:right w:val="none" w:sz="0" w:space="0" w:color="auto"/>
      </w:divBdr>
    </w:div>
    <w:div w:id="922374212">
      <w:bodyDiv w:val="1"/>
      <w:marLeft w:val="0"/>
      <w:marRight w:val="0"/>
      <w:marTop w:val="0"/>
      <w:marBottom w:val="0"/>
      <w:divBdr>
        <w:top w:val="none" w:sz="0" w:space="0" w:color="auto"/>
        <w:left w:val="none" w:sz="0" w:space="0" w:color="auto"/>
        <w:bottom w:val="none" w:sz="0" w:space="0" w:color="auto"/>
        <w:right w:val="none" w:sz="0" w:space="0" w:color="auto"/>
      </w:divBdr>
    </w:div>
    <w:div w:id="967513365">
      <w:bodyDiv w:val="1"/>
      <w:marLeft w:val="0"/>
      <w:marRight w:val="0"/>
      <w:marTop w:val="0"/>
      <w:marBottom w:val="0"/>
      <w:divBdr>
        <w:top w:val="none" w:sz="0" w:space="0" w:color="auto"/>
        <w:left w:val="none" w:sz="0" w:space="0" w:color="auto"/>
        <w:bottom w:val="none" w:sz="0" w:space="0" w:color="auto"/>
        <w:right w:val="none" w:sz="0" w:space="0" w:color="auto"/>
      </w:divBdr>
    </w:div>
    <w:div w:id="997925182">
      <w:bodyDiv w:val="1"/>
      <w:marLeft w:val="0"/>
      <w:marRight w:val="0"/>
      <w:marTop w:val="0"/>
      <w:marBottom w:val="0"/>
      <w:divBdr>
        <w:top w:val="none" w:sz="0" w:space="0" w:color="auto"/>
        <w:left w:val="none" w:sz="0" w:space="0" w:color="auto"/>
        <w:bottom w:val="none" w:sz="0" w:space="0" w:color="auto"/>
        <w:right w:val="none" w:sz="0" w:space="0" w:color="auto"/>
      </w:divBdr>
    </w:div>
    <w:div w:id="1004093841">
      <w:bodyDiv w:val="1"/>
      <w:marLeft w:val="0"/>
      <w:marRight w:val="0"/>
      <w:marTop w:val="0"/>
      <w:marBottom w:val="0"/>
      <w:divBdr>
        <w:top w:val="none" w:sz="0" w:space="0" w:color="auto"/>
        <w:left w:val="none" w:sz="0" w:space="0" w:color="auto"/>
        <w:bottom w:val="none" w:sz="0" w:space="0" w:color="auto"/>
        <w:right w:val="none" w:sz="0" w:space="0" w:color="auto"/>
      </w:divBdr>
    </w:div>
    <w:div w:id="1022706465">
      <w:bodyDiv w:val="1"/>
      <w:marLeft w:val="0"/>
      <w:marRight w:val="0"/>
      <w:marTop w:val="0"/>
      <w:marBottom w:val="0"/>
      <w:divBdr>
        <w:top w:val="none" w:sz="0" w:space="0" w:color="auto"/>
        <w:left w:val="none" w:sz="0" w:space="0" w:color="auto"/>
        <w:bottom w:val="none" w:sz="0" w:space="0" w:color="auto"/>
        <w:right w:val="none" w:sz="0" w:space="0" w:color="auto"/>
      </w:divBdr>
    </w:div>
    <w:div w:id="1057389991">
      <w:bodyDiv w:val="1"/>
      <w:marLeft w:val="0"/>
      <w:marRight w:val="0"/>
      <w:marTop w:val="0"/>
      <w:marBottom w:val="0"/>
      <w:divBdr>
        <w:top w:val="none" w:sz="0" w:space="0" w:color="auto"/>
        <w:left w:val="none" w:sz="0" w:space="0" w:color="auto"/>
        <w:bottom w:val="none" w:sz="0" w:space="0" w:color="auto"/>
        <w:right w:val="none" w:sz="0" w:space="0" w:color="auto"/>
      </w:divBdr>
    </w:div>
    <w:div w:id="1058818841">
      <w:bodyDiv w:val="1"/>
      <w:marLeft w:val="0"/>
      <w:marRight w:val="0"/>
      <w:marTop w:val="0"/>
      <w:marBottom w:val="0"/>
      <w:divBdr>
        <w:top w:val="none" w:sz="0" w:space="0" w:color="auto"/>
        <w:left w:val="none" w:sz="0" w:space="0" w:color="auto"/>
        <w:bottom w:val="none" w:sz="0" w:space="0" w:color="auto"/>
        <w:right w:val="none" w:sz="0" w:space="0" w:color="auto"/>
      </w:divBdr>
    </w:div>
    <w:div w:id="1071661710">
      <w:bodyDiv w:val="1"/>
      <w:marLeft w:val="0"/>
      <w:marRight w:val="0"/>
      <w:marTop w:val="0"/>
      <w:marBottom w:val="0"/>
      <w:divBdr>
        <w:top w:val="none" w:sz="0" w:space="0" w:color="auto"/>
        <w:left w:val="none" w:sz="0" w:space="0" w:color="auto"/>
        <w:bottom w:val="none" w:sz="0" w:space="0" w:color="auto"/>
        <w:right w:val="none" w:sz="0" w:space="0" w:color="auto"/>
      </w:divBdr>
    </w:div>
    <w:div w:id="1085229612">
      <w:bodyDiv w:val="1"/>
      <w:marLeft w:val="0"/>
      <w:marRight w:val="0"/>
      <w:marTop w:val="0"/>
      <w:marBottom w:val="0"/>
      <w:divBdr>
        <w:top w:val="none" w:sz="0" w:space="0" w:color="auto"/>
        <w:left w:val="none" w:sz="0" w:space="0" w:color="auto"/>
        <w:bottom w:val="none" w:sz="0" w:space="0" w:color="auto"/>
        <w:right w:val="none" w:sz="0" w:space="0" w:color="auto"/>
      </w:divBdr>
    </w:div>
    <w:div w:id="1105465192">
      <w:bodyDiv w:val="1"/>
      <w:marLeft w:val="0"/>
      <w:marRight w:val="0"/>
      <w:marTop w:val="0"/>
      <w:marBottom w:val="0"/>
      <w:divBdr>
        <w:top w:val="none" w:sz="0" w:space="0" w:color="auto"/>
        <w:left w:val="none" w:sz="0" w:space="0" w:color="auto"/>
        <w:bottom w:val="none" w:sz="0" w:space="0" w:color="auto"/>
        <w:right w:val="none" w:sz="0" w:space="0" w:color="auto"/>
      </w:divBdr>
    </w:div>
    <w:div w:id="1143738263">
      <w:bodyDiv w:val="1"/>
      <w:marLeft w:val="0"/>
      <w:marRight w:val="0"/>
      <w:marTop w:val="0"/>
      <w:marBottom w:val="0"/>
      <w:divBdr>
        <w:top w:val="none" w:sz="0" w:space="0" w:color="auto"/>
        <w:left w:val="none" w:sz="0" w:space="0" w:color="auto"/>
        <w:bottom w:val="none" w:sz="0" w:space="0" w:color="auto"/>
        <w:right w:val="none" w:sz="0" w:space="0" w:color="auto"/>
      </w:divBdr>
    </w:div>
    <w:div w:id="1185022493">
      <w:bodyDiv w:val="1"/>
      <w:marLeft w:val="0"/>
      <w:marRight w:val="0"/>
      <w:marTop w:val="0"/>
      <w:marBottom w:val="0"/>
      <w:divBdr>
        <w:top w:val="none" w:sz="0" w:space="0" w:color="auto"/>
        <w:left w:val="none" w:sz="0" w:space="0" w:color="auto"/>
        <w:bottom w:val="none" w:sz="0" w:space="0" w:color="auto"/>
        <w:right w:val="none" w:sz="0" w:space="0" w:color="auto"/>
      </w:divBdr>
    </w:div>
    <w:div w:id="1218978609">
      <w:bodyDiv w:val="1"/>
      <w:marLeft w:val="0"/>
      <w:marRight w:val="0"/>
      <w:marTop w:val="0"/>
      <w:marBottom w:val="0"/>
      <w:divBdr>
        <w:top w:val="none" w:sz="0" w:space="0" w:color="auto"/>
        <w:left w:val="none" w:sz="0" w:space="0" w:color="auto"/>
        <w:bottom w:val="none" w:sz="0" w:space="0" w:color="auto"/>
        <w:right w:val="none" w:sz="0" w:space="0" w:color="auto"/>
      </w:divBdr>
    </w:div>
    <w:div w:id="1265722008">
      <w:bodyDiv w:val="1"/>
      <w:marLeft w:val="0"/>
      <w:marRight w:val="0"/>
      <w:marTop w:val="0"/>
      <w:marBottom w:val="0"/>
      <w:divBdr>
        <w:top w:val="none" w:sz="0" w:space="0" w:color="auto"/>
        <w:left w:val="none" w:sz="0" w:space="0" w:color="auto"/>
        <w:bottom w:val="none" w:sz="0" w:space="0" w:color="auto"/>
        <w:right w:val="none" w:sz="0" w:space="0" w:color="auto"/>
      </w:divBdr>
    </w:div>
    <w:div w:id="1274898671">
      <w:bodyDiv w:val="1"/>
      <w:marLeft w:val="0"/>
      <w:marRight w:val="0"/>
      <w:marTop w:val="0"/>
      <w:marBottom w:val="0"/>
      <w:divBdr>
        <w:top w:val="none" w:sz="0" w:space="0" w:color="auto"/>
        <w:left w:val="none" w:sz="0" w:space="0" w:color="auto"/>
        <w:bottom w:val="none" w:sz="0" w:space="0" w:color="auto"/>
        <w:right w:val="none" w:sz="0" w:space="0" w:color="auto"/>
      </w:divBdr>
    </w:div>
    <w:div w:id="1286888856">
      <w:bodyDiv w:val="1"/>
      <w:marLeft w:val="0"/>
      <w:marRight w:val="0"/>
      <w:marTop w:val="0"/>
      <w:marBottom w:val="0"/>
      <w:divBdr>
        <w:top w:val="none" w:sz="0" w:space="0" w:color="auto"/>
        <w:left w:val="none" w:sz="0" w:space="0" w:color="auto"/>
        <w:bottom w:val="none" w:sz="0" w:space="0" w:color="auto"/>
        <w:right w:val="none" w:sz="0" w:space="0" w:color="auto"/>
      </w:divBdr>
    </w:div>
    <w:div w:id="1434011223">
      <w:bodyDiv w:val="1"/>
      <w:marLeft w:val="0"/>
      <w:marRight w:val="0"/>
      <w:marTop w:val="0"/>
      <w:marBottom w:val="0"/>
      <w:divBdr>
        <w:top w:val="none" w:sz="0" w:space="0" w:color="auto"/>
        <w:left w:val="none" w:sz="0" w:space="0" w:color="auto"/>
        <w:bottom w:val="none" w:sz="0" w:space="0" w:color="auto"/>
        <w:right w:val="none" w:sz="0" w:space="0" w:color="auto"/>
      </w:divBdr>
    </w:div>
    <w:div w:id="1592350077">
      <w:bodyDiv w:val="1"/>
      <w:marLeft w:val="0"/>
      <w:marRight w:val="0"/>
      <w:marTop w:val="0"/>
      <w:marBottom w:val="0"/>
      <w:divBdr>
        <w:top w:val="none" w:sz="0" w:space="0" w:color="auto"/>
        <w:left w:val="none" w:sz="0" w:space="0" w:color="auto"/>
        <w:bottom w:val="none" w:sz="0" w:space="0" w:color="auto"/>
        <w:right w:val="none" w:sz="0" w:space="0" w:color="auto"/>
      </w:divBdr>
    </w:div>
    <w:div w:id="1615870624">
      <w:bodyDiv w:val="1"/>
      <w:marLeft w:val="0"/>
      <w:marRight w:val="0"/>
      <w:marTop w:val="0"/>
      <w:marBottom w:val="0"/>
      <w:divBdr>
        <w:top w:val="none" w:sz="0" w:space="0" w:color="auto"/>
        <w:left w:val="none" w:sz="0" w:space="0" w:color="auto"/>
        <w:bottom w:val="none" w:sz="0" w:space="0" w:color="auto"/>
        <w:right w:val="none" w:sz="0" w:space="0" w:color="auto"/>
      </w:divBdr>
    </w:div>
    <w:div w:id="1620184343">
      <w:bodyDiv w:val="1"/>
      <w:marLeft w:val="0"/>
      <w:marRight w:val="0"/>
      <w:marTop w:val="0"/>
      <w:marBottom w:val="0"/>
      <w:divBdr>
        <w:top w:val="none" w:sz="0" w:space="0" w:color="auto"/>
        <w:left w:val="none" w:sz="0" w:space="0" w:color="auto"/>
        <w:bottom w:val="none" w:sz="0" w:space="0" w:color="auto"/>
        <w:right w:val="none" w:sz="0" w:space="0" w:color="auto"/>
      </w:divBdr>
    </w:div>
    <w:div w:id="1680154493">
      <w:bodyDiv w:val="1"/>
      <w:marLeft w:val="0"/>
      <w:marRight w:val="0"/>
      <w:marTop w:val="0"/>
      <w:marBottom w:val="0"/>
      <w:divBdr>
        <w:top w:val="none" w:sz="0" w:space="0" w:color="auto"/>
        <w:left w:val="none" w:sz="0" w:space="0" w:color="auto"/>
        <w:bottom w:val="none" w:sz="0" w:space="0" w:color="auto"/>
        <w:right w:val="none" w:sz="0" w:space="0" w:color="auto"/>
      </w:divBdr>
    </w:div>
    <w:div w:id="1751581386">
      <w:bodyDiv w:val="1"/>
      <w:marLeft w:val="0"/>
      <w:marRight w:val="0"/>
      <w:marTop w:val="0"/>
      <w:marBottom w:val="0"/>
      <w:divBdr>
        <w:top w:val="none" w:sz="0" w:space="0" w:color="auto"/>
        <w:left w:val="none" w:sz="0" w:space="0" w:color="auto"/>
        <w:bottom w:val="none" w:sz="0" w:space="0" w:color="auto"/>
        <w:right w:val="none" w:sz="0" w:space="0" w:color="auto"/>
      </w:divBdr>
    </w:div>
    <w:div w:id="1752970850">
      <w:bodyDiv w:val="1"/>
      <w:marLeft w:val="0"/>
      <w:marRight w:val="0"/>
      <w:marTop w:val="0"/>
      <w:marBottom w:val="0"/>
      <w:divBdr>
        <w:top w:val="none" w:sz="0" w:space="0" w:color="auto"/>
        <w:left w:val="none" w:sz="0" w:space="0" w:color="auto"/>
        <w:bottom w:val="none" w:sz="0" w:space="0" w:color="auto"/>
        <w:right w:val="none" w:sz="0" w:space="0" w:color="auto"/>
      </w:divBdr>
    </w:div>
    <w:div w:id="1815485417">
      <w:bodyDiv w:val="1"/>
      <w:marLeft w:val="0"/>
      <w:marRight w:val="0"/>
      <w:marTop w:val="0"/>
      <w:marBottom w:val="0"/>
      <w:divBdr>
        <w:top w:val="none" w:sz="0" w:space="0" w:color="auto"/>
        <w:left w:val="none" w:sz="0" w:space="0" w:color="auto"/>
        <w:bottom w:val="none" w:sz="0" w:space="0" w:color="auto"/>
        <w:right w:val="none" w:sz="0" w:space="0" w:color="auto"/>
      </w:divBdr>
    </w:div>
    <w:div w:id="1890536489">
      <w:bodyDiv w:val="1"/>
      <w:marLeft w:val="0"/>
      <w:marRight w:val="0"/>
      <w:marTop w:val="0"/>
      <w:marBottom w:val="0"/>
      <w:divBdr>
        <w:top w:val="none" w:sz="0" w:space="0" w:color="auto"/>
        <w:left w:val="none" w:sz="0" w:space="0" w:color="auto"/>
        <w:bottom w:val="none" w:sz="0" w:space="0" w:color="auto"/>
        <w:right w:val="none" w:sz="0" w:space="0" w:color="auto"/>
      </w:divBdr>
    </w:div>
    <w:div w:id="1915311947">
      <w:bodyDiv w:val="1"/>
      <w:marLeft w:val="0"/>
      <w:marRight w:val="0"/>
      <w:marTop w:val="0"/>
      <w:marBottom w:val="0"/>
      <w:divBdr>
        <w:top w:val="none" w:sz="0" w:space="0" w:color="auto"/>
        <w:left w:val="none" w:sz="0" w:space="0" w:color="auto"/>
        <w:bottom w:val="none" w:sz="0" w:space="0" w:color="auto"/>
        <w:right w:val="none" w:sz="0" w:space="0" w:color="auto"/>
      </w:divBdr>
    </w:div>
    <w:div w:id="1978535119">
      <w:bodyDiv w:val="1"/>
      <w:marLeft w:val="0"/>
      <w:marRight w:val="0"/>
      <w:marTop w:val="0"/>
      <w:marBottom w:val="0"/>
      <w:divBdr>
        <w:top w:val="none" w:sz="0" w:space="0" w:color="auto"/>
        <w:left w:val="none" w:sz="0" w:space="0" w:color="auto"/>
        <w:bottom w:val="none" w:sz="0" w:space="0" w:color="auto"/>
        <w:right w:val="none" w:sz="0" w:space="0" w:color="auto"/>
      </w:divBdr>
    </w:div>
    <w:div w:id="2025394945">
      <w:bodyDiv w:val="1"/>
      <w:marLeft w:val="0"/>
      <w:marRight w:val="0"/>
      <w:marTop w:val="0"/>
      <w:marBottom w:val="0"/>
      <w:divBdr>
        <w:top w:val="none" w:sz="0" w:space="0" w:color="auto"/>
        <w:left w:val="none" w:sz="0" w:space="0" w:color="auto"/>
        <w:bottom w:val="none" w:sz="0" w:space="0" w:color="auto"/>
        <w:right w:val="none" w:sz="0" w:space="0" w:color="auto"/>
      </w:divBdr>
    </w:div>
    <w:div w:id="2054228392">
      <w:bodyDiv w:val="1"/>
      <w:marLeft w:val="0"/>
      <w:marRight w:val="0"/>
      <w:marTop w:val="0"/>
      <w:marBottom w:val="0"/>
      <w:divBdr>
        <w:top w:val="none" w:sz="0" w:space="0" w:color="auto"/>
        <w:left w:val="none" w:sz="0" w:space="0" w:color="auto"/>
        <w:bottom w:val="none" w:sz="0" w:space="0" w:color="auto"/>
        <w:right w:val="none" w:sz="0" w:space="0" w:color="auto"/>
      </w:divBdr>
    </w:div>
    <w:div w:id="2065325165">
      <w:bodyDiv w:val="1"/>
      <w:marLeft w:val="0"/>
      <w:marRight w:val="0"/>
      <w:marTop w:val="0"/>
      <w:marBottom w:val="0"/>
      <w:divBdr>
        <w:top w:val="none" w:sz="0" w:space="0" w:color="auto"/>
        <w:left w:val="none" w:sz="0" w:space="0" w:color="auto"/>
        <w:bottom w:val="none" w:sz="0" w:space="0" w:color="auto"/>
        <w:right w:val="none" w:sz="0" w:space="0" w:color="auto"/>
      </w:divBdr>
    </w:div>
    <w:div w:id="2126121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ity.gov.in/static/uploads/2024/02/Information-Technology-Intermediary-Guidelines-and-Digital-Media-Ethics-Code-Rules-2021-updated-06.04.2023-.pdf" TargetMode="Externa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And25</b:Tag>
    <b:SourceType>JournalArticle</b:SourceType>
    <b:Guid>{971B2ADF-0587-48B1-AFD6-F0D68CA1BF62}</b:Guid>
    <b:Author>
      <b:Author>
        <b:NameList>
          <b:Person>
            <b:Last>Andersen</b:Last>
            <b:First>P.D.,</b:First>
          </b:Person>
        </b:NameList>
      </b:Author>
    </b:Author>
    <b:Title>The PESTEL framework and its variants for analysing the strategic environment: evolution, limitations and adoption in energy policy research. Limitations and Adoption in Energy Policy Research.</b:Title>
    <b:Year>2025</b:Year>
    <b:RefOrder>1</b:RefOrder>
  </b:Source>
  <b:Source>
    <b:Tag>Tee16</b:Tag>
    <b:SourceType>JournalArticle</b:SourceType>
    <b:Guid>{249D58F8-11A4-4CDA-B825-A93B78959CD4}</b:Guid>
    <b:Author>
      <b:Author>
        <b:NameList>
          <b:Person>
            <b:Last>Teece</b:Last>
            <b:First>D.,</b:First>
            <b:Middle>Peteraf, M. and Leih, S.</b:Middle>
          </b:Person>
        </b:NameList>
      </b:Author>
    </b:Author>
    <b:Title>Dynamic capabilities and organizational agility: Risk, uncertainty, and strategy in the innovation economy.</b:Title>
    <b:Year>2016</b:Year>
    <b:RefOrder>2</b:RefOrder>
  </b:Source>
  <b:Source>
    <b:Tag>Net25</b:Tag>
    <b:SourceType>InternetSite</b:SourceType>
    <b:Guid>{B2A218D8-F5AE-4663-8364-471639A37101}</b:Guid>
    <b:Author>
      <b:Author>
        <b:NameList>
          <b:Person>
            <b:Last>Netflix</b:Last>
          </b:Person>
        </b:NameList>
      </b:Author>
    </b:Author>
    <b:Title>Company Profile</b:Title>
    <b:Year>2025</b:Year>
    <b:InternetSiteTitle> Netflix Investors</b:InternetSiteTitle>
    <b:URL>https://ir.netflix.net/ir-overview/profile/default.aspx.</b:URL>
    <b:RefOrder>3</b:RefOrder>
  </b:Source>
  <b:Source>
    <b:Tag>Por083</b:Tag>
    <b:SourceType>JournalArticle</b:SourceType>
    <b:Guid>{98EA96F1-48F2-44FB-B682-B50777DF2A03}</b:Guid>
    <b:Title>The five competitive forces that shape strategy.</b:Title>
    <b:Year>2008</b:Year>
    <b:Author>
      <b:Author>
        <b:NameList>
          <b:Person>
            <b:Last>Porter</b:Last>
            <b:First>M.E.,</b:First>
          </b:Person>
        </b:NameList>
      </b:Author>
    </b:Author>
    <b:JournalName>Harvard business review,</b:JournalName>
    <b:RefOrder>4</b:RefOrder>
  </b:Source>
  <b:Source>
    <b:Tag>Mau</b:Tag>
    <b:SourceType>JournalArticle</b:SourceType>
    <b:Guid>{6AB9FAA7-6164-4D86-9EBD-1E5FA761FBDA}</b:Guid>
    <b:Author>
      <b:Author>
        <b:NameList>
          <b:Person>
            <b:Last>Maurya</b:Last>
            <b:First>N.,</b:First>
          </b:Person>
        </b:NameList>
      </b:Author>
    </b:Author>
    <b:Title>The Digital Transformation of India’s Advertising Industry: Trends, Challenges, and Strategic Implications.</b:Title>
    <b:RefOrder>5</b:RefOrder>
  </b:Source>
  <b:Source>
    <b:Tag>Bha25</b:Tag>
    <b:SourceType>JournalArticle</b:SourceType>
    <b:Guid>{833E000E-6617-44A9-AFD2-EAC653280BA8}</b:Guid>
    <b:Author>
      <b:Author>
        <b:NameList>
          <b:Person>
            <b:Last>Bhadeshiya</b:Last>
            <b:First>H.,</b:First>
          </b:Person>
        </b:NameList>
      </b:Author>
    </b:Author>
    <b:Title>Digital Entertainment: The New Normal of Customer Experience Post Pandemic and the Path Ahead in India. </b:Title>
    <b:Year>2025</b:Year>
    <b:RefOrder>6</b:RefOrder>
  </b:Source>
  <b:Source>
    <b:Tag>Sta17</b:Tag>
    <b:SourceType>InternetSite</b:SourceType>
    <b:Guid>{897B0D3A-B0CD-4850-8143-B541CD3244D1}</b:Guid>
    <b:Title>Revenue in the video streaming (SVoD) segment of the digital media market India 2017-2027| Statista</b:Title>
    <b:Year>2017</b:Year>
    <b:Author>
      <b:Author>
        <b:NameList>
          <b:Person>
            <b:Last>Statista.</b:Last>
          </b:Person>
        </b:NameList>
      </b:Author>
    </b:Author>
    <b:URL>https://www.statista.com/forecasts/1435468/revenue-video-streaming-svod-video-on-demand-market-india/ [Accessed 2</b:URL>
    <b:RefOrder>7</b:RefOrder>
  </b:Source>
  <b:Source>
    <b:Tag>Med24</b:Tag>
    <b:SourceType>InternetSite</b:SourceType>
    <b:Guid>{B233B667-594B-4B5B-B59F-BA00BDBFDBD2}</b:Guid>
    <b:Title>Media, I.  </b:Title>
    <b:InternetSiteTitle> Shape the future: The revolution in Indian Media and Entertainment sector.</b:InternetSiteTitle>
    <b:Year>2024</b:Year>
    <b:URL>https://www.ey.com/en_in/insights/media-entertainment/shape-the-future-the-revolution-in-indian-media-and-entertainment-sector.</b:URL>
    <b:RefOrder>8</b:RefOrder>
  </b:Source>
  <b:Source>
    <b:Tag>Del23</b:Tag>
    <b:SourceType>InternetSite</b:SourceType>
    <b:Guid>{BA748596-EA53-4AC8-9A8E-0832BF6F13D0}</b:Guid>
    <b:Title>Deloitte Insights. </b:Title>
    <b:InternetSiteTitle>2023 Digital media trends survey | Deloitte Insights.</b:InternetSiteTitle>
    <b:Year>2023</b:Year>
    <b:URL>https://www.deloitte.com/us/en/insights/industry/technology/digital-media-trends-consumption-habits-survey/2023.html#gen-zs-and-millennials-find-meanin</b:URL>
    <b:RefOrder>9</b:RefOrder>
  </b:Source>
  <b:Source>
    <b:Tag>Pri23</b:Tag>
    <b:SourceType>InternetSite</b:SourceType>
    <b:Guid>{3F3B1136-7F77-410A-92A2-F085674247D9}</b:Guid>
    <b:Author>
      <b:Author>
        <b:NameList>
          <b:Person>
            <b:Last>PricewaterhouseCoopers</b:Last>
          </b:Person>
        </b:NameList>
      </b:Author>
    </b:Author>
    <b:Title>Global Entertainment &amp; Media Outlook 2023–2027: India perspective. </b:Title>
    <b:InternetSiteTitle>PwC</b:InternetSiteTitle>
    <b:Year>2023</b:Year>
    <b:URL>https://www.pwc.in/industries/entertainment-and-media/india-edition-GEMO23.html.</b:URL>
    <b:RefOrder>10</b:RefOrder>
  </b:Source>
  <b:Source>
    <b:Tag>Gov211</b:Tag>
    <b:SourceType>InternetSite</b:SourceType>
    <b:Guid>{B16FDD9E-7A47-478F-9649-31DA4881721D}</b:Guid>
    <b:Title>Government of India</b:Title>
    <b:InternetSiteTitle>The Information Technology (Intermediary Guidelines and Digital Media Ethics Code) </b:InternetSiteTitle>
    <b:Year>2021</b:Year>
    <b:URL>https://www.meity.gov.in/static/uploads/2024/02/Information-Technology-Intermediary-Guidelines-and-Digital-Media-Ethics-Code-Rules-2021</b:URL>
    <b:RefOrder>11</b:RefOrder>
  </b:Source>
  <b:Source>
    <b:Tag>Sta20</b:Tag>
    <b:SourceType>InternetSite</b:SourceType>
    <b:Guid>{77252139-2079-4DCE-B6FB-B5F0C1311EAE}</b:Guid>
    <b:Title>Statista</b:Title>
    <b:InternetSiteTitle>Number of users in the OTT video segment of the media market India 2020-2030| Statista. </b:InternetSiteTitle>
    <b:Year>2020</b:Year>
    <b:URL> https://www.statista.com/forecasts/1435924/number-of-users-ott-video-tv-video-market-india</b:URL>
    <b:RefOrder>12</b:RefOrder>
  </b:Source>
  <b:Source>
    <b:Tag>For</b:Tag>
    <b:SourceType>InternetSite</b:SourceType>
    <b:Guid>{6C07E9B4-8363-47EA-B800-3524B0EF7B99}</b:Guid>
    <b:Title>Forbes</b:Title>
    <b:InternetSiteTitle>Forbes Search. .</b:InternetSiteTitle>
    <b:URL>https://www.forbes.com/search/?q=Marr.</b:URL>
    <b:Year>2016</b:Year>
    <b:RefOrder>13</b:RefOrder>
  </b:Source>
  <b:Source>
    <b:Tag>Bha251</b:Tag>
    <b:SourceType>JournalArticle</b:SourceType>
    <b:Guid>{AB6FF8BF-DC9D-4014-9B06-5B969FA801B8}</b:Guid>
    <b:Title>Digital Entertainment: The New Normal of Customer Experience Post Pandemic and the Path Ahead in India</b:Title>
    <b:Year>2025</b:Year>
    <b:JournalName>In Digital Transformation in the Customer Experience</b:JournalName>
    <b:Author>
      <b:Author>
        <b:NameList>
          <b:Person>
            <b:Last>Bhadeshiya</b:Last>
            <b:First>H</b:First>
          </b:Person>
        </b:NameList>
      </b:Author>
    </b:Author>
    <b:RefOrder>14</b:RefOrder>
  </b:Source>
  <b:Source>
    <b:Tag>Kap961</b:Tag>
    <b:SourceType>JournalArticle</b:SourceType>
    <b:Guid>{26E637C4-9E19-4C7E-BF19-AA7990B19FB5}</b:Guid>
    <b:Author>
      <b:Author>
        <b:NameList>
          <b:Person>
            <b:Last>Kaplan</b:Last>
            <b:First>R.S.</b:First>
            <b:Middle>and Norton, D.P</b:Middle>
          </b:Person>
        </b:NameList>
      </b:Author>
    </b:Author>
    <b:Title>Using the balanced scorecard as a strategic management system.</b:Title>
    <b:Year>1996</b:Year>
    <b:RefOrder>15</b:RefOrder>
  </b:Source>
  <b:Source>
    <b:Tag>Elk99</b:Tag>
    <b:SourceType>JournalArticle</b:SourceType>
    <b:Guid>{B93D8D8E-15F5-4BE9-99AB-48D0DED83B13}</b:Guid>
    <b:Author>
      <b:Author>
        <b:NameList>
          <b:Person>
            <b:Last>Elkington</b:Last>
            <b:First>J.</b:First>
            <b:Middle>and Rowlands, I.H</b:Middle>
          </b:Person>
        </b:NameList>
      </b:Author>
    </b:Author>
    <b:Title>Cannibals with forks: The triple bottom line of 21st century business. </b:Title>
    <b:JournalName>Alternatives Journal</b:JournalName>
    <b:Year>1999</b:Year>
    <b:RefOrder>16</b:RefOrder>
  </b:Source>
</b:Sources>
</file>

<file path=customXml/itemProps1.xml><?xml version="1.0" encoding="utf-8"?>
<ds:datastoreItem xmlns:ds="http://schemas.openxmlformats.org/officeDocument/2006/customXml" ds:itemID="{A2656409-B74E-4B74-8F85-D2A24457D5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7552</Words>
  <Characters>43047</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Kavya Ramesan C K</dc:creator>
  <cp:keywords/>
  <dc:description/>
  <cp:lastModifiedBy>Anurag Om</cp:lastModifiedBy>
  <cp:revision>2</cp:revision>
  <dcterms:created xsi:type="dcterms:W3CDTF">2025-12-21T23:58:00Z</dcterms:created>
  <dcterms:modified xsi:type="dcterms:W3CDTF">2025-12-21T23:58:00Z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9581cd11-7ded-4f65-b320-9e1ce489eb9a</vt:lpwstr>
  </property>
</Properties>
</file>