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C10013" w14:textId="77777777" w:rsidR="00263B4B" w:rsidRDefault="00263B4B" w:rsidP="19768FBF">
      <w:pPr>
        <w:rPr>
          <w:rFonts w:ascii="Times New Roman" w:eastAsia="Times New Roman" w:hAnsi="Times New Roman" w:cs="Times New Roman"/>
          <w:color w:val="000000" w:themeColor="text1"/>
          <w:sz w:val="56"/>
          <w:szCs w:val="56"/>
        </w:rPr>
      </w:pPr>
    </w:p>
    <w:p w14:paraId="3C5F50E4" w14:textId="77777777" w:rsidR="00263B4B" w:rsidRDefault="00263B4B" w:rsidP="19768FBF">
      <w:pPr>
        <w:rPr>
          <w:rFonts w:ascii="Times New Roman" w:eastAsia="Times New Roman" w:hAnsi="Times New Roman" w:cs="Times New Roman"/>
          <w:color w:val="000000" w:themeColor="text1"/>
          <w:sz w:val="56"/>
          <w:szCs w:val="56"/>
        </w:rPr>
      </w:pPr>
    </w:p>
    <w:p w14:paraId="2E6FDD55" w14:textId="252CA269" w:rsidR="004C5C34" w:rsidRDefault="6031CA2E" w:rsidP="19768FBF">
      <w:pPr>
        <w:rPr>
          <w:rFonts w:ascii="Times New Roman" w:eastAsia="Times New Roman" w:hAnsi="Times New Roman" w:cs="Times New Roman"/>
          <w:color w:val="000000" w:themeColor="text1"/>
          <w:sz w:val="56"/>
          <w:szCs w:val="56"/>
        </w:rPr>
      </w:pPr>
      <w:r w:rsidRPr="19768FBF">
        <w:rPr>
          <w:rFonts w:ascii="Times New Roman" w:eastAsia="Times New Roman" w:hAnsi="Times New Roman" w:cs="Times New Roman"/>
          <w:color w:val="000000" w:themeColor="text1"/>
          <w:sz w:val="56"/>
          <w:szCs w:val="56"/>
        </w:rPr>
        <w:t>BMPL4009</w:t>
      </w:r>
    </w:p>
    <w:p w14:paraId="3D0A7984" w14:textId="5FE02A65" w:rsidR="004C5C34" w:rsidRDefault="6031CA2E" w:rsidP="19768FBF">
      <w:pPr>
        <w:rPr>
          <w:rFonts w:ascii="Times New Roman" w:eastAsia="Times New Roman" w:hAnsi="Times New Roman" w:cs="Times New Roman"/>
          <w:color w:val="000000" w:themeColor="text1"/>
          <w:sz w:val="56"/>
          <w:szCs w:val="56"/>
        </w:rPr>
      </w:pPr>
      <w:r w:rsidRPr="19768FBF">
        <w:rPr>
          <w:rFonts w:ascii="Times New Roman" w:eastAsia="Times New Roman" w:hAnsi="Times New Roman" w:cs="Times New Roman"/>
          <w:color w:val="000000" w:themeColor="text1"/>
          <w:sz w:val="56"/>
          <w:szCs w:val="56"/>
        </w:rPr>
        <w:t xml:space="preserve">Criminal Law </w:t>
      </w:r>
    </w:p>
    <w:p w14:paraId="44847FB7" w14:textId="60738DAD" w:rsidR="004C5C34" w:rsidRDefault="004C5C34" w:rsidP="19768FBF">
      <w:pPr>
        <w:rPr>
          <w:rFonts w:ascii="Times New Roman" w:eastAsia="Times New Roman" w:hAnsi="Times New Roman" w:cs="Times New Roman"/>
          <w:color w:val="000000" w:themeColor="text1"/>
          <w:sz w:val="56"/>
          <w:szCs w:val="56"/>
        </w:rPr>
      </w:pPr>
    </w:p>
    <w:p w14:paraId="64F12AB5" w14:textId="4F7FA90E" w:rsidR="004C5C34" w:rsidRDefault="6031CA2E" w:rsidP="19768FBF">
      <w:pPr>
        <w:rPr>
          <w:rFonts w:ascii="Times New Roman" w:eastAsia="Times New Roman" w:hAnsi="Times New Roman" w:cs="Times New Roman"/>
          <w:color w:val="000000" w:themeColor="text1"/>
          <w:sz w:val="56"/>
          <w:szCs w:val="56"/>
        </w:rPr>
      </w:pPr>
      <w:r w:rsidRPr="19768FBF">
        <w:rPr>
          <w:rFonts w:ascii="Times New Roman" w:eastAsia="Times New Roman" w:hAnsi="Times New Roman" w:cs="Times New Roman"/>
          <w:color w:val="000000" w:themeColor="text1"/>
          <w:sz w:val="56"/>
          <w:szCs w:val="56"/>
        </w:rPr>
        <w:t>Dorin Sorea</w:t>
      </w:r>
    </w:p>
    <w:p w14:paraId="1CE640D5" w14:textId="14A135F5" w:rsidR="004C5C34" w:rsidRDefault="6031CA2E" w:rsidP="19768FBF">
      <w:pPr>
        <w:rPr>
          <w:rFonts w:ascii="Times New Roman" w:eastAsia="Times New Roman" w:hAnsi="Times New Roman" w:cs="Times New Roman"/>
          <w:color w:val="000000" w:themeColor="text1"/>
          <w:sz w:val="56"/>
          <w:szCs w:val="56"/>
        </w:rPr>
      </w:pPr>
      <w:r w:rsidRPr="19768FBF">
        <w:rPr>
          <w:rFonts w:ascii="Times New Roman" w:eastAsia="Times New Roman" w:hAnsi="Times New Roman" w:cs="Times New Roman"/>
          <w:color w:val="000000" w:themeColor="text1"/>
          <w:sz w:val="56"/>
          <w:szCs w:val="56"/>
        </w:rPr>
        <w:t>Student number: 2245095</w:t>
      </w:r>
    </w:p>
    <w:p w14:paraId="281E9DB7" w14:textId="5665955A" w:rsidR="004C5C34" w:rsidRDefault="004C5C34" w:rsidP="19768FBF">
      <w:pPr>
        <w:rPr>
          <w:rFonts w:ascii="Times New Roman" w:eastAsia="Times New Roman" w:hAnsi="Times New Roman" w:cs="Times New Roman"/>
          <w:color w:val="000000" w:themeColor="text1"/>
          <w:sz w:val="56"/>
          <w:szCs w:val="56"/>
        </w:rPr>
      </w:pPr>
    </w:p>
    <w:p w14:paraId="0078CBC7" w14:textId="77777777" w:rsidR="00A36182" w:rsidRDefault="00A36182" w:rsidP="19768FBF">
      <w:pPr>
        <w:rPr>
          <w:rFonts w:ascii="Times New Roman" w:eastAsia="Times New Roman" w:hAnsi="Times New Roman" w:cs="Times New Roman"/>
          <w:b/>
          <w:bCs/>
          <w:color w:val="000000" w:themeColor="text1"/>
          <w:sz w:val="56"/>
          <w:szCs w:val="56"/>
        </w:rPr>
      </w:pPr>
    </w:p>
    <w:p w14:paraId="674EDD1B" w14:textId="77777777" w:rsidR="00263B4B" w:rsidRDefault="00263B4B" w:rsidP="19768FBF">
      <w:pPr>
        <w:rPr>
          <w:rFonts w:ascii="Times New Roman" w:eastAsia="Times New Roman" w:hAnsi="Times New Roman" w:cs="Times New Roman"/>
          <w:b/>
          <w:bCs/>
          <w:color w:val="000000" w:themeColor="text1"/>
          <w:sz w:val="56"/>
          <w:szCs w:val="56"/>
        </w:rPr>
      </w:pPr>
    </w:p>
    <w:p w14:paraId="516A8C97" w14:textId="2FAEFDE4" w:rsidR="004C5C34" w:rsidRDefault="4F5A342B" w:rsidP="19768FBF">
      <w:pPr>
        <w:rPr>
          <w:rFonts w:ascii="Times New Roman" w:eastAsia="Times New Roman" w:hAnsi="Times New Roman" w:cs="Times New Roman"/>
          <w:b/>
          <w:bCs/>
          <w:color w:val="000000" w:themeColor="text1"/>
          <w:sz w:val="56"/>
          <w:szCs w:val="56"/>
        </w:rPr>
      </w:pPr>
      <w:r w:rsidRPr="19768FBF">
        <w:rPr>
          <w:rFonts w:ascii="Times New Roman" w:eastAsia="Times New Roman" w:hAnsi="Times New Roman" w:cs="Times New Roman"/>
          <w:b/>
          <w:bCs/>
          <w:color w:val="000000" w:themeColor="text1"/>
          <w:sz w:val="56"/>
          <w:szCs w:val="56"/>
        </w:rPr>
        <w:t>Consent and its role in cases involving battery.</w:t>
      </w:r>
      <w:r w:rsidR="63696AF0" w:rsidRPr="19768FBF">
        <w:rPr>
          <w:rFonts w:ascii="Times New Roman" w:eastAsia="Times New Roman" w:hAnsi="Times New Roman" w:cs="Times New Roman"/>
          <w:b/>
          <w:bCs/>
          <w:color w:val="000000" w:themeColor="text1"/>
          <w:sz w:val="56"/>
          <w:szCs w:val="56"/>
        </w:rPr>
        <w:t xml:space="preserve"> </w:t>
      </w:r>
      <w:proofErr w:type="spellStart"/>
      <w:r w:rsidR="00A36182">
        <w:rPr>
          <w:rFonts w:ascii="Times New Roman" w:eastAsia="Times New Roman" w:hAnsi="Times New Roman" w:cs="Times New Roman"/>
          <w:b/>
          <w:bCs/>
          <w:color w:val="000000" w:themeColor="text1"/>
          <w:sz w:val="56"/>
          <w:szCs w:val="56"/>
        </w:rPr>
        <w:t>Resit</w:t>
      </w:r>
      <w:proofErr w:type="spellEnd"/>
      <w:r w:rsidR="00A36182">
        <w:rPr>
          <w:rFonts w:ascii="Times New Roman" w:eastAsia="Times New Roman" w:hAnsi="Times New Roman" w:cs="Times New Roman"/>
          <w:b/>
          <w:bCs/>
          <w:color w:val="000000" w:themeColor="text1"/>
          <w:sz w:val="56"/>
          <w:szCs w:val="56"/>
        </w:rPr>
        <w:t>, 20</w:t>
      </w:r>
      <w:r w:rsidR="00A36182" w:rsidRPr="00A36182">
        <w:rPr>
          <w:rFonts w:ascii="Times New Roman" w:eastAsia="Times New Roman" w:hAnsi="Times New Roman" w:cs="Times New Roman"/>
          <w:b/>
          <w:bCs/>
          <w:color w:val="000000" w:themeColor="text1"/>
          <w:sz w:val="56"/>
          <w:szCs w:val="56"/>
          <w:vertAlign w:val="superscript"/>
        </w:rPr>
        <w:t>th</w:t>
      </w:r>
      <w:r w:rsidR="00A36182">
        <w:rPr>
          <w:rFonts w:ascii="Times New Roman" w:eastAsia="Times New Roman" w:hAnsi="Times New Roman" w:cs="Times New Roman"/>
          <w:b/>
          <w:bCs/>
          <w:color w:val="000000" w:themeColor="text1"/>
          <w:sz w:val="56"/>
          <w:szCs w:val="56"/>
        </w:rPr>
        <w:t xml:space="preserve"> of March 2024.</w:t>
      </w:r>
    </w:p>
    <w:p w14:paraId="6665E4B2" w14:textId="02B07ED7" w:rsidR="004C5C34" w:rsidRDefault="004C5C34" w:rsidP="19768FBF">
      <w:pPr>
        <w:rPr>
          <w:rFonts w:ascii="Times New Roman" w:eastAsia="Times New Roman" w:hAnsi="Times New Roman" w:cs="Times New Roman"/>
          <w:color w:val="000000" w:themeColor="text1"/>
          <w:sz w:val="56"/>
          <w:szCs w:val="56"/>
        </w:rPr>
      </w:pPr>
    </w:p>
    <w:p w14:paraId="1FF62435" w14:textId="1AC38892" w:rsidR="00A36182" w:rsidRPr="19768FBF" w:rsidRDefault="50ACA72A" w:rsidP="00A36182">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t xml:space="preserve">                              </w:t>
      </w:r>
    </w:p>
    <w:p w14:paraId="1838403B" w14:textId="5A5AFADD" w:rsidR="004C5C34" w:rsidRDefault="004C5C34"/>
    <w:p w14:paraId="27BFE3ED" w14:textId="76691098" w:rsidR="004C5C34" w:rsidRDefault="004C5C34"/>
    <w:p w14:paraId="2FE4A29D" w14:textId="77777777" w:rsidR="00A36182" w:rsidRDefault="00A36182">
      <w:pPr>
        <w:rPr>
          <w:rFonts w:ascii="Times New Roman" w:eastAsia="Times New Roman" w:hAnsi="Times New Roman" w:cs="Times New Roman"/>
          <w:color w:val="000000" w:themeColor="text1"/>
        </w:rPr>
      </w:pPr>
    </w:p>
    <w:p w14:paraId="211BBC8D" w14:textId="77777777" w:rsidR="00A36182" w:rsidRDefault="00A36182">
      <w:pPr>
        <w:rPr>
          <w:rFonts w:ascii="Times New Roman" w:eastAsia="Times New Roman" w:hAnsi="Times New Roman" w:cs="Times New Roman"/>
          <w:color w:val="000000" w:themeColor="text1"/>
        </w:rPr>
      </w:pPr>
    </w:p>
    <w:p w14:paraId="39BE3637" w14:textId="77777777" w:rsidR="00A36182" w:rsidRDefault="00A36182">
      <w:pPr>
        <w:rPr>
          <w:rFonts w:ascii="Times New Roman" w:eastAsia="Times New Roman" w:hAnsi="Times New Roman" w:cs="Times New Roman"/>
          <w:color w:val="000000" w:themeColor="text1"/>
        </w:rPr>
      </w:pPr>
    </w:p>
    <w:p w14:paraId="6BA4A4BE" w14:textId="0B19EBD7" w:rsidR="004C5C34" w:rsidRPr="00094244" w:rsidRDefault="4F5A342B" w:rsidP="19768FBF">
      <w:r w:rsidRPr="19768FBF">
        <w:rPr>
          <w:rFonts w:ascii="Times New Roman" w:eastAsia="Times New Roman" w:hAnsi="Times New Roman" w:cs="Times New Roman"/>
          <w:color w:val="000000" w:themeColor="text1"/>
        </w:rPr>
        <w:t xml:space="preserve">The term Criminal law is the body of law that defines different criminal offences that deals with apprehension, </w:t>
      </w:r>
      <w:r w:rsidR="0D6A742E" w:rsidRPr="19768FBF">
        <w:rPr>
          <w:rFonts w:ascii="Times New Roman" w:eastAsia="Times New Roman" w:hAnsi="Times New Roman" w:cs="Times New Roman"/>
          <w:color w:val="000000" w:themeColor="text1"/>
        </w:rPr>
        <w:t>charges,</w:t>
      </w:r>
      <w:r w:rsidRPr="19768FBF">
        <w:rPr>
          <w:rFonts w:ascii="Times New Roman" w:eastAsia="Times New Roman" w:hAnsi="Times New Roman" w:cs="Times New Roman"/>
          <w:color w:val="000000" w:themeColor="text1"/>
        </w:rPr>
        <w:t xml:space="preserve"> and trial of </w:t>
      </w:r>
      <w:r w:rsidR="4D13F9C1" w:rsidRPr="19768FBF">
        <w:rPr>
          <w:rFonts w:ascii="Times New Roman" w:eastAsia="Times New Roman" w:hAnsi="Times New Roman" w:cs="Times New Roman"/>
          <w:color w:val="000000" w:themeColor="text1"/>
        </w:rPr>
        <w:t>a</w:t>
      </w:r>
      <w:r w:rsidRPr="19768FBF">
        <w:rPr>
          <w:rFonts w:ascii="Times New Roman" w:eastAsia="Times New Roman" w:hAnsi="Times New Roman" w:cs="Times New Roman"/>
          <w:color w:val="000000" w:themeColor="text1"/>
        </w:rPr>
        <w:t xml:space="preserve"> suspected persons, that deals with the </w:t>
      </w:r>
      <w:r w:rsidR="0CB385A8" w:rsidRPr="19768FBF">
        <w:rPr>
          <w:rFonts w:ascii="Times New Roman" w:eastAsia="Times New Roman" w:hAnsi="Times New Roman" w:cs="Times New Roman"/>
          <w:color w:val="000000" w:themeColor="text1"/>
        </w:rPr>
        <w:t>penalties</w:t>
      </w:r>
      <w:r w:rsidRPr="19768FBF">
        <w:rPr>
          <w:rFonts w:ascii="Times New Roman" w:eastAsia="Times New Roman" w:hAnsi="Times New Roman" w:cs="Times New Roman"/>
          <w:color w:val="000000" w:themeColor="text1"/>
        </w:rPr>
        <w:t xml:space="preserve"> and modes of treatment applicable to convicted offenders (Monaghan, 2022). Also, English Criminal law is the branch of law that relates to the offences, its prevention and what are the consequences of a breach of law prevailing in England and Wales. Criminal conduct is the term that outlines wrong committed against not only the individual persons but also affect the whole community at large. The legislation related to criminal law is Criminal Law Act, 1977 which is framed with the purpose to provide consequences in the form of punishment in case of any breaking of law. </w:t>
      </w:r>
      <w:r w:rsidR="00A36182" w:rsidRPr="19768FBF">
        <w:rPr>
          <w:rFonts w:ascii="Times New Roman" w:eastAsia="Times New Roman" w:hAnsi="Times New Roman" w:cs="Times New Roman"/>
          <w:color w:val="000000" w:themeColor="text1"/>
        </w:rPr>
        <w:t xml:space="preserve">The informed consent should be the essential element for determining whether the act of battery is committed or not. </w:t>
      </w:r>
      <w:r w:rsidRPr="19768FBF">
        <w:rPr>
          <w:rFonts w:ascii="Times New Roman" w:eastAsia="Times New Roman" w:hAnsi="Times New Roman" w:cs="Times New Roman"/>
          <w:color w:val="000000" w:themeColor="text1"/>
        </w:rPr>
        <w:t>Th</w:t>
      </w:r>
      <w:r w:rsidR="00A36182">
        <w:rPr>
          <w:rFonts w:ascii="Times New Roman" w:eastAsia="Times New Roman" w:hAnsi="Times New Roman" w:cs="Times New Roman"/>
          <w:color w:val="000000" w:themeColor="text1"/>
        </w:rPr>
        <w:t>is</w:t>
      </w:r>
      <w:r w:rsidRPr="19768FBF">
        <w:rPr>
          <w:rFonts w:ascii="Times New Roman" w:eastAsia="Times New Roman" w:hAnsi="Times New Roman" w:cs="Times New Roman"/>
          <w:color w:val="000000" w:themeColor="text1"/>
        </w:rPr>
        <w:t xml:space="preserve"> essay deals with the discussion related to consent </w:t>
      </w:r>
      <w:r w:rsidR="485EF898" w:rsidRPr="19768FBF">
        <w:rPr>
          <w:rFonts w:ascii="Times New Roman" w:eastAsia="Times New Roman" w:hAnsi="Times New Roman" w:cs="Times New Roman"/>
          <w:color w:val="000000" w:themeColor="text1"/>
        </w:rPr>
        <w:t>playing</w:t>
      </w:r>
      <w:r w:rsidRPr="19768FBF">
        <w:rPr>
          <w:rFonts w:ascii="Times New Roman" w:eastAsia="Times New Roman" w:hAnsi="Times New Roman" w:cs="Times New Roman"/>
          <w:color w:val="000000" w:themeColor="text1"/>
        </w:rPr>
        <w:t xml:space="preserve"> </w:t>
      </w:r>
      <w:r w:rsidR="1D125AD6" w:rsidRPr="19768FBF">
        <w:rPr>
          <w:rFonts w:ascii="Times New Roman" w:eastAsia="Times New Roman" w:hAnsi="Times New Roman" w:cs="Times New Roman"/>
          <w:color w:val="000000" w:themeColor="text1"/>
        </w:rPr>
        <w:t>a crucial</w:t>
      </w:r>
      <w:r w:rsidRPr="19768FBF">
        <w:rPr>
          <w:rFonts w:ascii="Times New Roman" w:eastAsia="Times New Roman" w:hAnsi="Times New Roman" w:cs="Times New Roman"/>
          <w:color w:val="000000" w:themeColor="text1"/>
        </w:rPr>
        <w:t xml:space="preserve"> role</w:t>
      </w:r>
      <w:r w:rsidR="2E6B288E" w:rsidRPr="19768FBF">
        <w:rPr>
          <w:rFonts w:ascii="Times New Roman" w:eastAsia="Times New Roman" w:hAnsi="Times New Roman" w:cs="Times New Roman"/>
          <w:color w:val="000000" w:themeColor="text1"/>
        </w:rPr>
        <w:t xml:space="preserve"> i</w:t>
      </w:r>
      <w:r w:rsidRPr="19768FBF">
        <w:rPr>
          <w:rFonts w:ascii="Times New Roman" w:eastAsia="Times New Roman" w:hAnsi="Times New Roman" w:cs="Times New Roman"/>
          <w:color w:val="000000" w:themeColor="text1"/>
        </w:rPr>
        <w:t xml:space="preserve">n battery crimes under criminal law. </w:t>
      </w:r>
      <w:r w:rsidR="00A36182">
        <w:rPr>
          <w:rFonts w:ascii="Times New Roman" w:eastAsia="Times New Roman" w:hAnsi="Times New Roman" w:cs="Times New Roman"/>
          <w:color w:val="000000" w:themeColor="text1"/>
        </w:rPr>
        <w:t xml:space="preserve">This essay will outline and evaluate the battery crime in UK, explain significant role of consent in battery crimes, it will also explore ethical principles around consent as well as its philosophical aspect and legal framework. </w:t>
      </w:r>
    </w:p>
    <w:p w14:paraId="0853B64D" w14:textId="721A7747" w:rsidR="004C5C34" w:rsidRDefault="4F5A342B">
      <w:r w:rsidRPr="19768FBF">
        <w:rPr>
          <w:rFonts w:ascii="Times New Roman" w:eastAsia="Times New Roman" w:hAnsi="Times New Roman" w:cs="Times New Roman"/>
          <w:color w:val="000000" w:themeColor="text1"/>
        </w:rPr>
        <w:t>Battery crime is considered as serious crime in the field of law as it</w:t>
      </w:r>
      <w:r w:rsidR="30CE3732" w:rsidRPr="19768FBF">
        <w:rPr>
          <w:rFonts w:ascii="Times New Roman" w:eastAsia="Times New Roman" w:hAnsi="Times New Roman" w:cs="Times New Roman"/>
          <w:color w:val="000000" w:themeColor="text1"/>
        </w:rPr>
        <w:t xml:space="preserve"> is</w:t>
      </w:r>
      <w:r w:rsidRPr="19768FBF">
        <w:rPr>
          <w:rFonts w:ascii="Times New Roman" w:eastAsia="Times New Roman" w:hAnsi="Times New Roman" w:cs="Times New Roman"/>
          <w:color w:val="000000" w:themeColor="text1"/>
        </w:rPr>
        <w:t xml:space="preserve"> committed by one individual, where one person intentionally used </w:t>
      </w:r>
      <w:r w:rsidR="517BC499" w:rsidRPr="19768FBF">
        <w:rPr>
          <w:rFonts w:ascii="Times New Roman" w:eastAsia="Times New Roman" w:hAnsi="Times New Roman" w:cs="Times New Roman"/>
          <w:color w:val="000000" w:themeColor="text1"/>
        </w:rPr>
        <w:t>force</w:t>
      </w:r>
      <w:r w:rsidRPr="19768FBF">
        <w:rPr>
          <w:rFonts w:ascii="Times New Roman" w:eastAsia="Times New Roman" w:hAnsi="Times New Roman" w:cs="Times New Roman"/>
          <w:color w:val="000000" w:themeColor="text1"/>
        </w:rPr>
        <w:t xml:space="preserve"> against another without </w:t>
      </w:r>
      <w:r w:rsidR="3E02B3F4" w:rsidRPr="19768FBF">
        <w:rPr>
          <w:rFonts w:ascii="Times New Roman" w:eastAsia="Times New Roman" w:hAnsi="Times New Roman" w:cs="Times New Roman"/>
          <w:color w:val="000000" w:themeColor="text1"/>
        </w:rPr>
        <w:t>another</w:t>
      </w:r>
      <w:r w:rsidRPr="19768FBF">
        <w:rPr>
          <w:rFonts w:ascii="Times New Roman" w:eastAsia="Times New Roman" w:hAnsi="Times New Roman" w:cs="Times New Roman"/>
          <w:color w:val="000000" w:themeColor="text1"/>
        </w:rPr>
        <w:t xml:space="preserve"> </w:t>
      </w:r>
      <w:r w:rsidR="65DFA90D" w:rsidRPr="19768FBF">
        <w:rPr>
          <w:rFonts w:ascii="Times New Roman" w:eastAsia="Times New Roman" w:hAnsi="Times New Roman" w:cs="Times New Roman"/>
          <w:color w:val="000000" w:themeColor="text1"/>
        </w:rPr>
        <w:t>person's</w:t>
      </w:r>
      <w:r w:rsidRPr="19768FBF">
        <w:rPr>
          <w:rFonts w:ascii="Times New Roman" w:eastAsia="Times New Roman" w:hAnsi="Times New Roman" w:cs="Times New Roman"/>
          <w:color w:val="000000" w:themeColor="text1"/>
        </w:rPr>
        <w:t xml:space="preserve"> consent. In English law Battery crime is known as the common criminal offence where one person has intentionally touched other person in physical manner without other person consent and cause harm to other person will amount to offence. It is important to understand the battery crime to know the legal conflicts and protecting victims from unjust physical pushing and touching.</w:t>
      </w:r>
    </w:p>
    <w:p w14:paraId="51CAA04F" w14:textId="41842953" w:rsidR="00F01BE6" w:rsidRDefault="4F5A342B">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t xml:space="preserve">The main essential of battery is </w:t>
      </w:r>
      <w:r w:rsidR="70385195" w:rsidRPr="19768FBF">
        <w:rPr>
          <w:rFonts w:ascii="Times New Roman" w:eastAsia="Times New Roman" w:hAnsi="Times New Roman" w:cs="Times New Roman"/>
          <w:color w:val="000000" w:themeColor="text1"/>
        </w:rPr>
        <w:t>i</w:t>
      </w:r>
      <w:r w:rsidRPr="19768FBF">
        <w:rPr>
          <w:rFonts w:ascii="Times New Roman" w:eastAsia="Times New Roman" w:hAnsi="Times New Roman" w:cs="Times New Roman"/>
          <w:color w:val="000000" w:themeColor="text1"/>
        </w:rPr>
        <w:t xml:space="preserve">ntention, contact, </w:t>
      </w:r>
      <w:r w:rsidR="15E54F18" w:rsidRPr="19768FBF">
        <w:rPr>
          <w:rFonts w:ascii="Times New Roman" w:eastAsia="Times New Roman" w:hAnsi="Times New Roman" w:cs="Times New Roman"/>
          <w:color w:val="000000" w:themeColor="text1"/>
        </w:rPr>
        <w:t>h</w:t>
      </w:r>
      <w:r w:rsidRPr="19768FBF">
        <w:rPr>
          <w:rFonts w:ascii="Times New Roman" w:eastAsia="Times New Roman" w:hAnsi="Times New Roman" w:cs="Times New Roman"/>
          <w:color w:val="000000" w:themeColor="text1"/>
        </w:rPr>
        <w:t xml:space="preserve">arm, no lawful </w:t>
      </w:r>
      <w:r w:rsidR="5CF6735E" w:rsidRPr="19768FBF">
        <w:rPr>
          <w:rFonts w:ascii="Times New Roman" w:eastAsia="Times New Roman" w:hAnsi="Times New Roman" w:cs="Times New Roman"/>
          <w:color w:val="000000" w:themeColor="text1"/>
        </w:rPr>
        <w:t>justification,</w:t>
      </w:r>
      <w:r w:rsidRPr="19768FBF">
        <w:rPr>
          <w:rFonts w:ascii="Times New Roman" w:eastAsia="Times New Roman" w:hAnsi="Times New Roman" w:cs="Times New Roman"/>
          <w:color w:val="000000" w:themeColor="text1"/>
        </w:rPr>
        <w:t xml:space="preserve"> and </w:t>
      </w:r>
      <w:r w:rsidR="24C19F9F" w:rsidRPr="19768FBF">
        <w:rPr>
          <w:rFonts w:ascii="Times New Roman" w:eastAsia="Times New Roman" w:hAnsi="Times New Roman" w:cs="Times New Roman"/>
          <w:color w:val="000000" w:themeColor="text1"/>
        </w:rPr>
        <w:t>n</w:t>
      </w:r>
      <w:r w:rsidRPr="19768FBF">
        <w:rPr>
          <w:rFonts w:ascii="Times New Roman" w:eastAsia="Times New Roman" w:hAnsi="Times New Roman" w:cs="Times New Roman"/>
          <w:color w:val="000000" w:themeColor="text1"/>
        </w:rPr>
        <w:t xml:space="preserve">o consent from other person will constitute battery crime (Kenney-Herbert, 2023). The battery will </w:t>
      </w:r>
      <w:r w:rsidR="1A2C2668" w:rsidRPr="19768FBF">
        <w:rPr>
          <w:rFonts w:ascii="Times New Roman" w:eastAsia="Times New Roman" w:hAnsi="Times New Roman" w:cs="Times New Roman"/>
          <w:color w:val="000000" w:themeColor="text1"/>
        </w:rPr>
        <w:t>commit</w:t>
      </w:r>
      <w:r w:rsidRPr="19768FBF">
        <w:rPr>
          <w:rFonts w:ascii="Times New Roman" w:eastAsia="Times New Roman" w:hAnsi="Times New Roman" w:cs="Times New Roman"/>
          <w:color w:val="000000" w:themeColor="text1"/>
        </w:rPr>
        <w:t xml:space="preserve"> on the case where other person has no idea about the contact that w</w:t>
      </w:r>
      <w:r w:rsidR="1D2ED9A3" w:rsidRPr="19768FBF">
        <w:rPr>
          <w:rFonts w:ascii="Times New Roman" w:eastAsia="Times New Roman" w:hAnsi="Times New Roman" w:cs="Times New Roman"/>
          <w:color w:val="000000" w:themeColor="text1"/>
        </w:rPr>
        <w:t>as</w:t>
      </w:r>
      <w:r w:rsidRPr="19768FBF">
        <w:rPr>
          <w:rFonts w:ascii="Times New Roman" w:eastAsia="Times New Roman" w:hAnsi="Times New Roman" w:cs="Times New Roman"/>
          <w:color w:val="000000" w:themeColor="text1"/>
        </w:rPr>
        <w:t xml:space="preserve"> going to happen. However, consent is also treated as part of </w:t>
      </w:r>
      <w:r w:rsidR="28F805DD" w:rsidRPr="19768FBF">
        <w:rPr>
          <w:rFonts w:ascii="Times New Roman" w:eastAsia="Times New Roman" w:hAnsi="Times New Roman" w:cs="Times New Roman"/>
          <w:color w:val="000000" w:themeColor="text1"/>
        </w:rPr>
        <w:t>defense</w:t>
      </w:r>
      <w:r w:rsidRPr="19768FBF">
        <w:rPr>
          <w:rFonts w:ascii="Times New Roman" w:eastAsia="Times New Roman" w:hAnsi="Times New Roman" w:cs="Times New Roman"/>
          <w:color w:val="000000" w:themeColor="text1"/>
        </w:rPr>
        <w:t xml:space="preserve"> in case of Battery crime, if person has voluntarily </w:t>
      </w:r>
      <w:r w:rsidR="7139857B" w:rsidRPr="19768FBF">
        <w:rPr>
          <w:rFonts w:ascii="Times New Roman" w:eastAsia="Times New Roman" w:hAnsi="Times New Roman" w:cs="Times New Roman"/>
          <w:color w:val="000000" w:themeColor="text1"/>
        </w:rPr>
        <w:t>agreed</w:t>
      </w:r>
      <w:r w:rsidRPr="19768FBF">
        <w:rPr>
          <w:rFonts w:ascii="Times New Roman" w:eastAsia="Times New Roman" w:hAnsi="Times New Roman" w:cs="Times New Roman"/>
          <w:color w:val="000000" w:themeColor="text1"/>
        </w:rPr>
        <w:t xml:space="preserve"> to the physical </w:t>
      </w:r>
      <w:r w:rsidR="2483B8A1" w:rsidRPr="19768FBF">
        <w:rPr>
          <w:rFonts w:ascii="Times New Roman" w:eastAsia="Times New Roman" w:hAnsi="Times New Roman" w:cs="Times New Roman"/>
          <w:color w:val="000000" w:themeColor="text1"/>
        </w:rPr>
        <w:t>contact,</w:t>
      </w:r>
      <w:r w:rsidRPr="19768FBF">
        <w:rPr>
          <w:rFonts w:ascii="Times New Roman" w:eastAsia="Times New Roman" w:hAnsi="Times New Roman" w:cs="Times New Roman"/>
          <w:color w:val="000000" w:themeColor="text1"/>
        </w:rPr>
        <w:t xml:space="preserve"> </w:t>
      </w:r>
      <w:r w:rsidR="0E1B009F" w:rsidRPr="19768FBF">
        <w:rPr>
          <w:rFonts w:ascii="Times New Roman" w:eastAsia="Times New Roman" w:hAnsi="Times New Roman" w:cs="Times New Roman"/>
          <w:color w:val="000000" w:themeColor="text1"/>
        </w:rPr>
        <w:t>then</w:t>
      </w:r>
      <w:r w:rsidRPr="19768FBF">
        <w:rPr>
          <w:rFonts w:ascii="Times New Roman" w:eastAsia="Times New Roman" w:hAnsi="Times New Roman" w:cs="Times New Roman"/>
          <w:color w:val="000000" w:themeColor="text1"/>
        </w:rPr>
        <w:t xml:space="preserve"> it will not </w:t>
      </w:r>
      <w:r w:rsidR="5240F9CB" w:rsidRPr="19768FBF">
        <w:rPr>
          <w:rFonts w:ascii="Times New Roman" w:eastAsia="Times New Roman" w:hAnsi="Times New Roman" w:cs="Times New Roman"/>
          <w:color w:val="000000" w:themeColor="text1"/>
        </w:rPr>
        <w:t xml:space="preserve">be </w:t>
      </w:r>
      <w:r w:rsidRPr="19768FBF">
        <w:rPr>
          <w:rFonts w:ascii="Times New Roman" w:eastAsia="Times New Roman" w:hAnsi="Times New Roman" w:cs="Times New Roman"/>
          <w:color w:val="000000" w:themeColor="text1"/>
        </w:rPr>
        <w:t>cover</w:t>
      </w:r>
      <w:r w:rsidR="4E5CAC31" w:rsidRPr="19768FBF">
        <w:rPr>
          <w:rFonts w:ascii="Times New Roman" w:eastAsia="Times New Roman" w:hAnsi="Times New Roman" w:cs="Times New Roman"/>
          <w:color w:val="000000" w:themeColor="text1"/>
        </w:rPr>
        <w:t>ed</w:t>
      </w:r>
      <w:r w:rsidRPr="19768FBF">
        <w:rPr>
          <w:rFonts w:ascii="Times New Roman" w:eastAsia="Times New Roman" w:hAnsi="Times New Roman" w:cs="Times New Roman"/>
          <w:color w:val="000000" w:themeColor="text1"/>
        </w:rPr>
        <w:t xml:space="preserve"> under Battery.</w:t>
      </w:r>
      <w:r w:rsidR="00094244">
        <w:rPr>
          <w:rFonts w:ascii="Times New Roman" w:eastAsia="Times New Roman" w:hAnsi="Times New Roman" w:cs="Times New Roman"/>
          <w:color w:val="000000" w:themeColor="text1"/>
        </w:rPr>
        <w:t xml:space="preserve"> </w:t>
      </w:r>
      <w:r w:rsidR="00DF064B">
        <w:rPr>
          <w:rFonts w:ascii="Times New Roman" w:eastAsia="Times New Roman" w:hAnsi="Times New Roman" w:cs="Times New Roman"/>
          <w:color w:val="000000" w:themeColor="text1"/>
        </w:rPr>
        <w:t>Technically, f</w:t>
      </w:r>
      <w:r w:rsidR="00DF064B" w:rsidRPr="00DF064B">
        <w:rPr>
          <w:rFonts w:ascii="Times New Roman" w:eastAsia="Times New Roman" w:hAnsi="Times New Roman" w:cs="Times New Roman"/>
          <w:color w:val="000000" w:themeColor="text1"/>
        </w:rPr>
        <w:t xml:space="preserve">rom a legal standpoint, assault and battery are considered separate summary offenses. An assault occurs when an individual intentionally or recklessly causes another person to believe that they are in immediate danger of unlawful violence. Battery, on the other hand, is when an individual intentionally or recklessly causes physical harm to another person. In English Common Law, an assault charge refers to the threat of violence, whereas common assault can be committed </w:t>
      </w:r>
      <w:r w:rsidR="005C3528" w:rsidRPr="00DF064B">
        <w:rPr>
          <w:rFonts w:ascii="Times New Roman" w:eastAsia="Times New Roman" w:hAnsi="Times New Roman" w:cs="Times New Roman"/>
          <w:color w:val="000000" w:themeColor="text1"/>
        </w:rPr>
        <w:t>using</w:t>
      </w:r>
      <w:r w:rsidR="00DF064B" w:rsidRPr="00DF064B">
        <w:rPr>
          <w:rFonts w:ascii="Times New Roman" w:eastAsia="Times New Roman" w:hAnsi="Times New Roman" w:cs="Times New Roman"/>
          <w:color w:val="000000" w:themeColor="text1"/>
        </w:rPr>
        <w:t xml:space="preserve"> threatening words or gestures, such as a raised fist, even if no physical violence occurs. The key factor is whether the victim believes they are about to be attacked.</w:t>
      </w:r>
      <w:r w:rsidR="00DF064B">
        <w:rPr>
          <w:rFonts w:ascii="Times New Roman" w:eastAsia="Times New Roman" w:hAnsi="Times New Roman" w:cs="Times New Roman"/>
          <w:color w:val="000000" w:themeColor="text1"/>
        </w:rPr>
        <w:t xml:space="preserve"> </w:t>
      </w:r>
      <w:r w:rsidR="00DF064B" w:rsidRPr="00DF064B">
        <w:rPr>
          <w:rFonts w:ascii="Times New Roman" w:eastAsia="Times New Roman" w:hAnsi="Times New Roman" w:cs="Times New Roman"/>
          <w:color w:val="000000" w:themeColor="text1"/>
        </w:rPr>
        <w:t>Battery</w:t>
      </w:r>
      <w:r w:rsidR="00DF064B">
        <w:rPr>
          <w:rFonts w:ascii="Times New Roman" w:eastAsia="Times New Roman" w:hAnsi="Times New Roman" w:cs="Times New Roman"/>
          <w:color w:val="000000" w:themeColor="text1"/>
        </w:rPr>
        <w:t>, meanwhile,</w:t>
      </w:r>
      <w:r w:rsidR="00DF064B" w:rsidRPr="00DF064B">
        <w:rPr>
          <w:rFonts w:ascii="Times New Roman" w:eastAsia="Times New Roman" w:hAnsi="Times New Roman" w:cs="Times New Roman"/>
          <w:color w:val="000000" w:themeColor="text1"/>
        </w:rPr>
        <w:t xml:space="preserve"> is a criminal offense in England and Wales that entails physical and offensive contact between the perpetrator and the victim. This offense has two components: actus reus and </w:t>
      </w:r>
      <w:proofErr w:type="spellStart"/>
      <w:r w:rsidR="00DF064B" w:rsidRPr="00DF064B">
        <w:rPr>
          <w:rFonts w:ascii="Times New Roman" w:eastAsia="Times New Roman" w:hAnsi="Times New Roman" w:cs="Times New Roman"/>
          <w:color w:val="000000" w:themeColor="text1"/>
        </w:rPr>
        <w:t>mens</w:t>
      </w:r>
      <w:proofErr w:type="spellEnd"/>
      <w:r w:rsidR="00DF064B" w:rsidRPr="00DF064B">
        <w:rPr>
          <w:rFonts w:ascii="Times New Roman" w:eastAsia="Times New Roman" w:hAnsi="Times New Roman" w:cs="Times New Roman"/>
          <w:color w:val="000000" w:themeColor="text1"/>
        </w:rPr>
        <w:t xml:space="preserve"> rea. Actus reus denotes the unlawful touching or application of force by the defendant on the victim, while </w:t>
      </w:r>
      <w:proofErr w:type="spellStart"/>
      <w:r w:rsidR="00DF064B" w:rsidRPr="00DF064B">
        <w:rPr>
          <w:rFonts w:ascii="Times New Roman" w:eastAsia="Times New Roman" w:hAnsi="Times New Roman" w:cs="Times New Roman"/>
          <w:color w:val="000000" w:themeColor="text1"/>
        </w:rPr>
        <w:t>mens</w:t>
      </w:r>
      <w:proofErr w:type="spellEnd"/>
      <w:r w:rsidR="00DF064B" w:rsidRPr="00DF064B">
        <w:rPr>
          <w:rFonts w:ascii="Times New Roman" w:eastAsia="Times New Roman" w:hAnsi="Times New Roman" w:cs="Times New Roman"/>
          <w:color w:val="000000" w:themeColor="text1"/>
        </w:rPr>
        <w:t xml:space="preserve"> rea pertains to the defendant's intention to cause harm or their recklessness in doing so.</w:t>
      </w:r>
      <w:r w:rsidR="00F01BE6">
        <w:rPr>
          <w:rFonts w:ascii="Times New Roman" w:eastAsia="Times New Roman" w:hAnsi="Times New Roman" w:cs="Times New Roman"/>
          <w:color w:val="000000" w:themeColor="text1"/>
        </w:rPr>
        <w:t xml:space="preserve"> </w:t>
      </w:r>
    </w:p>
    <w:p w14:paraId="44A7B1A2" w14:textId="26E045CB" w:rsidR="004C5C34" w:rsidRDefault="4F5A342B">
      <w:r w:rsidRPr="19768FBF">
        <w:rPr>
          <w:rFonts w:ascii="Times New Roman" w:eastAsia="Times New Roman" w:hAnsi="Times New Roman" w:cs="Times New Roman"/>
          <w:color w:val="000000" w:themeColor="text1"/>
        </w:rPr>
        <w:t xml:space="preserve">In R v Gladstone Williams (1984) 78 Cr App R 276, </w:t>
      </w:r>
      <w:r w:rsidR="42F991A4" w:rsidRPr="19768FBF">
        <w:rPr>
          <w:rFonts w:ascii="Times New Roman" w:eastAsia="Times New Roman" w:hAnsi="Times New Roman" w:cs="Times New Roman"/>
          <w:color w:val="000000" w:themeColor="text1"/>
        </w:rPr>
        <w:t>a</w:t>
      </w:r>
      <w:r w:rsidRPr="19768FBF">
        <w:rPr>
          <w:rFonts w:ascii="Times New Roman" w:eastAsia="Times New Roman" w:hAnsi="Times New Roman" w:cs="Times New Roman"/>
          <w:color w:val="000000" w:themeColor="text1"/>
        </w:rPr>
        <w:t xml:space="preserve">s per this case the Lord Chief Justice has stated that battery crimes </w:t>
      </w:r>
      <w:r w:rsidR="45582820" w:rsidRPr="19768FBF">
        <w:rPr>
          <w:rFonts w:ascii="Times New Roman" w:eastAsia="Times New Roman" w:hAnsi="Times New Roman" w:cs="Times New Roman"/>
          <w:color w:val="000000" w:themeColor="text1"/>
        </w:rPr>
        <w:t>are</w:t>
      </w:r>
      <w:r w:rsidRPr="19768FBF">
        <w:rPr>
          <w:rFonts w:ascii="Times New Roman" w:eastAsia="Times New Roman" w:hAnsi="Times New Roman" w:cs="Times New Roman"/>
          <w:color w:val="000000" w:themeColor="text1"/>
        </w:rPr>
        <w:t xml:space="preserve"> defined as an act that has been committed by the defendant intentionally, recklessly and made an application of unlawful force towards the complainant than the accused will be liable for the same.</w:t>
      </w:r>
    </w:p>
    <w:p w14:paraId="5AB79399" w14:textId="55957DEF" w:rsidR="004C5C34" w:rsidRPr="003D6E53" w:rsidRDefault="4F5A342B">
      <w:pPr>
        <w:rPr>
          <w:rFonts w:ascii="Times New Roman" w:eastAsia="Times New Roman" w:hAnsi="Times New Roman" w:cs="Times New Roman"/>
          <w:color w:val="000000" w:themeColor="text1"/>
        </w:rPr>
      </w:pPr>
      <w:r w:rsidRPr="003D6E53">
        <w:rPr>
          <w:rFonts w:ascii="Times New Roman" w:eastAsia="Times New Roman" w:hAnsi="Times New Roman" w:cs="Times New Roman"/>
          <w:color w:val="000000" w:themeColor="text1"/>
        </w:rPr>
        <w:t>Consent plays significant role in battery crime</w:t>
      </w:r>
      <w:r w:rsidR="003D6E53">
        <w:rPr>
          <w:rFonts w:ascii="Times New Roman" w:eastAsia="Times New Roman" w:hAnsi="Times New Roman" w:cs="Times New Roman"/>
          <w:color w:val="000000" w:themeColor="text1"/>
        </w:rPr>
        <w:t xml:space="preserve">. </w:t>
      </w:r>
      <w:r w:rsidRPr="19768FBF">
        <w:rPr>
          <w:rFonts w:ascii="Times New Roman" w:eastAsia="Times New Roman" w:hAnsi="Times New Roman" w:cs="Times New Roman"/>
          <w:color w:val="000000" w:themeColor="text1"/>
        </w:rPr>
        <w:t xml:space="preserve">For considering </w:t>
      </w:r>
      <w:r w:rsidR="6605B587" w:rsidRPr="19768FBF">
        <w:rPr>
          <w:rFonts w:ascii="Times New Roman" w:eastAsia="Times New Roman" w:hAnsi="Times New Roman" w:cs="Times New Roman"/>
          <w:color w:val="000000" w:themeColor="text1"/>
        </w:rPr>
        <w:t>a</w:t>
      </w:r>
      <w:r w:rsidRPr="19768FBF">
        <w:rPr>
          <w:rFonts w:ascii="Times New Roman" w:eastAsia="Times New Roman" w:hAnsi="Times New Roman" w:cs="Times New Roman"/>
          <w:color w:val="000000" w:themeColor="text1"/>
        </w:rPr>
        <w:t xml:space="preserve"> particular action as battery, the victim should not </w:t>
      </w:r>
      <w:r w:rsidR="266CCBB4" w:rsidRPr="19768FBF">
        <w:rPr>
          <w:rFonts w:ascii="Times New Roman" w:eastAsia="Times New Roman" w:hAnsi="Times New Roman" w:cs="Times New Roman"/>
          <w:color w:val="000000" w:themeColor="text1"/>
        </w:rPr>
        <w:t>require</w:t>
      </w:r>
      <w:r w:rsidRPr="19768FBF">
        <w:rPr>
          <w:rFonts w:ascii="Times New Roman" w:eastAsia="Times New Roman" w:hAnsi="Times New Roman" w:cs="Times New Roman"/>
          <w:color w:val="000000" w:themeColor="text1"/>
        </w:rPr>
        <w:t xml:space="preserve"> </w:t>
      </w:r>
      <w:r w:rsidR="666E73E3" w:rsidRPr="19768FBF">
        <w:rPr>
          <w:rFonts w:ascii="Times New Roman" w:eastAsia="Times New Roman" w:hAnsi="Times New Roman" w:cs="Times New Roman"/>
          <w:color w:val="000000" w:themeColor="text1"/>
        </w:rPr>
        <w:t>giving</w:t>
      </w:r>
      <w:r w:rsidRPr="19768FBF">
        <w:rPr>
          <w:rFonts w:ascii="Times New Roman" w:eastAsia="Times New Roman" w:hAnsi="Times New Roman" w:cs="Times New Roman"/>
          <w:color w:val="000000" w:themeColor="text1"/>
        </w:rPr>
        <w:t xml:space="preserve"> their consent for physical contact. As consent plays a crucial role in order, from transferring an action to becoming an offence. The consent is genera</w:t>
      </w:r>
      <w:r w:rsidR="5356247D" w:rsidRPr="19768FBF">
        <w:rPr>
          <w:rFonts w:ascii="Times New Roman" w:eastAsia="Times New Roman" w:hAnsi="Times New Roman" w:cs="Times New Roman"/>
          <w:color w:val="000000" w:themeColor="text1"/>
        </w:rPr>
        <w:t>l defense</w:t>
      </w:r>
      <w:r w:rsidRPr="19768FBF">
        <w:rPr>
          <w:rFonts w:ascii="Times New Roman" w:eastAsia="Times New Roman" w:hAnsi="Times New Roman" w:cs="Times New Roman"/>
          <w:color w:val="000000" w:themeColor="text1"/>
        </w:rPr>
        <w:t xml:space="preserve"> that is available in all type</w:t>
      </w:r>
      <w:r w:rsidR="2760D056" w:rsidRPr="19768FBF">
        <w:rPr>
          <w:rFonts w:ascii="Times New Roman" w:eastAsia="Times New Roman" w:hAnsi="Times New Roman" w:cs="Times New Roman"/>
          <w:color w:val="000000" w:themeColor="text1"/>
        </w:rPr>
        <w:t>s</w:t>
      </w:r>
      <w:r w:rsidRPr="19768FBF">
        <w:rPr>
          <w:rFonts w:ascii="Times New Roman" w:eastAsia="Times New Roman" w:hAnsi="Times New Roman" w:cs="Times New Roman"/>
          <w:color w:val="000000" w:themeColor="text1"/>
        </w:rPr>
        <w:t xml:space="preserve"> of offences </w:t>
      </w:r>
      <w:r w:rsidR="216709C5" w:rsidRPr="19768FBF">
        <w:rPr>
          <w:rFonts w:ascii="Times New Roman" w:eastAsia="Times New Roman" w:hAnsi="Times New Roman" w:cs="Times New Roman"/>
          <w:color w:val="000000" w:themeColor="text1"/>
        </w:rPr>
        <w:t>and</w:t>
      </w:r>
      <w:r w:rsidRPr="19768FBF">
        <w:rPr>
          <w:rFonts w:ascii="Times New Roman" w:eastAsia="Times New Roman" w:hAnsi="Times New Roman" w:cs="Times New Roman"/>
          <w:color w:val="000000" w:themeColor="text1"/>
        </w:rPr>
        <w:t xml:space="preserve"> used </w:t>
      </w:r>
      <w:r w:rsidR="2ED27FB0" w:rsidRPr="19768FBF">
        <w:rPr>
          <w:rFonts w:ascii="Times New Roman" w:eastAsia="Times New Roman" w:hAnsi="Times New Roman" w:cs="Times New Roman"/>
          <w:color w:val="000000" w:themeColor="text1"/>
        </w:rPr>
        <w:t>in</w:t>
      </w:r>
      <w:r w:rsidRPr="19768FBF">
        <w:rPr>
          <w:rFonts w:ascii="Times New Roman" w:eastAsia="Times New Roman" w:hAnsi="Times New Roman" w:cs="Times New Roman"/>
          <w:color w:val="000000" w:themeColor="text1"/>
        </w:rPr>
        <w:t xml:space="preserve"> </w:t>
      </w:r>
      <w:r w:rsidR="03ED05A3" w:rsidRPr="19768FBF">
        <w:rPr>
          <w:rFonts w:ascii="Times New Roman" w:eastAsia="Times New Roman" w:hAnsi="Times New Roman" w:cs="Times New Roman"/>
          <w:color w:val="000000" w:themeColor="text1"/>
        </w:rPr>
        <w:t>non-fatal</w:t>
      </w:r>
      <w:r w:rsidRPr="19768FBF">
        <w:rPr>
          <w:rFonts w:ascii="Times New Roman" w:eastAsia="Times New Roman" w:hAnsi="Times New Roman" w:cs="Times New Roman"/>
          <w:color w:val="000000" w:themeColor="text1"/>
        </w:rPr>
        <w:t xml:space="preserve"> offences like battery and assault</w:t>
      </w:r>
      <w:r w:rsidR="003D6E53">
        <w:rPr>
          <w:rFonts w:ascii="Times New Roman" w:eastAsia="Times New Roman" w:hAnsi="Times New Roman" w:cs="Times New Roman"/>
          <w:color w:val="000000" w:themeColor="text1"/>
        </w:rPr>
        <w:t xml:space="preserve"> (</w:t>
      </w:r>
      <w:proofErr w:type="spellStart"/>
      <w:r w:rsidR="003D6E53">
        <w:rPr>
          <w:rFonts w:ascii="Times New Roman" w:eastAsia="Times New Roman" w:hAnsi="Times New Roman" w:cs="Times New Roman"/>
          <w:color w:val="000000" w:themeColor="text1"/>
        </w:rPr>
        <w:t>Horder</w:t>
      </w:r>
      <w:proofErr w:type="spellEnd"/>
      <w:r w:rsidR="003D6E53">
        <w:rPr>
          <w:rFonts w:ascii="Times New Roman" w:eastAsia="Times New Roman" w:hAnsi="Times New Roman" w:cs="Times New Roman"/>
          <w:color w:val="000000" w:themeColor="text1"/>
        </w:rPr>
        <w:t xml:space="preserve">, 1994; Ashford and Reed, 2016). </w:t>
      </w:r>
      <w:r w:rsidRPr="19768FBF">
        <w:rPr>
          <w:rFonts w:ascii="Times New Roman" w:eastAsia="Times New Roman" w:hAnsi="Times New Roman" w:cs="Times New Roman"/>
          <w:color w:val="000000" w:themeColor="text1"/>
        </w:rPr>
        <w:t xml:space="preserve">For Battery the consent should not be there regarding the physical contact, consent should be </w:t>
      </w:r>
      <w:r w:rsidRPr="19768FBF">
        <w:rPr>
          <w:rFonts w:ascii="Times New Roman" w:eastAsia="Times New Roman" w:hAnsi="Times New Roman" w:cs="Times New Roman"/>
          <w:color w:val="000000" w:themeColor="text1"/>
        </w:rPr>
        <w:lastRenderedPageBreak/>
        <w:t>voluntarily and required to be valid (Ellis and Ellis, 2022).</w:t>
      </w:r>
      <w:r w:rsidR="003D6E53">
        <w:rPr>
          <w:rFonts w:ascii="Times New Roman" w:eastAsia="Times New Roman" w:hAnsi="Times New Roman" w:cs="Times New Roman"/>
          <w:color w:val="000000" w:themeColor="text1"/>
        </w:rPr>
        <w:t xml:space="preserve"> </w:t>
      </w:r>
      <w:r w:rsidRPr="19768FBF">
        <w:rPr>
          <w:rFonts w:ascii="Times New Roman" w:eastAsia="Times New Roman" w:hAnsi="Times New Roman" w:cs="Times New Roman"/>
          <w:color w:val="000000" w:themeColor="text1"/>
        </w:rPr>
        <w:t xml:space="preserve">The person cannot accuse </w:t>
      </w:r>
      <w:r w:rsidR="1C6147DC" w:rsidRPr="19768FBF">
        <w:rPr>
          <w:rFonts w:ascii="Times New Roman" w:eastAsia="Times New Roman" w:hAnsi="Times New Roman" w:cs="Times New Roman"/>
          <w:color w:val="000000" w:themeColor="text1"/>
        </w:rPr>
        <w:t>the other</w:t>
      </w:r>
      <w:r w:rsidRPr="19768FBF">
        <w:rPr>
          <w:rFonts w:ascii="Times New Roman" w:eastAsia="Times New Roman" w:hAnsi="Times New Roman" w:cs="Times New Roman"/>
          <w:color w:val="000000" w:themeColor="text1"/>
        </w:rPr>
        <w:t xml:space="preserve"> person </w:t>
      </w:r>
      <w:r w:rsidR="7D207DE5" w:rsidRPr="19768FBF">
        <w:rPr>
          <w:rFonts w:ascii="Times New Roman" w:eastAsia="Times New Roman" w:hAnsi="Times New Roman" w:cs="Times New Roman"/>
          <w:color w:val="000000" w:themeColor="text1"/>
        </w:rPr>
        <w:t>of</w:t>
      </w:r>
      <w:r w:rsidRPr="19768FBF">
        <w:rPr>
          <w:rFonts w:ascii="Times New Roman" w:eastAsia="Times New Roman" w:hAnsi="Times New Roman" w:cs="Times New Roman"/>
          <w:color w:val="000000" w:themeColor="text1"/>
        </w:rPr>
        <w:t xml:space="preserve"> committing battery </w:t>
      </w:r>
      <w:r w:rsidR="0448CF2E" w:rsidRPr="19768FBF">
        <w:rPr>
          <w:rFonts w:ascii="Times New Roman" w:eastAsia="Times New Roman" w:hAnsi="Times New Roman" w:cs="Times New Roman"/>
          <w:color w:val="000000" w:themeColor="text1"/>
        </w:rPr>
        <w:t>if</w:t>
      </w:r>
      <w:r w:rsidRPr="19768FBF">
        <w:rPr>
          <w:rFonts w:ascii="Times New Roman" w:eastAsia="Times New Roman" w:hAnsi="Times New Roman" w:cs="Times New Roman"/>
          <w:color w:val="000000" w:themeColor="text1"/>
        </w:rPr>
        <w:t xml:space="preserve"> he himself has consented for the force being used against them. </w:t>
      </w:r>
      <w:r w:rsidR="4C77880F" w:rsidRPr="19768FBF">
        <w:rPr>
          <w:rFonts w:ascii="Times New Roman" w:eastAsia="Times New Roman" w:hAnsi="Times New Roman" w:cs="Times New Roman"/>
          <w:color w:val="000000" w:themeColor="text1"/>
        </w:rPr>
        <w:t>Consent can be given in the form of implied and expressed.</w:t>
      </w:r>
      <w:r w:rsidRPr="19768FBF">
        <w:rPr>
          <w:rFonts w:ascii="Times New Roman" w:eastAsia="Times New Roman" w:hAnsi="Times New Roman" w:cs="Times New Roman"/>
          <w:color w:val="000000" w:themeColor="text1"/>
        </w:rPr>
        <w:t xml:space="preserve"> That means one individual can give their consent to a particular action without giving permission for the same. In </w:t>
      </w:r>
      <w:r w:rsidR="1DCE0B4D" w:rsidRPr="19768FBF">
        <w:rPr>
          <w:rFonts w:ascii="Times New Roman" w:eastAsia="Times New Roman" w:hAnsi="Times New Roman" w:cs="Times New Roman"/>
          <w:color w:val="000000" w:themeColor="text1"/>
        </w:rPr>
        <w:t>the case</w:t>
      </w:r>
      <w:r w:rsidRPr="19768FBF">
        <w:rPr>
          <w:rFonts w:ascii="Times New Roman" w:eastAsia="Times New Roman" w:hAnsi="Times New Roman" w:cs="Times New Roman"/>
          <w:color w:val="000000" w:themeColor="text1"/>
        </w:rPr>
        <w:t xml:space="preserve"> of </w:t>
      </w:r>
      <w:r w:rsidR="41C5EE36" w:rsidRPr="19768FBF">
        <w:rPr>
          <w:rFonts w:ascii="Times New Roman" w:eastAsia="Times New Roman" w:hAnsi="Times New Roman" w:cs="Times New Roman"/>
          <w:color w:val="000000" w:themeColor="text1"/>
        </w:rPr>
        <w:t>a written</w:t>
      </w:r>
      <w:r w:rsidRPr="19768FBF">
        <w:rPr>
          <w:rFonts w:ascii="Times New Roman" w:eastAsia="Times New Roman" w:hAnsi="Times New Roman" w:cs="Times New Roman"/>
          <w:color w:val="000000" w:themeColor="text1"/>
        </w:rPr>
        <w:t xml:space="preserve"> contract where verbal permission has been given in case will be amount as expressed consent has been given.</w:t>
      </w:r>
    </w:p>
    <w:p w14:paraId="1CDF49D3" w14:textId="129D0C38" w:rsidR="004C5C34" w:rsidRDefault="4F5A342B">
      <w:r w:rsidRPr="19768FBF">
        <w:rPr>
          <w:rFonts w:ascii="Times New Roman" w:eastAsia="Times New Roman" w:hAnsi="Times New Roman" w:cs="Times New Roman"/>
          <w:color w:val="000000" w:themeColor="text1"/>
        </w:rPr>
        <w:t>In Collins v Wilcock [1984] 3 All ER 374, here in this case Justice Goff stated that consent can be formed and given in express manner and as well as implied both ways.</w:t>
      </w:r>
    </w:p>
    <w:p w14:paraId="0643CA10" w14:textId="3C5C46DA" w:rsidR="004C5C34" w:rsidRPr="002F733A" w:rsidRDefault="4F5A342B" w:rsidP="19768FBF">
      <w:r w:rsidRPr="19768FBF">
        <w:rPr>
          <w:rFonts w:ascii="Times New Roman" w:eastAsia="Times New Roman" w:hAnsi="Times New Roman" w:cs="Times New Roman"/>
          <w:color w:val="000000" w:themeColor="text1"/>
        </w:rPr>
        <w:t>Therefore, in case of Battery crime if it will be committed by the accused and no consent is given by claimant than in that case claimant has the right to ask for the legal remedy which can be provided by the court in form of compensation for all the sufferings given to plaintiff</w:t>
      </w:r>
      <w:r w:rsidR="002F733A">
        <w:rPr>
          <w:rFonts w:ascii="Times New Roman" w:eastAsia="Times New Roman" w:hAnsi="Times New Roman" w:cs="Times New Roman"/>
          <w:color w:val="000000" w:themeColor="text1"/>
        </w:rPr>
        <w:t xml:space="preserve"> (Erichson and Zipursky, 2010)</w:t>
      </w:r>
      <w:r w:rsidRPr="19768FBF">
        <w:rPr>
          <w:rFonts w:ascii="Times New Roman" w:eastAsia="Times New Roman" w:hAnsi="Times New Roman" w:cs="Times New Roman"/>
          <w:color w:val="000000" w:themeColor="text1"/>
        </w:rPr>
        <w:t xml:space="preserve">. However, if the case is serious </w:t>
      </w:r>
      <w:r w:rsidR="70FD5F25" w:rsidRPr="19768FBF">
        <w:rPr>
          <w:rFonts w:ascii="Times New Roman" w:eastAsia="Times New Roman" w:hAnsi="Times New Roman" w:cs="Times New Roman"/>
          <w:color w:val="000000" w:themeColor="text1"/>
        </w:rPr>
        <w:t>then</w:t>
      </w:r>
      <w:r w:rsidRPr="19768FBF">
        <w:rPr>
          <w:rFonts w:ascii="Times New Roman" w:eastAsia="Times New Roman" w:hAnsi="Times New Roman" w:cs="Times New Roman"/>
          <w:color w:val="000000" w:themeColor="text1"/>
        </w:rPr>
        <w:t xml:space="preserve"> in that case punishment in </w:t>
      </w:r>
      <w:r w:rsidR="03A4F125" w:rsidRPr="19768FBF">
        <w:rPr>
          <w:rFonts w:ascii="Times New Roman" w:eastAsia="Times New Roman" w:hAnsi="Times New Roman" w:cs="Times New Roman"/>
          <w:color w:val="000000" w:themeColor="text1"/>
        </w:rPr>
        <w:t>the form</w:t>
      </w:r>
      <w:r w:rsidRPr="19768FBF">
        <w:rPr>
          <w:rFonts w:ascii="Times New Roman" w:eastAsia="Times New Roman" w:hAnsi="Times New Roman" w:cs="Times New Roman"/>
          <w:color w:val="000000" w:themeColor="text1"/>
        </w:rPr>
        <w:t xml:space="preserve"> of imprisonment and fine will be given under criminal law.</w:t>
      </w:r>
    </w:p>
    <w:p w14:paraId="6E481EC7" w14:textId="5219ACD9" w:rsidR="004C5C34" w:rsidRDefault="4F5A342B" w:rsidP="19768FBF">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t xml:space="preserve">The </w:t>
      </w:r>
      <w:r w:rsidR="21009F3D" w:rsidRPr="19768FBF">
        <w:rPr>
          <w:rFonts w:ascii="Times New Roman" w:eastAsia="Times New Roman" w:hAnsi="Times New Roman" w:cs="Times New Roman"/>
          <w:color w:val="000000" w:themeColor="text1"/>
        </w:rPr>
        <w:t>four main</w:t>
      </w:r>
      <w:r w:rsidRPr="19768FBF">
        <w:rPr>
          <w:rFonts w:ascii="Times New Roman" w:eastAsia="Times New Roman" w:hAnsi="Times New Roman" w:cs="Times New Roman"/>
          <w:color w:val="000000" w:themeColor="text1"/>
        </w:rPr>
        <w:t xml:space="preserve"> elements of medical ethics </w:t>
      </w:r>
      <w:r w:rsidR="002F733A">
        <w:rPr>
          <w:rFonts w:ascii="Times New Roman" w:eastAsia="Times New Roman" w:hAnsi="Times New Roman" w:cs="Times New Roman"/>
          <w:color w:val="000000" w:themeColor="text1"/>
        </w:rPr>
        <w:t xml:space="preserve">around the consent </w:t>
      </w:r>
      <w:r w:rsidR="11AAEC8D" w:rsidRPr="19768FBF">
        <w:rPr>
          <w:rFonts w:ascii="Times New Roman" w:eastAsia="Times New Roman" w:hAnsi="Times New Roman" w:cs="Times New Roman"/>
          <w:color w:val="000000" w:themeColor="text1"/>
        </w:rPr>
        <w:t>are</w:t>
      </w:r>
      <w:r w:rsidRPr="19768FBF">
        <w:rPr>
          <w:rFonts w:ascii="Times New Roman" w:eastAsia="Times New Roman" w:hAnsi="Times New Roman" w:cs="Times New Roman"/>
          <w:color w:val="000000" w:themeColor="text1"/>
        </w:rPr>
        <w:t xml:space="preserve"> non- maleficence, </w:t>
      </w:r>
      <w:r w:rsidR="00EC0F00">
        <w:rPr>
          <w:rFonts w:ascii="Times New Roman" w:eastAsia="Times New Roman" w:hAnsi="Times New Roman" w:cs="Times New Roman"/>
          <w:color w:val="000000" w:themeColor="text1"/>
        </w:rPr>
        <w:t>j</w:t>
      </w:r>
      <w:r w:rsidRPr="19768FBF">
        <w:rPr>
          <w:rFonts w:ascii="Times New Roman" w:eastAsia="Times New Roman" w:hAnsi="Times New Roman" w:cs="Times New Roman"/>
          <w:color w:val="000000" w:themeColor="text1"/>
        </w:rPr>
        <w:t xml:space="preserve">ustice, </w:t>
      </w:r>
      <w:r w:rsidR="4122102D" w:rsidRPr="19768FBF">
        <w:rPr>
          <w:rFonts w:ascii="Times New Roman" w:eastAsia="Times New Roman" w:hAnsi="Times New Roman" w:cs="Times New Roman"/>
          <w:color w:val="000000" w:themeColor="text1"/>
        </w:rPr>
        <w:t>autonomy,</w:t>
      </w:r>
      <w:r w:rsidRPr="19768FBF">
        <w:rPr>
          <w:rFonts w:ascii="Times New Roman" w:eastAsia="Times New Roman" w:hAnsi="Times New Roman" w:cs="Times New Roman"/>
          <w:color w:val="000000" w:themeColor="text1"/>
        </w:rPr>
        <w:t xml:space="preserve"> and beneficence. Autonomy is considered as ethical practice to receive informed consent. In Medical practice, </w:t>
      </w:r>
      <w:r w:rsidR="4532A523" w:rsidRPr="19768FBF">
        <w:rPr>
          <w:rFonts w:ascii="Times New Roman" w:eastAsia="Times New Roman" w:hAnsi="Times New Roman" w:cs="Times New Roman"/>
          <w:color w:val="000000" w:themeColor="text1"/>
        </w:rPr>
        <w:t>informed</w:t>
      </w:r>
      <w:r w:rsidRPr="19768FBF">
        <w:rPr>
          <w:rFonts w:ascii="Times New Roman" w:eastAsia="Times New Roman" w:hAnsi="Times New Roman" w:cs="Times New Roman"/>
          <w:color w:val="000000" w:themeColor="text1"/>
        </w:rPr>
        <w:t xml:space="preserve"> consent plays </w:t>
      </w:r>
      <w:r w:rsidR="65B59865" w:rsidRPr="19768FBF">
        <w:rPr>
          <w:rFonts w:ascii="Times New Roman" w:eastAsia="Times New Roman" w:hAnsi="Times New Roman" w:cs="Times New Roman"/>
          <w:color w:val="000000" w:themeColor="text1"/>
        </w:rPr>
        <w:t>a key role</w:t>
      </w:r>
      <w:r w:rsidRPr="19768FBF">
        <w:rPr>
          <w:rFonts w:ascii="Times New Roman" w:eastAsia="Times New Roman" w:hAnsi="Times New Roman" w:cs="Times New Roman"/>
          <w:color w:val="000000" w:themeColor="text1"/>
        </w:rPr>
        <w:t xml:space="preserve"> as patients should be provided with all the </w:t>
      </w:r>
      <w:r w:rsidR="008A2C7E">
        <w:rPr>
          <w:rFonts w:ascii="Times New Roman" w:eastAsia="Times New Roman" w:hAnsi="Times New Roman" w:cs="Times New Roman"/>
          <w:color w:val="000000" w:themeColor="text1"/>
        </w:rPr>
        <w:t xml:space="preserve">information </w:t>
      </w:r>
      <w:r w:rsidRPr="19768FBF">
        <w:rPr>
          <w:rFonts w:ascii="Times New Roman" w:eastAsia="Times New Roman" w:hAnsi="Times New Roman" w:cs="Times New Roman"/>
          <w:color w:val="000000" w:themeColor="text1"/>
        </w:rPr>
        <w:t xml:space="preserve">prior treatment process which required to be done by the doctors (McMahon and McGorrery, 2020). </w:t>
      </w:r>
      <w:r w:rsidR="00EC0F00">
        <w:rPr>
          <w:rFonts w:ascii="Times New Roman" w:eastAsia="Times New Roman" w:hAnsi="Times New Roman" w:cs="Times New Roman"/>
          <w:color w:val="000000" w:themeColor="text1"/>
        </w:rPr>
        <w:t>Autonomy is giving the patient the freedom to choose freely</w:t>
      </w:r>
      <w:r w:rsidR="008A2C7E">
        <w:rPr>
          <w:rFonts w:ascii="Times New Roman" w:eastAsia="Times New Roman" w:hAnsi="Times New Roman" w:cs="Times New Roman"/>
          <w:color w:val="000000" w:themeColor="text1"/>
        </w:rPr>
        <w:t xml:space="preserve"> and is defined by the right to self-determination and respects the individual’s rights to make informed decision based on their values and beliefs. </w:t>
      </w:r>
      <w:r w:rsidR="00E223E6">
        <w:rPr>
          <w:rFonts w:ascii="Times New Roman" w:eastAsia="Times New Roman" w:hAnsi="Times New Roman" w:cs="Times New Roman"/>
          <w:color w:val="000000" w:themeColor="text1"/>
        </w:rPr>
        <w:t>Autonomy is the main ethical consideration underlying informed consent</w:t>
      </w:r>
      <w:r w:rsidR="00905E24">
        <w:rPr>
          <w:rFonts w:ascii="Times New Roman" w:eastAsia="Times New Roman" w:hAnsi="Times New Roman" w:cs="Times New Roman"/>
          <w:color w:val="000000" w:themeColor="text1"/>
        </w:rPr>
        <w:t xml:space="preserve"> (Beauchamp, 2010)</w:t>
      </w:r>
      <w:r w:rsidR="00E223E6">
        <w:rPr>
          <w:rFonts w:ascii="Times New Roman" w:eastAsia="Times New Roman" w:hAnsi="Times New Roman" w:cs="Times New Roman"/>
          <w:color w:val="000000" w:themeColor="text1"/>
        </w:rPr>
        <w:t xml:space="preserve">. </w:t>
      </w:r>
      <w:r w:rsidRPr="19768FBF">
        <w:rPr>
          <w:rFonts w:ascii="Times New Roman" w:eastAsia="Times New Roman" w:hAnsi="Times New Roman" w:cs="Times New Roman"/>
          <w:color w:val="000000" w:themeColor="text1"/>
        </w:rPr>
        <w:t xml:space="preserve">The two elements that </w:t>
      </w:r>
      <w:r w:rsidR="3CADC2F1" w:rsidRPr="19768FBF">
        <w:rPr>
          <w:rFonts w:ascii="Times New Roman" w:eastAsia="Times New Roman" w:hAnsi="Times New Roman" w:cs="Times New Roman"/>
          <w:color w:val="000000" w:themeColor="text1"/>
        </w:rPr>
        <w:t>are</w:t>
      </w:r>
      <w:r w:rsidRPr="19768FBF">
        <w:rPr>
          <w:rFonts w:ascii="Times New Roman" w:eastAsia="Times New Roman" w:hAnsi="Times New Roman" w:cs="Times New Roman"/>
          <w:color w:val="000000" w:themeColor="text1"/>
        </w:rPr>
        <w:t xml:space="preserve"> honest and trust </w:t>
      </w:r>
      <w:r w:rsidR="0334232A" w:rsidRPr="19768FBF">
        <w:rPr>
          <w:rFonts w:ascii="Times New Roman" w:eastAsia="Times New Roman" w:hAnsi="Times New Roman" w:cs="Times New Roman"/>
          <w:color w:val="000000" w:themeColor="text1"/>
        </w:rPr>
        <w:t>are</w:t>
      </w:r>
      <w:r w:rsidRPr="19768FBF">
        <w:rPr>
          <w:rFonts w:ascii="Times New Roman" w:eastAsia="Times New Roman" w:hAnsi="Times New Roman" w:cs="Times New Roman"/>
          <w:color w:val="000000" w:themeColor="text1"/>
        </w:rPr>
        <w:t xml:space="preserve"> combination ethical </w:t>
      </w:r>
      <w:r w:rsidR="35D6BE4F" w:rsidRPr="19768FBF">
        <w:rPr>
          <w:rFonts w:ascii="Times New Roman" w:eastAsia="Times New Roman" w:hAnsi="Times New Roman" w:cs="Times New Roman"/>
          <w:color w:val="000000" w:themeColor="text1"/>
        </w:rPr>
        <w:t>norms</w:t>
      </w:r>
      <w:r w:rsidRPr="19768FBF">
        <w:rPr>
          <w:rFonts w:ascii="Times New Roman" w:eastAsia="Times New Roman" w:hAnsi="Times New Roman" w:cs="Times New Roman"/>
          <w:color w:val="000000" w:themeColor="text1"/>
        </w:rPr>
        <w:t xml:space="preserve"> that makes consent valid in real sense. </w:t>
      </w:r>
      <w:r w:rsidR="7A1A2B26" w:rsidRPr="19768FBF">
        <w:rPr>
          <w:rFonts w:ascii="Times New Roman" w:eastAsia="Times New Roman" w:hAnsi="Times New Roman" w:cs="Times New Roman"/>
          <w:color w:val="000000" w:themeColor="text1"/>
        </w:rPr>
        <w:t>Justice has been applicable in cases where the right treatment is being delivered to patients.</w:t>
      </w:r>
      <w:r w:rsidR="00EC0F00">
        <w:rPr>
          <w:rFonts w:ascii="Times New Roman" w:eastAsia="Times New Roman" w:hAnsi="Times New Roman" w:cs="Times New Roman"/>
          <w:color w:val="000000" w:themeColor="text1"/>
        </w:rPr>
        <w:t xml:space="preserve"> Justice means ensuring fairness. Beneficence means doing good</w:t>
      </w:r>
      <w:r w:rsidR="006F2E22">
        <w:rPr>
          <w:rFonts w:ascii="Times New Roman" w:eastAsia="Times New Roman" w:hAnsi="Times New Roman" w:cs="Times New Roman"/>
          <w:color w:val="000000" w:themeColor="text1"/>
        </w:rPr>
        <w:t xml:space="preserve"> and it is defined as an act of charity, </w:t>
      </w:r>
      <w:r w:rsidR="00620166">
        <w:rPr>
          <w:rFonts w:ascii="Times New Roman" w:eastAsia="Times New Roman" w:hAnsi="Times New Roman" w:cs="Times New Roman"/>
          <w:color w:val="000000" w:themeColor="text1"/>
        </w:rPr>
        <w:t>mercy,</w:t>
      </w:r>
      <w:r w:rsidR="006F2E22">
        <w:rPr>
          <w:rFonts w:ascii="Times New Roman" w:eastAsia="Times New Roman" w:hAnsi="Times New Roman" w:cs="Times New Roman"/>
          <w:color w:val="000000" w:themeColor="text1"/>
        </w:rPr>
        <w:t xml:space="preserve"> and kindness </w:t>
      </w:r>
      <w:r w:rsidR="009B63FC">
        <w:rPr>
          <w:rFonts w:ascii="Times New Roman" w:eastAsia="Times New Roman" w:hAnsi="Times New Roman" w:cs="Times New Roman"/>
          <w:color w:val="000000" w:themeColor="text1"/>
        </w:rPr>
        <w:t>to balance benefits against the risks and to maximize possible benefits and minimize harm. N</w:t>
      </w:r>
      <w:r w:rsidR="00EC0F00">
        <w:rPr>
          <w:rFonts w:ascii="Times New Roman" w:eastAsia="Times New Roman" w:hAnsi="Times New Roman" w:cs="Times New Roman"/>
          <w:color w:val="000000" w:themeColor="text1"/>
        </w:rPr>
        <w:t xml:space="preserve">on-maleficence </w:t>
      </w:r>
      <w:r w:rsidR="006F2E22">
        <w:rPr>
          <w:rFonts w:ascii="Times New Roman" w:eastAsia="Times New Roman" w:hAnsi="Times New Roman" w:cs="Times New Roman"/>
          <w:color w:val="000000" w:themeColor="text1"/>
        </w:rPr>
        <w:t>states a duty of</w:t>
      </w:r>
      <w:r w:rsidR="00EC0F00">
        <w:rPr>
          <w:rFonts w:ascii="Times New Roman" w:eastAsia="Times New Roman" w:hAnsi="Times New Roman" w:cs="Times New Roman"/>
          <w:color w:val="000000" w:themeColor="text1"/>
        </w:rPr>
        <w:t xml:space="preserve"> doing no harm</w:t>
      </w:r>
      <w:r w:rsidR="005773D5">
        <w:rPr>
          <w:rFonts w:ascii="Times New Roman" w:eastAsia="Times New Roman" w:hAnsi="Times New Roman" w:cs="Times New Roman"/>
          <w:color w:val="000000" w:themeColor="text1"/>
        </w:rPr>
        <w:t xml:space="preserve"> (Selinger, 2009).</w:t>
      </w:r>
      <w:r w:rsidR="00620166">
        <w:rPr>
          <w:rFonts w:ascii="Times New Roman" w:eastAsia="Times New Roman" w:hAnsi="Times New Roman" w:cs="Times New Roman"/>
          <w:color w:val="000000" w:themeColor="text1"/>
        </w:rPr>
        <w:t xml:space="preserve"> </w:t>
      </w:r>
      <w:r w:rsidR="00620166" w:rsidRPr="00620166">
        <w:rPr>
          <w:rFonts w:ascii="Times New Roman" w:eastAsia="Times New Roman" w:hAnsi="Times New Roman" w:cs="Times New Roman"/>
          <w:color w:val="000000" w:themeColor="text1"/>
        </w:rPr>
        <w:t>When it comes to individuals with disabilities, there may be instances where they possess the cognitive ability to comprehend their mental illness yet choose to exercise their "right to refuse treatment". This decision indicates that they do not wish to take accountability for receiving treatment. This scenario prompts the question of how individuals can uphold their right to refuse treatment while also receiving benefits for their mental illness.</w:t>
      </w:r>
      <w:r w:rsidR="00620166">
        <w:rPr>
          <w:rFonts w:ascii="Times New Roman" w:eastAsia="Times New Roman" w:hAnsi="Times New Roman" w:cs="Times New Roman"/>
          <w:color w:val="000000" w:themeColor="text1"/>
        </w:rPr>
        <w:t xml:space="preserve"> </w:t>
      </w:r>
      <w:r w:rsidR="00620166" w:rsidRPr="00620166">
        <w:rPr>
          <w:rFonts w:ascii="Times New Roman" w:eastAsia="Times New Roman" w:hAnsi="Times New Roman" w:cs="Times New Roman"/>
          <w:color w:val="000000" w:themeColor="text1"/>
        </w:rPr>
        <w:t>Responsibilities often come hand in hand with rights. Take, for instance, a person who has a mental illness and knows about their condition but refuses to seek treatment. If this individual were to commit a crime and attribute it to their mental illness, they may argue that they are not accountable for their actions. Nevertheless, it is crucial to acknowledge that they still have a duty to take responsibility for their conduct</w:t>
      </w:r>
      <w:r w:rsidR="00620166">
        <w:rPr>
          <w:rFonts w:ascii="Times New Roman" w:eastAsia="Times New Roman" w:hAnsi="Times New Roman" w:cs="Times New Roman"/>
          <w:color w:val="000000" w:themeColor="text1"/>
        </w:rPr>
        <w:t xml:space="preserve"> (</w:t>
      </w:r>
      <w:proofErr w:type="spellStart"/>
      <w:r w:rsidR="00620166">
        <w:rPr>
          <w:rFonts w:ascii="Times New Roman" w:eastAsia="Times New Roman" w:hAnsi="Times New Roman" w:cs="Times New Roman"/>
          <w:color w:val="000000" w:themeColor="text1"/>
        </w:rPr>
        <w:t>Bipeta</w:t>
      </w:r>
      <w:proofErr w:type="spellEnd"/>
      <w:r w:rsidR="00620166">
        <w:rPr>
          <w:rFonts w:ascii="Times New Roman" w:eastAsia="Times New Roman" w:hAnsi="Times New Roman" w:cs="Times New Roman"/>
          <w:color w:val="000000" w:themeColor="text1"/>
        </w:rPr>
        <w:t xml:space="preserve">, 2019). </w:t>
      </w:r>
    </w:p>
    <w:p w14:paraId="5F4E391D" w14:textId="0BAD4523" w:rsidR="004C5C34" w:rsidRPr="00C97F6A" w:rsidRDefault="006C4BEF" w:rsidP="19768FBF">
      <w:pPr>
        <w:rPr>
          <w:rFonts w:ascii="Times New Roman" w:eastAsia="Times New Roman" w:hAnsi="Times New Roman" w:cs="Times New Roman"/>
        </w:rPr>
      </w:pPr>
      <w:r w:rsidRPr="006C4BEF">
        <w:rPr>
          <w:rFonts w:ascii="Times New Roman" w:eastAsia="Times New Roman" w:hAnsi="Times New Roman" w:cs="Times New Roman"/>
        </w:rPr>
        <w:t>The discussion of whether a right or principle is absolute extends beyond ethical and legal considerations, delving into the realm of philosophy. Take freedom, for instance, which cannot be an absolute principle as granting one individual complete freedom would infringe on the rights of another. For instance, if person A was free to take any good, it would impede on person B's right to own property. A similar situation arises when applying this principle to autonomy: one person's total autonomy can negatively impact the autonomy of others. To promote fairness and justice, modern democratic societies have established rules and regulations that limit autonomy while ensuring equal access to it for all members of society. Consequently, the principle of total autonomy is paradoxical when applied to society from a philosophical standpoint. Given that autonomy is a fundamental ethical principle for informed consent, an absolute right to consent remains elusive.</w:t>
      </w:r>
    </w:p>
    <w:p w14:paraId="5BF47AA6" w14:textId="46F35748" w:rsidR="004C5C34" w:rsidRDefault="4F5A342B">
      <w:r w:rsidRPr="19768FBF">
        <w:rPr>
          <w:rFonts w:ascii="Times New Roman" w:eastAsia="Times New Roman" w:hAnsi="Times New Roman" w:cs="Times New Roman"/>
          <w:color w:val="000000" w:themeColor="text1"/>
        </w:rPr>
        <w:t>As per Criminal law and Criminal Justice Act, 1988, The medical intervention without any informed consent will be cover</w:t>
      </w:r>
      <w:r w:rsidR="00C97F6A">
        <w:rPr>
          <w:rFonts w:ascii="Times New Roman" w:eastAsia="Times New Roman" w:hAnsi="Times New Roman" w:cs="Times New Roman"/>
          <w:color w:val="000000" w:themeColor="text1"/>
        </w:rPr>
        <w:t>ed</w:t>
      </w:r>
      <w:r w:rsidRPr="19768FBF">
        <w:rPr>
          <w:rFonts w:ascii="Times New Roman" w:eastAsia="Times New Roman" w:hAnsi="Times New Roman" w:cs="Times New Roman"/>
          <w:color w:val="000000" w:themeColor="text1"/>
        </w:rPr>
        <w:t xml:space="preserve"> under criminal offence and concerned doctor and physician will be liable under </w:t>
      </w:r>
      <w:r w:rsidRPr="19768FBF">
        <w:rPr>
          <w:rFonts w:ascii="Times New Roman" w:eastAsia="Times New Roman" w:hAnsi="Times New Roman" w:cs="Times New Roman"/>
          <w:color w:val="000000" w:themeColor="text1"/>
        </w:rPr>
        <w:lastRenderedPageBreak/>
        <w:t xml:space="preserve">Battery. For Example: </w:t>
      </w:r>
      <w:r w:rsidR="350EAF91" w:rsidRPr="19768FBF">
        <w:rPr>
          <w:rFonts w:ascii="Times New Roman" w:eastAsia="Times New Roman" w:hAnsi="Times New Roman" w:cs="Times New Roman"/>
          <w:color w:val="000000" w:themeColor="text1"/>
        </w:rPr>
        <w:t>t</w:t>
      </w:r>
      <w:r w:rsidRPr="19768FBF">
        <w:rPr>
          <w:rFonts w:ascii="Times New Roman" w:eastAsia="Times New Roman" w:hAnsi="Times New Roman" w:cs="Times New Roman"/>
          <w:color w:val="000000" w:themeColor="text1"/>
        </w:rPr>
        <w:t xml:space="preserve">reatment </w:t>
      </w:r>
      <w:r w:rsidR="7087661D" w:rsidRPr="19768FBF">
        <w:rPr>
          <w:rFonts w:ascii="Times New Roman" w:eastAsia="Times New Roman" w:hAnsi="Times New Roman" w:cs="Times New Roman"/>
          <w:color w:val="000000" w:themeColor="text1"/>
        </w:rPr>
        <w:t>provided</w:t>
      </w:r>
      <w:r w:rsidRPr="19768FBF">
        <w:rPr>
          <w:rFonts w:ascii="Times New Roman" w:eastAsia="Times New Roman" w:hAnsi="Times New Roman" w:cs="Times New Roman"/>
          <w:color w:val="000000" w:themeColor="text1"/>
        </w:rPr>
        <w:t xml:space="preserve"> to the patient against his will and in </w:t>
      </w:r>
      <w:r w:rsidR="44F42EAE" w:rsidRPr="19768FBF">
        <w:rPr>
          <w:rFonts w:ascii="Times New Roman" w:eastAsia="Times New Roman" w:hAnsi="Times New Roman" w:cs="Times New Roman"/>
          <w:color w:val="000000" w:themeColor="text1"/>
        </w:rPr>
        <w:t>case</w:t>
      </w:r>
      <w:r w:rsidRPr="19768FBF">
        <w:rPr>
          <w:rFonts w:ascii="Times New Roman" w:eastAsia="Times New Roman" w:hAnsi="Times New Roman" w:cs="Times New Roman"/>
          <w:color w:val="000000" w:themeColor="text1"/>
        </w:rPr>
        <w:t xml:space="preserve"> where treatment </w:t>
      </w:r>
      <w:r w:rsidR="1A4C2E02" w:rsidRPr="19768FBF">
        <w:rPr>
          <w:rFonts w:ascii="Times New Roman" w:eastAsia="Times New Roman" w:hAnsi="Times New Roman" w:cs="Times New Roman"/>
          <w:color w:val="000000" w:themeColor="text1"/>
        </w:rPr>
        <w:t>provided</w:t>
      </w:r>
      <w:r w:rsidRPr="19768FBF">
        <w:rPr>
          <w:rFonts w:ascii="Times New Roman" w:eastAsia="Times New Roman" w:hAnsi="Times New Roman" w:cs="Times New Roman"/>
          <w:color w:val="000000" w:themeColor="text1"/>
        </w:rPr>
        <w:t xml:space="preserve"> to the patient is different from the treatment he has consented for, treatment provided by providing wrong prior information</w:t>
      </w:r>
      <w:r w:rsidR="00433C94">
        <w:rPr>
          <w:rFonts w:ascii="Times New Roman" w:eastAsia="Times New Roman" w:hAnsi="Times New Roman" w:cs="Times New Roman"/>
          <w:color w:val="000000" w:themeColor="text1"/>
        </w:rPr>
        <w:t xml:space="preserve"> (Miller and Wertheimer, 2010).</w:t>
      </w:r>
    </w:p>
    <w:p w14:paraId="4D343D5A" w14:textId="788852CE" w:rsidR="004C5C34" w:rsidRPr="005C3528" w:rsidRDefault="4F5A342B">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t xml:space="preserve">The punishment for Common assault that also include battery is given under Section 39 of Criminal Justice Act, 1988. it provides with the sentence of assault and </w:t>
      </w:r>
      <w:r w:rsidR="29C6E8D1" w:rsidRPr="19768FBF">
        <w:rPr>
          <w:rFonts w:ascii="Times New Roman" w:eastAsia="Times New Roman" w:hAnsi="Times New Roman" w:cs="Times New Roman"/>
          <w:color w:val="000000" w:themeColor="text1"/>
        </w:rPr>
        <w:t>battery,</w:t>
      </w:r>
      <w:r w:rsidRPr="19768FBF">
        <w:rPr>
          <w:rFonts w:ascii="Times New Roman" w:eastAsia="Times New Roman" w:hAnsi="Times New Roman" w:cs="Times New Roman"/>
          <w:color w:val="000000" w:themeColor="text1"/>
        </w:rPr>
        <w:t xml:space="preserve"> and </w:t>
      </w:r>
      <w:r w:rsidR="2D9C7D2A" w:rsidRPr="19768FBF">
        <w:rPr>
          <w:rFonts w:ascii="Times New Roman" w:eastAsia="Times New Roman" w:hAnsi="Times New Roman" w:cs="Times New Roman"/>
          <w:color w:val="000000" w:themeColor="text1"/>
        </w:rPr>
        <w:t xml:space="preserve">it </w:t>
      </w:r>
      <w:r w:rsidRPr="19768FBF">
        <w:rPr>
          <w:rFonts w:ascii="Times New Roman" w:eastAsia="Times New Roman" w:hAnsi="Times New Roman" w:cs="Times New Roman"/>
          <w:color w:val="000000" w:themeColor="text1"/>
        </w:rPr>
        <w:t>deals with the seriousness of the crime, particular situations of the offender. The punishment for battery and assault is six months imprisonment and fine</w:t>
      </w:r>
      <w:r w:rsidR="4A747638" w:rsidRPr="19768FBF">
        <w:rPr>
          <w:rFonts w:ascii="Times New Roman" w:eastAsia="Times New Roman" w:hAnsi="Times New Roman" w:cs="Times New Roman"/>
          <w:color w:val="000000" w:themeColor="text1"/>
        </w:rPr>
        <w:t xml:space="preserve"> of</w:t>
      </w:r>
      <w:r w:rsidRPr="19768FBF">
        <w:rPr>
          <w:rFonts w:ascii="Times New Roman" w:eastAsia="Times New Roman" w:hAnsi="Times New Roman" w:cs="Times New Roman"/>
          <w:color w:val="000000" w:themeColor="text1"/>
        </w:rPr>
        <w:t xml:space="preserve"> up to £5,000</w:t>
      </w:r>
      <w:r w:rsidR="00433C94">
        <w:rPr>
          <w:rFonts w:ascii="Times New Roman" w:eastAsia="Times New Roman" w:hAnsi="Times New Roman" w:cs="Times New Roman"/>
          <w:color w:val="000000" w:themeColor="text1"/>
        </w:rPr>
        <w:t xml:space="preserve"> (Bache, 2000).</w:t>
      </w:r>
      <w:r w:rsidR="21943C2B" w:rsidRPr="19768FBF">
        <w:rPr>
          <w:rFonts w:ascii="Times New Roman" w:eastAsia="Times New Roman" w:hAnsi="Times New Roman" w:cs="Times New Roman"/>
          <w:color w:val="000000" w:themeColor="text1"/>
        </w:rPr>
        <w:t xml:space="preserve"> </w:t>
      </w:r>
    </w:p>
    <w:p w14:paraId="3A803EC8" w14:textId="7F176287" w:rsidR="004C5C34" w:rsidRDefault="4F5A342B">
      <w:r w:rsidRPr="19768FBF">
        <w:rPr>
          <w:rFonts w:ascii="Times New Roman" w:eastAsia="Times New Roman" w:hAnsi="Times New Roman" w:cs="Times New Roman"/>
          <w:color w:val="000000" w:themeColor="text1"/>
        </w:rPr>
        <w:t xml:space="preserve">From the above essay it can be concluded that under English criminal law, the battery is considered as criminal offence that will be dealt under criminal justice legislation in UK. For determining whether </w:t>
      </w:r>
      <w:r w:rsidR="47C1FC38" w:rsidRPr="19768FBF">
        <w:rPr>
          <w:rFonts w:ascii="Times New Roman" w:eastAsia="Times New Roman" w:hAnsi="Times New Roman" w:cs="Times New Roman"/>
          <w:color w:val="000000" w:themeColor="text1"/>
        </w:rPr>
        <w:t>act</w:t>
      </w:r>
      <w:r w:rsidRPr="19768FBF">
        <w:rPr>
          <w:rFonts w:ascii="Times New Roman" w:eastAsia="Times New Roman" w:hAnsi="Times New Roman" w:cs="Times New Roman"/>
          <w:color w:val="000000" w:themeColor="text1"/>
        </w:rPr>
        <w:t xml:space="preserve"> will come under battery crime or not will be decided the claimant has given their consent for physical touch or not. </w:t>
      </w:r>
      <w:r w:rsidR="162B65B7" w:rsidRPr="19768FBF">
        <w:rPr>
          <w:rFonts w:ascii="Times New Roman" w:eastAsia="Times New Roman" w:hAnsi="Times New Roman" w:cs="Times New Roman"/>
          <w:color w:val="000000" w:themeColor="text1"/>
        </w:rPr>
        <w:t>Consent</w:t>
      </w:r>
      <w:r w:rsidRPr="19768FBF">
        <w:rPr>
          <w:rFonts w:ascii="Times New Roman" w:eastAsia="Times New Roman" w:hAnsi="Times New Roman" w:cs="Times New Roman"/>
          <w:color w:val="000000" w:themeColor="text1"/>
        </w:rPr>
        <w:t xml:space="preserve"> plays a crucial role in determining whether an accused will be guilty </w:t>
      </w:r>
      <w:r w:rsidR="2FA9838A" w:rsidRPr="19768FBF">
        <w:rPr>
          <w:rFonts w:ascii="Times New Roman" w:eastAsia="Times New Roman" w:hAnsi="Times New Roman" w:cs="Times New Roman"/>
          <w:color w:val="000000" w:themeColor="text1"/>
        </w:rPr>
        <w:t>of</w:t>
      </w:r>
      <w:r w:rsidRPr="19768FBF">
        <w:rPr>
          <w:rFonts w:ascii="Times New Roman" w:eastAsia="Times New Roman" w:hAnsi="Times New Roman" w:cs="Times New Roman"/>
          <w:color w:val="000000" w:themeColor="text1"/>
        </w:rPr>
        <w:t xml:space="preserve"> battery crime offence or not and further process of prosecuting of criminal act will conduct on that basis.</w:t>
      </w:r>
      <w:r w:rsidR="4F6AE86A" w:rsidRPr="19768FBF">
        <w:rPr>
          <w:rFonts w:ascii="Times New Roman" w:eastAsia="Times New Roman" w:hAnsi="Times New Roman" w:cs="Times New Roman"/>
          <w:color w:val="000000" w:themeColor="text1"/>
        </w:rPr>
        <w:t xml:space="preserve"> </w:t>
      </w:r>
      <w:r w:rsidR="008200ED" w:rsidRPr="008200ED">
        <w:rPr>
          <w:rFonts w:ascii="Times New Roman" w:eastAsia="Times New Roman" w:hAnsi="Times New Roman" w:cs="Times New Roman"/>
          <w:color w:val="000000" w:themeColor="text1"/>
        </w:rPr>
        <w:t>Although autonomy is one of the main ethical principles, it does not imply an absolute right to autonomy or consent. In fact, an absolute right to autonomy and consent is contradictory from a philosophical standpoint.</w:t>
      </w:r>
      <w:r w:rsidR="00C97F6A">
        <w:rPr>
          <w:rFonts w:ascii="Times New Roman" w:eastAsia="Times New Roman" w:hAnsi="Times New Roman" w:cs="Times New Roman"/>
          <w:color w:val="000000" w:themeColor="text1"/>
        </w:rPr>
        <w:t xml:space="preserve"> </w:t>
      </w:r>
      <w:r w:rsidR="00C97F6A" w:rsidRPr="00C97F6A">
        <w:rPr>
          <w:rFonts w:ascii="Times New Roman" w:eastAsia="Times New Roman" w:hAnsi="Times New Roman" w:cs="Times New Roman"/>
          <w:color w:val="000000" w:themeColor="text1"/>
        </w:rPr>
        <w:t xml:space="preserve">It's essential to understand that consent isn't an unconditional right. This is supported by philosophical, ethical, legal, and practical considerations. Being aware of this fact is crucial in ensuring that we can navigate complex </w:t>
      </w:r>
      <w:r w:rsidR="00CB5871" w:rsidRPr="00C97F6A">
        <w:rPr>
          <w:rFonts w:ascii="Times New Roman" w:eastAsia="Times New Roman" w:hAnsi="Times New Roman" w:cs="Times New Roman"/>
          <w:color w:val="000000" w:themeColor="text1"/>
        </w:rPr>
        <w:t>situations and</w:t>
      </w:r>
      <w:r w:rsidR="00C97F6A" w:rsidRPr="00C97F6A">
        <w:rPr>
          <w:rFonts w:ascii="Times New Roman" w:eastAsia="Times New Roman" w:hAnsi="Times New Roman" w:cs="Times New Roman"/>
          <w:color w:val="000000" w:themeColor="text1"/>
        </w:rPr>
        <w:t xml:space="preserve"> make informed decisions with confidence.</w:t>
      </w:r>
    </w:p>
    <w:p w14:paraId="464D596E" w14:textId="58CF81AA" w:rsidR="004C5C34" w:rsidRDefault="004C5C34" w:rsidP="19768FBF">
      <w:pPr>
        <w:rPr>
          <w:rFonts w:ascii="Times New Roman" w:eastAsia="Times New Roman" w:hAnsi="Times New Roman" w:cs="Times New Roman"/>
          <w:color w:val="000000" w:themeColor="text1"/>
        </w:rPr>
      </w:pPr>
    </w:p>
    <w:p w14:paraId="64BEBEFE" w14:textId="7FDE0B4A" w:rsidR="004C5C34" w:rsidRDefault="4F5A342B">
      <w:r w:rsidRPr="19768FBF">
        <w:rPr>
          <w:rFonts w:ascii="Times New Roman" w:eastAsia="Times New Roman" w:hAnsi="Times New Roman" w:cs="Times New Roman"/>
          <w:color w:val="000000" w:themeColor="text1"/>
        </w:rPr>
        <w:t>REFERENCES</w:t>
      </w:r>
    </w:p>
    <w:p w14:paraId="2DC264ED" w14:textId="007816C0" w:rsidR="004C5C34" w:rsidRDefault="004C5C34"/>
    <w:p w14:paraId="7A859F15" w14:textId="63A21533" w:rsidR="004C5C34" w:rsidRPr="00C31A8F" w:rsidRDefault="4F5A342B">
      <w:pPr>
        <w:rPr>
          <w:rFonts w:ascii="Times New Roman" w:eastAsia="Times New Roman" w:hAnsi="Times New Roman" w:cs="Times New Roman"/>
          <w:i/>
          <w:iCs/>
          <w:color w:val="000000" w:themeColor="text1"/>
        </w:rPr>
      </w:pPr>
      <w:r w:rsidRPr="19768FBF">
        <w:rPr>
          <w:rFonts w:ascii="Times New Roman" w:eastAsia="Times New Roman" w:hAnsi="Times New Roman" w:cs="Times New Roman"/>
          <w:color w:val="000000" w:themeColor="text1"/>
        </w:rPr>
        <w:t xml:space="preserve">Abraham, K.S. and White, G.E., 2023. How an Old Tort Became New: </w:t>
      </w:r>
      <w:proofErr w:type="gramStart"/>
      <w:r w:rsidR="00C31A8F">
        <w:rPr>
          <w:rFonts w:ascii="Times New Roman" w:eastAsia="Times New Roman" w:hAnsi="Times New Roman" w:cs="Times New Roman"/>
          <w:color w:val="000000" w:themeColor="text1"/>
        </w:rPr>
        <w:t>t</w:t>
      </w:r>
      <w:r w:rsidR="701875D1" w:rsidRPr="19768FBF">
        <w:rPr>
          <w:rFonts w:ascii="Times New Roman" w:eastAsia="Times New Roman" w:hAnsi="Times New Roman" w:cs="Times New Roman"/>
          <w:color w:val="000000" w:themeColor="text1"/>
        </w:rPr>
        <w:t>he</w:t>
      </w:r>
      <w:proofErr w:type="gramEnd"/>
      <w:r w:rsidRPr="19768FBF">
        <w:rPr>
          <w:rFonts w:ascii="Times New Roman" w:eastAsia="Times New Roman" w:hAnsi="Times New Roman" w:cs="Times New Roman"/>
          <w:color w:val="000000" w:themeColor="text1"/>
        </w:rPr>
        <w:t xml:space="preserve"> Case of Offensive Battery. </w:t>
      </w:r>
      <w:r w:rsidRPr="00C31A8F">
        <w:rPr>
          <w:rFonts w:ascii="Times New Roman" w:eastAsia="Times New Roman" w:hAnsi="Times New Roman" w:cs="Times New Roman"/>
          <w:i/>
          <w:iCs/>
          <w:color w:val="000000" w:themeColor="text1"/>
        </w:rPr>
        <w:t>DePaul Law Review, Forthcoming.</w:t>
      </w:r>
      <w:r w:rsidR="00905E24" w:rsidRPr="00C31A8F">
        <w:rPr>
          <w:rFonts w:ascii="Times New Roman" w:eastAsia="Times New Roman" w:hAnsi="Times New Roman" w:cs="Times New Roman"/>
          <w:i/>
          <w:iCs/>
          <w:color w:val="000000" w:themeColor="text1"/>
        </w:rPr>
        <w:t xml:space="preserve"> </w:t>
      </w:r>
    </w:p>
    <w:p w14:paraId="3311E739" w14:textId="0F4A2474" w:rsidR="00573E75" w:rsidRDefault="00573E75">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Ashford, C. and Reed, A. eds., 2016. </w:t>
      </w:r>
      <w:r w:rsidRPr="00143A6B">
        <w:rPr>
          <w:rFonts w:ascii="Times New Roman" w:eastAsia="Times New Roman" w:hAnsi="Times New Roman" w:cs="Times New Roman"/>
          <w:i/>
          <w:iCs/>
          <w:color w:val="000000" w:themeColor="text1"/>
        </w:rPr>
        <w:t>Legal perspectives on state power: Consent and control</w:t>
      </w:r>
      <w:r>
        <w:rPr>
          <w:rFonts w:ascii="Times New Roman" w:eastAsia="Times New Roman" w:hAnsi="Times New Roman" w:cs="Times New Roman"/>
          <w:color w:val="000000" w:themeColor="text1"/>
        </w:rPr>
        <w:t>. Cambridge Scholars Publishing.</w:t>
      </w:r>
    </w:p>
    <w:p w14:paraId="5ACFD8B5" w14:textId="428ED050" w:rsidR="00433C94" w:rsidRDefault="00433C9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Bache, J., 2000. The laws of violence. </w:t>
      </w:r>
      <w:r w:rsidRPr="00433C94">
        <w:rPr>
          <w:rFonts w:ascii="Times New Roman" w:eastAsia="Times New Roman" w:hAnsi="Times New Roman" w:cs="Times New Roman"/>
          <w:i/>
          <w:iCs/>
          <w:color w:val="000000" w:themeColor="text1"/>
        </w:rPr>
        <w:t>Emergency Medicine Journal, 17(6)</w:t>
      </w:r>
      <w:r>
        <w:rPr>
          <w:rFonts w:ascii="Times New Roman" w:eastAsia="Times New Roman" w:hAnsi="Times New Roman" w:cs="Times New Roman"/>
          <w:color w:val="000000" w:themeColor="text1"/>
        </w:rPr>
        <w:t>, pp.396-399.</w:t>
      </w:r>
    </w:p>
    <w:p w14:paraId="64B0CE09" w14:textId="1A0D7056" w:rsidR="00905E24" w:rsidRDefault="00905E24">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Beauchamp, T.L., 2010. Autonomy and consent. </w:t>
      </w:r>
      <w:r w:rsidRPr="00905E24">
        <w:rPr>
          <w:rFonts w:ascii="Times New Roman" w:eastAsia="Times New Roman" w:hAnsi="Times New Roman" w:cs="Times New Roman"/>
          <w:i/>
          <w:iCs/>
          <w:color w:val="000000" w:themeColor="text1"/>
        </w:rPr>
        <w:t>The ethics of consent: Theory and practice</w:t>
      </w:r>
      <w:r>
        <w:rPr>
          <w:rFonts w:ascii="Times New Roman" w:eastAsia="Times New Roman" w:hAnsi="Times New Roman" w:cs="Times New Roman"/>
          <w:color w:val="000000" w:themeColor="text1"/>
        </w:rPr>
        <w:t>, pp.55-78.</w:t>
      </w:r>
      <w:r w:rsidR="00620166">
        <w:rPr>
          <w:rFonts w:ascii="Times New Roman" w:eastAsia="Times New Roman" w:hAnsi="Times New Roman" w:cs="Times New Roman"/>
          <w:color w:val="000000" w:themeColor="text1"/>
        </w:rPr>
        <w:t xml:space="preserve"> </w:t>
      </w:r>
    </w:p>
    <w:p w14:paraId="3064F8FA" w14:textId="3AC1BA14" w:rsidR="00620166" w:rsidRDefault="00620166">
      <w:proofErr w:type="spellStart"/>
      <w:r>
        <w:rPr>
          <w:rFonts w:ascii="Times New Roman" w:eastAsia="Times New Roman" w:hAnsi="Times New Roman" w:cs="Times New Roman"/>
          <w:color w:val="000000" w:themeColor="text1"/>
        </w:rPr>
        <w:t>Bipeta</w:t>
      </w:r>
      <w:proofErr w:type="spellEnd"/>
      <w:r>
        <w:rPr>
          <w:rFonts w:ascii="Times New Roman" w:eastAsia="Times New Roman" w:hAnsi="Times New Roman" w:cs="Times New Roman"/>
          <w:color w:val="000000" w:themeColor="text1"/>
        </w:rPr>
        <w:t xml:space="preserve">, R., 2019. Legal and ethical aspects of mental health care. </w:t>
      </w:r>
      <w:r w:rsidRPr="00620166">
        <w:rPr>
          <w:rFonts w:ascii="Times New Roman" w:eastAsia="Times New Roman" w:hAnsi="Times New Roman" w:cs="Times New Roman"/>
          <w:i/>
          <w:iCs/>
          <w:color w:val="000000" w:themeColor="text1"/>
        </w:rPr>
        <w:t>Indian journal of psychological medicine, 41(2),</w:t>
      </w:r>
      <w:r>
        <w:rPr>
          <w:rFonts w:ascii="Times New Roman" w:eastAsia="Times New Roman" w:hAnsi="Times New Roman" w:cs="Times New Roman"/>
          <w:color w:val="000000" w:themeColor="text1"/>
        </w:rPr>
        <w:t xml:space="preserve"> pp.108-112.</w:t>
      </w:r>
    </w:p>
    <w:p w14:paraId="3EC4662C" w14:textId="42AF3613" w:rsidR="004C5C34" w:rsidRDefault="4F5A342B">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t xml:space="preserve">Ellis, H. and Ellis, P., 2022. Consent and the law. </w:t>
      </w:r>
      <w:r w:rsidRPr="00C31A8F">
        <w:rPr>
          <w:rFonts w:ascii="Times New Roman" w:eastAsia="Times New Roman" w:hAnsi="Times New Roman" w:cs="Times New Roman"/>
          <w:i/>
          <w:iCs/>
          <w:color w:val="000000" w:themeColor="text1"/>
        </w:rPr>
        <w:t>Journal of Kidney Care, 7(5),</w:t>
      </w:r>
      <w:r w:rsidRPr="19768FBF">
        <w:rPr>
          <w:rFonts w:ascii="Times New Roman" w:eastAsia="Times New Roman" w:hAnsi="Times New Roman" w:cs="Times New Roman"/>
          <w:color w:val="000000" w:themeColor="text1"/>
        </w:rPr>
        <w:t xml:space="preserve"> pp.242-244.</w:t>
      </w:r>
      <w:r w:rsidR="00573E75">
        <w:rPr>
          <w:rFonts w:ascii="Times New Roman" w:eastAsia="Times New Roman" w:hAnsi="Times New Roman" w:cs="Times New Roman"/>
          <w:color w:val="000000" w:themeColor="text1"/>
        </w:rPr>
        <w:t xml:space="preserve"> </w:t>
      </w:r>
    </w:p>
    <w:p w14:paraId="5D686239" w14:textId="0550C33A" w:rsidR="00143A6B" w:rsidRDefault="00143A6B">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Erichson, H.M. and Zipursky, B. C., 2010. </w:t>
      </w:r>
      <w:r w:rsidRPr="00143A6B">
        <w:rPr>
          <w:rFonts w:ascii="Times New Roman" w:eastAsia="Times New Roman" w:hAnsi="Times New Roman" w:cs="Times New Roman"/>
          <w:i/>
          <w:iCs/>
          <w:color w:val="000000" w:themeColor="text1"/>
        </w:rPr>
        <w:t>Consent versus closure. Cornell L. Rev., 96</w:t>
      </w:r>
      <w:r>
        <w:rPr>
          <w:rFonts w:ascii="Times New Roman" w:eastAsia="Times New Roman" w:hAnsi="Times New Roman" w:cs="Times New Roman"/>
          <w:color w:val="000000" w:themeColor="text1"/>
        </w:rPr>
        <w:t>, p.265.</w:t>
      </w:r>
    </w:p>
    <w:p w14:paraId="43F4E37D" w14:textId="6D298AB2" w:rsidR="00573E75" w:rsidRDefault="00573E75">
      <w:proofErr w:type="spellStart"/>
      <w:r>
        <w:rPr>
          <w:rFonts w:ascii="Times New Roman" w:eastAsia="Times New Roman" w:hAnsi="Times New Roman" w:cs="Times New Roman"/>
          <w:color w:val="000000" w:themeColor="text1"/>
        </w:rPr>
        <w:t>Horder</w:t>
      </w:r>
      <w:proofErr w:type="spellEnd"/>
      <w:r>
        <w:rPr>
          <w:rFonts w:ascii="Times New Roman" w:eastAsia="Times New Roman" w:hAnsi="Times New Roman" w:cs="Times New Roman"/>
          <w:color w:val="000000" w:themeColor="text1"/>
        </w:rPr>
        <w:t xml:space="preserve">, J., 1994. Rethinking non-fatal offences against the person. </w:t>
      </w:r>
      <w:r w:rsidRPr="00573E75">
        <w:rPr>
          <w:rFonts w:ascii="Times New Roman" w:eastAsia="Times New Roman" w:hAnsi="Times New Roman" w:cs="Times New Roman"/>
          <w:i/>
          <w:iCs/>
          <w:color w:val="000000" w:themeColor="text1"/>
        </w:rPr>
        <w:t xml:space="preserve">Oxford Journal of Legal Studies, 14(3), </w:t>
      </w:r>
      <w:r>
        <w:rPr>
          <w:rFonts w:ascii="Times New Roman" w:eastAsia="Times New Roman" w:hAnsi="Times New Roman" w:cs="Times New Roman"/>
          <w:color w:val="000000" w:themeColor="text1"/>
        </w:rPr>
        <w:t>pp.335-351.</w:t>
      </w:r>
    </w:p>
    <w:p w14:paraId="64EEEF8B" w14:textId="15798424" w:rsidR="004C5C34" w:rsidRPr="00C31A8F" w:rsidRDefault="4F5A342B">
      <w:pPr>
        <w:rPr>
          <w:i/>
          <w:iCs/>
        </w:rPr>
      </w:pPr>
      <w:r w:rsidRPr="19768FBF">
        <w:rPr>
          <w:rFonts w:ascii="Times New Roman" w:eastAsia="Times New Roman" w:hAnsi="Times New Roman" w:cs="Times New Roman"/>
          <w:color w:val="000000" w:themeColor="text1"/>
        </w:rPr>
        <w:t xml:space="preserve">Kenney-Herbert, E., Mylonas, M., Murphy, T. and Roques, T., 2023. Consent consensus: time for national standard consent forms as an aid to robust consent. </w:t>
      </w:r>
      <w:r w:rsidRPr="00C31A8F">
        <w:rPr>
          <w:rFonts w:ascii="Times New Roman" w:eastAsia="Times New Roman" w:hAnsi="Times New Roman" w:cs="Times New Roman"/>
          <w:i/>
          <w:iCs/>
          <w:color w:val="000000" w:themeColor="text1"/>
        </w:rPr>
        <w:t>bmj, 382.</w:t>
      </w:r>
    </w:p>
    <w:p w14:paraId="611B5ABE" w14:textId="4B2C4987" w:rsidR="004C5C34" w:rsidRDefault="4F5A342B">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t xml:space="preserve">McMahon, M. and McGorrery, P., 2020. Criminalising coercive control: An introduction. </w:t>
      </w:r>
      <w:r w:rsidRPr="00C31A8F">
        <w:rPr>
          <w:rFonts w:ascii="Times New Roman" w:eastAsia="Times New Roman" w:hAnsi="Times New Roman" w:cs="Times New Roman"/>
          <w:i/>
          <w:iCs/>
          <w:color w:val="000000" w:themeColor="text1"/>
        </w:rPr>
        <w:t xml:space="preserve">Criminalising coercive control: Family violence and the criminal law, </w:t>
      </w:r>
      <w:r w:rsidRPr="19768FBF">
        <w:rPr>
          <w:rFonts w:ascii="Times New Roman" w:eastAsia="Times New Roman" w:hAnsi="Times New Roman" w:cs="Times New Roman"/>
          <w:color w:val="000000" w:themeColor="text1"/>
        </w:rPr>
        <w:t>pp.3-32.</w:t>
      </w:r>
      <w:r w:rsidR="00433C94">
        <w:rPr>
          <w:rFonts w:ascii="Times New Roman" w:eastAsia="Times New Roman" w:hAnsi="Times New Roman" w:cs="Times New Roman"/>
          <w:color w:val="000000" w:themeColor="text1"/>
        </w:rPr>
        <w:t xml:space="preserve"> </w:t>
      </w:r>
    </w:p>
    <w:p w14:paraId="0EDDB8E1" w14:textId="5D263514" w:rsidR="00433C94" w:rsidRDefault="00433C94">
      <w:r>
        <w:rPr>
          <w:rFonts w:ascii="Times New Roman" w:eastAsia="Times New Roman" w:hAnsi="Times New Roman" w:cs="Times New Roman"/>
          <w:color w:val="000000" w:themeColor="text1"/>
        </w:rPr>
        <w:t xml:space="preserve">Miller, F. and Wertheimer, A. eds., 2010. </w:t>
      </w:r>
      <w:r w:rsidRPr="00433C94">
        <w:rPr>
          <w:rFonts w:ascii="Times New Roman" w:eastAsia="Times New Roman" w:hAnsi="Times New Roman" w:cs="Times New Roman"/>
          <w:i/>
          <w:iCs/>
          <w:color w:val="000000" w:themeColor="text1"/>
        </w:rPr>
        <w:t>The ethics of consent: t</w:t>
      </w:r>
      <w:r>
        <w:rPr>
          <w:rFonts w:ascii="Times New Roman" w:eastAsia="Times New Roman" w:hAnsi="Times New Roman" w:cs="Times New Roman"/>
          <w:i/>
          <w:iCs/>
          <w:color w:val="000000" w:themeColor="text1"/>
        </w:rPr>
        <w:t>h</w:t>
      </w:r>
      <w:r w:rsidRPr="00433C94">
        <w:rPr>
          <w:rFonts w:ascii="Times New Roman" w:eastAsia="Times New Roman" w:hAnsi="Times New Roman" w:cs="Times New Roman"/>
          <w:i/>
          <w:iCs/>
          <w:color w:val="000000" w:themeColor="text1"/>
        </w:rPr>
        <w:t>eory and practice</w:t>
      </w:r>
      <w:r>
        <w:rPr>
          <w:rFonts w:ascii="Times New Roman" w:eastAsia="Times New Roman" w:hAnsi="Times New Roman" w:cs="Times New Roman"/>
          <w:color w:val="000000" w:themeColor="text1"/>
        </w:rPr>
        <w:t>. Oxford University Press.</w:t>
      </w:r>
    </w:p>
    <w:p w14:paraId="7130E4DF" w14:textId="065E4C09" w:rsidR="004C5C34" w:rsidRDefault="4F5A342B">
      <w:pPr>
        <w:rPr>
          <w:rFonts w:ascii="Times New Roman" w:eastAsia="Times New Roman" w:hAnsi="Times New Roman" w:cs="Times New Roman"/>
          <w:color w:val="000000" w:themeColor="text1"/>
        </w:rPr>
      </w:pPr>
      <w:r w:rsidRPr="19768FBF">
        <w:rPr>
          <w:rFonts w:ascii="Times New Roman" w:eastAsia="Times New Roman" w:hAnsi="Times New Roman" w:cs="Times New Roman"/>
          <w:color w:val="000000" w:themeColor="text1"/>
        </w:rPr>
        <w:lastRenderedPageBreak/>
        <w:t xml:space="preserve">Monaghan, N., 2022. </w:t>
      </w:r>
      <w:r w:rsidRPr="00DE6848">
        <w:rPr>
          <w:rFonts w:ascii="Times New Roman" w:eastAsia="Times New Roman" w:hAnsi="Times New Roman" w:cs="Times New Roman"/>
          <w:i/>
          <w:iCs/>
          <w:color w:val="000000" w:themeColor="text1"/>
        </w:rPr>
        <w:t>Criminal Law Directions</w:t>
      </w:r>
      <w:r w:rsidRPr="19768FBF">
        <w:rPr>
          <w:rFonts w:ascii="Times New Roman" w:eastAsia="Times New Roman" w:hAnsi="Times New Roman" w:cs="Times New Roman"/>
          <w:color w:val="000000" w:themeColor="text1"/>
        </w:rPr>
        <w:t>. Oxford University Press.</w:t>
      </w:r>
      <w:r w:rsidR="00143A6B">
        <w:rPr>
          <w:rFonts w:ascii="Times New Roman" w:eastAsia="Times New Roman" w:hAnsi="Times New Roman" w:cs="Times New Roman"/>
          <w:color w:val="000000" w:themeColor="text1"/>
        </w:rPr>
        <w:t xml:space="preserve"> </w:t>
      </w:r>
    </w:p>
    <w:p w14:paraId="55BEA9BE" w14:textId="1DE0A47E" w:rsidR="00143A6B" w:rsidRDefault="00143A6B">
      <w:r>
        <w:rPr>
          <w:rFonts w:ascii="Times New Roman" w:eastAsia="Times New Roman" w:hAnsi="Times New Roman" w:cs="Times New Roman"/>
          <w:color w:val="000000" w:themeColor="text1"/>
        </w:rPr>
        <w:t xml:space="preserve">Selinger, C.P., 2009. The right to consent: Is it </w:t>
      </w:r>
      <w:proofErr w:type="gramStart"/>
      <w:r>
        <w:rPr>
          <w:rFonts w:ascii="Times New Roman" w:eastAsia="Times New Roman" w:hAnsi="Times New Roman" w:cs="Times New Roman"/>
          <w:color w:val="000000" w:themeColor="text1"/>
        </w:rPr>
        <w:t>absolute?.</w:t>
      </w:r>
      <w:proofErr w:type="gramEnd"/>
      <w:r>
        <w:rPr>
          <w:rFonts w:ascii="Times New Roman" w:eastAsia="Times New Roman" w:hAnsi="Times New Roman" w:cs="Times New Roman"/>
          <w:color w:val="000000" w:themeColor="text1"/>
        </w:rPr>
        <w:t xml:space="preserve"> </w:t>
      </w:r>
      <w:r w:rsidRPr="00143A6B">
        <w:rPr>
          <w:rFonts w:ascii="Times New Roman" w:eastAsia="Times New Roman" w:hAnsi="Times New Roman" w:cs="Times New Roman"/>
          <w:i/>
          <w:iCs/>
          <w:color w:val="000000" w:themeColor="text1"/>
        </w:rPr>
        <w:t>British journal of medical practitioners, 2(2).</w:t>
      </w:r>
    </w:p>
    <w:p w14:paraId="48BC1434" w14:textId="0622122E" w:rsidR="004C5C34" w:rsidRDefault="004C5C34">
      <w:pPr>
        <w:rPr>
          <w:rFonts w:ascii="Times New Roman" w:eastAsia="Times New Roman" w:hAnsi="Times New Roman" w:cs="Times New Roman"/>
          <w:color w:val="000000" w:themeColor="text1"/>
        </w:rPr>
      </w:pPr>
    </w:p>
    <w:p w14:paraId="32C53DE7" w14:textId="77777777" w:rsidR="001D13FA" w:rsidRDefault="001D13FA"/>
    <w:p w14:paraId="2C078E63" w14:textId="44669D3F" w:rsidR="004C5C34" w:rsidRDefault="004C5C34" w:rsidP="19768FBF"/>
    <w:sectPr w:rsidR="004C5C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08B530"/>
    <w:rsid w:val="00094244"/>
    <w:rsid w:val="00143A6B"/>
    <w:rsid w:val="001C5C72"/>
    <w:rsid w:val="001D13FA"/>
    <w:rsid w:val="00263B4B"/>
    <w:rsid w:val="002F733A"/>
    <w:rsid w:val="003D6E53"/>
    <w:rsid w:val="00433C94"/>
    <w:rsid w:val="004B00D8"/>
    <w:rsid w:val="004C5C34"/>
    <w:rsid w:val="004F4C51"/>
    <w:rsid w:val="00573E75"/>
    <w:rsid w:val="005773D5"/>
    <w:rsid w:val="005C3528"/>
    <w:rsid w:val="00620166"/>
    <w:rsid w:val="006C4BEF"/>
    <w:rsid w:val="006F2E22"/>
    <w:rsid w:val="00743FBB"/>
    <w:rsid w:val="008200ED"/>
    <w:rsid w:val="008A2C7E"/>
    <w:rsid w:val="00905E24"/>
    <w:rsid w:val="009B63FC"/>
    <w:rsid w:val="00A36182"/>
    <w:rsid w:val="00AA3B4A"/>
    <w:rsid w:val="00B04C19"/>
    <w:rsid w:val="00BF69E4"/>
    <w:rsid w:val="00C31A8F"/>
    <w:rsid w:val="00C97F6A"/>
    <w:rsid w:val="00CB5871"/>
    <w:rsid w:val="00DD96F7"/>
    <w:rsid w:val="00DE6848"/>
    <w:rsid w:val="00DF064B"/>
    <w:rsid w:val="00E223E6"/>
    <w:rsid w:val="00EC0F00"/>
    <w:rsid w:val="00F01BE6"/>
    <w:rsid w:val="010276B6"/>
    <w:rsid w:val="01C6D2F6"/>
    <w:rsid w:val="01EDB776"/>
    <w:rsid w:val="025FBC15"/>
    <w:rsid w:val="0334232A"/>
    <w:rsid w:val="03A4F125"/>
    <w:rsid w:val="03ED05A3"/>
    <w:rsid w:val="0448CF2E"/>
    <w:rsid w:val="0513A018"/>
    <w:rsid w:val="0607ABB3"/>
    <w:rsid w:val="063EF3A0"/>
    <w:rsid w:val="07A37C14"/>
    <w:rsid w:val="082616CA"/>
    <w:rsid w:val="08544DDA"/>
    <w:rsid w:val="09F94C47"/>
    <w:rsid w:val="0B7929EB"/>
    <w:rsid w:val="0C834C86"/>
    <w:rsid w:val="0CB385A8"/>
    <w:rsid w:val="0D38EC50"/>
    <w:rsid w:val="0D6A742E"/>
    <w:rsid w:val="0E1B009F"/>
    <w:rsid w:val="0E4A0585"/>
    <w:rsid w:val="0FBAED48"/>
    <w:rsid w:val="1020A9CB"/>
    <w:rsid w:val="107E428D"/>
    <w:rsid w:val="11AAEC8D"/>
    <w:rsid w:val="12D4F3E4"/>
    <w:rsid w:val="12E62EBB"/>
    <w:rsid w:val="139C149A"/>
    <w:rsid w:val="13EE3ECC"/>
    <w:rsid w:val="15E54F18"/>
    <w:rsid w:val="162B65B7"/>
    <w:rsid w:val="17C5FF2D"/>
    <w:rsid w:val="18F400BB"/>
    <w:rsid w:val="18FA3E1F"/>
    <w:rsid w:val="1961CF8E"/>
    <w:rsid w:val="19768FBF"/>
    <w:rsid w:val="1A2C2668"/>
    <w:rsid w:val="1A300AD5"/>
    <w:rsid w:val="1A4C2E02"/>
    <w:rsid w:val="1BA0784D"/>
    <w:rsid w:val="1BCBDB36"/>
    <w:rsid w:val="1C6147DC"/>
    <w:rsid w:val="1C83C301"/>
    <w:rsid w:val="1D125AD6"/>
    <w:rsid w:val="1D2ED9A3"/>
    <w:rsid w:val="1DCE0B4D"/>
    <w:rsid w:val="1E8B375D"/>
    <w:rsid w:val="1F26D684"/>
    <w:rsid w:val="1F4A315E"/>
    <w:rsid w:val="208E9E62"/>
    <w:rsid w:val="20FA39F2"/>
    <w:rsid w:val="21009F3D"/>
    <w:rsid w:val="216709C5"/>
    <w:rsid w:val="21943C2B"/>
    <w:rsid w:val="22011D66"/>
    <w:rsid w:val="223B1CBA"/>
    <w:rsid w:val="225D55DE"/>
    <w:rsid w:val="23D6ED1B"/>
    <w:rsid w:val="24570BE4"/>
    <w:rsid w:val="2483B8A1"/>
    <w:rsid w:val="24B75303"/>
    <w:rsid w:val="24C19F9F"/>
    <w:rsid w:val="266CCBB4"/>
    <w:rsid w:val="27167B63"/>
    <w:rsid w:val="2760D056"/>
    <w:rsid w:val="28AA5E3E"/>
    <w:rsid w:val="28B24BC4"/>
    <w:rsid w:val="28F805DD"/>
    <w:rsid w:val="29C6E8D1"/>
    <w:rsid w:val="2A4E1C25"/>
    <w:rsid w:val="2C3270F9"/>
    <w:rsid w:val="2C68D9BC"/>
    <w:rsid w:val="2CD2EB1E"/>
    <w:rsid w:val="2D6C948A"/>
    <w:rsid w:val="2D7DCF61"/>
    <w:rsid w:val="2D85BCE7"/>
    <w:rsid w:val="2D8A2EB0"/>
    <w:rsid w:val="2D9C7D2A"/>
    <w:rsid w:val="2E6B288E"/>
    <w:rsid w:val="2ED27FB0"/>
    <w:rsid w:val="2FA9838A"/>
    <w:rsid w:val="30CE3732"/>
    <w:rsid w:val="32592E0A"/>
    <w:rsid w:val="32996939"/>
    <w:rsid w:val="33F97034"/>
    <w:rsid w:val="340E3065"/>
    <w:rsid w:val="350EAF91"/>
    <w:rsid w:val="358C69F5"/>
    <w:rsid w:val="35D6BE4F"/>
    <w:rsid w:val="35DEE98C"/>
    <w:rsid w:val="3665B027"/>
    <w:rsid w:val="373110F6"/>
    <w:rsid w:val="38D4CEDD"/>
    <w:rsid w:val="399AECE4"/>
    <w:rsid w:val="39C4E85A"/>
    <w:rsid w:val="3A825F7F"/>
    <w:rsid w:val="3C001050"/>
    <w:rsid w:val="3C1E2FE0"/>
    <w:rsid w:val="3CADC2F1"/>
    <w:rsid w:val="3D315068"/>
    <w:rsid w:val="3E02B3F4"/>
    <w:rsid w:val="3F37B112"/>
    <w:rsid w:val="40929CA7"/>
    <w:rsid w:val="4122102D"/>
    <w:rsid w:val="4194F3AC"/>
    <w:rsid w:val="41C5EE36"/>
    <w:rsid w:val="4238B1C5"/>
    <w:rsid w:val="42F991A4"/>
    <w:rsid w:val="430875E3"/>
    <w:rsid w:val="4330C40D"/>
    <w:rsid w:val="440B2235"/>
    <w:rsid w:val="44178184"/>
    <w:rsid w:val="44F42EAE"/>
    <w:rsid w:val="4532A523"/>
    <w:rsid w:val="45582820"/>
    <w:rsid w:val="45A6F296"/>
    <w:rsid w:val="464E1C69"/>
    <w:rsid w:val="47BE409B"/>
    <w:rsid w:val="47C1FC38"/>
    <w:rsid w:val="485EF898"/>
    <w:rsid w:val="49A00591"/>
    <w:rsid w:val="49FE7D30"/>
    <w:rsid w:val="4A747638"/>
    <w:rsid w:val="4A9B8339"/>
    <w:rsid w:val="4C77880F"/>
    <w:rsid w:val="4CB4B2CD"/>
    <w:rsid w:val="4D13F9C1"/>
    <w:rsid w:val="4D2AABD5"/>
    <w:rsid w:val="4D77ABE4"/>
    <w:rsid w:val="4E08B530"/>
    <w:rsid w:val="4E5CAC31"/>
    <w:rsid w:val="4F5A342B"/>
    <w:rsid w:val="4F6AE86A"/>
    <w:rsid w:val="4F8917DD"/>
    <w:rsid w:val="500F4715"/>
    <w:rsid w:val="50ACA72A"/>
    <w:rsid w:val="50B70F54"/>
    <w:rsid w:val="517BC499"/>
    <w:rsid w:val="51C8B19C"/>
    <w:rsid w:val="51EE0B8F"/>
    <w:rsid w:val="5240F9CB"/>
    <w:rsid w:val="52EF91DC"/>
    <w:rsid w:val="53012384"/>
    <w:rsid w:val="5356247D"/>
    <w:rsid w:val="5358E608"/>
    <w:rsid w:val="53713B5E"/>
    <w:rsid w:val="5525AC51"/>
    <w:rsid w:val="55F8634E"/>
    <w:rsid w:val="56B5D086"/>
    <w:rsid w:val="5763DF18"/>
    <w:rsid w:val="57893696"/>
    <w:rsid w:val="59ED7148"/>
    <w:rsid w:val="59F91D74"/>
    <w:rsid w:val="5A3F6C33"/>
    <w:rsid w:val="5ACBCA84"/>
    <w:rsid w:val="5AF8C018"/>
    <w:rsid w:val="5B5E590B"/>
    <w:rsid w:val="5C69A107"/>
    <w:rsid w:val="5CF6735E"/>
    <w:rsid w:val="5D25120A"/>
    <w:rsid w:val="5D732318"/>
    <w:rsid w:val="5DDEDDCF"/>
    <w:rsid w:val="5DEFCCFA"/>
    <w:rsid w:val="5EC0E26B"/>
    <w:rsid w:val="5ED908F9"/>
    <w:rsid w:val="6014BCE8"/>
    <w:rsid w:val="6031CA2E"/>
    <w:rsid w:val="610E1854"/>
    <w:rsid w:val="617E302E"/>
    <w:rsid w:val="63696AF0"/>
    <w:rsid w:val="6382934D"/>
    <w:rsid w:val="63F989ED"/>
    <w:rsid w:val="65826590"/>
    <w:rsid w:val="65B59865"/>
    <w:rsid w:val="65DFA90D"/>
    <w:rsid w:val="65F27D6A"/>
    <w:rsid w:val="6605B587"/>
    <w:rsid w:val="66166AB1"/>
    <w:rsid w:val="666E73E3"/>
    <w:rsid w:val="68BBEB24"/>
    <w:rsid w:val="694E0B73"/>
    <w:rsid w:val="6B89B40C"/>
    <w:rsid w:val="6BEDC957"/>
    <w:rsid w:val="6C85AC35"/>
    <w:rsid w:val="6CF590AC"/>
    <w:rsid w:val="6DCDDA86"/>
    <w:rsid w:val="6DD8393C"/>
    <w:rsid w:val="6F69AAE7"/>
    <w:rsid w:val="701875D1"/>
    <w:rsid w:val="70385195"/>
    <w:rsid w:val="707AC41C"/>
    <w:rsid w:val="7087661D"/>
    <w:rsid w:val="70FD5F25"/>
    <w:rsid w:val="71057B48"/>
    <w:rsid w:val="7139857B"/>
    <w:rsid w:val="71591D58"/>
    <w:rsid w:val="737B1CF1"/>
    <w:rsid w:val="73B394C2"/>
    <w:rsid w:val="73D01FC9"/>
    <w:rsid w:val="75252010"/>
    <w:rsid w:val="75F187E8"/>
    <w:rsid w:val="766B2CCE"/>
    <w:rsid w:val="776178DB"/>
    <w:rsid w:val="7774BCCC"/>
    <w:rsid w:val="791FFFFC"/>
    <w:rsid w:val="79DDDB3A"/>
    <w:rsid w:val="79F6BDC4"/>
    <w:rsid w:val="7A1A2B26"/>
    <w:rsid w:val="7D207DE5"/>
    <w:rsid w:val="7D9676ED"/>
    <w:rsid w:val="7F8696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B6278"/>
  <w15:chartTrackingRefBased/>
  <w15:docId w15:val="{5E4ABB54-03BD-465E-A5B8-1D88C41A0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490</TotalTime>
  <Pages>5</Pages>
  <Words>1771</Words>
  <Characters>10100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Dorin Sorea (2245095)</dc:creator>
  <cp:keywords/>
  <dc:description/>
  <cp:lastModifiedBy>447478621685</cp:lastModifiedBy>
  <cp:revision>13</cp:revision>
  <dcterms:created xsi:type="dcterms:W3CDTF">2024-03-02T22:02:00Z</dcterms:created>
  <dcterms:modified xsi:type="dcterms:W3CDTF">2024-03-19T11:57:00Z</dcterms:modified>
</cp:coreProperties>
</file>