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0141E" w:rsidRPr="00651269" w:rsidRDefault="00651269" w:rsidP="00651269">
      <w:pPr>
        <w:pStyle w:val="IntenseQuote"/>
        <w:rPr>
          <w:b/>
          <w:i w:val="0"/>
        </w:rPr>
      </w:pPr>
      <w:bookmarkStart w:id="0" w:name="_GoBack"/>
      <w:r>
        <w:rPr>
          <w:b/>
          <w:i w:val="0"/>
        </w:rPr>
        <w:t>4. Explain whether, and how, Herodotus’ presentation of Spartan kings serves as a comparative to Persian kings.</w:t>
      </w:r>
    </w:p>
    <w:bookmarkEnd w:id="0"/>
    <w:p w:rsidR="00E0141E" w:rsidRDefault="00651269" w:rsidP="00651269">
      <w:pPr>
        <w:jc w:val="center"/>
        <w:rPr>
          <w:rFonts w:ascii="Arial" w:hAnsi="Arial" w:cs="Arial"/>
          <w:i/>
          <w:sz w:val="20"/>
          <w:szCs w:val="20"/>
          <w:lang w:val="en"/>
        </w:rPr>
      </w:pPr>
      <w:r w:rsidRPr="00651269">
        <w:rPr>
          <w:i/>
        </w:rPr>
        <w:t>“</w:t>
      </w:r>
      <w:r w:rsidRPr="00651269">
        <w:rPr>
          <w:rFonts w:ascii="Arial" w:hAnsi="Arial" w:cs="Arial"/>
          <w:i/>
          <w:sz w:val="20"/>
          <w:szCs w:val="20"/>
          <w:lang w:val="en"/>
        </w:rPr>
        <w:t>The</w:t>
      </w:r>
      <w:r w:rsidRPr="00651269">
        <w:rPr>
          <w:rFonts w:ascii="Arial" w:hAnsi="Arial" w:cs="Arial"/>
          <w:i/>
          <w:sz w:val="20"/>
          <w:szCs w:val="20"/>
          <w:lang w:val="en"/>
        </w:rPr>
        <w:t xml:space="preserve"> male ruler of an independent state, especially one who inherits</w:t>
      </w:r>
      <w:r w:rsidRPr="00651269">
        <w:rPr>
          <w:rFonts w:ascii="Arial" w:hAnsi="Arial" w:cs="Arial"/>
          <w:i/>
          <w:sz w:val="20"/>
          <w:szCs w:val="20"/>
          <w:lang w:val="en"/>
        </w:rPr>
        <w:t xml:space="preserve"> the position by right of birth”</w:t>
      </w:r>
      <w:r>
        <w:rPr>
          <w:rStyle w:val="FootnoteReference"/>
          <w:rFonts w:ascii="Arial" w:hAnsi="Arial" w:cs="Arial"/>
          <w:i/>
          <w:sz w:val="20"/>
          <w:szCs w:val="20"/>
          <w:lang w:val="en"/>
        </w:rPr>
        <w:footnoteReference w:id="1"/>
      </w:r>
    </w:p>
    <w:p w:rsidR="00651269" w:rsidRDefault="00651269" w:rsidP="00651269">
      <w:r>
        <w:t>The classical understanding of kingship varies slightly from the modern understanding, from their role to the formation of what is considered monarchy</w:t>
      </w:r>
      <w:r w:rsidR="00696586">
        <w:t xml:space="preserve"> and the power that the one in power has and is able to wield unhindered</w:t>
      </w:r>
      <w:r>
        <w:t xml:space="preserve">. This essay will assess whether Herodotus’ presentation of Spartan and Persian kings can be considered comparative by discussing their representation and role within their courts. </w:t>
      </w:r>
    </w:p>
    <w:p w:rsidR="00651269" w:rsidRDefault="00651269" w:rsidP="00651269">
      <w:r>
        <w:t>The key contrast between the Spartan and Persian kings is the idea of two versus tyrant. In the Spartan system, two kings reign at the same time, intending to prevent tyranny</w:t>
      </w:r>
      <w:r w:rsidR="00696586">
        <w:t>, these lines of succession operate almost independently from the other, allowing a new king to replace the last from that bloodline in the event one dies without the need for the other bloodline to change monarch</w:t>
      </w:r>
      <w:r>
        <w:t>. These kings come from two branches of a bloodline believed to be descended from Heracles</w:t>
      </w:r>
      <w:r>
        <w:rPr>
          <w:rStyle w:val="FootnoteReference"/>
        </w:rPr>
        <w:footnoteReference w:id="2"/>
      </w:r>
      <w:r>
        <w:t>. The family branches are known as the Agiad and Eurypontid lines, this essay will focus primaril</w:t>
      </w:r>
      <w:r w:rsidR="006F75EC">
        <w:t xml:space="preserve">y on the kings from the former. </w:t>
      </w:r>
      <w:r>
        <w:t xml:space="preserve">The Persian kings ruled alone, the bloodline initially following from Cyrus I, before moving to the descendants of his brother Ariaramnes around 420BC. </w:t>
      </w:r>
    </w:p>
    <w:p w:rsidR="004F41B3" w:rsidRDefault="004F41B3" w:rsidP="00651269">
      <w:r>
        <w:t>There are a few key differences between the Spartan and Persian courts, primarily. The Spartan court while ruled by two kings also has ephors elected by the citizenry annually that preside over state affairs aside from military matters</w:t>
      </w:r>
      <w:r w:rsidR="00A10F42">
        <w:rPr>
          <w:rStyle w:val="FootnoteReference"/>
        </w:rPr>
        <w:footnoteReference w:id="3"/>
      </w:r>
      <w:r>
        <w:t>. The kings are still involved in political, judicial and religious affairs however they are not an absolute authority</w:t>
      </w:r>
      <w:r w:rsidR="0014568C">
        <w:t xml:space="preserve">, </w:t>
      </w:r>
      <w:r w:rsidR="00696586">
        <w:t>S</w:t>
      </w:r>
      <w:r w:rsidR="00696586">
        <w:rPr>
          <w:rFonts w:ascii="Arial" w:hAnsi="Arial" w:cs="Arial"/>
          <w:sz w:val="20"/>
          <w:szCs w:val="20"/>
          <w:lang w:val="en"/>
        </w:rPr>
        <w:t>é</w:t>
      </w:r>
      <w:r w:rsidR="00696586">
        <w:t>lincourt</w:t>
      </w:r>
      <w:r w:rsidR="0014568C">
        <w:t xml:space="preserve"> considers this aspect of their constitution peculiar, discussing the fact the kings were jealous of each other and subject to the will of the ephors</w:t>
      </w:r>
      <w:r w:rsidR="0014568C">
        <w:rPr>
          <w:rStyle w:val="FootnoteReference"/>
        </w:rPr>
        <w:footnoteReference w:id="4"/>
      </w:r>
      <w:r w:rsidR="0014568C">
        <w:t>, while I understand the peculiarity, in an attempt to rid the state of the threat of tyranny having a governing body is a sound decision</w:t>
      </w:r>
      <w:r w:rsidR="00696586">
        <w:t xml:space="preserve"> as it limits the monarchs sphere of influence. Having two kings in this case would allow for a power balance and someone of equal hierarchical position to be able to challenge tyrannical behaviours</w:t>
      </w:r>
      <w:r>
        <w:t xml:space="preserve">. In contrast to Persia where this style of government does not exist, this allows for a more tyrannical society where the word of the king is law. </w:t>
      </w:r>
      <w:r w:rsidR="00A10F42">
        <w:t>Persia maintained a much more formalised court where even the number of those with access to the king were limited</w:t>
      </w:r>
      <w:r w:rsidR="00A10F42">
        <w:rPr>
          <w:rStyle w:val="FootnoteReference"/>
        </w:rPr>
        <w:footnoteReference w:id="5"/>
      </w:r>
      <w:r w:rsidR="00A10F42">
        <w:t>, using the distance created as a method of controlling the population by granting access in the event a citizen performed well in Persia’s interests</w:t>
      </w:r>
      <w:r w:rsidR="00A10F42">
        <w:rPr>
          <w:rStyle w:val="FootnoteReference"/>
        </w:rPr>
        <w:footnoteReference w:id="6"/>
      </w:r>
      <w:r w:rsidR="00A10F42">
        <w:t>.</w:t>
      </w:r>
    </w:p>
    <w:p w:rsidR="00865215" w:rsidRPr="00DA6A74" w:rsidRDefault="0077321F" w:rsidP="00651269">
      <w:r>
        <w:t xml:space="preserve">In order to discuss the representation of the Spartan and Persian kings this essay will attempt to discuss them chronologically, starting with Cyrus the Great. </w:t>
      </w:r>
      <w:r w:rsidR="00DA6A74">
        <w:t xml:space="preserve">This essay will argue that the works of Herodotus do provide comparative points when discussing the Spartan and Persian kings, as well as highlighting that Herodotus presented the Kings in a way that shows them as human rather than </w:t>
      </w:r>
      <w:r w:rsidR="00FB28C3">
        <w:t>semi-</w:t>
      </w:r>
      <w:r w:rsidR="00DA6A74">
        <w:t>divine and susceptible to mortal flaws that allow their greatness or infamy to come from their morally informed choices and understanding</w:t>
      </w:r>
      <w:r>
        <w:t>, or lack thereof,</w:t>
      </w:r>
      <w:r w:rsidR="00DA6A74">
        <w:t xml:space="preserve"> of consequences. </w:t>
      </w:r>
    </w:p>
    <w:p w:rsidR="00FB28C3" w:rsidRDefault="00E02C21" w:rsidP="00651269">
      <w:r>
        <w:lastRenderedPageBreak/>
        <w:t>Cyrus the Great, or Cyrus II</w:t>
      </w:r>
      <w:r w:rsidR="00B17C07">
        <w:t>, ascendency is surrounded by almost divinely favoured stories. Diodorus argued that it was largely due to storytellers and for use as political propaganda</w:t>
      </w:r>
      <w:r w:rsidR="00B17C07">
        <w:rPr>
          <w:rStyle w:val="FootnoteReference"/>
        </w:rPr>
        <w:footnoteReference w:id="7"/>
      </w:r>
      <w:r w:rsidR="00B17C07">
        <w:t xml:space="preserve"> to solidify his right to rule. From the tale of him growing up as a peasant’s son and playing ‘king’ as a child</w:t>
      </w:r>
      <w:r w:rsidR="00B17C07">
        <w:rPr>
          <w:rStyle w:val="FootnoteReference"/>
        </w:rPr>
        <w:footnoteReference w:id="8"/>
      </w:r>
      <w:r w:rsidR="00B17C07">
        <w:t>, to the revelation of his real identity</w:t>
      </w:r>
      <w:r w:rsidR="00B17C07">
        <w:rPr>
          <w:rStyle w:val="FootnoteReference"/>
        </w:rPr>
        <w:footnoteReference w:id="9"/>
      </w:r>
      <w:r w:rsidR="00B17C07">
        <w:t xml:space="preserve">, in Herodotus it appeared that Cyrus was spared death to found the Persian Empire. </w:t>
      </w:r>
    </w:p>
    <w:p w:rsidR="00E02C21" w:rsidRDefault="00B17C07" w:rsidP="00651269">
      <w:r>
        <w:t>In Herodotus, Cyrus</w:t>
      </w:r>
      <w:r w:rsidR="00E02C21">
        <w:t xml:space="preserve"> is represented as</w:t>
      </w:r>
      <w:r w:rsidR="00065AA4">
        <w:t xml:space="preserve"> a</w:t>
      </w:r>
      <w:r w:rsidR="00E02C21">
        <w:t xml:space="preserve"> </w:t>
      </w:r>
      <w:r w:rsidR="00065AA4">
        <w:t>pious and good hearted king. While he still engages in campaigns, the chief example is the campaign against Croesus</w:t>
      </w:r>
      <w:r w:rsidR="00065AA4">
        <w:rPr>
          <w:rStyle w:val="FootnoteReference"/>
        </w:rPr>
        <w:footnoteReference w:id="10"/>
      </w:r>
      <w:r w:rsidR="00065AA4">
        <w:t>, his respect for the divine is paramount as well as his own understanding that kings were not absolute. In the case of Croesus, upon his capture, Cyrus placed him in chains on a pyre before he “</w:t>
      </w:r>
      <w:r w:rsidR="00065AA4">
        <w:t>considered that he, a human being, was burning alive another human being, one his equal in good fortune</w:t>
      </w:r>
      <w:r w:rsidR="00065AA4">
        <w:t>”</w:t>
      </w:r>
      <w:r w:rsidR="00065AA4">
        <w:rPr>
          <w:rStyle w:val="FootnoteReference"/>
        </w:rPr>
        <w:footnoteReference w:id="11"/>
      </w:r>
      <w:r w:rsidR="00065AA4">
        <w:t xml:space="preserve"> due to Croesus’ position as King of Lydia at the time, following the beliefs that the kings were chosen by the gods, Cyrus to an extent, feared divine retribution</w:t>
      </w:r>
      <w:r w:rsidR="00065AA4">
        <w:rPr>
          <w:rStyle w:val="FootnoteReference"/>
        </w:rPr>
        <w:footnoteReference w:id="12"/>
      </w:r>
      <w:r w:rsidR="00065AA4">
        <w:t>. Sparing Croesus’ life allowed the king to serve as an advisor to Cyrus, even after his death, Croesus was tasked with advising Cyrus’ son Cambyses</w:t>
      </w:r>
      <w:r w:rsidR="00065AA4">
        <w:rPr>
          <w:rStyle w:val="FootnoteReference"/>
        </w:rPr>
        <w:footnoteReference w:id="13"/>
      </w:r>
      <w:r w:rsidR="00065AA4">
        <w:t xml:space="preserve">. </w:t>
      </w:r>
      <w:r w:rsidR="00F233C5">
        <w:t xml:space="preserve"> Cambyses contrasts the representation of his father greatly. Often being described as cruel, there were a number of instances where his actions mirrored the madness present in his grandfather, for example </w:t>
      </w:r>
      <w:r w:rsidR="003445D7">
        <w:t>the instance in Memphis where he attacked a calf the Egyptians believed to be blessed by the Gods</w:t>
      </w:r>
      <w:r w:rsidR="003445D7">
        <w:rPr>
          <w:rStyle w:val="FootnoteReference"/>
        </w:rPr>
        <w:footnoteReference w:id="14"/>
      </w:r>
      <w:r w:rsidR="003445D7">
        <w:t xml:space="preserve"> due to his belief that the Egyptians were celebrating his misfortune</w:t>
      </w:r>
      <w:r w:rsidR="00BA3D3C">
        <w:rPr>
          <w:rStyle w:val="FootnoteReference"/>
        </w:rPr>
        <w:footnoteReference w:id="15"/>
      </w:r>
      <w:r w:rsidR="003445D7">
        <w:t xml:space="preserve">. </w:t>
      </w:r>
    </w:p>
    <w:p w:rsidR="00B5211D" w:rsidRDefault="00B5211D" w:rsidP="00B5211D">
      <w:r>
        <w:t xml:space="preserve">Cleomenes was a Spartan king of the Agiad line who ruled from approximately 520BC. He is presented as a thoughtful ruler to an extent, choosing the course of action guaranteed the best outcome for the Spartan people. One example, is the instance where </w:t>
      </w:r>
      <w:r>
        <w:t>Maeandrius</w:t>
      </w:r>
      <w:r w:rsidR="00282554">
        <w:t xml:space="preserve"> offered Cleomenes cups of silver and gold</w:t>
      </w:r>
      <w:r w:rsidR="00282554">
        <w:rPr>
          <w:rStyle w:val="FootnoteReference"/>
        </w:rPr>
        <w:footnoteReference w:id="16"/>
      </w:r>
      <w:r w:rsidR="00282554">
        <w:t>. Herodotus records Cleomenes as maintaining his integrity by refusing to take one, however he believed Maeandrius to be a threat to the Spartan people by tempting him to do evil with these cups and convinces the ephors to banish him from Sparta</w:t>
      </w:r>
      <w:r w:rsidR="00282554">
        <w:rPr>
          <w:rStyle w:val="FootnoteReference"/>
        </w:rPr>
        <w:footnoteReference w:id="17"/>
      </w:r>
      <w:r w:rsidR="00282554">
        <w:t>.</w:t>
      </w:r>
      <w:r w:rsidR="00B40EA7">
        <w:t xml:space="preserve"> </w:t>
      </w:r>
    </w:p>
    <w:p w:rsidR="00B40EA7" w:rsidRDefault="00BA3D3C" w:rsidP="00BA3D3C">
      <w:r>
        <w:t>Herodotus presents Darius as a conqueror, discussing his victories in Egypt while also highlighting his failure in Scythia</w:t>
      </w:r>
      <w:r>
        <w:rPr>
          <w:rStyle w:val="FootnoteReference"/>
        </w:rPr>
        <w:footnoteReference w:id="18"/>
      </w:r>
      <w:r>
        <w:t>. As well as a conqueror Herodotus highlights Darius’ readiness to lie where necessary, citing him to say “</w:t>
      </w:r>
      <w:r>
        <w:t>When it is necessary to lie, lie. For we want the same thing, liars and those who tell the truth</w:t>
      </w:r>
      <w:r>
        <w:t>”</w:t>
      </w:r>
      <w:r>
        <w:rPr>
          <w:rStyle w:val="FootnoteReference"/>
        </w:rPr>
        <w:footnoteReference w:id="19"/>
      </w:r>
      <w:r>
        <w:t xml:space="preserve"> which I interpret to mean that the ends justify the means in his eyes, further supported by his explanation that liars wish for an advantage and those who tell the truth aim to be trusted for their honesty</w:t>
      </w:r>
      <w:r>
        <w:rPr>
          <w:rStyle w:val="FootnoteReference"/>
        </w:rPr>
        <w:footnoteReference w:id="20"/>
      </w:r>
      <w:r>
        <w:t>. Concluding “</w:t>
      </w:r>
      <w:r>
        <w:t>thus we approach the same ends by different means.</w:t>
      </w:r>
      <w:r>
        <w:t>”</w:t>
      </w:r>
      <w:r>
        <w:rPr>
          <w:rStyle w:val="FootnoteReference"/>
        </w:rPr>
        <w:footnoteReference w:id="21"/>
      </w:r>
      <w:r>
        <w:t xml:space="preserve"> Suggesting that as long as the desired outcome is achieved, the means do not matter whether they are honourable (honesty) or underhanded (lying).</w:t>
      </w:r>
      <w:r w:rsidR="00510FB4">
        <w:t xml:space="preserve"> </w:t>
      </w:r>
    </w:p>
    <w:p w:rsidR="00BA3D3C" w:rsidRDefault="00B40EA7" w:rsidP="00BA3D3C">
      <w:r>
        <w:lastRenderedPageBreak/>
        <w:t xml:space="preserve">Cleomenes and Darius reigned around the same period and the comparison between them show the Spartan king to be strong willed by maintaining his integrity however it shows the weakness of the man by his temptation and greed.  Darius is shown to be a more active king while not necessarily being the honourable one through his acceptance of corrupt behaviours if it benefits his kingdom. </w:t>
      </w:r>
      <w:r w:rsidR="00510FB4">
        <w:t>The representation of a less than honourable king continues through Darius’ son, Xerxes I</w:t>
      </w:r>
      <w:r w:rsidR="00510FB4">
        <w:rPr>
          <w:rStyle w:val="FootnoteReference"/>
        </w:rPr>
        <w:footnoteReference w:id="22"/>
      </w:r>
      <w:r w:rsidR="00510FB4">
        <w:t xml:space="preserve">. Primarily, focusing on his representation during his invasion of Greece, Xerxes is represented as quick-tempered, easily influenced and indecisive by Herodotus. </w:t>
      </w:r>
    </w:p>
    <w:p w:rsidR="00865215" w:rsidRPr="00651269" w:rsidRDefault="00510FB4" w:rsidP="00510FB4">
      <w:r>
        <w:t xml:space="preserve">Herodotus records that Xerxes intent to invade Hellas was not a priority for him in the beginning of his reign, instead focusing his efforts on the Egyptians, however </w:t>
      </w:r>
      <w:r>
        <w:t>Mardonius son of Gobryas</w:t>
      </w:r>
      <w:r>
        <w:t>, Xerxes cousin, argued against this course of action. Influencing Xerxes to pursue vengeance against the Athenians</w:t>
      </w:r>
      <w:r>
        <w:rPr>
          <w:rStyle w:val="FootnoteReference"/>
        </w:rPr>
        <w:footnoteReference w:id="23"/>
      </w:r>
      <w:r>
        <w:t xml:space="preserve"> by arguing “</w:t>
      </w:r>
      <w:r>
        <w:t>after all the evil they have done to the Persians</w:t>
      </w:r>
      <w:r>
        <w:t>”</w:t>
      </w:r>
      <w:r>
        <w:rPr>
          <w:rStyle w:val="FootnoteReference"/>
        </w:rPr>
        <w:footnoteReference w:id="24"/>
      </w:r>
      <w:r>
        <w:t xml:space="preserve"> they needed to be punished. Herodotus presents Xerxes as easily manipulated in this section of book 7. Mardonius argues that Xerxes should continue his course of action but to not ignore the Athenians insolence, highlighting that the land the Greeks occupied was “</w:t>
      </w:r>
      <w:r>
        <w:t>a land of highest excellence, worthy o</w:t>
      </w:r>
      <w:r>
        <w:t>f no mortal master but the king”</w:t>
      </w:r>
      <w:r>
        <w:rPr>
          <w:rStyle w:val="FootnoteReference"/>
        </w:rPr>
        <w:footnoteReference w:id="25"/>
      </w:r>
      <w:r>
        <w:t xml:space="preserve">, showing the way Xerxes was susceptible to an inflated sense of self as well as greed. </w:t>
      </w:r>
      <w:r w:rsidR="00865215">
        <w:t>The council Xerxes holds with the Persian nobility shows Xerxes greed and desire not to fall short of the legacy of his ancestors “</w:t>
      </w:r>
      <w:r w:rsidR="00865215">
        <w:t>Ever since I came to this throne, I have considered how I might not fall short of my predecessors in this honor</w:t>
      </w:r>
      <w:r w:rsidR="00097F69">
        <w:t>”</w:t>
      </w:r>
      <w:r w:rsidR="00097F69">
        <w:rPr>
          <w:rStyle w:val="FootnoteReference"/>
        </w:rPr>
        <w:footnoteReference w:id="26"/>
      </w:r>
      <w:r w:rsidR="00097F69">
        <w:t xml:space="preserve"> as a justification for marching against Hellas while arguing that it is partially in vengeance for an affront to his father</w:t>
      </w:r>
      <w:r w:rsidR="00097F69">
        <w:rPr>
          <w:rStyle w:val="FootnoteReference"/>
        </w:rPr>
        <w:footnoteReference w:id="27"/>
      </w:r>
      <w:r w:rsidR="00097F69">
        <w:t>.</w:t>
      </w:r>
      <w:r w:rsidR="0081155D">
        <w:t xml:space="preserve"> </w:t>
      </w:r>
    </w:p>
    <w:p w:rsidR="00B5211D" w:rsidRDefault="00097F69" w:rsidP="00097F69">
      <w:r>
        <w:t>At this stage of the essay, it is prudent to assess the representation of the Spartan kings as Leonidas and Xerxes are closely related in this topic. Leonidas was a king of Sparta of the Agiad bloodline, his co-ruler at the time was Leotychidas who outlived him after the events of Thermopylae. Leonidas is presented as the archetype of Spartan kings. The idea of self-sacrifice and the choices Leonidas made leading up to his death have been reinterpreted in modern pop culture (</w:t>
      </w:r>
      <w:r w:rsidRPr="00097F69">
        <w:rPr>
          <w:i/>
        </w:rPr>
        <w:t>300</w:t>
      </w:r>
      <w:r>
        <w:t>, 2006) in film and comic books over the last few decades</w:t>
      </w:r>
      <w:r>
        <w:rPr>
          <w:rStyle w:val="FootnoteReference"/>
        </w:rPr>
        <w:footnoteReference w:id="28"/>
      </w:r>
      <w:r>
        <w:t xml:space="preserve">. </w:t>
      </w:r>
    </w:p>
    <w:p w:rsidR="00B5211D" w:rsidRDefault="00097F69" w:rsidP="00097F69">
      <w:r>
        <w:t>Furthermore, the narrative of Thermopylae provided by Herodotus creates an interesting story of courage and treachery that even the classical audience would find dramatic. Carey, discusses how the deeds</w:t>
      </w:r>
      <w:r w:rsidR="00667668">
        <w:t xml:space="preserve"> of Leonidas and the Greeks at </w:t>
      </w:r>
      <w:r>
        <w:t>Thermopylae are shown to be even greater by Herodotus’ meticulous details included on Xerxes journey into Hellas</w:t>
      </w:r>
      <w:r>
        <w:rPr>
          <w:rStyle w:val="FootnoteReference"/>
        </w:rPr>
        <w:footnoteReference w:id="29"/>
      </w:r>
      <w:r>
        <w:t>. From his route including the ethnography of Persia, the increase in fresh soldiers which Carey likens to a storm growing in the distance in the eyes of the Greeks</w:t>
      </w:r>
      <w:r w:rsidR="00B5211D">
        <w:rPr>
          <w:rStyle w:val="FootnoteReference"/>
        </w:rPr>
        <w:footnoteReference w:id="30"/>
      </w:r>
      <w:r w:rsidR="00B5211D">
        <w:t xml:space="preserve"> </w:t>
      </w:r>
      <w:r>
        <w:t>Carey argues that Thermopylae is a perfect example of how power “waxes and wanes”</w:t>
      </w:r>
      <w:r>
        <w:rPr>
          <w:rStyle w:val="FootnoteReference"/>
        </w:rPr>
        <w:footnoteReference w:id="31"/>
      </w:r>
      <w:r>
        <w:t xml:space="preserve"> in the classical world. </w:t>
      </w:r>
    </w:p>
    <w:p w:rsidR="00E0141E" w:rsidRDefault="00667668" w:rsidP="00097F69">
      <w:r>
        <w:t xml:space="preserve">Focusing on key instances of Leonidas choices shows the initial choice to march the three hundred hoplites that formed his ‘bodyguard’ in an attempt to slow the Persian forces down, choosing the pass at Thermopylae due to the geographical advantage it provided the Spartans and their allies where the Persians superior numbers would be kept at a manageable level for the allies. Leonidas is </w:t>
      </w:r>
      <w:r>
        <w:lastRenderedPageBreak/>
        <w:t>presented as honourable due to the inclusion of a prophecy from the Delphic Oracle that detailed Sparta would either mourn a king from Heracles line or their city would be overrun</w:t>
      </w:r>
      <w:r>
        <w:rPr>
          <w:rStyle w:val="FootnoteReference"/>
        </w:rPr>
        <w:footnoteReference w:id="32"/>
      </w:r>
      <w:r>
        <w:t xml:space="preserve">, showing he knew </w:t>
      </w:r>
      <w:r w:rsidR="00B5211D">
        <w:t>he would not return from battle. A</w:t>
      </w:r>
      <w:r>
        <w:t>s well as this, it highlights the dedication of the Spartan soldiers and their allies who stood beside him knowing t</w:t>
      </w:r>
      <w:r w:rsidR="00B5211D">
        <w:t>he same fate would befall them.</w:t>
      </w:r>
    </w:p>
    <w:p w:rsidR="00B5211D" w:rsidRDefault="00B5211D" w:rsidP="00097F69">
      <w:r>
        <w:t xml:space="preserve">The contrast between Xerxes and Leonidas is clear, the bravery of Leonidas presented in the sources contrasts the weakness of character Xerxes shows. Furthermore, the </w:t>
      </w:r>
      <w:r w:rsidR="00745701">
        <w:t>ease in which Xerxes is manipulated creates a contrast between the strength and weaknesses of these two kings.</w:t>
      </w:r>
      <w:r w:rsidR="0081155D">
        <w:t xml:space="preserve"> A further contrast between the two kings is seen when Xerxes discusses the Spartans with Demaratus after his exile and is almost confused by the Spartan king’s willingness to fight alongside their soldiers as opposed to sitting behind their lines</w:t>
      </w:r>
      <w:r w:rsidR="0081155D">
        <w:rPr>
          <w:rStyle w:val="FootnoteReference"/>
        </w:rPr>
        <w:footnoteReference w:id="33"/>
      </w:r>
      <w:r w:rsidR="0081155D">
        <w:t xml:space="preserve">. Showing a difference between both honour and courage between the two kings. It could be argued that due to Persia having only one king, keeping the king out of harm was a tactical move as if a Spartan king fell in battle there would still be another as well as the ephors to maintain order. </w:t>
      </w:r>
      <w:r w:rsidR="007C05AC">
        <w:t>S</w:t>
      </w:r>
      <w:r w:rsidR="007C05AC">
        <w:rPr>
          <w:rFonts w:ascii="Arial" w:hAnsi="Arial" w:cs="Arial"/>
          <w:sz w:val="20"/>
          <w:szCs w:val="20"/>
          <w:lang w:val="en"/>
        </w:rPr>
        <w:t>é</w:t>
      </w:r>
      <w:r w:rsidR="007C05AC">
        <w:t>lincourt</w:t>
      </w:r>
      <w:r w:rsidR="007C05AC">
        <w:t xml:space="preserve"> discusses the treachery of Demaratus and Pausanias as not uncommon but still frowned upon but it was almost unexpected of a Spartan king given the teachings of the Spartan state</w:t>
      </w:r>
      <w:r w:rsidR="00F94C9F">
        <w:rPr>
          <w:rStyle w:val="FootnoteReference"/>
        </w:rPr>
        <w:footnoteReference w:id="34"/>
      </w:r>
      <w:r w:rsidR="007C05AC">
        <w:t>, I would agree with the premise of his statement however, the basis of my argument in this essay is that the kings, even those of Sparta were human and susceptible to moral corruption.</w:t>
      </w:r>
    </w:p>
    <w:p w:rsidR="00436753" w:rsidRDefault="00436753" w:rsidP="00097F69">
      <w:r>
        <w:t>Agis IV was a king of Sparta who Plutarch describes “</w:t>
      </w:r>
      <w:r>
        <w:t xml:space="preserve">far surpassed in native excellence and in loftiness of spirit not only Leonidas, but almost all the kings who had followed the great </w:t>
      </w:r>
      <w:proofErr w:type="spellStart"/>
      <w:r>
        <w:t>Agesilaüs</w:t>
      </w:r>
      <w:proofErr w:type="spellEnd"/>
      <w:r>
        <w:t>” for his work to stop Sparta from following a materialistic and greed driven life. Something the laws of Lycurgus aimed to prevent</w:t>
      </w:r>
      <w:r w:rsidR="00DA6A74">
        <w:rPr>
          <w:rStyle w:val="FootnoteReference"/>
        </w:rPr>
        <w:footnoteReference w:id="35"/>
      </w:r>
      <w:r>
        <w:t xml:space="preserve">. </w:t>
      </w:r>
      <w:r w:rsidR="00DA6A74">
        <w:t>Including this example of Spartan kings highlights a key discussion I believe relevant to my argument. Kings are human, thus able to make moral choices the same as any other man. I believe the key differences between a King and a common man in these instances to be the fact that the King’s decision would affect a large number of people for better or for worse dependent upon their moral standing, in the instance of Agis, he lived a life closest to the teachings of Sparta as possible and only wished to wield his authority granted to him by royalty in instances that “</w:t>
      </w:r>
      <w:r w:rsidR="00DA6A74">
        <w:t>by means of it he could restore the ancient laws and discipline</w:t>
      </w:r>
      <w:r w:rsidR="00DA6A74">
        <w:rPr>
          <w:rStyle w:val="FootnoteReference"/>
        </w:rPr>
        <w:footnoteReference w:id="36"/>
      </w:r>
      <w:r w:rsidR="00DA6A74">
        <w:t>”</w:t>
      </w:r>
    </w:p>
    <w:p w:rsidR="00DA6A74" w:rsidRPr="00DA6A74" w:rsidRDefault="00DA6A74" w:rsidP="00097F69">
      <w:r>
        <w:t xml:space="preserve">To conclude, this essay has looked at a number of Spartan and Persian kings, in order to assess their representation in Herodotus’ </w:t>
      </w:r>
      <w:r>
        <w:rPr>
          <w:i/>
        </w:rPr>
        <w:t>Histories</w:t>
      </w:r>
      <w:r>
        <w:t xml:space="preserve"> as well as to support my view that the </w:t>
      </w:r>
      <w:r w:rsidR="00A12BCF">
        <w:t>comparative nature of the work</w:t>
      </w:r>
      <w:r>
        <w:t xml:space="preserve"> highlight</w:t>
      </w:r>
      <w:r w:rsidR="00A12BCF">
        <w:t>s</w:t>
      </w:r>
      <w:r>
        <w:t xml:space="preserve"> the fact </w:t>
      </w:r>
      <w:r w:rsidR="008C3BF7">
        <w:t xml:space="preserve">that </w:t>
      </w:r>
      <w:r>
        <w:t>their greatness or infamy is a result of mortal moral choices, for the reach of a king is broader in the sense their decisions affect a larger number of people</w:t>
      </w:r>
      <w:r w:rsidR="008C3BF7">
        <w:t>. With that in mind, the outcome can be catastrophic in the event the king is morally corrupt but can also be a prosperous occasion in the event that the king has the best interests of the people at heart</w:t>
      </w:r>
      <w:r>
        <w:t xml:space="preserve">. In the case of Cyrus, his leniency allowed for Croesus to serve him as an advisor from equal standing, acknowledging his own mortality in contrast to Cambyses, whose cruelty and disregard for his </w:t>
      </w:r>
      <w:r w:rsidR="0077321F">
        <w:t>father’s</w:t>
      </w:r>
      <w:r>
        <w:t xml:space="preserve"> choice on the matter of Croesus showed corruption </w:t>
      </w:r>
      <w:r w:rsidR="0077321F">
        <w:t xml:space="preserve">mirrored in the reign of Darius. </w:t>
      </w:r>
    </w:p>
    <w:p w:rsidR="00E0141E" w:rsidRDefault="00E0141E" w:rsidP="00E0141E">
      <w:pPr>
        <w:ind w:left="1440"/>
      </w:pPr>
    </w:p>
    <w:p w:rsidR="00E0141E" w:rsidRDefault="00E0141E" w:rsidP="00E0141E">
      <w:pPr>
        <w:ind w:left="1440"/>
      </w:pPr>
    </w:p>
    <w:p w:rsidR="00E0141E" w:rsidRDefault="00E0141E" w:rsidP="00696586"/>
    <w:p w:rsidR="00E0141E" w:rsidRDefault="00B40EA7" w:rsidP="00B40EA7">
      <w:pPr>
        <w:rPr>
          <w:b/>
          <w:u w:val="single"/>
        </w:rPr>
      </w:pPr>
      <w:r>
        <w:rPr>
          <w:b/>
          <w:u w:val="single"/>
        </w:rPr>
        <w:lastRenderedPageBreak/>
        <w:t>Bibliography</w:t>
      </w:r>
      <w:r w:rsidR="0014568C">
        <w:rPr>
          <w:b/>
          <w:u w:val="single"/>
        </w:rPr>
        <w:t>:</w:t>
      </w:r>
    </w:p>
    <w:p w:rsidR="00B40EA7" w:rsidRDefault="00B40EA7" w:rsidP="00B40EA7">
      <w:pPr>
        <w:rPr>
          <w:b/>
        </w:rPr>
      </w:pPr>
      <w:r>
        <w:rPr>
          <w:b/>
        </w:rPr>
        <w:t>Ancient Sources</w:t>
      </w:r>
    </w:p>
    <w:p w:rsidR="006B5790" w:rsidRPr="006B5790" w:rsidRDefault="006B5790" w:rsidP="006B5790">
      <w:pPr>
        <w:rPr>
          <w:rFonts w:cstheme="minorHAnsi"/>
        </w:rPr>
      </w:pPr>
      <w:r w:rsidRPr="006B5790">
        <w:rPr>
          <w:rFonts w:cstheme="minorHAnsi"/>
        </w:rPr>
        <w:t xml:space="preserve">Aristotle, </w:t>
      </w:r>
      <w:r w:rsidRPr="006B5790">
        <w:rPr>
          <w:rFonts w:cstheme="minorHAnsi"/>
          <w:i/>
        </w:rPr>
        <w:t>Politics.</w:t>
      </w:r>
      <w:r w:rsidRPr="006B5790">
        <w:rPr>
          <w:rFonts w:cstheme="minorHAnsi"/>
        </w:rPr>
        <w:t xml:space="preserve"> H. Rackham (</w:t>
      </w:r>
      <w:proofErr w:type="gramStart"/>
      <w:r w:rsidRPr="006B5790">
        <w:rPr>
          <w:rFonts w:cstheme="minorHAnsi"/>
        </w:rPr>
        <w:t>trans</w:t>
      </w:r>
      <w:proofErr w:type="gramEnd"/>
      <w:r w:rsidRPr="006B5790">
        <w:rPr>
          <w:rFonts w:cstheme="minorHAnsi"/>
        </w:rPr>
        <w:t>.). 1944. London: William Heinemann.</w:t>
      </w:r>
    </w:p>
    <w:p w:rsidR="006B5790" w:rsidRPr="006B5790" w:rsidRDefault="006B5790" w:rsidP="006B5790">
      <w:pPr>
        <w:rPr>
          <w:rFonts w:cstheme="minorHAnsi"/>
        </w:rPr>
      </w:pPr>
      <w:r w:rsidRPr="006B5790">
        <w:rPr>
          <w:rFonts w:cstheme="minorHAnsi"/>
        </w:rPr>
        <w:t xml:space="preserve">Diodorus </w:t>
      </w:r>
      <w:proofErr w:type="spellStart"/>
      <w:r w:rsidRPr="006B5790">
        <w:rPr>
          <w:rFonts w:cstheme="minorHAnsi"/>
        </w:rPr>
        <w:t>Siculus</w:t>
      </w:r>
      <w:proofErr w:type="spellEnd"/>
      <w:r w:rsidRPr="006B5790">
        <w:rPr>
          <w:rFonts w:cstheme="minorHAnsi"/>
        </w:rPr>
        <w:t xml:space="preserve">, </w:t>
      </w:r>
      <w:r w:rsidRPr="006B5790">
        <w:rPr>
          <w:rFonts w:cstheme="minorHAnsi"/>
          <w:i/>
        </w:rPr>
        <w:t>Library</w:t>
      </w:r>
      <w:r w:rsidRPr="006B5790">
        <w:rPr>
          <w:rFonts w:cstheme="minorHAnsi"/>
        </w:rPr>
        <w:t xml:space="preserve">. C.H. </w:t>
      </w:r>
      <w:proofErr w:type="spellStart"/>
      <w:r w:rsidRPr="006B5790">
        <w:rPr>
          <w:rFonts w:cstheme="minorHAnsi"/>
        </w:rPr>
        <w:t>Oldfather</w:t>
      </w:r>
      <w:proofErr w:type="spellEnd"/>
      <w:r w:rsidRPr="006B5790">
        <w:rPr>
          <w:rFonts w:cstheme="minorHAnsi"/>
        </w:rPr>
        <w:t xml:space="preserve"> (</w:t>
      </w:r>
      <w:proofErr w:type="gramStart"/>
      <w:r w:rsidRPr="006B5790">
        <w:rPr>
          <w:rFonts w:cstheme="minorHAnsi"/>
        </w:rPr>
        <w:t>trans</w:t>
      </w:r>
      <w:proofErr w:type="gramEnd"/>
      <w:r w:rsidRPr="006B5790">
        <w:rPr>
          <w:rFonts w:cstheme="minorHAnsi"/>
        </w:rPr>
        <w:t xml:space="preserve">.). 1989. London: William Heinemann </w:t>
      </w:r>
    </w:p>
    <w:p w:rsidR="00B40EA7" w:rsidRPr="006B5790" w:rsidRDefault="006B5790" w:rsidP="00B40EA7">
      <w:r w:rsidRPr="006B5790">
        <w:rPr>
          <w:rFonts w:cstheme="minorHAnsi"/>
        </w:rPr>
        <w:t xml:space="preserve">Herodotus, </w:t>
      </w:r>
      <w:proofErr w:type="gramStart"/>
      <w:r w:rsidRPr="006B5790">
        <w:rPr>
          <w:rFonts w:cstheme="minorHAnsi"/>
          <w:i/>
        </w:rPr>
        <w:t>The</w:t>
      </w:r>
      <w:proofErr w:type="gramEnd"/>
      <w:r w:rsidRPr="006B5790">
        <w:rPr>
          <w:rFonts w:cstheme="minorHAnsi"/>
          <w:i/>
        </w:rPr>
        <w:t xml:space="preserve"> Histories.</w:t>
      </w:r>
      <w:r w:rsidRPr="006B5790">
        <w:rPr>
          <w:rFonts w:cstheme="minorHAnsi"/>
        </w:rPr>
        <w:t xml:space="preserve"> A.D. Godley. (</w:t>
      </w:r>
      <w:proofErr w:type="gramStart"/>
      <w:r w:rsidRPr="006B5790">
        <w:rPr>
          <w:rFonts w:cstheme="minorHAnsi"/>
        </w:rPr>
        <w:t>trans</w:t>
      </w:r>
      <w:proofErr w:type="gramEnd"/>
      <w:r w:rsidRPr="006B5790">
        <w:rPr>
          <w:rFonts w:cstheme="minorHAnsi"/>
        </w:rPr>
        <w:t>.). 1920. Cambridge: Harvard University Press.</w:t>
      </w:r>
    </w:p>
    <w:p w:rsidR="006B5790" w:rsidRPr="006B5790" w:rsidRDefault="006B5790" w:rsidP="006B5790">
      <w:pPr>
        <w:rPr>
          <w:rFonts w:cstheme="minorHAnsi"/>
        </w:rPr>
      </w:pPr>
      <w:r w:rsidRPr="006B5790">
        <w:rPr>
          <w:rFonts w:cstheme="minorHAnsi"/>
        </w:rPr>
        <w:t xml:space="preserve">Plutarch, </w:t>
      </w:r>
      <w:r w:rsidRPr="006B5790">
        <w:rPr>
          <w:rFonts w:cstheme="minorHAnsi"/>
          <w:i/>
        </w:rPr>
        <w:t>Agis.</w:t>
      </w:r>
      <w:r w:rsidRPr="006B5790">
        <w:rPr>
          <w:rFonts w:cstheme="minorHAnsi"/>
        </w:rPr>
        <w:t xml:space="preserve"> B. Perrin (</w:t>
      </w:r>
      <w:proofErr w:type="gramStart"/>
      <w:r w:rsidRPr="006B5790">
        <w:rPr>
          <w:rFonts w:cstheme="minorHAnsi"/>
        </w:rPr>
        <w:t>trans</w:t>
      </w:r>
      <w:proofErr w:type="gramEnd"/>
      <w:r w:rsidRPr="006B5790">
        <w:rPr>
          <w:rFonts w:cstheme="minorHAnsi"/>
        </w:rPr>
        <w:t>.). 1921. London: William Heinemann.</w:t>
      </w:r>
    </w:p>
    <w:p w:rsidR="006B5790" w:rsidRPr="006B5790" w:rsidRDefault="006B5790" w:rsidP="006B5790">
      <w:pPr>
        <w:rPr>
          <w:rFonts w:cstheme="minorHAnsi"/>
        </w:rPr>
      </w:pPr>
      <w:r w:rsidRPr="006B5790">
        <w:rPr>
          <w:rFonts w:cstheme="minorHAnsi"/>
        </w:rPr>
        <w:t xml:space="preserve">Plutarch, </w:t>
      </w:r>
      <w:r w:rsidRPr="006B5790">
        <w:rPr>
          <w:rFonts w:cstheme="minorHAnsi"/>
          <w:i/>
        </w:rPr>
        <w:t xml:space="preserve">Lycurgus. </w:t>
      </w:r>
      <w:r w:rsidRPr="006B5790">
        <w:rPr>
          <w:rFonts w:cstheme="minorHAnsi"/>
        </w:rPr>
        <w:t>B. Perrin (</w:t>
      </w:r>
      <w:proofErr w:type="gramStart"/>
      <w:r w:rsidRPr="006B5790">
        <w:rPr>
          <w:rFonts w:cstheme="minorHAnsi"/>
        </w:rPr>
        <w:t>trans</w:t>
      </w:r>
      <w:proofErr w:type="gramEnd"/>
      <w:r w:rsidRPr="006B5790">
        <w:rPr>
          <w:rFonts w:cstheme="minorHAnsi"/>
        </w:rPr>
        <w:t>.). 1914. London: William Heinemann.</w:t>
      </w:r>
    </w:p>
    <w:p w:rsidR="006B5790" w:rsidRPr="006B5790" w:rsidRDefault="006B5790" w:rsidP="006B5790">
      <w:pPr>
        <w:rPr>
          <w:rFonts w:cstheme="minorHAnsi"/>
        </w:rPr>
      </w:pPr>
      <w:r w:rsidRPr="006B5790">
        <w:rPr>
          <w:rFonts w:cstheme="minorHAnsi"/>
        </w:rPr>
        <w:t xml:space="preserve">Thucydides, </w:t>
      </w:r>
      <w:r w:rsidRPr="006B5790">
        <w:rPr>
          <w:rFonts w:cstheme="minorHAnsi"/>
          <w:i/>
        </w:rPr>
        <w:t>History of the Peloponnesian War.</w:t>
      </w:r>
      <w:r w:rsidRPr="006B5790">
        <w:rPr>
          <w:rFonts w:cstheme="minorHAnsi"/>
        </w:rPr>
        <w:t xml:space="preserve"> B. Jowett (</w:t>
      </w:r>
      <w:proofErr w:type="gramStart"/>
      <w:r w:rsidRPr="006B5790">
        <w:rPr>
          <w:rFonts w:cstheme="minorHAnsi"/>
        </w:rPr>
        <w:t>trans</w:t>
      </w:r>
      <w:proofErr w:type="gramEnd"/>
      <w:r w:rsidRPr="006B5790">
        <w:rPr>
          <w:rFonts w:cstheme="minorHAnsi"/>
        </w:rPr>
        <w:t>.). 1881. Oxford: Clarendon Press.</w:t>
      </w:r>
    </w:p>
    <w:p w:rsidR="006B5790" w:rsidRPr="006B5790" w:rsidRDefault="006B5790" w:rsidP="006B5790">
      <w:pPr>
        <w:rPr>
          <w:rStyle w:val="title1"/>
          <w:rFonts w:cstheme="minorHAnsi"/>
          <w:i w:val="0"/>
        </w:rPr>
      </w:pPr>
      <w:r w:rsidRPr="006B5790">
        <w:rPr>
          <w:rStyle w:val="title1"/>
          <w:rFonts w:cstheme="minorHAnsi"/>
        </w:rPr>
        <w:t xml:space="preserve">Xenophon, Constitution of the </w:t>
      </w:r>
      <w:proofErr w:type="spellStart"/>
      <w:r w:rsidRPr="006B5790">
        <w:rPr>
          <w:rStyle w:val="title1"/>
          <w:rFonts w:cstheme="minorHAnsi"/>
        </w:rPr>
        <w:t>Lacedaimonians</w:t>
      </w:r>
      <w:proofErr w:type="spellEnd"/>
      <w:r w:rsidRPr="006B5790">
        <w:rPr>
          <w:rStyle w:val="title1"/>
          <w:rFonts w:cstheme="minorHAnsi"/>
        </w:rPr>
        <w:t xml:space="preserve">. E.C. Marchant and G.W. </w:t>
      </w:r>
      <w:proofErr w:type="spellStart"/>
      <w:r w:rsidRPr="006B5790">
        <w:rPr>
          <w:rStyle w:val="title1"/>
          <w:rFonts w:cstheme="minorHAnsi"/>
        </w:rPr>
        <w:t>Bowersock</w:t>
      </w:r>
      <w:proofErr w:type="spellEnd"/>
      <w:r w:rsidRPr="006B5790">
        <w:rPr>
          <w:rStyle w:val="title1"/>
          <w:rFonts w:cstheme="minorHAnsi"/>
        </w:rPr>
        <w:t xml:space="preserve"> (</w:t>
      </w:r>
      <w:proofErr w:type="gramStart"/>
      <w:r w:rsidRPr="006B5790">
        <w:rPr>
          <w:rStyle w:val="title1"/>
          <w:rFonts w:cstheme="minorHAnsi"/>
        </w:rPr>
        <w:t>trans</w:t>
      </w:r>
      <w:proofErr w:type="gramEnd"/>
      <w:r w:rsidRPr="006B5790">
        <w:rPr>
          <w:rStyle w:val="title1"/>
          <w:rFonts w:cstheme="minorHAnsi"/>
        </w:rPr>
        <w:t>.). 1925. Oxford: Harvard University Press.</w:t>
      </w:r>
    </w:p>
    <w:p w:rsidR="00B40EA7" w:rsidRDefault="00B40EA7" w:rsidP="00B40EA7">
      <w:pPr>
        <w:rPr>
          <w:b/>
        </w:rPr>
      </w:pPr>
    </w:p>
    <w:p w:rsidR="00B40EA7" w:rsidRPr="00B40EA7" w:rsidRDefault="00B40EA7" w:rsidP="00B40EA7">
      <w:pPr>
        <w:rPr>
          <w:b/>
        </w:rPr>
      </w:pPr>
      <w:r>
        <w:rPr>
          <w:b/>
        </w:rPr>
        <w:t>Modern Sources</w:t>
      </w:r>
    </w:p>
    <w:p w:rsidR="00A10F42" w:rsidRDefault="00A10F42" w:rsidP="00A10F42">
      <w:proofErr w:type="spellStart"/>
      <w:r w:rsidRPr="00A10F42">
        <w:t>Baragwenath</w:t>
      </w:r>
      <w:proofErr w:type="spellEnd"/>
      <w:r w:rsidRPr="00A10F42">
        <w:t xml:space="preserve">, E. 2015, ‘Characterization in Herodotus’. Chapter in </w:t>
      </w:r>
      <w:r w:rsidRPr="00A10F42">
        <w:rPr>
          <w:i/>
          <w:iCs/>
        </w:rPr>
        <w:t xml:space="preserve">Fame and Infamy: Essays for Christopher </w:t>
      </w:r>
      <w:proofErr w:type="spellStart"/>
      <w:r w:rsidRPr="00A10F42">
        <w:rPr>
          <w:i/>
          <w:iCs/>
        </w:rPr>
        <w:t>Pelling</w:t>
      </w:r>
      <w:proofErr w:type="spellEnd"/>
      <w:r w:rsidRPr="00A10F42">
        <w:t xml:space="preserve">. </w:t>
      </w:r>
    </w:p>
    <w:p w:rsidR="006B5790" w:rsidRDefault="006B5790" w:rsidP="00A10F42">
      <w:proofErr w:type="spellStart"/>
      <w:r>
        <w:t>Briant</w:t>
      </w:r>
      <w:proofErr w:type="spellEnd"/>
      <w:r>
        <w:t xml:space="preserve">, P. 2002. </w:t>
      </w:r>
      <w:r>
        <w:rPr>
          <w:i/>
        </w:rPr>
        <w:t>From Cyrus to Alexander.</w:t>
      </w:r>
      <w:r>
        <w:t xml:space="preserve"> Paris: </w:t>
      </w:r>
      <w:proofErr w:type="spellStart"/>
      <w:r>
        <w:t>Eisenbrauns</w:t>
      </w:r>
      <w:proofErr w:type="spellEnd"/>
      <w:r>
        <w:t>.</w:t>
      </w:r>
    </w:p>
    <w:p w:rsidR="006B5790" w:rsidRPr="009474EF" w:rsidRDefault="006B5790" w:rsidP="00A10F42">
      <w:r>
        <w:t xml:space="preserve">Cook, J.M. 1983. </w:t>
      </w:r>
      <w:r w:rsidR="009474EF">
        <w:rPr>
          <w:i/>
        </w:rPr>
        <w:t xml:space="preserve">The Persian Empire. </w:t>
      </w:r>
      <w:r w:rsidR="009474EF">
        <w:t>Suffolk: The Chaucer Press.</w:t>
      </w:r>
    </w:p>
    <w:p w:rsidR="00B40EA7" w:rsidRPr="0077321F" w:rsidRDefault="00B40EA7" w:rsidP="0077321F">
      <w:pPr>
        <w:rPr>
          <w:rFonts w:cstheme="minorHAnsi"/>
          <w:color w:val="000000" w:themeColor="text1"/>
        </w:rPr>
      </w:pPr>
      <w:r w:rsidRPr="0077321F">
        <w:rPr>
          <w:rFonts w:cstheme="minorHAnsi"/>
          <w:color w:val="000000" w:themeColor="text1"/>
          <w:shd w:val="clear" w:color="auto" w:fill="FFFFFF"/>
        </w:rPr>
        <w:t>Croix, D.S</w:t>
      </w:r>
      <w:r w:rsidRPr="0077321F">
        <w:rPr>
          <w:rFonts w:cstheme="minorHAnsi"/>
          <w:color w:val="000000" w:themeColor="text1"/>
          <w:shd w:val="clear" w:color="auto" w:fill="FFFFFF"/>
        </w:rPr>
        <w:t xml:space="preserve">. </w:t>
      </w:r>
      <w:r w:rsidRPr="0077321F">
        <w:rPr>
          <w:rFonts w:cstheme="minorHAnsi"/>
          <w:color w:val="000000" w:themeColor="text1"/>
          <w:shd w:val="clear" w:color="auto" w:fill="FFFFFF"/>
        </w:rPr>
        <w:t xml:space="preserve">2004. </w:t>
      </w:r>
      <w:r w:rsidRPr="0077321F">
        <w:rPr>
          <w:rFonts w:cstheme="minorHAnsi"/>
          <w:color w:val="000000" w:themeColor="text1"/>
          <w:shd w:val="clear" w:color="auto" w:fill="FFFFFF"/>
        </w:rPr>
        <w:t>"</w:t>
      </w:r>
      <w:r w:rsidRPr="0077321F">
        <w:rPr>
          <w:rStyle w:val="Hyperlink"/>
          <w:rFonts w:cstheme="minorHAnsi"/>
          <w:color w:val="000000" w:themeColor="text1"/>
          <w:u w:val="none"/>
          <w:shd w:val="clear" w:color="auto" w:fill="FFFFFF"/>
        </w:rPr>
        <w:t>Herodotus and King Cleomenes I of Sparta</w:t>
      </w:r>
      <w:r w:rsidRPr="0077321F">
        <w:rPr>
          <w:rStyle w:val="Hyperlink"/>
          <w:rFonts w:cstheme="minorHAnsi"/>
          <w:i/>
          <w:color w:val="000000" w:themeColor="text1"/>
          <w:u w:val="none"/>
          <w:shd w:val="clear" w:color="auto" w:fill="FFFFFF"/>
        </w:rPr>
        <w:t>.</w:t>
      </w:r>
      <w:r w:rsidRPr="0077321F">
        <w:rPr>
          <w:rFonts w:cstheme="minorHAnsi"/>
          <w:i/>
          <w:color w:val="000000" w:themeColor="text1"/>
          <w:shd w:val="clear" w:color="auto" w:fill="FFFFFF"/>
        </w:rPr>
        <w:t xml:space="preserve">" </w:t>
      </w:r>
      <w:r w:rsidRPr="0077321F">
        <w:rPr>
          <w:rFonts w:cstheme="minorHAnsi"/>
          <w:i/>
          <w:color w:val="000000" w:themeColor="text1"/>
          <w:shd w:val="clear" w:color="auto" w:fill="FFFFFF"/>
        </w:rPr>
        <w:t>Athenian Democratic Origi</w:t>
      </w:r>
      <w:r w:rsidRPr="0077321F">
        <w:rPr>
          <w:rFonts w:cstheme="minorHAnsi"/>
          <w:i/>
          <w:color w:val="000000" w:themeColor="text1"/>
          <w:shd w:val="clear" w:color="auto" w:fill="FFFFFF"/>
        </w:rPr>
        <w:t>ns, Athenian Democratic Origins.</w:t>
      </w:r>
      <w:r w:rsidRPr="0077321F">
        <w:rPr>
          <w:rFonts w:cstheme="minorHAnsi"/>
          <w:color w:val="000000" w:themeColor="text1"/>
          <w:shd w:val="clear" w:color="auto" w:fill="FFFFFF"/>
        </w:rPr>
        <w:t xml:space="preserve"> 12. London: Oxford University Press.</w:t>
      </w:r>
    </w:p>
    <w:p w:rsidR="00A10F42" w:rsidRPr="00A10F42" w:rsidRDefault="00A10F42" w:rsidP="00A10F42">
      <w:r w:rsidRPr="00A10F42">
        <w:t xml:space="preserve">Curtis, J. and Simpson, S.J. 2010, </w:t>
      </w:r>
      <w:r w:rsidRPr="00A10F42">
        <w:rPr>
          <w:i/>
          <w:iCs/>
        </w:rPr>
        <w:t xml:space="preserve">The World of </w:t>
      </w:r>
      <w:proofErr w:type="spellStart"/>
      <w:r w:rsidRPr="00A10F42">
        <w:rPr>
          <w:i/>
          <w:iCs/>
        </w:rPr>
        <w:t>Achaemenid</w:t>
      </w:r>
      <w:proofErr w:type="spellEnd"/>
      <w:r w:rsidRPr="00A10F42">
        <w:rPr>
          <w:i/>
          <w:iCs/>
        </w:rPr>
        <w:t xml:space="preserve"> Persia: history, art and society in Iran and the ancient Near East. </w:t>
      </w:r>
      <w:r w:rsidRPr="00A10F42">
        <w:t>London: I.B. Tauris.</w:t>
      </w:r>
    </w:p>
    <w:p w:rsidR="00A10F42" w:rsidRPr="00A10F42" w:rsidRDefault="00A10F42" w:rsidP="00A10F42">
      <w:proofErr w:type="spellStart"/>
      <w:r w:rsidRPr="00A10F42">
        <w:t>Hekster</w:t>
      </w:r>
      <w:proofErr w:type="spellEnd"/>
      <w:r w:rsidRPr="00A10F42">
        <w:t xml:space="preserve">, O. and Fowler, R. (eds.) (2005) </w:t>
      </w:r>
      <w:r w:rsidRPr="00A10F42">
        <w:rPr>
          <w:i/>
          <w:iCs/>
        </w:rPr>
        <w:t>Imaginary Kings: Royal Images in the Ancient Near East, Greece, and Rome</w:t>
      </w:r>
      <w:r w:rsidRPr="00A10F42">
        <w:t>.</w:t>
      </w:r>
    </w:p>
    <w:p w:rsidR="00A10F42" w:rsidRPr="00A10F42" w:rsidRDefault="00A10F42" w:rsidP="00A10F42">
      <w:proofErr w:type="spellStart"/>
      <w:r w:rsidRPr="00A10F42">
        <w:t>Kurht</w:t>
      </w:r>
      <w:proofErr w:type="spellEnd"/>
      <w:r w:rsidRPr="00A10F42">
        <w:t xml:space="preserve">, A. 2007, </w:t>
      </w:r>
      <w:r w:rsidRPr="00A10F42">
        <w:rPr>
          <w:i/>
          <w:iCs/>
        </w:rPr>
        <w:t xml:space="preserve">The Persian Empire: a corpus of sources of the </w:t>
      </w:r>
      <w:proofErr w:type="spellStart"/>
      <w:r w:rsidRPr="00A10F42">
        <w:rPr>
          <w:i/>
          <w:iCs/>
        </w:rPr>
        <w:t>Achaemenid</w:t>
      </w:r>
      <w:proofErr w:type="spellEnd"/>
      <w:r w:rsidRPr="00A10F42">
        <w:rPr>
          <w:i/>
          <w:iCs/>
        </w:rPr>
        <w:t xml:space="preserve"> period</w:t>
      </w:r>
      <w:r w:rsidRPr="00A10F42">
        <w:t xml:space="preserve">. London: Routledge. </w:t>
      </w:r>
    </w:p>
    <w:p w:rsidR="007B2DC1" w:rsidRPr="00355476" w:rsidRDefault="00A10F42" w:rsidP="00A10F42">
      <w:r w:rsidRPr="00A10F42">
        <w:t xml:space="preserve">Llewellyn-Jones, L. (2013) </w:t>
      </w:r>
      <w:r w:rsidRPr="00A10F42">
        <w:rPr>
          <w:i/>
          <w:iCs/>
        </w:rPr>
        <w:t>King and Court in Ancient Persia 559 to 331 BCE</w:t>
      </w:r>
      <w:r w:rsidRPr="00A10F42">
        <w:t>.</w:t>
      </w:r>
    </w:p>
    <w:p w:rsidR="00A10F42" w:rsidRDefault="00A10F42" w:rsidP="00A10F42">
      <w:proofErr w:type="spellStart"/>
      <w:r w:rsidRPr="00A10F42">
        <w:t>Sancisi-Weerdenburg</w:t>
      </w:r>
      <w:proofErr w:type="spellEnd"/>
      <w:r w:rsidRPr="00A10F42">
        <w:t xml:space="preserve">, H. W. A. M. (1989) “The Personality of Xerxes, King of Kings”, in Meyer, L. de and </w:t>
      </w:r>
      <w:proofErr w:type="spellStart"/>
      <w:r w:rsidRPr="00A10F42">
        <w:t>Haerinck</w:t>
      </w:r>
      <w:proofErr w:type="spellEnd"/>
      <w:r w:rsidRPr="00A10F42">
        <w:t xml:space="preserve">, E. (eds.) (1989) </w:t>
      </w:r>
      <w:proofErr w:type="spellStart"/>
      <w:r w:rsidRPr="00A10F42">
        <w:rPr>
          <w:i/>
          <w:iCs/>
        </w:rPr>
        <w:t>ArchaeologiaIranicaet</w:t>
      </w:r>
      <w:proofErr w:type="spellEnd"/>
      <w:r w:rsidRPr="00A10F42">
        <w:rPr>
          <w:i/>
          <w:iCs/>
        </w:rPr>
        <w:t xml:space="preserve"> </w:t>
      </w:r>
      <w:proofErr w:type="spellStart"/>
      <w:r w:rsidRPr="00A10F42">
        <w:rPr>
          <w:i/>
          <w:iCs/>
        </w:rPr>
        <w:t>Orientalis</w:t>
      </w:r>
      <w:proofErr w:type="spellEnd"/>
      <w:r w:rsidRPr="00A10F42">
        <w:rPr>
          <w:i/>
          <w:iCs/>
        </w:rPr>
        <w:t xml:space="preserve">: Miscellanea in </w:t>
      </w:r>
      <w:proofErr w:type="spellStart"/>
      <w:r w:rsidRPr="00A10F42">
        <w:rPr>
          <w:i/>
          <w:iCs/>
        </w:rPr>
        <w:t>HonoremLouis</w:t>
      </w:r>
      <w:proofErr w:type="spellEnd"/>
      <w:r w:rsidRPr="00A10F42">
        <w:rPr>
          <w:i/>
          <w:iCs/>
        </w:rPr>
        <w:t xml:space="preserve"> </w:t>
      </w:r>
      <w:proofErr w:type="spellStart"/>
      <w:r w:rsidRPr="00A10F42">
        <w:rPr>
          <w:i/>
          <w:iCs/>
        </w:rPr>
        <w:t>Vanden</w:t>
      </w:r>
      <w:proofErr w:type="spellEnd"/>
      <w:r w:rsidRPr="00A10F42">
        <w:rPr>
          <w:i/>
          <w:iCs/>
        </w:rPr>
        <w:t xml:space="preserve"> </w:t>
      </w:r>
      <w:proofErr w:type="spellStart"/>
      <w:r w:rsidRPr="00A10F42">
        <w:rPr>
          <w:i/>
          <w:iCs/>
        </w:rPr>
        <w:t>Berghe</w:t>
      </w:r>
      <w:proofErr w:type="spellEnd"/>
      <w:r w:rsidRPr="00A10F42">
        <w:t>, 549-60. Ghent. Reprinted in Bakker, de Jo</w:t>
      </w:r>
      <w:r>
        <w:t>ng and van Wees (2002), 579-90.</w:t>
      </w:r>
    </w:p>
    <w:p w:rsidR="009474EF" w:rsidRDefault="009474EF" w:rsidP="00A10F42">
      <w:r>
        <w:t>S</w:t>
      </w:r>
      <w:r>
        <w:rPr>
          <w:rFonts w:ascii="Arial" w:hAnsi="Arial" w:cs="Arial"/>
          <w:sz w:val="20"/>
          <w:szCs w:val="20"/>
          <w:lang w:val="en"/>
        </w:rPr>
        <w:t>é</w:t>
      </w:r>
      <w:r>
        <w:t xml:space="preserve">lincourt, A.D. 1962. </w:t>
      </w:r>
      <w:r>
        <w:rPr>
          <w:i/>
        </w:rPr>
        <w:t xml:space="preserve">The world of Herodotus. </w:t>
      </w:r>
      <w:r>
        <w:t>London: Phoenix Press.</w:t>
      </w:r>
    </w:p>
    <w:p w:rsidR="00355476" w:rsidRPr="009474EF" w:rsidRDefault="00355476" w:rsidP="00A10F42">
      <w:proofErr w:type="spellStart"/>
      <w:r>
        <w:t>Tsichlis</w:t>
      </w:r>
      <w:proofErr w:type="spellEnd"/>
      <w:r>
        <w:t xml:space="preserve">, V. 2009. ‘Aspects of Spartan Constitution’ </w:t>
      </w:r>
      <w:r>
        <w:rPr>
          <w:i/>
        </w:rPr>
        <w:t xml:space="preserve">Journal of Ancient </w:t>
      </w:r>
      <w:proofErr w:type="spellStart"/>
      <w:r>
        <w:rPr>
          <w:i/>
        </w:rPr>
        <w:t>Spartian</w:t>
      </w:r>
      <w:proofErr w:type="spellEnd"/>
      <w:r>
        <w:rPr>
          <w:i/>
        </w:rPr>
        <w:t xml:space="preserve"> and Greek History. </w:t>
      </w:r>
      <w:r>
        <w:t xml:space="preserve">5. 16-22. </w:t>
      </w:r>
      <w:proofErr w:type="spellStart"/>
      <w:r>
        <w:t>Markoulakis</w:t>
      </w:r>
      <w:proofErr w:type="spellEnd"/>
      <w:r>
        <w:t xml:space="preserve"> Publications.</w:t>
      </w:r>
    </w:p>
    <w:p w:rsidR="007B2DC1" w:rsidRDefault="007B2DC1" w:rsidP="00A10F42">
      <w:r>
        <w:t>Whitehead, D. 2005. ‘</w:t>
      </w:r>
      <w:proofErr w:type="spellStart"/>
      <w:r>
        <w:t>Ephorus</w:t>
      </w:r>
      <w:proofErr w:type="spellEnd"/>
      <w:r>
        <w:t xml:space="preserve"> on the Spartan Constitution’ </w:t>
      </w:r>
      <w:proofErr w:type="gramStart"/>
      <w:r>
        <w:rPr>
          <w:i/>
        </w:rPr>
        <w:t>The</w:t>
      </w:r>
      <w:proofErr w:type="gramEnd"/>
      <w:r>
        <w:rPr>
          <w:i/>
        </w:rPr>
        <w:t xml:space="preserve"> Classics Quarterly.</w:t>
      </w:r>
      <w:r>
        <w:t xml:space="preserve"> Cambridge: Cambridge University Press</w:t>
      </w:r>
      <w:r w:rsidRPr="007B2DC1">
        <w:t>. 55. 299-301.</w:t>
      </w:r>
      <w:r>
        <w:rPr>
          <w:rFonts w:ascii="Arial" w:hAnsi="Arial"/>
          <w:vanish/>
          <w:color w:val="333333"/>
          <w:sz w:val="26"/>
          <w:szCs w:val="26"/>
          <w:lang w:val="en"/>
        </w:rPr>
        <w:t>Ephorus(?) on the Spartan Constitution</w:t>
      </w:r>
      <w:r w:rsidRPr="007B2DC1">
        <w:rPr>
          <w:rFonts w:ascii="Arial" w:hAnsi="Arial"/>
          <w:vanish/>
          <w:color w:val="333333"/>
          <w:sz w:val="26"/>
          <w:szCs w:val="26"/>
          <w:lang w:val="en"/>
        </w:rPr>
        <w:t xml:space="preserve"> </w:t>
      </w:r>
      <w:r>
        <w:rPr>
          <w:rFonts w:ascii="Arial" w:hAnsi="Arial"/>
          <w:vanish/>
          <w:color w:val="333333"/>
          <w:sz w:val="26"/>
          <w:szCs w:val="26"/>
          <w:lang w:val="en"/>
        </w:rPr>
        <w:t>Ephorus(?) on the Spartan Constitution</w:t>
      </w:r>
      <w:r w:rsidRPr="007B2DC1">
        <w:rPr>
          <w:rFonts w:ascii="Arial" w:hAnsi="Arial"/>
          <w:vanish/>
          <w:color w:val="333333"/>
          <w:sz w:val="26"/>
          <w:szCs w:val="26"/>
          <w:lang w:val="en"/>
        </w:rPr>
        <w:t xml:space="preserve"> </w:t>
      </w:r>
      <w:r>
        <w:rPr>
          <w:rFonts w:ascii="Arial" w:hAnsi="Arial"/>
          <w:vanish/>
          <w:color w:val="333333"/>
          <w:sz w:val="26"/>
          <w:szCs w:val="26"/>
          <w:lang w:val="en"/>
        </w:rPr>
        <w:t>Ephorus(?) on the Spartan Constitution</w:t>
      </w:r>
    </w:p>
    <w:p w:rsidR="00E0141E" w:rsidRPr="00F42C7E" w:rsidRDefault="00B40EA7" w:rsidP="006B5790">
      <w:pPr>
        <w:rPr>
          <w:rFonts w:cstheme="minorHAnsi"/>
          <w:color w:val="000000" w:themeColor="text1"/>
        </w:rPr>
      </w:pPr>
      <w:r w:rsidRPr="0077321F">
        <w:rPr>
          <w:rFonts w:cstheme="minorHAnsi"/>
          <w:color w:val="000000" w:themeColor="text1"/>
          <w:shd w:val="clear" w:color="auto" w:fill="FFFFFF"/>
        </w:rPr>
        <w:t>Wolfgang</w:t>
      </w:r>
      <w:r w:rsidRPr="0077321F">
        <w:rPr>
          <w:rFonts w:cstheme="minorHAnsi"/>
          <w:color w:val="000000" w:themeColor="text1"/>
          <w:shd w:val="clear" w:color="auto" w:fill="FFFFFF"/>
        </w:rPr>
        <w:t>, B</w:t>
      </w:r>
      <w:r w:rsidRPr="0077321F">
        <w:rPr>
          <w:rFonts w:cstheme="minorHAnsi"/>
          <w:color w:val="000000" w:themeColor="text1"/>
          <w:shd w:val="clear" w:color="auto" w:fill="FFFFFF"/>
        </w:rPr>
        <w:t>.</w:t>
      </w:r>
      <w:r w:rsidRPr="0077321F">
        <w:rPr>
          <w:rFonts w:cstheme="minorHAnsi"/>
          <w:color w:val="000000" w:themeColor="text1"/>
          <w:shd w:val="clear" w:color="auto" w:fill="FFFFFF"/>
        </w:rPr>
        <w:t xml:space="preserve"> 2018.</w:t>
      </w:r>
      <w:r w:rsidRPr="0077321F">
        <w:rPr>
          <w:rFonts w:cstheme="minorHAnsi"/>
          <w:color w:val="000000" w:themeColor="text1"/>
          <w:shd w:val="clear" w:color="auto" w:fill="FFFFFF"/>
        </w:rPr>
        <w:t xml:space="preserve"> "</w:t>
      </w:r>
      <w:proofErr w:type="spellStart"/>
      <w:r w:rsidRPr="0077321F">
        <w:rPr>
          <w:rFonts w:cstheme="minorHAnsi"/>
          <w:color w:val="000000" w:themeColor="text1"/>
        </w:rPr>
        <w:fldChar w:fldCharType="begin"/>
      </w:r>
      <w:r w:rsidRPr="0077321F">
        <w:rPr>
          <w:rFonts w:cstheme="minorHAnsi"/>
          <w:color w:val="000000" w:themeColor="text1"/>
        </w:rPr>
        <w:instrText xml:space="preserve"> HYPERLINK "https://whel-primo.hosted.exlibrisgroup.com/primo-explore/fulldisplay?docid=TN_oxford_scholarship10.1093/oso/9780198803614.003.0011&amp;context=PC&amp;vid=44WHELF_UWTSD_VU1&amp;search_scope=CSCOP_EVERYTHING&amp;tab=tab1&amp;lang=en_US" </w:instrText>
      </w:r>
      <w:r w:rsidRPr="0077321F">
        <w:rPr>
          <w:rFonts w:cstheme="minorHAnsi"/>
          <w:color w:val="000000" w:themeColor="text1"/>
        </w:rPr>
        <w:fldChar w:fldCharType="separate"/>
      </w:r>
      <w:r w:rsidRPr="0077321F">
        <w:rPr>
          <w:rStyle w:val="Hyperlink"/>
          <w:rFonts w:cstheme="minorHAnsi"/>
          <w:color w:val="000000" w:themeColor="text1"/>
          <w:u w:val="none"/>
          <w:shd w:val="clear" w:color="auto" w:fill="FFFFFF"/>
        </w:rPr>
        <w:t>Herodotusʼ</w:t>
      </w:r>
      <w:proofErr w:type="spellEnd"/>
      <w:r w:rsidRPr="0077321F">
        <w:rPr>
          <w:rStyle w:val="Hyperlink"/>
          <w:rFonts w:cstheme="minorHAnsi"/>
          <w:color w:val="000000" w:themeColor="text1"/>
          <w:u w:val="none"/>
          <w:shd w:val="clear" w:color="auto" w:fill="FFFFFF"/>
        </w:rPr>
        <w:t xml:space="preserve"> Allusions to the Sparta of His Day</w:t>
      </w:r>
      <w:r w:rsidRPr="0077321F">
        <w:rPr>
          <w:rFonts w:cstheme="minorHAnsi"/>
          <w:color w:val="000000" w:themeColor="text1"/>
        </w:rPr>
        <w:fldChar w:fldCharType="end"/>
      </w:r>
      <w:r w:rsidRPr="0077321F">
        <w:rPr>
          <w:rFonts w:cstheme="minorHAnsi"/>
          <w:color w:val="000000" w:themeColor="text1"/>
          <w:shd w:val="clear" w:color="auto" w:fill="FFFFFF"/>
        </w:rPr>
        <w:t xml:space="preserve">." </w:t>
      </w:r>
      <w:r w:rsidRPr="0077321F">
        <w:rPr>
          <w:rFonts w:cstheme="minorHAnsi"/>
          <w:i/>
          <w:color w:val="000000" w:themeColor="text1"/>
          <w:shd w:val="clear" w:color="auto" w:fill="FFFFFF"/>
        </w:rPr>
        <w:t>Interpreting Herodotus,</w:t>
      </w:r>
      <w:r w:rsidRPr="0077321F">
        <w:rPr>
          <w:rFonts w:cstheme="minorHAnsi"/>
          <w:color w:val="000000" w:themeColor="text1"/>
          <w:shd w:val="clear" w:color="auto" w:fill="FFFFFF"/>
        </w:rPr>
        <w:t xml:space="preserve"> </w:t>
      </w:r>
      <w:r w:rsidRPr="0077321F">
        <w:rPr>
          <w:rFonts w:cstheme="minorHAnsi"/>
          <w:color w:val="000000" w:themeColor="text1"/>
          <w:shd w:val="clear" w:color="auto" w:fill="FFFFFF"/>
        </w:rPr>
        <w:t>11. London: Oxford University Press</w:t>
      </w:r>
      <w:r w:rsidR="00F42C7E">
        <w:rPr>
          <w:rFonts w:cstheme="minorHAnsi"/>
          <w:color w:val="000000" w:themeColor="text1"/>
          <w:shd w:val="clear" w:color="auto" w:fill="FFFFFF"/>
        </w:rPr>
        <w:t>.</w:t>
      </w:r>
    </w:p>
    <w:sectPr w:rsidR="00E0141E" w:rsidRPr="00F42C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1269" w:rsidRDefault="00651269" w:rsidP="00651269">
      <w:pPr>
        <w:spacing w:after="0" w:line="240" w:lineRule="auto"/>
      </w:pPr>
      <w:r>
        <w:separator/>
      </w:r>
    </w:p>
  </w:endnote>
  <w:endnote w:type="continuationSeparator" w:id="0">
    <w:p w:rsidR="00651269" w:rsidRDefault="00651269" w:rsidP="006512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Gothic">
    <w:altName w:val="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1269" w:rsidRDefault="00651269" w:rsidP="00651269">
      <w:pPr>
        <w:spacing w:after="0" w:line="240" w:lineRule="auto"/>
      </w:pPr>
      <w:r>
        <w:separator/>
      </w:r>
    </w:p>
  </w:footnote>
  <w:footnote w:type="continuationSeparator" w:id="0">
    <w:p w:rsidR="00651269" w:rsidRDefault="00651269" w:rsidP="00651269">
      <w:pPr>
        <w:spacing w:after="0" w:line="240" w:lineRule="auto"/>
      </w:pPr>
      <w:r>
        <w:continuationSeparator/>
      </w:r>
    </w:p>
  </w:footnote>
  <w:footnote w:id="1">
    <w:p w:rsidR="00651269" w:rsidRDefault="00651269">
      <w:pPr>
        <w:pStyle w:val="FootnoteText"/>
      </w:pPr>
      <w:r>
        <w:rPr>
          <w:rStyle w:val="FootnoteReference"/>
        </w:rPr>
        <w:footnoteRef/>
      </w:r>
      <w:r>
        <w:t xml:space="preserve"> </w:t>
      </w:r>
      <w:r w:rsidRPr="00651269">
        <w:t>https://en.oxforddictionaries.com/definition/king</w:t>
      </w:r>
    </w:p>
  </w:footnote>
  <w:footnote w:id="2">
    <w:p w:rsidR="00651269" w:rsidRPr="00355476" w:rsidRDefault="00651269">
      <w:pPr>
        <w:pStyle w:val="FootnoteText"/>
      </w:pPr>
      <w:r>
        <w:rPr>
          <w:rStyle w:val="FootnoteReference"/>
        </w:rPr>
        <w:footnoteRef/>
      </w:r>
      <w:r>
        <w:t xml:space="preserve"> </w:t>
      </w:r>
      <w:proofErr w:type="spellStart"/>
      <w:r w:rsidR="00355476">
        <w:t>Arist</w:t>
      </w:r>
      <w:proofErr w:type="spellEnd"/>
      <w:r w:rsidR="00355476">
        <w:t xml:space="preserve">. </w:t>
      </w:r>
      <w:r w:rsidR="00355476">
        <w:rPr>
          <w:i/>
        </w:rPr>
        <w:t xml:space="preserve">Polit. </w:t>
      </w:r>
      <w:r w:rsidR="00355476">
        <w:t>1272b.36</w:t>
      </w:r>
    </w:p>
  </w:footnote>
  <w:footnote w:id="3">
    <w:p w:rsidR="00A10F42" w:rsidRPr="00A10F42" w:rsidRDefault="00A10F42">
      <w:pPr>
        <w:pStyle w:val="FootnoteText"/>
      </w:pPr>
      <w:r w:rsidRPr="00A10F42">
        <w:rPr>
          <w:rStyle w:val="FootnoteReference"/>
        </w:rPr>
        <w:footnoteRef/>
      </w:r>
      <w:r w:rsidRPr="00355476">
        <w:t xml:space="preserve"> </w:t>
      </w:r>
      <w:proofErr w:type="spellStart"/>
      <w:r w:rsidR="00355476" w:rsidRPr="00355476">
        <w:t>Tsichlis</w:t>
      </w:r>
      <w:proofErr w:type="spellEnd"/>
      <w:r w:rsidR="00355476" w:rsidRPr="00355476">
        <w:t>, 2009. 17</w:t>
      </w:r>
    </w:p>
  </w:footnote>
  <w:footnote w:id="4">
    <w:p w:rsidR="0014568C" w:rsidRDefault="0014568C">
      <w:pPr>
        <w:pStyle w:val="FootnoteText"/>
      </w:pPr>
      <w:r>
        <w:rPr>
          <w:rStyle w:val="FootnoteReference"/>
        </w:rPr>
        <w:footnoteRef/>
      </w:r>
      <w:r>
        <w:t xml:space="preserve"> </w:t>
      </w:r>
      <w:proofErr w:type="spellStart"/>
      <w:r>
        <w:t>Selincourt</w:t>
      </w:r>
      <w:proofErr w:type="spellEnd"/>
      <w:r>
        <w:t>, 1962. 121</w:t>
      </w:r>
    </w:p>
  </w:footnote>
  <w:footnote w:id="5">
    <w:p w:rsidR="00A10F42" w:rsidRPr="00A10F42" w:rsidRDefault="00A10F42" w:rsidP="00A10F42">
      <w:pPr>
        <w:pStyle w:val="FootnoteText"/>
      </w:pPr>
      <w:r w:rsidRPr="00A10F42">
        <w:rPr>
          <w:rStyle w:val="FootnoteReference"/>
        </w:rPr>
        <w:footnoteRef/>
      </w:r>
      <w:r w:rsidRPr="00A10F42">
        <w:rPr>
          <w:color w:val="000000" w:themeColor="text1"/>
        </w:rPr>
        <w:t xml:space="preserve"> </w:t>
      </w:r>
      <w:proofErr w:type="spellStart"/>
      <w:r w:rsidRPr="00A10F42">
        <w:rPr>
          <w:color w:val="000000" w:themeColor="text1"/>
        </w:rPr>
        <w:t>Hdt</w:t>
      </w:r>
      <w:proofErr w:type="spellEnd"/>
      <w:r w:rsidRPr="00A10F42">
        <w:rPr>
          <w:color w:val="000000" w:themeColor="text1"/>
        </w:rPr>
        <w:t>. 1.99</w:t>
      </w:r>
    </w:p>
  </w:footnote>
  <w:footnote w:id="6">
    <w:p w:rsidR="00A10F42" w:rsidRPr="00A10F42" w:rsidRDefault="00A10F42" w:rsidP="00A10F42">
      <w:pPr>
        <w:spacing w:after="0"/>
        <w:rPr>
          <w:sz w:val="20"/>
          <w:szCs w:val="20"/>
        </w:rPr>
      </w:pPr>
      <w:r w:rsidRPr="00A10F42">
        <w:rPr>
          <w:rStyle w:val="FootnoteReference"/>
          <w:sz w:val="20"/>
          <w:szCs w:val="20"/>
        </w:rPr>
        <w:footnoteRef/>
      </w:r>
      <w:r w:rsidRPr="00A10F42">
        <w:rPr>
          <w:sz w:val="20"/>
          <w:szCs w:val="20"/>
        </w:rPr>
        <w:t xml:space="preserve"> </w:t>
      </w:r>
      <w:proofErr w:type="spellStart"/>
      <w:r w:rsidRPr="00A10F42">
        <w:rPr>
          <w:sz w:val="20"/>
          <w:szCs w:val="20"/>
        </w:rPr>
        <w:t>Xen.</w:t>
      </w:r>
      <w:r w:rsidRPr="00A10F42">
        <w:rPr>
          <w:i/>
          <w:iCs/>
          <w:sz w:val="20"/>
          <w:szCs w:val="20"/>
        </w:rPr>
        <w:t>Cyr</w:t>
      </w:r>
      <w:proofErr w:type="spellEnd"/>
      <w:r w:rsidRPr="00A10F42">
        <w:rPr>
          <w:sz w:val="20"/>
          <w:szCs w:val="20"/>
        </w:rPr>
        <w:t>. 5.3.47-8</w:t>
      </w:r>
    </w:p>
  </w:footnote>
  <w:footnote w:id="7">
    <w:p w:rsidR="00B17C07" w:rsidRPr="00A10F42" w:rsidRDefault="00B17C07" w:rsidP="00A10F42">
      <w:pPr>
        <w:pStyle w:val="FootnoteText"/>
      </w:pPr>
      <w:r w:rsidRPr="00A10F42">
        <w:rPr>
          <w:rStyle w:val="FootnoteReference"/>
        </w:rPr>
        <w:footnoteRef/>
      </w:r>
      <w:r w:rsidRPr="00A10F42">
        <w:t xml:space="preserve"> Diod.2.4.3</w:t>
      </w:r>
      <w:r w:rsidR="00E63488" w:rsidRPr="00A10F42">
        <w:t xml:space="preserve">; </w:t>
      </w:r>
      <w:proofErr w:type="spellStart"/>
      <w:r w:rsidR="00E63488" w:rsidRPr="00A10F42">
        <w:t>Briant</w:t>
      </w:r>
      <w:proofErr w:type="spellEnd"/>
      <w:r w:rsidR="00E63488" w:rsidRPr="00A10F42">
        <w:t>, 2002. 16.</w:t>
      </w:r>
    </w:p>
  </w:footnote>
  <w:footnote w:id="8">
    <w:p w:rsidR="00B17C07" w:rsidRDefault="00B17C07" w:rsidP="00A10F42">
      <w:pPr>
        <w:pStyle w:val="FootnoteText"/>
      </w:pPr>
      <w:r w:rsidRPr="00A10F42">
        <w:rPr>
          <w:rStyle w:val="FootnoteReference"/>
        </w:rPr>
        <w:footnoteRef/>
      </w:r>
      <w:r w:rsidRPr="00A10F42">
        <w:t xml:space="preserve"> </w:t>
      </w:r>
      <w:proofErr w:type="spellStart"/>
      <w:r w:rsidR="004F41B3" w:rsidRPr="00A10F42">
        <w:t>Hdt</w:t>
      </w:r>
      <w:proofErr w:type="spellEnd"/>
      <w:r w:rsidR="004F41B3" w:rsidRPr="00A10F42">
        <w:t>. 1.115.2</w:t>
      </w:r>
    </w:p>
  </w:footnote>
  <w:footnote w:id="9">
    <w:p w:rsidR="00B17C07" w:rsidRDefault="00B17C07">
      <w:pPr>
        <w:pStyle w:val="FootnoteText"/>
      </w:pPr>
      <w:r>
        <w:rPr>
          <w:rStyle w:val="FootnoteReference"/>
        </w:rPr>
        <w:footnoteRef/>
      </w:r>
      <w:r>
        <w:t xml:space="preserve"> </w:t>
      </w:r>
      <w:proofErr w:type="spellStart"/>
      <w:r w:rsidR="004F41B3">
        <w:t>Briant</w:t>
      </w:r>
      <w:proofErr w:type="spellEnd"/>
      <w:r w:rsidR="004F41B3">
        <w:t xml:space="preserve">, 2002. 15; </w:t>
      </w:r>
      <w:proofErr w:type="spellStart"/>
      <w:r w:rsidR="004F41B3" w:rsidRPr="004F41B3">
        <w:t>Hdt</w:t>
      </w:r>
      <w:proofErr w:type="spellEnd"/>
      <w:r w:rsidR="004F41B3" w:rsidRPr="004F41B3">
        <w:t>. 1.116</w:t>
      </w:r>
      <w:r w:rsidR="004F41B3">
        <w:t xml:space="preserve">.1 </w:t>
      </w:r>
    </w:p>
  </w:footnote>
  <w:footnote w:id="10">
    <w:p w:rsidR="00065AA4" w:rsidRDefault="00065AA4">
      <w:pPr>
        <w:pStyle w:val="FootnoteText"/>
      </w:pPr>
      <w:r>
        <w:rPr>
          <w:rStyle w:val="FootnoteReference"/>
        </w:rPr>
        <w:footnoteRef/>
      </w:r>
      <w:r>
        <w:t xml:space="preserve"> </w:t>
      </w:r>
      <w:proofErr w:type="spellStart"/>
      <w:r w:rsidR="004F41B3" w:rsidRPr="004F41B3">
        <w:t>Hdt</w:t>
      </w:r>
      <w:proofErr w:type="spellEnd"/>
      <w:r w:rsidR="004F41B3" w:rsidRPr="004F41B3">
        <w:t>. 1.76</w:t>
      </w:r>
    </w:p>
  </w:footnote>
  <w:footnote w:id="11">
    <w:p w:rsidR="00065AA4" w:rsidRDefault="00065AA4">
      <w:pPr>
        <w:pStyle w:val="FootnoteText"/>
      </w:pPr>
      <w:r>
        <w:rPr>
          <w:rStyle w:val="FootnoteReference"/>
        </w:rPr>
        <w:footnoteRef/>
      </w:r>
      <w:r>
        <w:t xml:space="preserve"> </w:t>
      </w:r>
      <w:proofErr w:type="spellStart"/>
      <w:r w:rsidRPr="00065AA4">
        <w:t>Hdt</w:t>
      </w:r>
      <w:proofErr w:type="spellEnd"/>
      <w:r w:rsidRPr="00065AA4">
        <w:t>. 1.86</w:t>
      </w:r>
      <w:r>
        <w:t>.6.</w:t>
      </w:r>
    </w:p>
  </w:footnote>
  <w:footnote w:id="12">
    <w:p w:rsidR="00065AA4" w:rsidRDefault="00065AA4">
      <w:pPr>
        <w:pStyle w:val="FootnoteText"/>
      </w:pPr>
      <w:r>
        <w:rPr>
          <w:rStyle w:val="FootnoteReference"/>
        </w:rPr>
        <w:footnoteRef/>
      </w:r>
      <w:r>
        <w:t xml:space="preserve"> </w:t>
      </w:r>
      <w:proofErr w:type="spellStart"/>
      <w:r w:rsidRPr="00065AA4">
        <w:t>Hdt</w:t>
      </w:r>
      <w:proofErr w:type="spellEnd"/>
      <w:r w:rsidRPr="00065AA4">
        <w:t>. 1.86.6</w:t>
      </w:r>
      <w:r>
        <w:t>.</w:t>
      </w:r>
    </w:p>
  </w:footnote>
  <w:footnote w:id="13">
    <w:p w:rsidR="00065AA4" w:rsidRDefault="00065AA4">
      <w:pPr>
        <w:pStyle w:val="FootnoteText"/>
      </w:pPr>
      <w:r>
        <w:rPr>
          <w:rStyle w:val="FootnoteReference"/>
        </w:rPr>
        <w:footnoteRef/>
      </w:r>
      <w:r>
        <w:t xml:space="preserve"> </w:t>
      </w:r>
      <w:proofErr w:type="spellStart"/>
      <w:r w:rsidRPr="00065AA4">
        <w:t>Hdt</w:t>
      </w:r>
      <w:proofErr w:type="spellEnd"/>
      <w:r w:rsidRPr="00065AA4">
        <w:t>. 3.36.3</w:t>
      </w:r>
    </w:p>
  </w:footnote>
  <w:footnote w:id="14">
    <w:p w:rsidR="003445D7" w:rsidRDefault="003445D7">
      <w:pPr>
        <w:pStyle w:val="FootnoteText"/>
      </w:pPr>
      <w:r>
        <w:rPr>
          <w:rStyle w:val="FootnoteReference"/>
        </w:rPr>
        <w:footnoteRef/>
      </w:r>
      <w:r w:rsidR="00BA3D3C">
        <w:t xml:space="preserve"> </w:t>
      </w:r>
      <w:proofErr w:type="spellStart"/>
      <w:r w:rsidR="00BA3D3C" w:rsidRPr="00BA3D3C">
        <w:t>Hdt</w:t>
      </w:r>
      <w:proofErr w:type="spellEnd"/>
      <w:r w:rsidR="00BA3D3C" w:rsidRPr="00BA3D3C">
        <w:t>. 3.28.2</w:t>
      </w:r>
      <w:r w:rsidR="00BA3D3C">
        <w:t>;</w:t>
      </w:r>
      <w:r>
        <w:t xml:space="preserve"> </w:t>
      </w:r>
      <w:proofErr w:type="spellStart"/>
      <w:r w:rsidRPr="003445D7">
        <w:t>Hdt</w:t>
      </w:r>
      <w:proofErr w:type="spellEnd"/>
      <w:r w:rsidRPr="003445D7">
        <w:t>. 3.29</w:t>
      </w:r>
      <w:r>
        <w:t>.1-2.</w:t>
      </w:r>
    </w:p>
  </w:footnote>
  <w:footnote w:id="15">
    <w:p w:rsidR="00BA3D3C" w:rsidRDefault="00BA3D3C">
      <w:pPr>
        <w:pStyle w:val="FootnoteText"/>
      </w:pPr>
      <w:r>
        <w:rPr>
          <w:rStyle w:val="FootnoteReference"/>
        </w:rPr>
        <w:footnoteRef/>
      </w:r>
      <w:r>
        <w:t xml:space="preserve"> </w:t>
      </w:r>
      <w:proofErr w:type="spellStart"/>
      <w:r w:rsidRPr="00BA3D3C">
        <w:t>Hdt</w:t>
      </w:r>
      <w:proofErr w:type="spellEnd"/>
      <w:r w:rsidRPr="00BA3D3C">
        <w:t>. 3.27.2</w:t>
      </w:r>
    </w:p>
  </w:footnote>
  <w:footnote w:id="16">
    <w:p w:rsidR="00282554" w:rsidRDefault="00282554">
      <w:pPr>
        <w:pStyle w:val="FootnoteText"/>
      </w:pPr>
      <w:r>
        <w:rPr>
          <w:rStyle w:val="FootnoteReference"/>
        </w:rPr>
        <w:footnoteRef/>
      </w:r>
      <w:r>
        <w:t xml:space="preserve"> </w:t>
      </w:r>
      <w:proofErr w:type="spellStart"/>
      <w:r>
        <w:t>Hdt</w:t>
      </w:r>
      <w:proofErr w:type="spellEnd"/>
      <w:r>
        <w:t>. 3.148.1</w:t>
      </w:r>
    </w:p>
  </w:footnote>
  <w:footnote w:id="17">
    <w:p w:rsidR="00282554" w:rsidRDefault="00282554">
      <w:pPr>
        <w:pStyle w:val="FootnoteText"/>
      </w:pPr>
      <w:r>
        <w:rPr>
          <w:rStyle w:val="FootnoteReference"/>
        </w:rPr>
        <w:footnoteRef/>
      </w:r>
      <w:r>
        <w:t xml:space="preserve"> </w:t>
      </w:r>
      <w:proofErr w:type="spellStart"/>
      <w:r w:rsidRPr="00282554">
        <w:t>Hdt</w:t>
      </w:r>
      <w:proofErr w:type="spellEnd"/>
      <w:r w:rsidRPr="00282554">
        <w:t>. 3.148.2</w:t>
      </w:r>
    </w:p>
  </w:footnote>
  <w:footnote w:id="18">
    <w:p w:rsidR="00BA3D3C" w:rsidRDefault="00BA3D3C">
      <w:pPr>
        <w:pStyle w:val="FootnoteText"/>
      </w:pPr>
      <w:r>
        <w:rPr>
          <w:rStyle w:val="FootnoteReference"/>
        </w:rPr>
        <w:footnoteRef/>
      </w:r>
      <w:r>
        <w:t xml:space="preserve"> </w:t>
      </w:r>
      <w:proofErr w:type="spellStart"/>
      <w:r w:rsidR="00A10F42" w:rsidRPr="00A10F42">
        <w:t>Hdt</w:t>
      </w:r>
      <w:proofErr w:type="spellEnd"/>
      <w:r w:rsidR="00A10F42" w:rsidRPr="00A10F42">
        <w:t>. 4.142</w:t>
      </w:r>
    </w:p>
  </w:footnote>
  <w:footnote w:id="19">
    <w:p w:rsidR="00BA3D3C" w:rsidRDefault="00BA3D3C">
      <w:pPr>
        <w:pStyle w:val="FootnoteText"/>
      </w:pPr>
      <w:r>
        <w:rPr>
          <w:rStyle w:val="FootnoteReference"/>
        </w:rPr>
        <w:footnoteRef/>
      </w:r>
      <w:r>
        <w:t xml:space="preserve"> </w:t>
      </w:r>
      <w:proofErr w:type="spellStart"/>
      <w:r w:rsidRPr="00BA3D3C">
        <w:t>Hdt</w:t>
      </w:r>
      <w:proofErr w:type="spellEnd"/>
      <w:r w:rsidRPr="00BA3D3C">
        <w:t>. 3.72.4</w:t>
      </w:r>
      <w:r w:rsidR="00510FB4">
        <w:t>.</w:t>
      </w:r>
    </w:p>
  </w:footnote>
  <w:footnote w:id="20">
    <w:p w:rsidR="00BA3D3C" w:rsidRDefault="00BA3D3C">
      <w:pPr>
        <w:pStyle w:val="FootnoteText"/>
      </w:pPr>
      <w:r>
        <w:rPr>
          <w:rStyle w:val="FootnoteReference"/>
        </w:rPr>
        <w:footnoteRef/>
      </w:r>
      <w:r>
        <w:t xml:space="preserve"> </w:t>
      </w:r>
      <w:proofErr w:type="spellStart"/>
      <w:r w:rsidRPr="00BA3D3C">
        <w:t>Hdt</w:t>
      </w:r>
      <w:proofErr w:type="spellEnd"/>
      <w:r w:rsidRPr="00BA3D3C">
        <w:t>. 3.72.4</w:t>
      </w:r>
      <w:r w:rsidR="00510FB4">
        <w:t>.</w:t>
      </w:r>
    </w:p>
  </w:footnote>
  <w:footnote w:id="21">
    <w:p w:rsidR="00BA3D3C" w:rsidRDefault="00BA3D3C">
      <w:pPr>
        <w:pStyle w:val="FootnoteText"/>
      </w:pPr>
      <w:r>
        <w:rPr>
          <w:rStyle w:val="FootnoteReference"/>
        </w:rPr>
        <w:footnoteRef/>
      </w:r>
      <w:r>
        <w:t xml:space="preserve"> </w:t>
      </w:r>
      <w:proofErr w:type="spellStart"/>
      <w:r w:rsidRPr="00BA3D3C">
        <w:t>Hdt</w:t>
      </w:r>
      <w:proofErr w:type="spellEnd"/>
      <w:r w:rsidRPr="00BA3D3C">
        <w:t>. 3.72.4</w:t>
      </w:r>
      <w:r w:rsidR="00510FB4">
        <w:t>.</w:t>
      </w:r>
    </w:p>
  </w:footnote>
  <w:footnote w:id="22">
    <w:p w:rsidR="00510FB4" w:rsidRDefault="00510FB4">
      <w:pPr>
        <w:pStyle w:val="FootnoteText"/>
      </w:pPr>
      <w:r>
        <w:rPr>
          <w:rStyle w:val="FootnoteReference"/>
        </w:rPr>
        <w:footnoteRef/>
      </w:r>
      <w:r>
        <w:t xml:space="preserve"> </w:t>
      </w:r>
      <w:proofErr w:type="spellStart"/>
      <w:r w:rsidRPr="00510FB4">
        <w:t>Hdt</w:t>
      </w:r>
      <w:proofErr w:type="spellEnd"/>
      <w:r w:rsidRPr="00510FB4">
        <w:t>. 7.5</w:t>
      </w:r>
      <w:r>
        <w:t>.1.</w:t>
      </w:r>
    </w:p>
  </w:footnote>
  <w:footnote w:id="23">
    <w:p w:rsidR="00510FB4" w:rsidRDefault="00510FB4">
      <w:pPr>
        <w:pStyle w:val="FootnoteText"/>
      </w:pPr>
      <w:r>
        <w:rPr>
          <w:rStyle w:val="FootnoteReference"/>
        </w:rPr>
        <w:footnoteRef/>
      </w:r>
      <w:r>
        <w:t xml:space="preserve"> </w:t>
      </w:r>
      <w:proofErr w:type="spellStart"/>
      <w:r>
        <w:t>Hdt</w:t>
      </w:r>
      <w:proofErr w:type="spellEnd"/>
      <w:r>
        <w:t>. 7.5.1.</w:t>
      </w:r>
    </w:p>
  </w:footnote>
  <w:footnote w:id="24">
    <w:p w:rsidR="00510FB4" w:rsidRDefault="00510FB4">
      <w:pPr>
        <w:pStyle w:val="FootnoteText"/>
      </w:pPr>
      <w:r>
        <w:rPr>
          <w:rStyle w:val="FootnoteReference"/>
        </w:rPr>
        <w:footnoteRef/>
      </w:r>
      <w:r>
        <w:t xml:space="preserve"> </w:t>
      </w:r>
      <w:proofErr w:type="spellStart"/>
      <w:r>
        <w:t>Hdt</w:t>
      </w:r>
      <w:proofErr w:type="spellEnd"/>
      <w:r>
        <w:t xml:space="preserve"> 7.5.1.</w:t>
      </w:r>
    </w:p>
  </w:footnote>
  <w:footnote w:id="25">
    <w:p w:rsidR="00510FB4" w:rsidRDefault="00510FB4">
      <w:pPr>
        <w:pStyle w:val="FootnoteText"/>
      </w:pPr>
      <w:r>
        <w:rPr>
          <w:rStyle w:val="FootnoteReference"/>
        </w:rPr>
        <w:footnoteRef/>
      </w:r>
      <w:r>
        <w:t xml:space="preserve"> </w:t>
      </w:r>
      <w:proofErr w:type="spellStart"/>
      <w:r>
        <w:t>Hdt</w:t>
      </w:r>
      <w:proofErr w:type="spellEnd"/>
      <w:r>
        <w:t xml:space="preserve"> 7.5.3</w:t>
      </w:r>
    </w:p>
  </w:footnote>
  <w:footnote w:id="26">
    <w:p w:rsidR="00097F69" w:rsidRDefault="00097F69">
      <w:pPr>
        <w:pStyle w:val="FootnoteText"/>
      </w:pPr>
      <w:r>
        <w:rPr>
          <w:rStyle w:val="FootnoteReference"/>
        </w:rPr>
        <w:footnoteRef/>
      </w:r>
      <w:r>
        <w:t xml:space="preserve"> </w:t>
      </w:r>
      <w:proofErr w:type="spellStart"/>
      <w:r w:rsidRPr="00097F69">
        <w:t>Hdt</w:t>
      </w:r>
      <w:proofErr w:type="spellEnd"/>
      <w:r w:rsidRPr="00097F69">
        <w:t>. 7.8a.2</w:t>
      </w:r>
    </w:p>
  </w:footnote>
  <w:footnote w:id="27">
    <w:p w:rsidR="00097F69" w:rsidRDefault="00097F69">
      <w:pPr>
        <w:pStyle w:val="FootnoteText"/>
      </w:pPr>
      <w:r>
        <w:rPr>
          <w:rStyle w:val="FootnoteReference"/>
        </w:rPr>
        <w:footnoteRef/>
      </w:r>
      <w:r>
        <w:t xml:space="preserve"> </w:t>
      </w:r>
      <w:proofErr w:type="spellStart"/>
      <w:r w:rsidRPr="00097F69">
        <w:t>Hdt</w:t>
      </w:r>
      <w:proofErr w:type="spellEnd"/>
      <w:r w:rsidRPr="00097F69">
        <w:t>. 7.8B.1</w:t>
      </w:r>
    </w:p>
  </w:footnote>
  <w:footnote w:id="28">
    <w:p w:rsidR="00097F69" w:rsidRDefault="00097F69">
      <w:pPr>
        <w:pStyle w:val="FootnoteText"/>
      </w:pPr>
      <w:r>
        <w:rPr>
          <w:rStyle w:val="FootnoteReference"/>
        </w:rPr>
        <w:footnoteRef/>
      </w:r>
      <w:r>
        <w:t xml:space="preserve"> </w:t>
      </w:r>
      <w:r w:rsidR="0077321F" w:rsidRPr="0077321F">
        <w:t xml:space="preserve">https://www.youtube.com/watch?v=IorHJysuAAI&amp;feature=youtu.be </w:t>
      </w:r>
      <w:r w:rsidR="0077321F">
        <w:t xml:space="preserve"> </w:t>
      </w:r>
      <w:r>
        <w:t>5:20</w:t>
      </w:r>
    </w:p>
  </w:footnote>
  <w:footnote w:id="29">
    <w:p w:rsidR="00097F69" w:rsidRDefault="00097F69">
      <w:pPr>
        <w:pStyle w:val="FootnoteText"/>
      </w:pPr>
      <w:r>
        <w:rPr>
          <w:rStyle w:val="FootnoteReference"/>
        </w:rPr>
        <w:footnoteRef/>
      </w:r>
      <w:r>
        <w:t xml:space="preserve"> </w:t>
      </w:r>
      <w:proofErr w:type="spellStart"/>
      <w:r w:rsidR="00047219" w:rsidRPr="00047219">
        <w:t>Hdt</w:t>
      </w:r>
      <w:proofErr w:type="spellEnd"/>
      <w:r w:rsidR="00047219" w:rsidRPr="00047219">
        <w:t>. 7.26</w:t>
      </w:r>
      <w:r w:rsidR="00047219">
        <w:t>.1</w:t>
      </w:r>
    </w:p>
  </w:footnote>
  <w:footnote w:id="30">
    <w:p w:rsidR="00B5211D" w:rsidRDefault="00B5211D">
      <w:pPr>
        <w:pStyle w:val="FootnoteText"/>
      </w:pPr>
      <w:r>
        <w:rPr>
          <w:rStyle w:val="FootnoteReference"/>
        </w:rPr>
        <w:footnoteRef/>
      </w:r>
      <w:r>
        <w:t xml:space="preserve"> </w:t>
      </w:r>
      <w:r w:rsidR="00047219" w:rsidRPr="0077321F">
        <w:t xml:space="preserve">https://www.youtube.com/watch?v=IorHJysuAAI&amp;feature=youtu.be </w:t>
      </w:r>
      <w:r w:rsidR="00047219">
        <w:t xml:space="preserve"> </w:t>
      </w:r>
      <w:r w:rsidR="00047219">
        <w:t>4.27</w:t>
      </w:r>
    </w:p>
  </w:footnote>
  <w:footnote w:id="31">
    <w:p w:rsidR="00097F69" w:rsidRDefault="00097F69">
      <w:pPr>
        <w:pStyle w:val="FootnoteText"/>
      </w:pPr>
      <w:r>
        <w:rPr>
          <w:rStyle w:val="FootnoteReference"/>
        </w:rPr>
        <w:footnoteRef/>
      </w:r>
      <w:r>
        <w:t xml:space="preserve"> </w:t>
      </w:r>
      <w:r w:rsidR="0077321F" w:rsidRPr="0077321F">
        <w:t xml:space="preserve">https://www.youtube.com/watch?v=IorHJysuAAI&amp;feature=youtu.be </w:t>
      </w:r>
      <w:r w:rsidR="0077321F">
        <w:t xml:space="preserve"> </w:t>
      </w:r>
      <w:r>
        <w:t>13:10</w:t>
      </w:r>
    </w:p>
  </w:footnote>
  <w:footnote w:id="32">
    <w:p w:rsidR="00667668" w:rsidRDefault="00667668">
      <w:pPr>
        <w:pStyle w:val="FootnoteText"/>
      </w:pPr>
      <w:r>
        <w:rPr>
          <w:rStyle w:val="FootnoteReference"/>
        </w:rPr>
        <w:footnoteRef/>
      </w:r>
      <w:r>
        <w:t xml:space="preserve"> </w:t>
      </w:r>
      <w:proofErr w:type="spellStart"/>
      <w:r w:rsidRPr="00667668">
        <w:t>Hdt</w:t>
      </w:r>
      <w:proofErr w:type="spellEnd"/>
      <w:r w:rsidRPr="00667668">
        <w:t>. 7.220.4</w:t>
      </w:r>
    </w:p>
  </w:footnote>
  <w:footnote w:id="33">
    <w:p w:rsidR="0081155D" w:rsidRDefault="0081155D">
      <w:pPr>
        <w:pStyle w:val="FootnoteText"/>
      </w:pPr>
      <w:r>
        <w:rPr>
          <w:rStyle w:val="FootnoteReference"/>
        </w:rPr>
        <w:footnoteRef/>
      </w:r>
      <w:r>
        <w:t xml:space="preserve"> </w:t>
      </w:r>
      <w:proofErr w:type="spellStart"/>
      <w:r w:rsidRPr="0081155D">
        <w:t>Hdt</w:t>
      </w:r>
      <w:proofErr w:type="spellEnd"/>
      <w:r w:rsidRPr="0081155D">
        <w:t>. 7.104</w:t>
      </w:r>
    </w:p>
  </w:footnote>
  <w:footnote w:id="34">
    <w:p w:rsidR="00F94C9F" w:rsidRDefault="00F94C9F">
      <w:pPr>
        <w:pStyle w:val="FootnoteText"/>
      </w:pPr>
      <w:r>
        <w:rPr>
          <w:rStyle w:val="FootnoteReference"/>
        </w:rPr>
        <w:footnoteRef/>
      </w:r>
      <w:r>
        <w:t xml:space="preserve"> </w:t>
      </w:r>
      <w:r>
        <w:t>S</w:t>
      </w:r>
      <w:r>
        <w:rPr>
          <w:rFonts w:ascii="Arial" w:hAnsi="Arial" w:cs="Arial"/>
          <w:lang w:val="en"/>
        </w:rPr>
        <w:t>é</w:t>
      </w:r>
      <w:r>
        <w:t>lincourt</w:t>
      </w:r>
      <w:r>
        <w:t>, 1962. 123</w:t>
      </w:r>
    </w:p>
  </w:footnote>
  <w:footnote w:id="35">
    <w:p w:rsidR="00DA6A74" w:rsidRDefault="00DA6A74">
      <w:pPr>
        <w:pStyle w:val="FootnoteText"/>
      </w:pPr>
      <w:r>
        <w:rPr>
          <w:rStyle w:val="FootnoteReference"/>
        </w:rPr>
        <w:footnoteRef/>
      </w:r>
      <w:r>
        <w:t xml:space="preserve"> </w:t>
      </w:r>
      <w:proofErr w:type="spellStart"/>
      <w:r>
        <w:t>Plut</w:t>
      </w:r>
      <w:proofErr w:type="spellEnd"/>
      <w:r>
        <w:t xml:space="preserve">. Lyc.5.1; </w:t>
      </w:r>
      <w:proofErr w:type="spellStart"/>
      <w:r>
        <w:t>Plut</w:t>
      </w:r>
      <w:proofErr w:type="spellEnd"/>
      <w:r>
        <w:t>. Lyc.7.1</w:t>
      </w:r>
    </w:p>
  </w:footnote>
  <w:footnote w:id="36">
    <w:p w:rsidR="00DA6A74" w:rsidRDefault="00DA6A74">
      <w:pPr>
        <w:pStyle w:val="FootnoteText"/>
      </w:pPr>
      <w:r>
        <w:rPr>
          <w:rStyle w:val="FootnoteReference"/>
        </w:rPr>
        <w:footnoteRef/>
      </w:r>
      <w:r>
        <w:t xml:space="preserve"> </w:t>
      </w:r>
      <w:proofErr w:type="spellStart"/>
      <w:r w:rsidRPr="00DA6A74">
        <w:t>Plut</w:t>
      </w:r>
      <w:proofErr w:type="spellEnd"/>
      <w:r w:rsidRPr="00DA6A74">
        <w:t>. Agis 4.1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B40A1E"/>
    <w:multiLevelType w:val="hybridMultilevel"/>
    <w:tmpl w:val="D0587CE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6A72728D"/>
    <w:multiLevelType w:val="hybridMultilevel"/>
    <w:tmpl w:val="CCC66B4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141E"/>
    <w:rsid w:val="00047219"/>
    <w:rsid w:val="00065AA4"/>
    <w:rsid w:val="00083CF6"/>
    <w:rsid w:val="00097F69"/>
    <w:rsid w:val="0014568C"/>
    <w:rsid w:val="00282554"/>
    <w:rsid w:val="002A036E"/>
    <w:rsid w:val="00337843"/>
    <w:rsid w:val="003445D7"/>
    <w:rsid w:val="00351336"/>
    <w:rsid w:val="00355476"/>
    <w:rsid w:val="00436753"/>
    <w:rsid w:val="00460047"/>
    <w:rsid w:val="00464C5A"/>
    <w:rsid w:val="004D0455"/>
    <w:rsid w:val="004F41B3"/>
    <w:rsid w:val="00510FB4"/>
    <w:rsid w:val="005C24A0"/>
    <w:rsid w:val="00606AEC"/>
    <w:rsid w:val="00651269"/>
    <w:rsid w:val="00667668"/>
    <w:rsid w:val="00696586"/>
    <w:rsid w:val="006B170B"/>
    <w:rsid w:val="006B5790"/>
    <w:rsid w:val="006F75EC"/>
    <w:rsid w:val="00745701"/>
    <w:rsid w:val="0077321F"/>
    <w:rsid w:val="007B2DC1"/>
    <w:rsid w:val="007C05AC"/>
    <w:rsid w:val="007E4F52"/>
    <w:rsid w:val="008051E9"/>
    <w:rsid w:val="0081155D"/>
    <w:rsid w:val="00865215"/>
    <w:rsid w:val="008C3BF7"/>
    <w:rsid w:val="008D2F3C"/>
    <w:rsid w:val="008E4CB1"/>
    <w:rsid w:val="009474EF"/>
    <w:rsid w:val="00A10F42"/>
    <w:rsid w:val="00A12BCF"/>
    <w:rsid w:val="00A34841"/>
    <w:rsid w:val="00B17C07"/>
    <w:rsid w:val="00B40EA7"/>
    <w:rsid w:val="00B5211D"/>
    <w:rsid w:val="00BA3D3C"/>
    <w:rsid w:val="00C2447A"/>
    <w:rsid w:val="00DA6A74"/>
    <w:rsid w:val="00DB2B23"/>
    <w:rsid w:val="00E0141E"/>
    <w:rsid w:val="00E02C21"/>
    <w:rsid w:val="00E63488"/>
    <w:rsid w:val="00EB4FB0"/>
    <w:rsid w:val="00F233C5"/>
    <w:rsid w:val="00F42C7E"/>
    <w:rsid w:val="00F94C9F"/>
    <w:rsid w:val="00FB28C3"/>
    <w:rsid w:val="00FF6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C7302"/>
  <w15:chartTrackingRefBased/>
  <w15:docId w15:val="{CE0AC932-90E3-4774-8B27-460C5CCCB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141E"/>
  </w:style>
  <w:style w:type="paragraph" w:styleId="Heading3">
    <w:name w:val="heading 3"/>
    <w:basedOn w:val="Normal"/>
    <w:link w:val="Heading3Char"/>
    <w:uiPriority w:val="9"/>
    <w:qFormat/>
    <w:rsid w:val="00355476"/>
    <w:pPr>
      <w:spacing w:after="120"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141E"/>
    <w:pPr>
      <w:ind w:left="720"/>
      <w:contextualSpacing/>
    </w:pPr>
  </w:style>
  <w:style w:type="character" w:styleId="Hyperlink">
    <w:name w:val="Hyperlink"/>
    <w:basedOn w:val="DefaultParagraphFont"/>
    <w:uiPriority w:val="99"/>
    <w:unhideWhenUsed/>
    <w:rsid w:val="00E0141E"/>
    <w:rPr>
      <w:color w:val="0563C1" w:themeColor="hyperlink"/>
      <w:u w:val="single"/>
    </w:rPr>
  </w:style>
  <w:style w:type="paragraph" w:styleId="IntenseQuote">
    <w:name w:val="Intense Quote"/>
    <w:basedOn w:val="Normal"/>
    <w:next w:val="Normal"/>
    <w:link w:val="IntenseQuoteChar"/>
    <w:uiPriority w:val="30"/>
    <w:qFormat/>
    <w:rsid w:val="00651269"/>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651269"/>
    <w:rPr>
      <w:i/>
      <w:iCs/>
      <w:color w:val="5B9BD5" w:themeColor="accent1"/>
    </w:rPr>
  </w:style>
  <w:style w:type="paragraph" w:styleId="FootnoteText">
    <w:name w:val="footnote text"/>
    <w:basedOn w:val="Normal"/>
    <w:link w:val="FootnoteTextChar"/>
    <w:uiPriority w:val="99"/>
    <w:semiHidden/>
    <w:unhideWhenUsed/>
    <w:rsid w:val="006512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1269"/>
    <w:rPr>
      <w:sz w:val="20"/>
      <w:szCs w:val="20"/>
    </w:rPr>
  </w:style>
  <w:style w:type="character" w:styleId="FootnoteReference">
    <w:name w:val="footnote reference"/>
    <w:basedOn w:val="DefaultParagraphFont"/>
    <w:uiPriority w:val="99"/>
    <w:semiHidden/>
    <w:unhideWhenUsed/>
    <w:rsid w:val="00651269"/>
    <w:rPr>
      <w:vertAlign w:val="superscript"/>
    </w:rPr>
  </w:style>
  <w:style w:type="paragraph" w:customStyle="1" w:styleId="Default">
    <w:name w:val="Default"/>
    <w:rsid w:val="00A10F42"/>
    <w:pPr>
      <w:autoSpaceDE w:val="0"/>
      <w:autoSpaceDN w:val="0"/>
      <w:adjustRightInd w:val="0"/>
      <w:spacing w:after="0" w:line="240" w:lineRule="auto"/>
    </w:pPr>
    <w:rPr>
      <w:rFonts w:ascii="Century Gothic" w:hAnsi="Century Gothic" w:cs="Century Gothic"/>
      <w:color w:val="000000"/>
      <w:sz w:val="24"/>
      <w:szCs w:val="24"/>
    </w:rPr>
  </w:style>
  <w:style w:type="character" w:customStyle="1" w:styleId="title1">
    <w:name w:val="title1"/>
    <w:basedOn w:val="DefaultParagraphFont"/>
    <w:rsid w:val="006B5790"/>
    <w:rPr>
      <w:i/>
      <w:iCs/>
    </w:rPr>
  </w:style>
  <w:style w:type="character" w:customStyle="1" w:styleId="Heading3Char">
    <w:name w:val="Heading 3 Char"/>
    <w:basedOn w:val="DefaultParagraphFont"/>
    <w:link w:val="Heading3"/>
    <w:uiPriority w:val="9"/>
    <w:rsid w:val="00355476"/>
    <w:rPr>
      <w:rFonts w:ascii="Times New Roman" w:eastAsia="Times New Roman" w:hAnsi="Times New Roman" w:cs="Times New Roman"/>
      <w:b/>
      <w:bCs/>
      <w:sz w:val="27"/>
      <w:szCs w:val="27"/>
      <w:lang w:eastAsia="en-GB"/>
    </w:rPr>
  </w:style>
  <w:style w:type="character" w:customStyle="1" w:styleId="media-delimiter">
    <w:name w:val="media-delimiter"/>
    <w:basedOn w:val="DefaultParagraphFont"/>
    <w:rsid w:val="003554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56611622">
      <w:bodyDiv w:val="1"/>
      <w:marLeft w:val="0"/>
      <w:marRight w:val="0"/>
      <w:marTop w:val="0"/>
      <w:marBottom w:val="0"/>
      <w:divBdr>
        <w:top w:val="none" w:sz="0" w:space="0" w:color="auto"/>
        <w:left w:val="none" w:sz="0" w:space="0" w:color="auto"/>
        <w:bottom w:val="none" w:sz="0" w:space="0" w:color="auto"/>
        <w:right w:val="none" w:sz="0" w:space="0" w:color="auto"/>
      </w:divBdr>
      <w:divsChild>
        <w:div w:id="1245338552">
          <w:marLeft w:val="0"/>
          <w:marRight w:val="0"/>
          <w:marTop w:val="0"/>
          <w:marBottom w:val="0"/>
          <w:divBdr>
            <w:top w:val="none" w:sz="0" w:space="0" w:color="auto"/>
            <w:left w:val="none" w:sz="0" w:space="0" w:color="auto"/>
            <w:bottom w:val="none" w:sz="0" w:space="0" w:color="auto"/>
            <w:right w:val="none" w:sz="0" w:space="0" w:color="auto"/>
          </w:divBdr>
          <w:divsChild>
            <w:div w:id="922422495">
              <w:marLeft w:val="0"/>
              <w:marRight w:val="0"/>
              <w:marTop w:val="0"/>
              <w:marBottom w:val="0"/>
              <w:divBdr>
                <w:top w:val="none" w:sz="0" w:space="0" w:color="auto"/>
                <w:left w:val="none" w:sz="0" w:space="0" w:color="auto"/>
                <w:bottom w:val="none" w:sz="0" w:space="0" w:color="auto"/>
                <w:right w:val="none" w:sz="0" w:space="0" w:color="auto"/>
              </w:divBdr>
              <w:divsChild>
                <w:div w:id="1454209788">
                  <w:marLeft w:val="0"/>
                  <w:marRight w:val="0"/>
                  <w:marTop w:val="0"/>
                  <w:marBottom w:val="0"/>
                  <w:divBdr>
                    <w:top w:val="none" w:sz="0" w:space="0" w:color="auto"/>
                    <w:left w:val="none" w:sz="0" w:space="0" w:color="auto"/>
                    <w:bottom w:val="none" w:sz="0" w:space="0" w:color="auto"/>
                    <w:right w:val="none" w:sz="0" w:space="0" w:color="auto"/>
                  </w:divBdr>
                  <w:divsChild>
                    <w:div w:id="1667711096">
                      <w:marLeft w:val="0"/>
                      <w:marRight w:val="0"/>
                      <w:marTop w:val="0"/>
                      <w:marBottom w:val="0"/>
                      <w:divBdr>
                        <w:top w:val="none" w:sz="0" w:space="0" w:color="auto"/>
                        <w:left w:val="none" w:sz="0" w:space="0" w:color="auto"/>
                        <w:bottom w:val="none" w:sz="0" w:space="0" w:color="auto"/>
                        <w:right w:val="none" w:sz="0" w:space="0" w:color="auto"/>
                      </w:divBdr>
                      <w:divsChild>
                        <w:div w:id="122115237">
                          <w:marLeft w:val="0"/>
                          <w:marRight w:val="0"/>
                          <w:marTop w:val="0"/>
                          <w:marBottom w:val="0"/>
                          <w:divBdr>
                            <w:top w:val="none" w:sz="0" w:space="0" w:color="auto"/>
                            <w:left w:val="none" w:sz="0" w:space="0" w:color="auto"/>
                            <w:bottom w:val="none" w:sz="0" w:space="0" w:color="auto"/>
                            <w:right w:val="none" w:sz="0" w:space="0" w:color="auto"/>
                          </w:divBdr>
                          <w:divsChild>
                            <w:div w:id="1382486307">
                              <w:marLeft w:val="0"/>
                              <w:marRight w:val="0"/>
                              <w:marTop w:val="0"/>
                              <w:marBottom w:val="0"/>
                              <w:divBdr>
                                <w:top w:val="none" w:sz="0" w:space="0" w:color="auto"/>
                                <w:left w:val="none" w:sz="0" w:space="0" w:color="auto"/>
                                <w:bottom w:val="none" w:sz="0" w:space="0" w:color="auto"/>
                                <w:right w:val="none" w:sz="0" w:space="0" w:color="auto"/>
                              </w:divBdr>
                              <w:divsChild>
                                <w:div w:id="2070110087">
                                  <w:marLeft w:val="0"/>
                                  <w:marRight w:val="0"/>
                                  <w:marTop w:val="0"/>
                                  <w:marBottom w:val="0"/>
                                  <w:divBdr>
                                    <w:top w:val="none" w:sz="0" w:space="0" w:color="auto"/>
                                    <w:left w:val="none" w:sz="0" w:space="0" w:color="auto"/>
                                    <w:bottom w:val="none" w:sz="0" w:space="0" w:color="auto"/>
                                    <w:right w:val="none" w:sz="0" w:space="0" w:color="auto"/>
                                  </w:divBdr>
                                  <w:divsChild>
                                    <w:div w:id="674456079">
                                      <w:marLeft w:val="0"/>
                                      <w:marRight w:val="0"/>
                                      <w:marTop w:val="0"/>
                                      <w:marBottom w:val="0"/>
                                      <w:divBdr>
                                        <w:top w:val="none" w:sz="0" w:space="0" w:color="auto"/>
                                        <w:left w:val="none" w:sz="0" w:space="0" w:color="auto"/>
                                        <w:bottom w:val="none" w:sz="0" w:space="0" w:color="auto"/>
                                        <w:right w:val="none" w:sz="0" w:space="0" w:color="auto"/>
                                      </w:divBdr>
                                      <w:divsChild>
                                        <w:div w:id="435442231">
                                          <w:marLeft w:val="0"/>
                                          <w:marRight w:val="0"/>
                                          <w:marTop w:val="0"/>
                                          <w:marBottom w:val="0"/>
                                          <w:divBdr>
                                            <w:top w:val="none" w:sz="0" w:space="0" w:color="auto"/>
                                            <w:left w:val="none" w:sz="0" w:space="0" w:color="auto"/>
                                            <w:bottom w:val="none" w:sz="0" w:space="0" w:color="auto"/>
                                            <w:right w:val="none" w:sz="0" w:space="0" w:color="auto"/>
                                          </w:divBdr>
                                          <w:divsChild>
                                            <w:div w:id="1889610195">
                                              <w:marLeft w:val="0"/>
                                              <w:marRight w:val="0"/>
                                              <w:marTop w:val="0"/>
                                              <w:marBottom w:val="0"/>
                                              <w:divBdr>
                                                <w:top w:val="none" w:sz="0" w:space="0" w:color="auto"/>
                                                <w:left w:val="none" w:sz="0" w:space="0" w:color="auto"/>
                                                <w:bottom w:val="none" w:sz="0" w:space="0" w:color="auto"/>
                                                <w:right w:val="none" w:sz="0" w:space="0" w:color="auto"/>
                                              </w:divBdr>
                                              <w:divsChild>
                                                <w:div w:id="1428891390">
                                                  <w:marLeft w:val="0"/>
                                                  <w:marRight w:val="0"/>
                                                  <w:marTop w:val="0"/>
                                                  <w:marBottom w:val="0"/>
                                                  <w:divBdr>
                                                    <w:top w:val="none" w:sz="0" w:space="0" w:color="auto"/>
                                                    <w:left w:val="none" w:sz="0" w:space="0" w:color="auto"/>
                                                    <w:bottom w:val="none" w:sz="0" w:space="0" w:color="auto"/>
                                                    <w:right w:val="none" w:sz="0" w:space="0" w:color="auto"/>
                                                  </w:divBdr>
                                                  <w:divsChild>
                                                    <w:div w:id="250550802">
                                                      <w:marLeft w:val="0"/>
                                                      <w:marRight w:val="0"/>
                                                      <w:marTop w:val="0"/>
                                                      <w:marBottom w:val="0"/>
                                                      <w:divBdr>
                                                        <w:top w:val="none" w:sz="0" w:space="0" w:color="auto"/>
                                                        <w:left w:val="none" w:sz="0" w:space="0" w:color="auto"/>
                                                        <w:bottom w:val="none" w:sz="0" w:space="0" w:color="auto"/>
                                                        <w:right w:val="none" w:sz="0" w:space="0" w:color="auto"/>
                                                      </w:divBdr>
                                                    </w:div>
                                                    <w:div w:id="1041049255">
                                                      <w:marLeft w:val="0"/>
                                                      <w:marRight w:val="0"/>
                                                      <w:marTop w:val="0"/>
                                                      <w:marBottom w:val="0"/>
                                                      <w:divBdr>
                                                        <w:top w:val="none" w:sz="0" w:space="0" w:color="auto"/>
                                                        <w:left w:val="none" w:sz="0" w:space="0" w:color="auto"/>
                                                        <w:bottom w:val="none" w:sz="0" w:space="0" w:color="auto"/>
                                                        <w:right w:val="none" w:sz="0" w:space="0" w:color="auto"/>
                                                      </w:divBdr>
                                                    </w:div>
                                                    <w:div w:id="158834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14993-794F-4354-B500-B8A7482BEB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2311</Words>
  <Characters>13177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 (1601293)</dc:creator>
  <cp:keywords/>
  <dc:description/>
  <cp:lastModifiedBy>Tamara Bowie (1601293)</cp:lastModifiedBy>
  <cp:revision>2</cp:revision>
  <dcterms:created xsi:type="dcterms:W3CDTF">2019-03-08T14:50:00Z</dcterms:created>
  <dcterms:modified xsi:type="dcterms:W3CDTF">2019-03-08T14:50:00Z</dcterms:modified>
</cp:coreProperties>
</file>