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B4480" w:rsidRPr="00EE5BC3" w:rsidRDefault="004B4480" w:rsidP="004B4480">
      <w:pPr>
        <w:jc w:val="center"/>
        <w:rPr>
          <w:b/>
          <w:sz w:val="28"/>
          <w:szCs w:val="28"/>
        </w:rPr>
      </w:pPr>
      <w:r w:rsidRPr="00EE5BC3">
        <w:rPr>
          <w:b/>
          <w:sz w:val="28"/>
          <w:szCs w:val="28"/>
        </w:rPr>
        <w:t>Task 4</w:t>
      </w:r>
    </w:p>
    <w:p w:rsidR="004B4480" w:rsidRPr="00EE5BC3" w:rsidRDefault="004B4480" w:rsidP="004B4480">
      <w:pPr>
        <w:jc w:val="center"/>
        <w:rPr>
          <w:b/>
          <w:sz w:val="28"/>
          <w:szCs w:val="28"/>
        </w:rPr>
      </w:pPr>
    </w:p>
    <w:p w:rsidR="004B4480" w:rsidRPr="00EE5BC3" w:rsidRDefault="004B4480" w:rsidP="004B4480">
      <w:pPr>
        <w:jc w:val="center"/>
        <w:rPr>
          <w:b/>
          <w:sz w:val="28"/>
          <w:szCs w:val="28"/>
        </w:rPr>
      </w:pPr>
      <w:r w:rsidRPr="00EE5BC3">
        <w:rPr>
          <w:b/>
          <w:sz w:val="28"/>
          <w:szCs w:val="28"/>
        </w:rPr>
        <w:t>Safeguarding</w:t>
      </w:r>
      <w:r>
        <w:rPr>
          <w:b/>
          <w:sz w:val="28"/>
          <w:szCs w:val="28"/>
        </w:rPr>
        <w:t xml:space="preserve"> in an area which is not your main area of work</w:t>
      </w:r>
    </w:p>
    <w:p w:rsidR="004B4480" w:rsidRPr="008B28E7" w:rsidRDefault="004B4480" w:rsidP="004B4480">
      <w:pPr>
        <w:jc w:val="both"/>
        <w:rPr>
          <w:b/>
          <w:sz w:val="24"/>
          <w:szCs w:val="24"/>
        </w:rPr>
      </w:pPr>
    </w:p>
    <w:p w:rsidR="004B4480" w:rsidRPr="00EE5BC3" w:rsidRDefault="004B4480" w:rsidP="004B4480">
      <w:pPr>
        <w:ind w:left="-90"/>
        <w:jc w:val="both"/>
        <w:rPr>
          <w:b/>
          <w:i/>
          <w:sz w:val="24"/>
          <w:szCs w:val="24"/>
        </w:rPr>
      </w:pPr>
      <w:r w:rsidRPr="00EE5BC3">
        <w:rPr>
          <w:b/>
          <w:i/>
          <w:sz w:val="24"/>
          <w:szCs w:val="24"/>
        </w:rPr>
        <w:t xml:space="preserve">Guidance: </w:t>
      </w:r>
    </w:p>
    <w:p w:rsidR="004B4480" w:rsidRPr="00706BB5" w:rsidRDefault="004B4480" w:rsidP="004B4480">
      <w:pPr>
        <w:ind w:left="-90"/>
        <w:jc w:val="both"/>
        <w:rPr>
          <w:i/>
          <w:iCs/>
          <w:sz w:val="24"/>
          <w:szCs w:val="24"/>
        </w:rPr>
      </w:pPr>
      <w:r w:rsidRPr="00F15354">
        <w:rPr>
          <w:i/>
          <w:iCs/>
          <w:sz w:val="24"/>
          <w:szCs w:val="24"/>
        </w:rPr>
        <w:t>Social Care Wales</w:t>
      </w:r>
      <w:r w:rsidRPr="006179BB">
        <w:rPr>
          <w:i/>
          <w:iCs/>
          <w:sz w:val="24"/>
          <w:szCs w:val="24"/>
        </w:rPr>
        <w:t xml:space="preserve"> require newly qualified social workers to provide evidence of </w:t>
      </w:r>
      <w:r w:rsidRPr="00A5656A">
        <w:rPr>
          <w:i/>
          <w:iCs/>
          <w:sz w:val="24"/>
          <w:szCs w:val="24"/>
        </w:rPr>
        <w:t>their understanding of safeguarding work with adults and children</w:t>
      </w:r>
      <w:r w:rsidRPr="009C7342">
        <w:rPr>
          <w:i/>
          <w:iCs/>
          <w:sz w:val="24"/>
          <w:szCs w:val="24"/>
        </w:rPr>
        <w:t xml:space="preserve">. </w:t>
      </w:r>
      <w:r w:rsidRPr="00706BB5">
        <w:rPr>
          <w:i/>
          <w:iCs/>
          <w:sz w:val="24"/>
          <w:szCs w:val="24"/>
        </w:rPr>
        <w:t xml:space="preserve">The assignment below will enable you to demonstrate this. </w:t>
      </w:r>
      <w:r w:rsidRPr="00706BB5">
        <w:rPr>
          <w:b/>
          <w:bCs/>
          <w:i/>
          <w:iCs/>
          <w:sz w:val="24"/>
          <w:szCs w:val="24"/>
        </w:rPr>
        <w:t>N.B</w:t>
      </w:r>
      <w:r w:rsidRPr="00706BB5">
        <w:rPr>
          <w:i/>
          <w:iCs/>
          <w:sz w:val="24"/>
          <w:szCs w:val="24"/>
        </w:rPr>
        <w:t xml:space="preserve">. if your usual area of work is with children please write about adult safeguarding. If you usually work with adults, then write about child safeguarding.  Ensure you meet the learning out comes for this task (see appendix </w:t>
      </w:r>
      <w:r>
        <w:rPr>
          <w:i/>
          <w:iCs/>
          <w:sz w:val="24"/>
          <w:szCs w:val="24"/>
        </w:rPr>
        <w:t>5</w:t>
      </w:r>
      <w:r w:rsidRPr="00706BB5">
        <w:rPr>
          <w:i/>
          <w:iCs/>
          <w:sz w:val="24"/>
          <w:szCs w:val="24"/>
        </w:rPr>
        <w:t xml:space="preserve"> </w:t>
      </w:r>
      <w:r w:rsidRPr="00F15354">
        <w:rPr>
          <w:i/>
          <w:iCs/>
          <w:sz w:val="24"/>
          <w:szCs w:val="24"/>
        </w:rPr>
        <w:t>of the</w:t>
      </w:r>
      <w:r w:rsidRPr="4EC15626">
        <w:rPr>
          <w:i/>
          <w:iCs/>
          <w:sz w:val="24"/>
          <w:szCs w:val="24"/>
        </w:rPr>
        <w:t xml:space="preserve"> h</w:t>
      </w:r>
      <w:r w:rsidRPr="00F15354">
        <w:rPr>
          <w:i/>
          <w:iCs/>
          <w:sz w:val="24"/>
          <w:szCs w:val="24"/>
        </w:rPr>
        <w:t>andbook</w:t>
      </w:r>
      <w:r w:rsidRPr="006179BB">
        <w:rPr>
          <w:i/>
          <w:iCs/>
          <w:sz w:val="24"/>
          <w:szCs w:val="24"/>
        </w:rPr>
        <w:t>).</w:t>
      </w:r>
    </w:p>
    <w:p w:rsidR="004B4480" w:rsidRPr="008B28E7" w:rsidRDefault="004B4480" w:rsidP="004B4480">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4B4480" w:rsidRPr="008B28E7" w:rsidTr="008F01C7">
        <w:tc>
          <w:tcPr>
            <w:tcW w:w="10188" w:type="dxa"/>
            <w:shd w:val="clear" w:color="auto" w:fill="auto"/>
          </w:tcPr>
          <w:p w:rsidR="004B4480" w:rsidRPr="00EB695F" w:rsidRDefault="004B4480" w:rsidP="008F01C7">
            <w:pPr>
              <w:jc w:val="both"/>
              <w:rPr>
                <w:b/>
                <w:sz w:val="24"/>
                <w:szCs w:val="24"/>
              </w:rPr>
            </w:pPr>
            <w:r w:rsidRPr="00EB695F">
              <w:rPr>
                <w:b/>
                <w:sz w:val="24"/>
                <w:szCs w:val="24"/>
              </w:rPr>
              <w:t>Question</w:t>
            </w:r>
            <w:r>
              <w:rPr>
                <w:b/>
                <w:sz w:val="24"/>
                <w:szCs w:val="24"/>
              </w:rPr>
              <w:t xml:space="preserve"> a:</w:t>
            </w:r>
          </w:p>
          <w:p w:rsidR="004B4480" w:rsidRDefault="004B4480" w:rsidP="008F01C7">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explain </w:t>
            </w:r>
            <w:r w:rsidRPr="006108C9">
              <w:rPr>
                <w:sz w:val="24"/>
                <w:szCs w:val="24"/>
              </w:rPr>
              <w:t xml:space="preserve">the relevant </w:t>
            </w:r>
            <w:r>
              <w:rPr>
                <w:sz w:val="24"/>
                <w:szCs w:val="24"/>
              </w:rPr>
              <w:t xml:space="preserve">legislation, and the </w:t>
            </w:r>
            <w:r w:rsidRPr="006108C9">
              <w:rPr>
                <w:sz w:val="24"/>
                <w:szCs w:val="24"/>
              </w:rPr>
              <w:t>national, local and organisational policies and procedures</w:t>
            </w:r>
            <w:r>
              <w:rPr>
                <w:sz w:val="24"/>
                <w:szCs w:val="24"/>
              </w:rPr>
              <w:t xml:space="preserve"> for safeguarding. </w:t>
            </w:r>
          </w:p>
          <w:p w:rsidR="004B4480" w:rsidRDefault="004B4480" w:rsidP="008F01C7">
            <w:pPr>
              <w:jc w:val="both"/>
              <w:rPr>
                <w:sz w:val="24"/>
                <w:szCs w:val="24"/>
              </w:rPr>
            </w:pPr>
          </w:p>
          <w:p w:rsidR="004B4480" w:rsidRPr="00BD4C0F" w:rsidRDefault="004B4480" w:rsidP="008F01C7">
            <w:pPr>
              <w:jc w:val="both"/>
              <w:rPr>
                <w:sz w:val="24"/>
                <w:szCs w:val="24"/>
              </w:rPr>
            </w:pPr>
            <w:r w:rsidRPr="00BD4C0F">
              <w:rPr>
                <w:sz w:val="24"/>
                <w:szCs w:val="24"/>
              </w:rPr>
              <w:t xml:space="preserve">As I am currently working for CAMHS, I will explaining the relevant legislation and the national, local and organisational policies and procedures for adult safeguarding. </w:t>
            </w:r>
          </w:p>
          <w:p w:rsidR="004B4480" w:rsidRPr="00BD4C0F" w:rsidRDefault="004B4480" w:rsidP="008F01C7">
            <w:pPr>
              <w:spacing w:before="100" w:beforeAutospacing="1" w:after="100" w:afterAutospacing="1"/>
              <w:rPr>
                <w:sz w:val="24"/>
                <w:szCs w:val="24"/>
              </w:rPr>
            </w:pPr>
            <w:r w:rsidRPr="00BD4C0F">
              <w:rPr>
                <w:sz w:val="24"/>
                <w:szCs w:val="24"/>
              </w:rPr>
              <w:t xml:space="preserve">To begin with, section 126 (1) of the </w:t>
            </w:r>
            <w:r w:rsidRPr="00BD4C0F">
              <w:rPr>
                <w:i/>
                <w:sz w:val="24"/>
                <w:szCs w:val="24"/>
              </w:rPr>
              <w:t xml:space="preserve">Social Services and Well-being (Wales) Act 2014 </w:t>
            </w:r>
            <w:r w:rsidRPr="00BD4C0F">
              <w:rPr>
                <w:sz w:val="24"/>
                <w:szCs w:val="24"/>
              </w:rPr>
              <w:t xml:space="preserve">defines an adult at risk as an adult who is experiencing or is at risk of abuse or neglect, has needs for care and support (whether or not the authority is meeting any of those needs) and as a result of those needs is unable to protect himself or herself against the abuse or neglect or the risk of it. In addition, section 128 of the </w:t>
            </w:r>
            <w:r w:rsidRPr="00BD4C0F">
              <w:rPr>
                <w:i/>
                <w:sz w:val="24"/>
                <w:szCs w:val="24"/>
              </w:rPr>
              <w:t xml:space="preserve">Social Services and Well-being (Wales) Act 2014 </w:t>
            </w:r>
            <w:r w:rsidRPr="00BD4C0F">
              <w:rPr>
                <w:sz w:val="24"/>
                <w:szCs w:val="24"/>
              </w:rPr>
              <w:t xml:space="preserve">places a duty on a ‘relevant partner’ of a local authority to share any suspicions of any adult at risk and where there’s suspicion that an adult is at risk, the duty of the local authority to investigate is stipulated in section 126 (2). As of April 2016, </w:t>
            </w:r>
            <w:r w:rsidRPr="00BD4C0F">
              <w:rPr>
                <w:color w:val="222222"/>
                <w:sz w:val="24"/>
                <w:szCs w:val="24"/>
                <w:shd w:val="clear" w:color="auto" w:fill="FFFFFF"/>
              </w:rPr>
              <w:t xml:space="preserve">Section 134 of the </w:t>
            </w:r>
            <w:r w:rsidRPr="00BD4C0F">
              <w:rPr>
                <w:i/>
                <w:color w:val="222222"/>
                <w:sz w:val="24"/>
                <w:szCs w:val="24"/>
                <w:shd w:val="clear" w:color="auto" w:fill="FFFFFF"/>
              </w:rPr>
              <w:t>Social Services and Well-Being Act (Wales) 2014</w:t>
            </w:r>
            <w:r w:rsidRPr="00BD4C0F">
              <w:rPr>
                <w:color w:val="222222"/>
                <w:sz w:val="24"/>
                <w:szCs w:val="24"/>
                <w:shd w:val="clear" w:color="auto" w:fill="FFFFFF"/>
              </w:rPr>
              <w:t xml:space="preserve"> required that regional Safeguarding Adult Boards be in place and North Wales established three local delivery groups as to ensure that there’s a consistent approach to prevent the abuse and neglect of vulnerable adults in various settings (NWSAB, 2016). </w:t>
            </w:r>
          </w:p>
          <w:p w:rsidR="004B4480" w:rsidRPr="00BD4C0F" w:rsidRDefault="004B4480" w:rsidP="008F01C7">
            <w:pPr>
              <w:spacing w:before="100" w:beforeAutospacing="1" w:after="100" w:afterAutospacing="1"/>
              <w:rPr>
                <w:sz w:val="24"/>
                <w:szCs w:val="24"/>
              </w:rPr>
            </w:pPr>
            <w:r w:rsidRPr="00BD4C0F">
              <w:rPr>
                <w:sz w:val="24"/>
                <w:szCs w:val="24"/>
              </w:rPr>
              <w:t xml:space="preserve">The relatively new </w:t>
            </w:r>
            <w:r w:rsidRPr="00BD4C0F">
              <w:rPr>
                <w:i/>
                <w:sz w:val="24"/>
                <w:szCs w:val="24"/>
              </w:rPr>
              <w:t xml:space="preserve">Wales Safeguarding Procedures 2019 </w:t>
            </w:r>
            <w:r w:rsidRPr="00BD4C0F">
              <w:rPr>
                <w:sz w:val="24"/>
                <w:szCs w:val="24"/>
              </w:rPr>
              <w:t xml:space="preserve">was introduced as to support anyone who is working with children or adult and builds on the statutory guidance in the </w:t>
            </w:r>
            <w:r w:rsidRPr="00BD4C0F">
              <w:rPr>
                <w:i/>
                <w:sz w:val="24"/>
                <w:szCs w:val="24"/>
              </w:rPr>
              <w:t xml:space="preserve">Social Services and Well-being (Wales) Act 2014. </w:t>
            </w:r>
            <w:r w:rsidRPr="00BD4C0F">
              <w:rPr>
                <w:sz w:val="24"/>
                <w:szCs w:val="24"/>
              </w:rPr>
              <w:t>It ensures that there’s standardised practice across Wales and</w:t>
            </w:r>
            <w:r w:rsidRPr="00BD4C0F">
              <w:rPr>
                <w:i/>
                <w:sz w:val="24"/>
                <w:szCs w:val="24"/>
              </w:rPr>
              <w:t xml:space="preserve"> </w:t>
            </w:r>
            <w:r w:rsidRPr="00BD4C0F">
              <w:rPr>
                <w:sz w:val="24"/>
                <w:szCs w:val="24"/>
              </w:rPr>
              <w:t xml:space="preserve">replaced the </w:t>
            </w:r>
            <w:r w:rsidRPr="00BD4C0F">
              <w:rPr>
                <w:i/>
                <w:sz w:val="24"/>
                <w:szCs w:val="24"/>
              </w:rPr>
              <w:t>Wales Interim Policy &amp; Procedures for the Protection of Vulnerable Adults from Abuse 2010</w:t>
            </w:r>
            <w:r w:rsidRPr="00BD4C0F">
              <w:rPr>
                <w:sz w:val="24"/>
                <w:szCs w:val="24"/>
              </w:rPr>
              <w:t xml:space="preserve"> (updated 2013).</w:t>
            </w:r>
          </w:p>
          <w:p w:rsidR="004B4480" w:rsidRPr="00BD4C0F" w:rsidRDefault="004B4480" w:rsidP="008F01C7">
            <w:pPr>
              <w:spacing w:before="100" w:beforeAutospacing="1" w:after="100" w:afterAutospacing="1"/>
              <w:rPr>
                <w:sz w:val="24"/>
                <w:szCs w:val="24"/>
              </w:rPr>
            </w:pPr>
            <w:r w:rsidRPr="00BD4C0F">
              <w:rPr>
                <w:sz w:val="24"/>
                <w:szCs w:val="24"/>
              </w:rPr>
              <w:t xml:space="preserve">The </w:t>
            </w:r>
            <w:r w:rsidRPr="00BD4C0F">
              <w:rPr>
                <w:i/>
                <w:sz w:val="24"/>
                <w:szCs w:val="24"/>
              </w:rPr>
              <w:t xml:space="preserve">Human Rights Act 1998 </w:t>
            </w:r>
            <w:r w:rsidRPr="00BD4C0F">
              <w:rPr>
                <w:sz w:val="24"/>
                <w:szCs w:val="24"/>
              </w:rPr>
              <w:t xml:space="preserve">enable the rights sets out in </w:t>
            </w:r>
            <w:r w:rsidRPr="00BD4C0F">
              <w:rPr>
                <w:i/>
                <w:sz w:val="24"/>
                <w:szCs w:val="24"/>
              </w:rPr>
              <w:t xml:space="preserve">The European Convention on Human Rights 1950 </w:t>
            </w:r>
            <w:r w:rsidRPr="00BD4C0F">
              <w:rPr>
                <w:sz w:val="24"/>
                <w:szCs w:val="24"/>
              </w:rPr>
              <w:t xml:space="preserve">be enforced in the UK courts.  Article 3 provides the absolute right to an adult that they should ‘not be subjected to torture or to inhuman or degrading treatment or punishment’. Furthermore, Article 6 entitles everyone to a ‘fair hearing’ when a decision is made about their civil rights and obligations. This includes the right to be consulted before decisions are made, and to be given reasons for decisions as is stipulated in </w:t>
            </w:r>
            <w:r w:rsidRPr="00BD4C0F">
              <w:rPr>
                <w:i/>
                <w:sz w:val="24"/>
                <w:szCs w:val="24"/>
              </w:rPr>
              <w:t xml:space="preserve">Mental Health Act 1983 </w:t>
            </w:r>
            <w:r w:rsidRPr="00BD4C0F">
              <w:rPr>
                <w:sz w:val="24"/>
                <w:szCs w:val="24"/>
              </w:rPr>
              <w:t xml:space="preserve">regarding detainment in hospital. Article 8 provides everyone with a ‘right to </w:t>
            </w:r>
            <w:r w:rsidRPr="00BD4C0F">
              <w:rPr>
                <w:sz w:val="24"/>
                <w:szCs w:val="24"/>
              </w:rPr>
              <w:lastRenderedPageBreak/>
              <w:t xml:space="preserve">respect for (their) private and family life, (their) home and correspondence’. Whilst still a right, public authorities may interfere with this right under specific circumstances. The </w:t>
            </w:r>
            <w:r w:rsidRPr="00BD4C0F">
              <w:rPr>
                <w:i/>
                <w:sz w:val="24"/>
                <w:szCs w:val="24"/>
              </w:rPr>
              <w:t xml:space="preserve">Sexual Offences Act 2003 </w:t>
            </w:r>
            <w:r w:rsidRPr="00BD4C0F">
              <w:rPr>
                <w:sz w:val="24"/>
                <w:szCs w:val="24"/>
              </w:rPr>
              <w:t xml:space="preserve">specifically stipulates that a care worker cannot maintain a sexual relationship between them and a person with a mental disorder that they care for whether or not the victim appears to consent. </w:t>
            </w:r>
          </w:p>
          <w:p w:rsidR="004B4480" w:rsidRPr="00BD4C0F" w:rsidRDefault="004B4480" w:rsidP="008F01C7">
            <w:pPr>
              <w:spacing w:before="100" w:beforeAutospacing="1" w:after="100" w:afterAutospacing="1"/>
              <w:rPr>
                <w:sz w:val="24"/>
                <w:szCs w:val="24"/>
              </w:rPr>
            </w:pPr>
            <w:r w:rsidRPr="00BD4C0F">
              <w:rPr>
                <w:sz w:val="24"/>
                <w:szCs w:val="24"/>
              </w:rPr>
              <w:t xml:space="preserve">Akin to the </w:t>
            </w:r>
            <w:r w:rsidRPr="00BD4C0F">
              <w:rPr>
                <w:i/>
                <w:sz w:val="24"/>
                <w:szCs w:val="24"/>
              </w:rPr>
              <w:t>Human Rights Act 1998</w:t>
            </w:r>
            <w:r w:rsidRPr="00BD4C0F">
              <w:rPr>
                <w:sz w:val="24"/>
                <w:szCs w:val="24"/>
              </w:rPr>
              <w:t xml:space="preserve">, The </w:t>
            </w:r>
            <w:r w:rsidRPr="00BD4C0F">
              <w:rPr>
                <w:i/>
                <w:sz w:val="24"/>
                <w:szCs w:val="24"/>
              </w:rPr>
              <w:t xml:space="preserve">Mental Capacity Act 2005 </w:t>
            </w:r>
            <w:r w:rsidRPr="00BD4C0F">
              <w:rPr>
                <w:sz w:val="24"/>
                <w:szCs w:val="24"/>
              </w:rPr>
              <w:t xml:space="preserve">protects and supports people specifically those who do not have the ability to make decisions for themselves. It applies for those over the age of 16 that live in England and Wales but until an assessment is able to take place, it must be assumed that they have capacity. If it’s determined that an adult lacks capacity, all decisions made should be made in their best interest and for the purpose of safeguarding, </w:t>
            </w:r>
            <w:proofErr w:type="gramStart"/>
            <w:r w:rsidRPr="00BD4C0F">
              <w:rPr>
                <w:sz w:val="24"/>
                <w:szCs w:val="24"/>
              </w:rPr>
              <w:t>a</w:t>
            </w:r>
            <w:proofErr w:type="gramEnd"/>
            <w:r w:rsidRPr="00BD4C0F">
              <w:rPr>
                <w:sz w:val="24"/>
                <w:szCs w:val="24"/>
              </w:rPr>
              <w:t xml:space="preserve"> deputy can be appointed by the court to make financial or personal decision on their behalf (Mind, 2023).  </w:t>
            </w:r>
          </w:p>
          <w:p w:rsidR="004B4480" w:rsidRPr="00BD4C0F" w:rsidRDefault="004B4480" w:rsidP="008F01C7">
            <w:pPr>
              <w:spacing w:before="100" w:beforeAutospacing="1" w:after="100" w:afterAutospacing="1"/>
              <w:rPr>
                <w:sz w:val="24"/>
                <w:szCs w:val="24"/>
              </w:rPr>
            </w:pPr>
            <w:r w:rsidRPr="00BD4C0F">
              <w:rPr>
                <w:sz w:val="24"/>
                <w:szCs w:val="24"/>
              </w:rPr>
              <w:t>Word count: 546</w:t>
            </w:r>
          </w:p>
          <w:p w:rsidR="004B4480" w:rsidRPr="006108C9" w:rsidRDefault="004B4480" w:rsidP="008F01C7">
            <w:pPr>
              <w:jc w:val="both"/>
              <w:rPr>
                <w:sz w:val="24"/>
                <w:szCs w:val="24"/>
              </w:rPr>
            </w:pPr>
          </w:p>
          <w:p w:rsidR="004B4480" w:rsidRDefault="004B4480" w:rsidP="008F01C7">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rsidR="004B4480" w:rsidRPr="008B28E7" w:rsidRDefault="004B4480" w:rsidP="008F01C7">
            <w:pPr>
              <w:jc w:val="both"/>
              <w:rPr>
                <w:b/>
                <w:sz w:val="24"/>
                <w:szCs w:val="24"/>
              </w:rPr>
            </w:pPr>
          </w:p>
        </w:tc>
      </w:tr>
    </w:tbl>
    <w:p w:rsidR="004B4480" w:rsidRPr="008B28E7" w:rsidRDefault="004B4480" w:rsidP="004B4480">
      <w:pPr>
        <w:jc w:val="both"/>
        <w:rPr>
          <w:sz w:val="24"/>
          <w:szCs w:val="24"/>
        </w:rPr>
      </w:pPr>
    </w:p>
    <w:p w:rsidR="004B4480" w:rsidRPr="008B28E7" w:rsidRDefault="004B4480" w:rsidP="004B4480">
      <w:pPr>
        <w:jc w:val="both"/>
        <w:rPr>
          <w:sz w:val="24"/>
          <w:szCs w:val="24"/>
        </w:rPr>
      </w:pPr>
    </w:p>
    <w:p w:rsidR="004B4480" w:rsidRDefault="004B4480" w:rsidP="004B4480">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4B4480" w:rsidRPr="008B28E7" w:rsidTr="008F01C7">
        <w:tc>
          <w:tcPr>
            <w:tcW w:w="10278" w:type="dxa"/>
            <w:shd w:val="clear" w:color="auto" w:fill="auto"/>
          </w:tcPr>
          <w:p w:rsidR="004B4480" w:rsidRPr="00EB695F" w:rsidRDefault="004B4480" w:rsidP="008F01C7">
            <w:pPr>
              <w:jc w:val="both"/>
              <w:rPr>
                <w:b/>
                <w:sz w:val="24"/>
                <w:szCs w:val="24"/>
              </w:rPr>
            </w:pPr>
            <w:r w:rsidRPr="00EB695F">
              <w:rPr>
                <w:b/>
                <w:sz w:val="24"/>
                <w:szCs w:val="24"/>
              </w:rPr>
              <w:t>Question</w:t>
            </w:r>
            <w:r>
              <w:rPr>
                <w:b/>
                <w:sz w:val="24"/>
                <w:szCs w:val="24"/>
              </w:rPr>
              <w:t xml:space="preserve"> b</w:t>
            </w:r>
            <w:r w:rsidRPr="00EB695F">
              <w:rPr>
                <w:b/>
                <w:sz w:val="24"/>
                <w:szCs w:val="24"/>
              </w:rPr>
              <w:t>:</w:t>
            </w:r>
          </w:p>
          <w:p w:rsidR="004B4480" w:rsidRDefault="004B4480" w:rsidP="008F01C7">
            <w:pPr>
              <w:jc w:val="both"/>
              <w:rPr>
                <w:sz w:val="24"/>
                <w:szCs w:val="24"/>
              </w:rPr>
            </w:pPr>
            <w:r w:rsidRPr="006108C9">
              <w:rPr>
                <w:sz w:val="24"/>
                <w:szCs w:val="24"/>
              </w:rPr>
              <w:t>Reflect on the difference between safeguarding in adul</w:t>
            </w:r>
            <w:r w:rsidRPr="00EC3A85">
              <w:rPr>
                <w:sz w:val="24"/>
                <w:szCs w:val="24"/>
              </w:rPr>
              <w:t>ts’</w:t>
            </w:r>
            <w:r w:rsidRPr="006108C9">
              <w:rPr>
                <w:sz w:val="24"/>
                <w:szCs w:val="24"/>
              </w:rPr>
              <w:t xml:space="preserve"> and children</w:t>
            </w:r>
            <w:r>
              <w:rPr>
                <w:sz w:val="24"/>
                <w:szCs w:val="24"/>
              </w:rPr>
              <w:t>’s</w:t>
            </w:r>
            <w:r w:rsidRPr="006108C9">
              <w:rPr>
                <w:sz w:val="24"/>
                <w:szCs w:val="24"/>
              </w:rPr>
              <w:t xml:space="preserve"> work</w:t>
            </w:r>
          </w:p>
          <w:p w:rsidR="004B4480" w:rsidRDefault="004B4480" w:rsidP="008F01C7">
            <w:pPr>
              <w:jc w:val="both"/>
              <w:rPr>
                <w:sz w:val="24"/>
                <w:szCs w:val="24"/>
              </w:rPr>
            </w:pPr>
          </w:p>
          <w:p w:rsidR="004B4480" w:rsidRPr="00BD4C0F" w:rsidRDefault="004B4480" w:rsidP="008F01C7">
            <w:pPr>
              <w:jc w:val="both"/>
              <w:rPr>
                <w:sz w:val="24"/>
                <w:szCs w:val="24"/>
              </w:rPr>
            </w:pPr>
            <w:r w:rsidRPr="00BD4C0F">
              <w:rPr>
                <w:sz w:val="24"/>
                <w:szCs w:val="24"/>
              </w:rPr>
              <w:t xml:space="preserve">Both the safeguarding duties of children and adults are outlined in the </w:t>
            </w:r>
            <w:r w:rsidRPr="00BD4C0F">
              <w:rPr>
                <w:i/>
                <w:sz w:val="24"/>
                <w:szCs w:val="24"/>
              </w:rPr>
              <w:t xml:space="preserve">Social Services and Well-being (Wales) Act 2014 </w:t>
            </w:r>
            <w:r w:rsidRPr="00BD4C0F">
              <w:rPr>
                <w:sz w:val="24"/>
                <w:szCs w:val="24"/>
              </w:rPr>
              <w:t>and make it compulsory for any relevant party to report their concerns. The most distinct difference between the safeguarding work in adults’ and children’s work would be the adults’ self-determination and ability to not protect themselves as a choice (SCIE, 2015). Only in extreme circumstances this is challenged; when there’s suspicions around lack of capacity or that the concerns extend to the children under their care.</w:t>
            </w:r>
          </w:p>
          <w:p w:rsidR="004B4480" w:rsidRPr="00BD4C0F" w:rsidRDefault="004B4480" w:rsidP="008F01C7">
            <w:pPr>
              <w:jc w:val="both"/>
              <w:rPr>
                <w:sz w:val="24"/>
                <w:szCs w:val="24"/>
              </w:rPr>
            </w:pPr>
          </w:p>
          <w:p w:rsidR="004B4480" w:rsidRPr="00BD4C0F" w:rsidRDefault="004B4480" w:rsidP="008F01C7">
            <w:pPr>
              <w:jc w:val="both"/>
              <w:rPr>
                <w:sz w:val="24"/>
                <w:szCs w:val="24"/>
              </w:rPr>
            </w:pPr>
            <w:r w:rsidRPr="00BD4C0F">
              <w:rPr>
                <w:sz w:val="24"/>
                <w:szCs w:val="24"/>
              </w:rPr>
              <w:t xml:space="preserve">Once an individual turns 18, before anything is actioned; it must be presumed that an adult is best placed to judge their own wellbeing and any subsequent decision should promote their independence. If capacity is questioned, the </w:t>
            </w:r>
            <w:r w:rsidRPr="00BD4C0F">
              <w:rPr>
                <w:i/>
                <w:sz w:val="24"/>
                <w:szCs w:val="24"/>
              </w:rPr>
              <w:t xml:space="preserve">Mental Capacity Act 2005 </w:t>
            </w:r>
            <w:r w:rsidRPr="00BD4C0F">
              <w:rPr>
                <w:sz w:val="24"/>
                <w:szCs w:val="24"/>
              </w:rPr>
              <w:t xml:space="preserve">can be applied for adults as well for those aged between 16 and 17; but it cannot be used for those under 16. For under 16’s, reference would have to made to the Fraser Guidelines (NSPCC, 2022). As to ensure a cohesive approach to safeguarding and to ensure </w:t>
            </w:r>
            <w:r w:rsidRPr="00BD4C0F">
              <w:rPr>
                <w:rFonts w:cstheme="minorHAnsi"/>
                <w:color w:val="222222"/>
                <w:sz w:val="24"/>
                <w:szCs w:val="24"/>
                <w:shd w:val="clear" w:color="auto" w:fill="FFFFFF"/>
              </w:rPr>
              <w:t>key principles of the New All Wales Safeguarding Procedures are followed</w:t>
            </w:r>
            <w:r w:rsidRPr="00BD4C0F">
              <w:rPr>
                <w:sz w:val="24"/>
                <w:szCs w:val="24"/>
              </w:rPr>
              <w:t xml:space="preserve">, the local children’s safeguarding boards have merged to become six Regional Safeguarding Children Boards (RSCBs) across Wales. As the safeguarding of adults has become much more of a larger priority over time, there are also now adult Safeguarding Boards which is similar to RSCBs (Farr et. al., 2016). </w:t>
            </w:r>
          </w:p>
          <w:p w:rsidR="004B4480" w:rsidRPr="00BD4C0F" w:rsidRDefault="004B4480" w:rsidP="008F01C7">
            <w:pPr>
              <w:jc w:val="both"/>
              <w:rPr>
                <w:sz w:val="24"/>
                <w:szCs w:val="24"/>
              </w:rPr>
            </w:pPr>
          </w:p>
          <w:p w:rsidR="004B4480" w:rsidRPr="00BD4C0F" w:rsidRDefault="004B4480" w:rsidP="008F01C7">
            <w:pPr>
              <w:jc w:val="both"/>
              <w:rPr>
                <w:sz w:val="24"/>
                <w:szCs w:val="24"/>
              </w:rPr>
            </w:pPr>
            <w:r w:rsidRPr="00BD4C0F">
              <w:rPr>
                <w:sz w:val="24"/>
                <w:szCs w:val="24"/>
              </w:rPr>
              <w:t xml:space="preserve">As for the protection of their human rights in relation to safeguarding, both fields adhere to different legislation with adults protected under </w:t>
            </w:r>
            <w:r w:rsidRPr="00BD4C0F">
              <w:rPr>
                <w:i/>
                <w:sz w:val="24"/>
                <w:szCs w:val="24"/>
              </w:rPr>
              <w:t>The United Nations principles for Older Persons</w:t>
            </w:r>
            <w:r w:rsidRPr="00BD4C0F">
              <w:rPr>
                <w:sz w:val="24"/>
                <w:szCs w:val="24"/>
              </w:rPr>
              <w:t xml:space="preserve"> and children under </w:t>
            </w:r>
            <w:r w:rsidRPr="00BD4C0F">
              <w:rPr>
                <w:i/>
                <w:sz w:val="24"/>
                <w:szCs w:val="24"/>
              </w:rPr>
              <w:t xml:space="preserve">The United Nations Convention on </w:t>
            </w:r>
            <w:r w:rsidRPr="00BD4C0F">
              <w:rPr>
                <w:i/>
                <w:sz w:val="24"/>
                <w:szCs w:val="24"/>
              </w:rPr>
              <w:lastRenderedPageBreak/>
              <w:t xml:space="preserve">the Rights of the Child. </w:t>
            </w:r>
            <w:r w:rsidRPr="00BD4C0F">
              <w:rPr>
                <w:sz w:val="24"/>
                <w:szCs w:val="24"/>
              </w:rPr>
              <w:t xml:space="preserve">When safeguarding concerns are raised regarding a child and the presence of police is required, this can be coordinated under section 47 of the Children Act 1989 as to allow for further enquiries to be made. For adults, there is no corresponding legislation but professionals can still contact the police if they feel that the threshold is met but emphasis is still placed on a person centred approach that listens to what action the adult wishes to take (NHS, 2021). </w:t>
            </w:r>
          </w:p>
          <w:p w:rsidR="004B4480" w:rsidRPr="00BD4C0F" w:rsidRDefault="004B4480" w:rsidP="008F01C7">
            <w:pPr>
              <w:jc w:val="both"/>
              <w:rPr>
                <w:sz w:val="24"/>
                <w:szCs w:val="24"/>
              </w:rPr>
            </w:pPr>
          </w:p>
          <w:p w:rsidR="004B4480" w:rsidRPr="00BD4C0F" w:rsidRDefault="004B4480" w:rsidP="008F01C7">
            <w:pPr>
              <w:jc w:val="both"/>
              <w:rPr>
                <w:sz w:val="24"/>
                <w:szCs w:val="24"/>
              </w:rPr>
            </w:pPr>
            <w:r w:rsidRPr="00BD4C0F">
              <w:rPr>
                <w:sz w:val="24"/>
                <w:szCs w:val="24"/>
              </w:rPr>
              <w:t xml:space="preserve">As for what can be done in the long-term to ensure an individual’s safety, the name of a child at risk can be placed on the child protection registration which allows a multi-disciplinary approach and makes regular reviews of their safeguarding status compulsory (Safeguarding Wales). For adults, there’s no register for those identified as being at risk thus again, increasing the onus on the professionals to highlight their concerns accordingly whilst respecting their right to autonomy. </w:t>
            </w:r>
          </w:p>
          <w:p w:rsidR="004B4480" w:rsidRDefault="004B4480" w:rsidP="008F01C7">
            <w:pPr>
              <w:jc w:val="both"/>
              <w:rPr>
                <w:sz w:val="24"/>
                <w:szCs w:val="24"/>
              </w:rPr>
            </w:pPr>
          </w:p>
          <w:p w:rsidR="004B4480" w:rsidRDefault="004B4480" w:rsidP="008F01C7">
            <w:pPr>
              <w:jc w:val="both"/>
              <w:rPr>
                <w:sz w:val="24"/>
                <w:szCs w:val="24"/>
              </w:rPr>
            </w:pPr>
            <w:r>
              <w:rPr>
                <w:sz w:val="24"/>
                <w:szCs w:val="24"/>
              </w:rPr>
              <w:t>Word count: 431</w:t>
            </w:r>
          </w:p>
          <w:p w:rsidR="004B4480" w:rsidRDefault="004B4480" w:rsidP="008F01C7">
            <w:pPr>
              <w:jc w:val="both"/>
              <w:rPr>
                <w:sz w:val="24"/>
                <w:szCs w:val="24"/>
              </w:rPr>
            </w:pPr>
          </w:p>
          <w:p w:rsidR="004B4480" w:rsidRPr="006108C9" w:rsidRDefault="004B4480" w:rsidP="008F01C7">
            <w:pPr>
              <w:jc w:val="both"/>
              <w:rPr>
                <w:sz w:val="24"/>
                <w:szCs w:val="24"/>
              </w:rPr>
            </w:pPr>
          </w:p>
          <w:p w:rsidR="004B4480" w:rsidRDefault="004B4480" w:rsidP="008F01C7">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rsidR="004B4480" w:rsidRPr="006108C9" w:rsidRDefault="004B4480" w:rsidP="008F01C7">
            <w:pPr>
              <w:jc w:val="both"/>
              <w:rPr>
                <w:sz w:val="24"/>
                <w:szCs w:val="24"/>
              </w:rPr>
            </w:pPr>
          </w:p>
        </w:tc>
      </w:tr>
    </w:tbl>
    <w:p w:rsidR="004B4480" w:rsidRDefault="004B4480" w:rsidP="004B4480">
      <w:pPr>
        <w:jc w:val="both"/>
        <w:rPr>
          <w:sz w:val="24"/>
          <w:szCs w:val="24"/>
        </w:rPr>
      </w:pPr>
    </w:p>
    <w:p w:rsidR="004B4480" w:rsidRDefault="004B4480" w:rsidP="004B4480">
      <w:pPr>
        <w:jc w:val="both"/>
        <w:rPr>
          <w:sz w:val="24"/>
          <w:szCs w:val="24"/>
        </w:rPr>
      </w:pPr>
    </w:p>
    <w:p w:rsidR="001B65BA" w:rsidRDefault="004B4480">
      <w:bookmarkStart w:id="0" w:name="_GoBack"/>
      <w:bookmarkEnd w:id="0"/>
    </w:p>
    <w:sectPr w:rsidR="001B65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4480"/>
    <w:rsid w:val="004B4480"/>
    <w:rsid w:val="005A1398"/>
    <w:rsid w:val="00AF77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D23D125-0622-4927-B6AC-F8984FFE71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4480"/>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1037</Words>
  <Characters>5917</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Betsi Cadwaladr University Health Board</Company>
  <LinksUpToDate>false</LinksUpToDate>
  <CharactersWithSpaces>6941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Inger Williams (BCUHB - CAMHS EIPT)</dc:creator>
  <cp:keywords/>
  <dc:description/>
  <cp:lastModifiedBy>Inger Williams (BCUHB - CAMHS EIPT)</cp:lastModifiedBy>
  <cp:revision>1</cp:revision>
  <dcterms:created xsi:type="dcterms:W3CDTF">2024-02-13T21:13:00Z</dcterms:created>
  <dcterms:modified xsi:type="dcterms:W3CDTF">2024-02-13T21:14:00Z</dcterms:modified>
</cp:coreProperties>
</file>