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B3E32" w14:textId="77777777" w:rsidR="00811007" w:rsidRDefault="00811007">
      <w:pPr>
        <w:spacing w:after="1200"/>
      </w:pPr>
    </w:p>
    <w:p w14:paraId="677E0005" w14:textId="77777777" w:rsidR="00811007" w:rsidRDefault="00000000">
      <w:pPr>
        <w:spacing w:after="200" w:line="360" w:lineRule="auto"/>
        <w:jc w:val="center"/>
      </w:pPr>
      <w:r>
        <w:rPr>
          <w:b/>
          <w:bCs/>
          <w:sz w:val="28"/>
          <w:szCs w:val="28"/>
        </w:rPr>
        <w:t>University of Wales Trinity Saint David</w:t>
      </w:r>
    </w:p>
    <w:p w14:paraId="67D3A365" w14:textId="77777777" w:rsidR="00811007" w:rsidRDefault="00811007">
      <w:pPr>
        <w:spacing w:after="400"/>
      </w:pPr>
    </w:p>
    <w:p w14:paraId="3D3042E4" w14:textId="77777777" w:rsidR="00811007" w:rsidRDefault="00000000">
      <w:pPr>
        <w:spacing w:after="200" w:line="360" w:lineRule="auto"/>
        <w:jc w:val="center"/>
      </w:pPr>
      <w:r>
        <w:rPr>
          <w:sz w:val="24"/>
          <w:szCs w:val="24"/>
        </w:rPr>
        <w:t>BSc (Hons) Health and Social Care</w:t>
      </w:r>
    </w:p>
    <w:p w14:paraId="7F82FF90" w14:textId="77777777" w:rsidR="00811007" w:rsidRDefault="00811007">
      <w:pPr>
        <w:spacing w:after="600"/>
      </w:pPr>
    </w:p>
    <w:p w14:paraId="5F93363D" w14:textId="77777777" w:rsidR="00811007" w:rsidRDefault="00000000">
      <w:pPr>
        <w:spacing w:after="200" w:line="360" w:lineRule="auto"/>
        <w:jc w:val="center"/>
      </w:pPr>
      <w:r>
        <w:rPr>
          <w:b/>
          <w:bCs/>
          <w:sz w:val="32"/>
          <w:szCs w:val="32"/>
        </w:rPr>
        <w:t>Digital Transformation in the Health and Care Professions</w:t>
      </w:r>
    </w:p>
    <w:p w14:paraId="2D94B6FA" w14:textId="77777777" w:rsidR="00811007" w:rsidRDefault="00000000">
      <w:pPr>
        <w:spacing w:after="200" w:line="360" w:lineRule="auto"/>
        <w:jc w:val="center"/>
      </w:pPr>
      <w:r>
        <w:rPr>
          <w:b/>
          <w:bCs/>
          <w:sz w:val="28"/>
          <w:szCs w:val="28"/>
        </w:rPr>
        <w:t>(BMHP6026)</w:t>
      </w:r>
    </w:p>
    <w:p w14:paraId="3D3C4F1D" w14:textId="77777777" w:rsidR="00811007" w:rsidRDefault="00811007">
      <w:pPr>
        <w:spacing w:after="600"/>
      </w:pPr>
    </w:p>
    <w:p w14:paraId="4DB3F183" w14:textId="77777777" w:rsidR="00811007" w:rsidRDefault="00000000">
      <w:pPr>
        <w:spacing w:after="200" w:line="360" w:lineRule="auto"/>
        <w:jc w:val="center"/>
      </w:pPr>
      <w:r>
        <w:rPr>
          <w:b/>
          <w:bCs/>
          <w:sz w:val="26"/>
          <w:szCs w:val="26"/>
        </w:rPr>
        <w:t>Component 1: Written Report</w:t>
      </w:r>
    </w:p>
    <w:p w14:paraId="0B451099" w14:textId="77777777" w:rsidR="00811007" w:rsidRDefault="00000000">
      <w:pPr>
        <w:spacing w:after="200" w:line="360" w:lineRule="auto"/>
        <w:jc w:val="center"/>
      </w:pPr>
      <w:r>
        <w:rPr>
          <w:sz w:val="24"/>
          <w:szCs w:val="24"/>
        </w:rPr>
        <w:t>Virtual wards: a critical evaluation of a digital innovation in UK health and social care</w:t>
      </w:r>
    </w:p>
    <w:p w14:paraId="739A8789" w14:textId="77777777" w:rsidR="00811007" w:rsidRDefault="00811007">
      <w:pPr>
        <w:spacing w:after="800"/>
      </w:pPr>
    </w:p>
    <w:p w14:paraId="0A4E7754" w14:textId="47EF9B55" w:rsidR="00811007" w:rsidRDefault="00000000">
      <w:pPr>
        <w:spacing w:after="200" w:line="360" w:lineRule="auto"/>
        <w:jc w:val="center"/>
      </w:pPr>
      <w:r>
        <w:t xml:space="preserve">Student name: </w:t>
      </w:r>
      <w:r w:rsidR="00DE74F4" w:rsidRPr="00DE74F4">
        <w:rPr>
          <w:sz w:val="26"/>
          <w:szCs w:val="26"/>
        </w:rPr>
        <w:t>Cristina Apostol</w:t>
      </w:r>
    </w:p>
    <w:p w14:paraId="7F447BFF" w14:textId="3827B940" w:rsidR="00811007" w:rsidRDefault="00000000">
      <w:pPr>
        <w:spacing w:after="200" w:line="360" w:lineRule="auto"/>
        <w:jc w:val="center"/>
      </w:pPr>
      <w:r>
        <w:t xml:space="preserve">Student number: </w:t>
      </w:r>
      <w:r w:rsidR="00DE74F4" w:rsidRPr="00DE74F4">
        <w:rPr>
          <w:sz w:val="26"/>
          <w:szCs w:val="26"/>
        </w:rPr>
        <w:t>2335890</w:t>
      </w:r>
    </w:p>
    <w:p w14:paraId="0155E578" w14:textId="77777777" w:rsidR="00811007" w:rsidRDefault="00000000">
      <w:pPr>
        <w:spacing w:after="200" w:line="360" w:lineRule="auto"/>
        <w:jc w:val="center"/>
      </w:pPr>
      <w:r>
        <w:t>Lecturer's name: Dr Laila Surani</w:t>
      </w:r>
    </w:p>
    <w:p w14:paraId="5750DB93" w14:textId="77777777" w:rsidR="00811007" w:rsidRDefault="00811007">
      <w:pPr>
        <w:spacing w:after="400"/>
      </w:pPr>
    </w:p>
    <w:p w14:paraId="54046BF9" w14:textId="77777777" w:rsidR="00811007" w:rsidRDefault="00000000">
      <w:pPr>
        <w:spacing w:after="200" w:line="360" w:lineRule="auto"/>
        <w:jc w:val="center"/>
      </w:pPr>
      <w:r>
        <w:t>Word count: 1960</w:t>
      </w:r>
    </w:p>
    <w:p w14:paraId="48AEFF08" w14:textId="77777777" w:rsidR="00811007" w:rsidRDefault="00000000">
      <w:r>
        <w:br w:type="page"/>
      </w:r>
    </w:p>
    <w:p w14:paraId="7C7AABFF" w14:textId="77777777" w:rsidR="00811007" w:rsidRDefault="00000000">
      <w:pPr>
        <w:pStyle w:val="Heading1"/>
      </w:pPr>
      <w:bookmarkStart w:id="0" w:name="_Toc235659490"/>
      <w:r>
        <w:lastRenderedPageBreak/>
        <w:t>Table of Contents</w:t>
      </w:r>
      <w:bookmarkEnd w:id="0"/>
    </w:p>
    <w:sdt>
      <w:sdtPr>
        <w:alias w:val="Table of Contents"/>
        <w:id w:val="-2042423373"/>
      </w:sdtPr>
      <w:sdtContent>
        <w:p w14:paraId="09254A87" w14:textId="77777777" w:rsidR="00DE74F4" w:rsidRDefault="00000000">
          <w:pPr>
            <w:pStyle w:val="TOC1"/>
            <w:tabs>
              <w:tab w:val="right" w:leader="dot" w:pos="9016"/>
            </w:tabs>
            <w:rPr>
              <w:noProof/>
            </w:rPr>
          </w:pPr>
          <w:r>
            <w:fldChar w:fldCharType="begin"/>
          </w:r>
          <w:r>
            <w:instrText>TOC \h \o "1-1"</w:instrText>
          </w:r>
          <w:r>
            <w:fldChar w:fldCharType="separate"/>
          </w:r>
          <w:hyperlink w:anchor="_Toc235659490" w:history="1">
            <w:r w:rsidR="00DE74F4" w:rsidRPr="003321CA">
              <w:rPr>
                <w:rStyle w:val="Hyperlink"/>
                <w:noProof/>
              </w:rPr>
              <w:t>Table of Contents</w:t>
            </w:r>
            <w:r w:rsidR="00DE74F4">
              <w:rPr>
                <w:noProof/>
              </w:rPr>
              <w:tab/>
            </w:r>
            <w:r w:rsidR="00DE74F4">
              <w:rPr>
                <w:noProof/>
              </w:rPr>
              <w:fldChar w:fldCharType="begin"/>
            </w:r>
            <w:r w:rsidR="00DE74F4">
              <w:rPr>
                <w:noProof/>
              </w:rPr>
              <w:instrText xml:space="preserve"> PAGEREF _Toc235659490 \h </w:instrText>
            </w:r>
            <w:r w:rsidR="00DE74F4">
              <w:rPr>
                <w:noProof/>
              </w:rPr>
            </w:r>
            <w:r w:rsidR="00DE74F4">
              <w:rPr>
                <w:noProof/>
              </w:rPr>
              <w:fldChar w:fldCharType="separate"/>
            </w:r>
            <w:r w:rsidR="00DE74F4">
              <w:rPr>
                <w:noProof/>
              </w:rPr>
              <w:t>2</w:t>
            </w:r>
            <w:r w:rsidR="00DE74F4">
              <w:rPr>
                <w:noProof/>
              </w:rPr>
              <w:fldChar w:fldCharType="end"/>
            </w:r>
          </w:hyperlink>
        </w:p>
        <w:p w14:paraId="76A8DE4D" w14:textId="77777777" w:rsidR="00DE74F4" w:rsidRDefault="00DE74F4">
          <w:pPr>
            <w:pStyle w:val="TOC1"/>
            <w:tabs>
              <w:tab w:val="right" w:leader="dot" w:pos="9016"/>
            </w:tabs>
            <w:rPr>
              <w:noProof/>
            </w:rPr>
          </w:pPr>
          <w:hyperlink w:anchor="_Toc235659491" w:history="1">
            <w:r w:rsidRPr="003321CA">
              <w:rPr>
                <w:rStyle w:val="Hyperlink"/>
                <w:noProof/>
              </w:rPr>
              <w:t>Introduction</w:t>
            </w:r>
            <w:r>
              <w:rPr>
                <w:noProof/>
              </w:rPr>
              <w:tab/>
            </w:r>
            <w:r>
              <w:rPr>
                <w:noProof/>
              </w:rPr>
              <w:fldChar w:fldCharType="begin"/>
            </w:r>
            <w:r>
              <w:rPr>
                <w:noProof/>
              </w:rPr>
              <w:instrText xml:space="preserve"> PAGEREF _Toc235659491 \h </w:instrText>
            </w:r>
            <w:r>
              <w:rPr>
                <w:noProof/>
              </w:rPr>
            </w:r>
            <w:r>
              <w:rPr>
                <w:noProof/>
              </w:rPr>
              <w:fldChar w:fldCharType="separate"/>
            </w:r>
            <w:r>
              <w:rPr>
                <w:noProof/>
              </w:rPr>
              <w:t>3</w:t>
            </w:r>
            <w:r>
              <w:rPr>
                <w:noProof/>
              </w:rPr>
              <w:fldChar w:fldCharType="end"/>
            </w:r>
          </w:hyperlink>
        </w:p>
        <w:p w14:paraId="47653831" w14:textId="77777777" w:rsidR="00DE74F4" w:rsidRDefault="00DE74F4">
          <w:pPr>
            <w:pStyle w:val="TOC1"/>
            <w:tabs>
              <w:tab w:val="right" w:leader="dot" w:pos="9016"/>
            </w:tabs>
            <w:rPr>
              <w:noProof/>
            </w:rPr>
          </w:pPr>
          <w:hyperlink w:anchor="_Toc235659492" w:history="1">
            <w:r w:rsidRPr="003321CA">
              <w:rPr>
                <w:rStyle w:val="Hyperlink"/>
                <w:noProof/>
              </w:rPr>
              <w:t>Impact on the Workforce</w:t>
            </w:r>
            <w:r>
              <w:rPr>
                <w:noProof/>
              </w:rPr>
              <w:tab/>
            </w:r>
            <w:r>
              <w:rPr>
                <w:noProof/>
              </w:rPr>
              <w:fldChar w:fldCharType="begin"/>
            </w:r>
            <w:r>
              <w:rPr>
                <w:noProof/>
              </w:rPr>
              <w:instrText xml:space="preserve"> PAGEREF _Toc235659492 \h </w:instrText>
            </w:r>
            <w:r>
              <w:rPr>
                <w:noProof/>
              </w:rPr>
            </w:r>
            <w:r>
              <w:rPr>
                <w:noProof/>
              </w:rPr>
              <w:fldChar w:fldCharType="separate"/>
            </w:r>
            <w:r>
              <w:rPr>
                <w:noProof/>
              </w:rPr>
              <w:t>3</w:t>
            </w:r>
            <w:r>
              <w:rPr>
                <w:noProof/>
              </w:rPr>
              <w:fldChar w:fldCharType="end"/>
            </w:r>
          </w:hyperlink>
        </w:p>
        <w:p w14:paraId="11299256" w14:textId="77777777" w:rsidR="00DE74F4" w:rsidRDefault="00DE74F4">
          <w:pPr>
            <w:pStyle w:val="TOC1"/>
            <w:tabs>
              <w:tab w:val="right" w:leader="dot" w:pos="9016"/>
            </w:tabs>
            <w:rPr>
              <w:noProof/>
            </w:rPr>
          </w:pPr>
          <w:hyperlink w:anchor="_Toc235659493" w:history="1">
            <w:r w:rsidRPr="003321CA">
              <w:rPr>
                <w:rStyle w:val="Hyperlink"/>
                <w:noProof/>
              </w:rPr>
              <w:t>Impact on Service Delivery</w:t>
            </w:r>
            <w:r>
              <w:rPr>
                <w:noProof/>
              </w:rPr>
              <w:tab/>
            </w:r>
            <w:r>
              <w:rPr>
                <w:noProof/>
              </w:rPr>
              <w:fldChar w:fldCharType="begin"/>
            </w:r>
            <w:r>
              <w:rPr>
                <w:noProof/>
              </w:rPr>
              <w:instrText xml:space="preserve"> PAGEREF _Toc235659493 \h </w:instrText>
            </w:r>
            <w:r>
              <w:rPr>
                <w:noProof/>
              </w:rPr>
            </w:r>
            <w:r>
              <w:rPr>
                <w:noProof/>
              </w:rPr>
              <w:fldChar w:fldCharType="separate"/>
            </w:r>
            <w:r>
              <w:rPr>
                <w:noProof/>
              </w:rPr>
              <w:t>4</w:t>
            </w:r>
            <w:r>
              <w:rPr>
                <w:noProof/>
              </w:rPr>
              <w:fldChar w:fldCharType="end"/>
            </w:r>
          </w:hyperlink>
        </w:p>
        <w:p w14:paraId="02DF9B41" w14:textId="77777777" w:rsidR="00DE74F4" w:rsidRDefault="00DE74F4">
          <w:pPr>
            <w:pStyle w:val="TOC1"/>
            <w:tabs>
              <w:tab w:val="right" w:leader="dot" w:pos="9016"/>
            </w:tabs>
            <w:rPr>
              <w:noProof/>
            </w:rPr>
          </w:pPr>
          <w:hyperlink w:anchor="_Toc235659494" w:history="1">
            <w:r w:rsidRPr="003321CA">
              <w:rPr>
                <w:rStyle w:val="Hyperlink"/>
                <w:noProof/>
              </w:rPr>
              <w:t>Impact on Patients</w:t>
            </w:r>
            <w:r>
              <w:rPr>
                <w:noProof/>
              </w:rPr>
              <w:tab/>
            </w:r>
            <w:r>
              <w:rPr>
                <w:noProof/>
              </w:rPr>
              <w:fldChar w:fldCharType="begin"/>
            </w:r>
            <w:r>
              <w:rPr>
                <w:noProof/>
              </w:rPr>
              <w:instrText xml:space="preserve"> PAGEREF _Toc235659494 \h </w:instrText>
            </w:r>
            <w:r>
              <w:rPr>
                <w:noProof/>
              </w:rPr>
            </w:r>
            <w:r>
              <w:rPr>
                <w:noProof/>
              </w:rPr>
              <w:fldChar w:fldCharType="separate"/>
            </w:r>
            <w:r>
              <w:rPr>
                <w:noProof/>
              </w:rPr>
              <w:t>5</w:t>
            </w:r>
            <w:r>
              <w:rPr>
                <w:noProof/>
              </w:rPr>
              <w:fldChar w:fldCharType="end"/>
            </w:r>
          </w:hyperlink>
        </w:p>
        <w:p w14:paraId="5753ADF5" w14:textId="77777777" w:rsidR="00DE74F4" w:rsidRDefault="00DE74F4">
          <w:pPr>
            <w:pStyle w:val="TOC1"/>
            <w:tabs>
              <w:tab w:val="right" w:leader="dot" w:pos="9016"/>
            </w:tabs>
            <w:rPr>
              <w:noProof/>
            </w:rPr>
          </w:pPr>
          <w:hyperlink w:anchor="_Toc235659495" w:history="1">
            <w:r w:rsidRPr="003321CA">
              <w:rPr>
                <w:rStyle w:val="Hyperlink"/>
                <w:noProof/>
              </w:rPr>
              <w:t>Impact on the Community</w:t>
            </w:r>
            <w:r>
              <w:rPr>
                <w:noProof/>
              </w:rPr>
              <w:tab/>
            </w:r>
            <w:r>
              <w:rPr>
                <w:noProof/>
              </w:rPr>
              <w:fldChar w:fldCharType="begin"/>
            </w:r>
            <w:r>
              <w:rPr>
                <w:noProof/>
              </w:rPr>
              <w:instrText xml:space="preserve"> PAGEREF _Toc235659495 \h </w:instrText>
            </w:r>
            <w:r>
              <w:rPr>
                <w:noProof/>
              </w:rPr>
            </w:r>
            <w:r>
              <w:rPr>
                <w:noProof/>
              </w:rPr>
              <w:fldChar w:fldCharType="separate"/>
            </w:r>
            <w:r>
              <w:rPr>
                <w:noProof/>
              </w:rPr>
              <w:t>6</w:t>
            </w:r>
            <w:r>
              <w:rPr>
                <w:noProof/>
              </w:rPr>
              <w:fldChar w:fldCharType="end"/>
            </w:r>
          </w:hyperlink>
        </w:p>
        <w:p w14:paraId="40456354" w14:textId="77777777" w:rsidR="00DE74F4" w:rsidRDefault="00DE74F4">
          <w:pPr>
            <w:pStyle w:val="TOC1"/>
            <w:tabs>
              <w:tab w:val="right" w:leader="dot" w:pos="9016"/>
            </w:tabs>
            <w:rPr>
              <w:noProof/>
            </w:rPr>
          </w:pPr>
          <w:hyperlink w:anchor="_Toc235659496" w:history="1">
            <w:r w:rsidRPr="003321CA">
              <w:rPr>
                <w:rStyle w:val="Hyperlink"/>
                <w:noProof/>
              </w:rPr>
              <w:t>Conclusion</w:t>
            </w:r>
            <w:r>
              <w:rPr>
                <w:noProof/>
              </w:rPr>
              <w:tab/>
            </w:r>
            <w:r>
              <w:rPr>
                <w:noProof/>
              </w:rPr>
              <w:fldChar w:fldCharType="begin"/>
            </w:r>
            <w:r>
              <w:rPr>
                <w:noProof/>
              </w:rPr>
              <w:instrText xml:space="preserve"> PAGEREF _Toc235659496 \h </w:instrText>
            </w:r>
            <w:r>
              <w:rPr>
                <w:noProof/>
              </w:rPr>
            </w:r>
            <w:r>
              <w:rPr>
                <w:noProof/>
              </w:rPr>
              <w:fldChar w:fldCharType="separate"/>
            </w:r>
            <w:r>
              <w:rPr>
                <w:noProof/>
              </w:rPr>
              <w:t>7</w:t>
            </w:r>
            <w:r>
              <w:rPr>
                <w:noProof/>
              </w:rPr>
              <w:fldChar w:fldCharType="end"/>
            </w:r>
          </w:hyperlink>
        </w:p>
        <w:p w14:paraId="41005765" w14:textId="77777777" w:rsidR="00DE74F4" w:rsidRDefault="00DE74F4">
          <w:pPr>
            <w:pStyle w:val="TOC1"/>
            <w:tabs>
              <w:tab w:val="right" w:leader="dot" w:pos="9016"/>
            </w:tabs>
            <w:rPr>
              <w:noProof/>
            </w:rPr>
          </w:pPr>
          <w:hyperlink w:anchor="_Toc235659497" w:history="1">
            <w:r w:rsidRPr="003321CA">
              <w:rPr>
                <w:rStyle w:val="Hyperlink"/>
                <w:noProof/>
              </w:rPr>
              <w:t>References</w:t>
            </w:r>
            <w:r>
              <w:rPr>
                <w:noProof/>
              </w:rPr>
              <w:tab/>
            </w:r>
            <w:r>
              <w:rPr>
                <w:noProof/>
              </w:rPr>
              <w:fldChar w:fldCharType="begin"/>
            </w:r>
            <w:r>
              <w:rPr>
                <w:noProof/>
              </w:rPr>
              <w:instrText xml:space="preserve"> PAGEREF _Toc235659497 \h </w:instrText>
            </w:r>
            <w:r>
              <w:rPr>
                <w:noProof/>
              </w:rPr>
            </w:r>
            <w:r>
              <w:rPr>
                <w:noProof/>
              </w:rPr>
              <w:fldChar w:fldCharType="separate"/>
            </w:r>
            <w:r>
              <w:rPr>
                <w:noProof/>
              </w:rPr>
              <w:t>8</w:t>
            </w:r>
            <w:r>
              <w:rPr>
                <w:noProof/>
              </w:rPr>
              <w:fldChar w:fldCharType="end"/>
            </w:r>
          </w:hyperlink>
        </w:p>
        <w:p w14:paraId="45259B47" w14:textId="77777777" w:rsidR="00811007" w:rsidRDefault="00000000">
          <w:r>
            <w:fldChar w:fldCharType="end"/>
          </w:r>
        </w:p>
      </w:sdtContent>
    </w:sdt>
    <w:p w14:paraId="4EC2C79C" w14:textId="77777777" w:rsidR="00811007" w:rsidRDefault="00000000">
      <w:r>
        <w:br w:type="page"/>
      </w:r>
    </w:p>
    <w:p w14:paraId="21709D31" w14:textId="77777777" w:rsidR="00811007" w:rsidRDefault="00000000">
      <w:pPr>
        <w:pStyle w:val="Heading1"/>
      </w:pPr>
      <w:bookmarkStart w:id="1" w:name="_Toc235659491"/>
      <w:r>
        <w:lastRenderedPageBreak/>
        <w:t>Introduction</w:t>
      </w:r>
      <w:bookmarkEnd w:id="1"/>
    </w:p>
    <w:p w14:paraId="784B1B64" w14:textId="77777777" w:rsidR="00811007" w:rsidRDefault="00000000">
      <w:pPr>
        <w:spacing w:after="200" w:line="360" w:lineRule="auto"/>
        <w:jc w:val="both"/>
      </w:pPr>
      <w:r>
        <w:t xml:space="preserve">Digital technology is changing how health and social care are </w:t>
      </w:r>
      <w:proofErr w:type="spellStart"/>
      <w:r>
        <w:t>organised</w:t>
      </w:r>
      <w:proofErr w:type="spellEnd"/>
      <w:r>
        <w:t xml:space="preserve"> and delivered across the UK, and the pace of change has accelerated since the COVID-19 pandemic. This report examines one digital innovation that has been </w:t>
      </w:r>
      <w:proofErr w:type="gramStart"/>
      <w:r>
        <w:t>adopted at</w:t>
      </w:r>
      <w:proofErr w:type="gramEnd"/>
      <w:r>
        <w:t xml:space="preserve"> national scale within the last ten years: the virtual ward, sometimes called hospital at home. A virtual ward allows patients </w:t>
      </w:r>
      <w:proofErr w:type="gramStart"/>
      <w:r>
        <w:t>who would</w:t>
      </w:r>
      <w:proofErr w:type="gramEnd"/>
      <w:r>
        <w:t xml:space="preserve"> otherwise need a hospital bed to receive acute-level assessment, treatment and monitoring in their own home. Care is supported by technology such as pulse oximeters, blood pressure monitors and digital apps or platforms that send readings to a clinical team, who review patients daily and visit in person when needed (NHS England, 2024b). NHS England launched its national virtual ward </w:t>
      </w:r>
      <w:proofErr w:type="spellStart"/>
      <w:r>
        <w:t>programme</w:t>
      </w:r>
      <w:proofErr w:type="spellEnd"/>
      <w:r>
        <w:t xml:space="preserve"> in 2022 with a long-term ambition of 40 to 50 virtual ward beds per 100,000 people, and every integrated care board in England has now introduced virtual wards (Chappell et al., 2024). By March 2025, capacity had reached around 20 beds per 100,000 GP-registered patients (POST, 2025), which shows how quickly the model has grown, although it remains well below the original target. Virtual wards were chosen for this report because they bring together several strands of digital transformation, including remote monitoring, digital communication and data sharing, within a single model of care. The report critically evaluates how virtual </w:t>
      </w:r>
      <w:proofErr w:type="gramStart"/>
      <w:r>
        <w:t>wards</w:t>
      </w:r>
      <w:proofErr w:type="gramEnd"/>
      <w:r>
        <w:t xml:space="preserve"> have been implemented in the UK, focusing on their impact on the workforce, service delivery, patients and the wider community, and considering both positive and negative outcomes.</w:t>
      </w:r>
    </w:p>
    <w:p w14:paraId="7466CD2D" w14:textId="77777777" w:rsidR="00811007" w:rsidRDefault="00000000">
      <w:pPr>
        <w:pStyle w:val="Heading1"/>
      </w:pPr>
      <w:bookmarkStart w:id="2" w:name="_Toc235659492"/>
      <w:r>
        <w:t>Impact on the Workforce</w:t>
      </w:r>
      <w:bookmarkEnd w:id="2"/>
    </w:p>
    <w:p w14:paraId="26DA2F4F" w14:textId="77777777" w:rsidR="00811007" w:rsidRDefault="00000000">
      <w:pPr>
        <w:spacing w:after="200" w:line="360" w:lineRule="auto"/>
        <w:jc w:val="both"/>
      </w:pPr>
      <w:r>
        <w:t xml:space="preserve">Virtual wards have changed job roles and </w:t>
      </w:r>
      <w:proofErr w:type="gramStart"/>
      <w:r>
        <w:t>required</w:t>
      </w:r>
      <w:proofErr w:type="gramEnd"/>
      <w:r>
        <w:t xml:space="preserve"> staff to develop new competencies. Instead of observing patients face to face on a ward, nurses and doctors monitor dashboards of remote readings, triage alerts and make clinical decisions through video or telephone consultations. Staff interviewed in a qualitative study of a multispecialty virtual ward </w:t>
      </w:r>
      <w:proofErr w:type="spellStart"/>
      <w:r>
        <w:t>programme</w:t>
      </w:r>
      <w:proofErr w:type="spellEnd"/>
      <w:r>
        <w:t xml:space="preserve"> in the UK described this as requiring different decision-making skills, because clinicians who were used to face-to-face assessment had to learn to judge a patient's condition from data and conversation alone (Litchfield et al., 2025). New roles have also emerged, including virtual ward coordinators and support workers who help patients set up equipment at home, and the multidisciplinary team has widened to include pharmacists, therapists and digital support staff. In this sense the innovation has extended professional practice and created opportunities for skills development, which NHS England (2024b) has tried to </w:t>
      </w:r>
      <w:proofErr w:type="spellStart"/>
      <w:r>
        <w:t>standardise</w:t>
      </w:r>
      <w:proofErr w:type="spellEnd"/>
      <w:r>
        <w:t xml:space="preserve"> through its operational framework, including expectations around staffing, competencies and clinical leadership.</w:t>
      </w:r>
    </w:p>
    <w:p w14:paraId="1B55BC33" w14:textId="77777777" w:rsidR="00811007" w:rsidRDefault="00000000">
      <w:pPr>
        <w:spacing w:after="200" w:line="360" w:lineRule="auto"/>
        <w:jc w:val="both"/>
      </w:pPr>
      <w:r>
        <w:lastRenderedPageBreak/>
        <w:t>However, the impact on the workforce has not been entirely positive. Litchfield et al. (2025) found that recruitment was one of the biggest barriers to implementation: because virtual wards were often funded through short-term budgets, managers were reluctant to appoint permanent staff, and some services ran by borrowing staff from other teams. This creates a risk that virtual wards pull experienced nurses away from already understaffed hospital and community services rather than adding new capacity. The same study found that formal training for virtual ward roles was largely unavailable, so staff were mostly learning on the job, and that some clinicians found it difficult to hand over responsibility for their patients to community teams, with uncertainty about who was clinically accountable if a patient deteriorated at home. These accountability tensions matter professionally, because nurses and doctors remain answerable to their regulators for decisions made remotely.</w:t>
      </w:r>
    </w:p>
    <w:p w14:paraId="4321A37B" w14:textId="77777777" w:rsidR="00811007" w:rsidRDefault="00000000">
      <w:pPr>
        <w:spacing w:after="200" w:line="360" w:lineRule="auto"/>
        <w:jc w:val="both"/>
      </w:pPr>
      <w:r>
        <w:t xml:space="preserve">Staff attitudes overall appear cautiously positive. In a national survey by the Health Foundation, 63% of NHS staff supported the idea of virtual wards, compared with 31% who were opposed (Thornton, Horton and Hardie, 2023). Support was often conditional on there being enough staff to run the service safely, which is a reasonable concern given the wider NHS workforce shortages highlighted by Darzi (2024). On balance, virtual </w:t>
      </w:r>
      <w:proofErr w:type="gramStart"/>
      <w:r>
        <w:t>wards</w:t>
      </w:r>
      <w:proofErr w:type="gramEnd"/>
      <w:r>
        <w:t xml:space="preserve"> have enriched some roles and created new ones, but they have also exposed gaps in training, funding and accountability that need to be resolved as the model expands.</w:t>
      </w:r>
    </w:p>
    <w:p w14:paraId="7C896CF0" w14:textId="77777777" w:rsidR="00811007" w:rsidRDefault="00000000">
      <w:pPr>
        <w:pStyle w:val="Heading1"/>
      </w:pPr>
      <w:bookmarkStart w:id="3" w:name="_Toc235659493"/>
      <w:r>
        <w:t>Impact on Service Delivery</w:t>
      </w:r>
      <w:bookmarkEnd w:id="3"/>
    </w:p>
    <w:p w14:paraId="3F25296D" w14:textId="77777777" w:rsidR="00811007" w:rsidRDefault="00000000">
      <w:pPr>
        <w:spacing w:after="200" w:line="360" w:lineRule="auto"/>
        <w:jc w:val="both"/>
      </w:pPr>
      <w:r>
        <w:t xml:space="preserve">The day-to-day delivery of services changes considerably when a virtual ward is introduced. Patients are either stepped up from the community to avoid a hospital </w:t>
      </w:r>
      <w:proofErr w:type="gramStart"/>
      <w:r>
        <w:t>admission, or</w:t>
      </w:r>
      <w:proofErr w:type="gramEnd"/>
      <w:r>
        <w:t xml:space="preserve"> stepped down to complete hospital treatment at home after an early discharge (NHS England, 2024b). Most services focus on conditions where remote monitoring is well established, such as frailty, acute respiratory infection and heart failure, although some areas now run broader multispecialty models (Chappell et al., 2024). Instead of ward rounds at the bedside, clinical teams hold daily virtual board rounds where they review remote monitoring data, and in-person visits are targeted at the patients who need them. Hospitals effectively extend their wards into people's living rooms, and capacity and occupancy are now reported nationally every month in the same way as physical beds (NHS England, 2026).</w:t>
      </w:r>
    </w:p>
    <w:p w14:paraId="0FB3065A" w14:textId="77777777" w:rsidR="00811007" w:rsidRDefault="00000000">
      <w:pPr>
        <w:spacing w:after="200" w:line="360" w:lineRule="auto"/>
        <w:jc w:val="both"/>
      </w:pPr>
      <w:r>
        <w:t xml:space="preserve">There is encouraging UK evidence that this model can deliver care safely and release hospital capacity. A </w:t>
      </w:r>
      <w:proofErr w:type="spellStart"/>
      <w:r>
        <w:t>randomised</w:t>
      </w:r>
      <w:proofErr w:type="spellEnd"/>
      <w:r>
        <w:t xml:space="preserve"> trial in the UK found that comprehensive geriatric assessment delivered through hospital at home produced similar outcomes to hospital admission for older people, with fewer admissions to residential care at six months (Shepperd et al., 2021). A rapid evidence synthesis similarly concluded that outcomes are probably equivalent or better </w:t>
      </w:r>
      <w:r>
        <w:lastRenderedPageBreak/>
        <w:t xml:space="preserve">than inpatient care for selected patients (Norman, Bennett and Vardy, 2023). At service level, an NHS England (2024a) evaluation of 29 virtual wards in the </w:t>
      </w:r>
      <w:proofErr w:type="gramStart"/>
      <w:r>
        <w:t>South East</w:t>
      </w:r>
      <w:proofErr w:type="gramEnd"/>
      <w:r>
        <w:t xml:space="preserve"> estimated around 9,165 avoided emergency admissions per year and a net financial benefit of £10.4 million, with longer-established services performing best. In a context where Darzi (2024) described NHS hospitals as </w:t>
      </w:r>
      <w:proofErr w:type="gramStart"/>
      <w:r>
        <w:t>operating at</w:t>
      </w:r>
      <w:proofErr w:type="gramEnd"/>
      <w:r>
        <w:t xml:space="preserve"> dangerously high occupancy, freeing beds in this way is a significant service benefit.</w:t>
      </w:r>
    </w:p>
    <w:p w14:paraId="620776AC" w14:textId="77777777" w:rsidR="00811007" w:rsidRDefault="00000000">
      <w:pPr>
        <w:spacing w:after="200" w:line="360" w:lineRule="auto"/>
        <w:jc w:val="both"/>
      </w:pPr>
      <w:r>
        <w:t xml:space="preserve">Nevertheless, these findings need careful interpretation. The same evaluation found that, on average, 2.5 virtual ward admissions were needed to avoid one emergency admission, which suggests that many virtual ward patients might never have been admitted to hospital anyway (NHS England, 2024a). The Health Foundation has also pointed out that national data are too limited to show whether virtual wards </w:t>
      </w:r>
      <w:proofErr w:type="gramStart"/>
      <w:r>
        <w:t>actually reduce</w:t>
      </w:r>
      <w:proofErr w:type="gramEnd"/>
      <w:r>
        <w:t xml:space="preserve"> pressure on hospital beds (Chappell et al., 2024). There are practical problems too: staff report that virtual ward systems often do not connect with hospital records, so information </w:t>
      </w:r>
      <w:proofErr w:type="gramStart"/>
      <w:r>
        <w:t>has to</w:t>
      </w:r>
      <w:proofErr w:type="gramEnd"/>
      <w:r>
        <w:t xml:space="preserve"> be entered manually into spreadsheets, which is inefficient and creates a risk of error (Litchfield et al., 2025). Underoccupied virtual ward beds still cost money, and the Parliamentary Office of Science and Technology (2025) notes continuing uncertainty about long-term funding and cost-effectiveness. Service delivery has clearly changed, but the efficiency gains claimed for virtual wards are not yet fully proven.</w:t>
      </w:r>
    </w:p>
    <w:p w14:paraId="5360855E" w14:textId="77777777" w:rsidR="00811007" w:rsidRDefault="00000000">
      <w:pPr>
        <w:pStyle w:val="Heading1"/>
      </w:pPr>
      <w:bookmarkStart w:id="4" w:name="_Toc235659494"/>
      <w:r>
        <w:t>Impact on Patients</w:t>
      </w:r>
      <w:bookmarkEnd w:id="4"/>
    </w:p>
    <w:p w14:paraId="38E93BAB" w14:textId="77777777" w:rsidR="00811007" w:rsidRDefault="00000000">
      <w:pPr>
        <w:spacing w:after="200" w:line="360" w:lineRule="auto"/>
        <w:jc w:val="both"/>
      </w:pPr>
      <w:r>
        <w:t xml:space="preserve">For many patients, the most obvious benefit of a virtual ward is being cared for at home rather than in hospital. Patients in a national evaluation described feeling more comfortable, sleeping better, keeping their routines and privacy, and valuing having family nearby; many also said the remote monitoring equipment gave them a sense of safety and independence once they got used to it, and they expressed high levels of trust in virtual ward staff (The Strategy Unit, 2025). Avoiding </w:t>
      </w:r>
      <w:proofErr w:type="gramStart"/>
      <w:r>
        <w:t>hospital</w:t>
      </w:r>
      <w:proofErr w:type="gramEnd"/>
      <w:r>
        <w:t xml:space="preserve"> also reduces exposure to hospital-acquired </w:t>
      </w:r>
      <w:proofErr w:type="gramStart"/>
      <w:r>
        <w:t>infection</w:t>
      </w:r>
      <w:proofErr w:type="gramEnd"/>
      <w:r>
        <w:t xml:space="preserve"> and the deconditioning that older people commonly experience during inpatient stays (Norman, Bennett and Vardy, 2023). Clinical outcomes appear no worse, and in some respects better: in the trial by Shepperd et al. (2021), older patients cared for at home were less likely to move into residential care within six months, an outcome that matters greatly to patients and their families.</w:t>
      </w:r>
    </w:p>
    <w:p w14:paraId="66A2E4C3" w14:textId="77777777" w:rsidR="00811007" w:rsidRDefault="00000000">
      <w:pPr>
        <w:spacing w:after="200" w:line="360" w:lineRule="auto"/>
        <w:jc w:val="both"/>
      </w:pPr>
      <w:r>
        <w:t xml:space="preserve">At the same time, the patient experience is not universally positive, and perceptions of virtual care vary considerably. Public support for virtual wards is finely balanced, with 45% in </w:t>
      </w:r>
      <w:proofErr w:type="spellStart"/>
      <w:r>
        <w:t>favour</w:t>
      </w:r>
      <w:proofErr w:type="spellEnd"/>
      <w:r>
        <w:t xml:space="preserve"> and 36% opposed; among people who would not want this kind of care, 47% simply preferred face-to-face treatment and 43% were worried about the quality of care (Thornton, Horton and Hardie, 2023). Interestingly, 78% of people said they would accept technology-supported </w:t>
      </w:r>
      <w:r>
        <w:lastRenderedPageBreak/>
        <w:t xml:space="preserve">monitoring at home when the phrase virtual </w:t>
      </w:r>
      <w:proofErr w:type="gramStart"/>
      <w:r>
        <w:t>ward</w:t>
      </w:r>
      <w:proofErr w:type="gramEnd"/>
      <w:r>
        <w:t xml:space="preserve"> was avoided, which suggests that the way services communicate with patients shapes how the innovation is perceived. Evaluations have also identified real problems: some patients received little training on their devices, technical issues caused anxiety, and inconsistent scheduling and poor communication left some patients and carers feeling unprepared, particularly around discharge (The Strategy Unit, 2025). There is also an underlying safety concern that a deteriorating patient at home may not be noticed as quickly as </w:t>
      </w:r>
      <w:proofErr w:type="gramStart"/>
      <w:r>
        <w:t>on</w:t>
      </w:r>
      <w:proofErr w:type="gramEnd"/>
      <w:r>
        <w:t xml:space="preserve"> a ward, and patients themselves rank rapid escalation to hospital as their top priority for these services (Thornton, Horton and Hardie, 2023).</w:t>
      </w:r>
    </w:p>
    <w:p w14:paraId="122EFE49" w14:textId="77777777" w:rsidR="00811007" w:rsidRDefault="00000000">
      <w:pPr>
        <w:spacing w:after="200" w:line="360" w:lineRule="auto"/>
        <w:jc w:val="both"/>
      </w:pPr>
      <w:r>
        <w:t xml:space="preserve">Overall, patients' experiences of virtual </w:t>
      </w:r>
      <w:proofErr w:type="gramStart"/>
      <w:r>
        <w:t>wards</w:t>
      </w:r>
      <w:proofErr w:type="gramEnd"/>
      <w:r>
        <w:t xml:space="preserve"> seem to depend heavily on selection, preparation and communication. When the right patients are chosen and properly supported, experiences are largely positive; when technology or communication fails, the sense of safety that a hospital normally provides is lost.</w:t>
      </w:r>
    </w:p>
    <w:p w14:paraId="2FDDEA25" w14:textId="77777777" w:rsidR="00811007" w:rsidRDefault="00000000">
      <w:pPr>
        <w:pStyle w:val="Heading1"/>
      </w:pPr>
      <w:bookmarkStart w:id="5" w:name="_Toc235659495"/>
      <w:r>
        <w:t>Impact on the Community</w:t>
      </w:r>
      <w:bookmarkEnd w:id="5"/>
    </w:p>
    <w:p w14:paraId="6F6C6D0C" w14:textId="77777777" w:rsidR="00811007" w:rsidRDefault="00000000">
      <w:pPr>
        <w:spacing w:after="200" w:line="360" w:lineRule="auto"/>
        <w:jc w:val="both"/>
      </w:pPr>
      <w:r>
        <w:t xml:space="preserve">Virtual wards also change where care physically happens, moving it from acute hospitals into homes and </w:t>
      </w:r>
      <w:proofErr w:type="spellStart"/>
      <w:r>
        <w:t>neighbourhoods</w:t>
      </w:r>
      <w:proofErr w:type="spellEnd"/>
      <w:r>
        <w:t xml:space="preserve">. For families, this can mean being closer to their loved one and more involved in their care, which many value (NHS England, 2024a). It also fits the wider policy direction in England: the </w:t>
      </w:r>
      <w:proofErr w:type="gramStart"/>
      <w:r>
        <w:t>10 Year</w:t>
      </w:r>
      <w:proofErr w:type="gramEnd"/>
      <w:r>
        <w:t xml:space="preserve"> Health Plan commits the NHS to shifting care from hospitals into communities and homes, with virtual wards and </w:t>
      </w:r>
      <w:proofErr w:type="spellStart"/>
      <w:r>
        <w:t>neighbourhood</w:t>
      </w:r>
      <w:proofErr w:type="spellEnd"/>
      <w:r>
        <w:t xml:space="preserve"> health services forming part of that shift (Department of Health and Social Care, 2025). At population level, treating people at home can support public health goals, for example by reducing the spread of infection within hospitals and keeping acute beds available for those who need them most.</w:t>
      </w:r>
    </w:p>
    <w:p w14:paraId="2DA05CDF" w14:textId="77777777" w:rsidR="00811007" w:rsidRDefault="00000000">
      <w:pPr>
        <w:spacing w:after="200" w:line="360" w:lineRule="auto"/>
        <w:jc w:val="both"/>
      </w:pPr>
      <w:r>
        <w:t xml:space="preserve">However, the burden this model places on unpaid carers is one of its most serious negative outcomes. Carers frequently reported that their own needs and capacity were not properly assessed at admission, with services assuming they could take on caring tasks alongside work and other responsibilities (The Strategy Unit, 2025). Norman, Bennett and Vardy (2023) note that carer burden and burnout have hardly been evaluated, and that most economic analyses ignore the costs of informal care, which means some of the claimed savings simply transfer costs from the NHS to families. There are also clear equity concerns. Virtual wards depend on suitable housing, connectivity and confidence with technology, and POST (2025) warns of unequal access for people with poor living conditions, limited digital skills or communication needs. Evidence from the </w:t>
      </w:r>
      <w:proofErr w:type="gramStart"/>
      <w:r>
        <w:t>South East</w:t>
      </w:r>
      <w:proofErr w:type="gramEnd"/>
      <w:r>
        <w:t xml:space="preserve"> showed that Black and minority ethnic people were consistently underrepresented among virtual ward patients (NHS England, 2024a), and public support is lowest in the most deprived socioeconomic groups (Thornton, Horton and Hardie, 2023). Without deliberate co-production with local communities in how </w:t>
      </w:r>
      <w:r>
        <w:lastRenderedPageBreak/>
        <w:t>these services are designed and explained, there is a real risk that virtual wards widen the very health inequalities they could help to reduce.</w:t>
      </w:r>
    </w:p>
    <w:p w14:paraId="7C17A60F" w14:textId="77777777" w:rsidR="00811007" w:rsidRDefault="00000000">
      <w:pPr>
        <w:pStyle w:val="Heading1"/>
      </w:pPr>
      <w:bookmarkStart w:id="6" w:name="_Toc235659496"/>
      <w:r>
        <w:t>Conclusion</w:t>
      </w:r>
      <w:bookmarkEnd w:id="6"/>
    </w:p>
    <w:p w14:paraId="324A7F7E" w14:textId="77777777" w:rsidR="00811007" w:rsidRDefault="00000000">
      <w:pPr>
        <w:spacing w:after="200" w:line="360" w:lineRule="auto"/>
        <w:jc w:val="both"/>
      </w:pPr>
      <w:r>
        <w:t xml:space="preserve">Virtual </w:t>
      </w:r>
      <w:proofErr w:type="gramStart"/>
      <w:r>
        <w:t>wards</w:t>
      </w:r>
      <w:proofErr w:type="gramEnd"/>
      <w:r>
        <w:t xml:space="preserve"> are one of the clearest examples of digital transformation in UK health and social care in the last decade. Within a few years the model has moved from small pilots to a national </w:t>
      </w:r>
      <w:proofErr w:type="spellStart"/>
      <w:r>
        <w:t>programme</w:t>
      </w:r>
      <w:proofErr w:type="spellEnd"/>
      <w:r>
        <w:t xml:space="preserve"> operating in every integrated care board, and there is reasonable evidence that, for carefully selected patients, acute care at home is safe, well received and can release hospital capacity (Shepperd et al., 2021; NHS England, 2024a). At the same time, this report has shown that the transformation is incomplete and its benefits are unevenly shared. The workforce has gained new roles and skills but faces training gaps, short-term funding and unresolved questions of accountability; service-level savings are promising but rest on limited data; patients are mostly positive, but only when communication and technology work well; and carers and digitally excluded groups currently carry costs that official evaluations rarely count. The overall judgement must therefore be cautiously positive. If virtual wards are to fulfil the ambitions set out in the </w:t>
      </w:r>
      <w:proofErr w:type="gramStart"/>
      <w:r>
        <w:t>10 Year</w:t>
      </w:r>
      <w:proofErr w:type="gramEnd"/>
      <w:r>
        <w:t xml:space="preserve"> Health Plan (Department of Health and Social Care, 2025), they will need secure long-term funding, proper workforce development, systematic evaluation, and serious attention to carers and to communities at risk of being left behind by digital-first care.</w:t>
      </w:r>
    </w:p>
    <w:p w14:paraId="6F09C9EE" w14:textId="77777777" w:rsidR="00811007" w:rsidRDefault="00000000">
      <w:r>
        <w:br w:type="page"/>
      </w:r>
    </w:p>
    <w:p w14:paraId="6594A266" w14:textId="77777777" w:rsidR="00811007" w:rsidRDefault="00000000">
      <w:pPr>
        <w:pStyle w:val="Heading1"/>
      </w:pPr>
      <w:bookmarkStart w:id="7" w:name="_Toc235659497"/>
      <w:r>
        <w:lastRenderedPageBreak/>
        <w:t>References</w:t>
      </w:r>
      <w:bookmarkEnd w:id="7"/>
    </w:p>
    <w:p w14:paraId="12271579" w14:textId="77777777" w:rsidR="00811007" w:rsidRDefault="00000000">
      <w:pPr>
        <w:spacing w:after="200" w:line="360" w:lineRule="auto"/>
        <w:ind w:left="720" w:hanging="720"/>
      </w:pPr>
      <w:r>
        <w:t xml:space="preserve">Chappell, P., Co, M., Hardie, T., Lloyd, T., Tallack, C., Gerhold, M. and Mayers, C. (2024) What do virtual </w:t>
      </w:r>
      <w:proofErr w:type="gramStart"/>
      <w:r>
        <w:t>wards</w:t>
      </w:r>
      <w:proofErr w:type="gramEnd"/>
      <w:r>
        <w:t xml:space="preserve"> look like in England? Working paper. London: The Health Foundation. Available at: https://www.health.org.uk/reports-and-analysis/working-papers/what-do-virtual-wards-look-like-in-england (Accessed: 20 July 2026).</w:t>
      </w:r>
    </w:p>
    <w:p w14:paraId="006F8473" w14:textId="77777777" w:rsidR="00811007" w:rsidRDefault="00000000">
      <w:pPr>
        <w:spacing w:after="200" w:line="360" w:lineRule="auto"/>
        <w:ind w:left="720" w:hanging="720"/>
      </w:pPr>
      <w:r>
        <w:t>Darzi, A. (2024) Independent investigation of the National Health Service in England. London: Department of Health and Social Care. Available at: https://www.gov.uk/government/publications/independent-investigation-of-the-nhs-in-england (Accessed: 20 July 2026).</w:t>
      </w:r>
    </w:p>
    <w:p w14:paraId="5138D9D0" w14:textId="77777777" w:rsidR="00811007" w:rsidRDefault="00000000">
      <w:pPr>
        <w:spacing w:after="200" w:line="360" w:lineRule="auto"/>
        <w:ind w:left="720" w:hanging="720"/>
      </w:pPr>
      <w:r>
        <w:t>Department of Health and Social Care (2025) Fit for the future: 10 Year Health Plan for England. London: DHSC. Available at: https://www.gov.uk/government/publications/10-year-health-plan-for-england-fit-for-the-future (Accessed: 20 July 2026).</w:t>
      </w:r>
    </w:p>
    <w:p w14:paraId="0D08D696" w14:textId="77777777" w:rsidR="00811007" w:rsidRDefault="00000000">
      <w:pPr>
        <w:spacing w:after="200" w:line="360" w:lineRule="auto"/>
        <w:ind w:left="720" w:hanging="720"/>
      </w:pPr>
      <w:r>
        <w:t xml:space="preserve">Litchfield, I., Lewis, R., </w:t>
      </w:r>
      <w:proofErr w:type="spellStart"/>
      <w:r>
        <w:t>Delanerolle</w:t>
      </w:r>
      <w:proofErr w:type="spellEnd"/>
      <w:r>
        <w:t xml:space="preserve">, G., Melyda, M. and Harper, L. (2025) 'Factors influencing the implementation of a multispecialty virtual ward program in the United Kingdom: qualitative exploration of staff experiences and perspectives', Journal of Medical Internet Research, 27, e75406. </w:t>
      </w:r>
      <w:proofErr w:type="spellStart"/>
      <w:r>
        <w:t>doi</w:t>
      </w:r>
      <w:proofErr w:type="spellEnd"/>
      <w:r>
        <w:t>: 10.2196/75406.</w:t>
      </w:r>
    </w:p>
    <w:p w14:paraId="271CE527" w14:textId="77777777" w:rsidR="00811007" w:rsidRDefault="00000000">
      <w:pPr>
        <w:spacing w:after="200" w:line="360" w:lineRule="auto"/>
        <w:ind w:left="720" w:hanging="720"/>
      </w:pPr>
      <w:r>
        <w:t xml:space="preserve">NHS England (2024a) Summary of </w:t>
      </w:r>
      <w:proofErr w:type="gramStart"/>
      <w:r>
        <w:t>South East</w:t>
      </w:r>
      <w:proofErr w:type="gramEnd"/>
      <w:r>
        <w:t xml:space="preserve"> region virtual wards evaluation. Available at: https://www.england.nhs.uk/long-read/summary-of-south-east-region-virtual-wards-evaluation/ (Accessed: 20 July 2026).</w:t>
      </w:r>
    </w:p>
    <w:p w14:paraId="1A8FC689" w14:textId="77777777" w:rsidR="00811007" w:rsidRDefault="00000000">
      <w:pPr>
        <w:spacing w:after="200" w:line="360" w:lineRule="auto"/>
        <w:ind w:left="720" w:hanging="720"/>
      </w:pPr>
      <w:r>
        <w:t>NHS England (2024b) Virtual wards operational framework. Available at: https://www.england.nhs.uk/long-read/virtual-wards-operational-framework/ (Accessed: 20 July 2026).</w:t>
      </w:r>
    </w:p>
    <w:p w14:paraId="18C0468C" w14:textId="77777777" w:rsidR="00811007" w:rsidRDefault="00000000">
      <w:pPr>
        <w:spacing w:after="200" w:line="360" w:lineRule="auto"/>
        <w:ind w:left="720" w:hanging="720"/>
      </w:pPr>
      <w:r>
        <w:t>NHS England (2026) Virtual ward capacity and occupancy statistics. Available at: https://www.england.nhs.uk/statistics/statistical-work-areas/virtual-ward/ (Accessed: 20 July 2026).</w:t>
      </w:r>
    </w:p>
    <w:p w14:paraId="235F14FF" w14:textId="77777777" w:rsidR="00811007" w:rsidRDefault="00000000">
      <w:pPr>
        <w:spacing w:after="200" w:line="360" w:lineRule="auto"/>
        <w:ind w:left="720" w:hanging="720"/>
      </w:pPr>
      <w:r>
        <w:t xml:space="preserve">Norman, G., Bennett, P. and Vardy, E.R.L.C. (2023) 'Virtual </w:t>
      </w:r>
      <w:proofErr w:type="gramStart"/>
      <w:r>
        <w:t>wards</w:t>
      </w:r>
      <w:proofErr w:type="gramEnd"/>
      <w:r>
        <w:t xml:space="preserve">: a rapid evidence synthesis and implications for the care of older people', Age and Ageing, 52(1), afac319. </w:t>
      </w:r>
      <w:proofErr w:type="spellStart"/>
      <w:r>
        <w:t>doi</w:t>
      </w:r>
      <w:proofErr w:type="spellEnd"/>
      <w:r>
        <w:t>: 10.1093/ageing/afac319.</w:t>
      </w:r>
    </w:p>
    <w:p w14:paraId="11B52D97" w14:textId="77777777" w:rsidR="00811007" w:rsidRDefault="00000000">
      <w:pPr>
        <w:spacing w:after="200" w:line="360" w:lineRule="auto"/>
        <w:ind w:left="720" w:hanging="720"/>
      </w:pPr>
      <w:r>
        <w:t xml:space="preserve">Parliamentary Office of Science and Technology (POST) (2025) Virtual wards and hospital at home. </w:t>
      </w:r>
      <w:proofErr w:type="spellStart"/>
      <w:r>
        <w:t>POSTnote</w:t>
      </w:r>
      <w:proofErr w:type="spellEnd"/>
      <w:r>
        <w:t xml:space="preserve"> 744. London: UK Parliament. Available at: https://post.parliament.uk/research-briefings/post-pn-0744/ (Accessed: 20 July 2026).</w:t>
      </w:r>
    </w:p>
    <w:p w14:paraId="6EA2C11C" w14:textId="77777777" w:rsidR="00811007" w:rsidRDefault="00000000">
      <w:pPr>
        <w:spacing w:after="200" w:line="360" w:lineRule="auto"/>
        <w:ind w:left="720" w:hanging="720"/>
      </w:pPr>
      <w:r>
        <w:lastRenderedPageBreak/>
        <w:t xml:space="preserve">Shepperd, S., Butler, C., Cradduck-Bamford, A., Ellis, G., Gray, A., Hemsley, A., Khanna, P., Langhorne, P., Mort, S., Ramsay, S., Schiff, R., Stott, D.J., Wilkinson, A. and Yu, L.M. (2021) 'Is comprehensive geriatric assessment admission avoidance hospital at home an alternative to hospital admission for older persons? A randomized trial', Annals of Internal Medicine, 174(7), pp. 889-898. </w:t>
      </w:r>
      <w:proofErr w:type="spellStart"/>
      <w:r>
        <w:t>doi</w:t>
      </w:r>
      <w:proofErr w:type="spellEnd"/>
      <w:r>
        <w:t>: 10.7326/M20-5688.</w:t>
      </w:r>
    </w:p>
    <w:p w14:paraId="74D74568" w14:textId="77777777" w:rsidR="00811007" w:rsidRDefault="00000000">
      <w:pPr>
        <w:spacing w:after="200" w:line="360" w:lineRule="auto"/>
        <w:ind w:left="720" w:hanging="720"/>
      </w:pPr>
      <w:r>
        <w:t>The Strategy Unit (2025) Virtual wards evaluation: patients' and unpaid carers' experiences. Final report. Birmingham: The Strategy Unit. Available at: https://www.strategyunitwm.nhs.uk/sites/default/files/2025-06/1171_Virtual_wards_final_report_June2025.pdf (Accessed: 20 July 2026).</w:t>
      </w:r>
    </w:p>
    <w:p w14:paraId="018E98E7" w14:textId="77777777" w:rsidR="00811007" w:rsidRDefault="00000000">
      <w:pPr>
        <w:spacing w:after="200" w:line="360" w:lineRule="auto"/>
        <w:ind w:left="720" w:hanging="720"/>
      </w:pPr>
      <w:r>
        <w:t>Thornton, N., Horton, T. and Hardie, T. (2023) How do the public and NHS staff feel about virtual wards? London: The Health Foundation. Available at: https://www.health.org.uk/reports-and-analysis/analysis/how-do-the-public-and-nhs-staff-feel-about-virtual-wards (Accessed: 20 July 2026).</w:t>
      </w:r>
    </w:p>
    <w:sectPr w:rsidR="00811007">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376AA" w14:textId="77777777" w:rsidR="00D26E98" w:rsidRDefault="00D26E98">
      <w:r>
        <w:separator/>
      </w:r>
    </w:p>
  </w:endnote>
  <w:endnote w:type="continuationSeparator" w:id="0">
    <w:p w14:paraId="3A5E722A" w14:textId="77777777" w:rsidR="00D26E98" w:rsidRDefault="00D26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BC4C0" w14:textId="77777777" w:rsidR="00811007" w:rsidRDefault="00000000">
    <w:pPr>
      <w:jc w:val="center"/>
    </w:pPr>
    <w:r>
      <w:rPr>
        <w:sz w:val="20"/>
        <w:szCs w:val="20"/>
      </w:rPr>
      <w:fldChar w:fldCharType="begin"/>
    </w:r>
    <w:r>
      <w:rPr>
        <w:sz w:val="20"/>
        <w:szCs w:val="20"/>
      </w:rPr>
      <w:instrText>PAGE</w:instrText>
    </w:r>
    <w:r>
      <w:rPr>
        <w:sz w:val="20"/>
        <w:szCs w:val="20"/>
      </w:rPr>
      <w:fldChar w:fldCharType="separate"/>
    </w:r>
    <w:r w:rsidR="00DE74F4">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F6528" w14:textId="77777777" w:rsidR="00D26E98" w:rsidRDefault="00D26E98">
      <w:r>
        <w:separator/>
      </w:r>
    </w:p>
  </w:footnote>
  <w:footnote w:type="continuationSeparator" w:id="0">
    <w:p w14:paraId="260DEF1F" w14:textId="77777777" w:rsidR="00D26E98" w:rsidRDefault="00D26E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F6DA5"/>
    <w:multiLevelType w:val="hybridMultilevel"/>
    <w:tmpl w:val="98DC94EA"/>
    <w:lvl w:ilvl="0" w:tplc="5C84BF06">
      <w:start w:val="1"/>
      <w:numFmt w:val="bullet"/>
      <w:lvlText w:val="●"/>
      <w:lvlJc w:val="left"/>
      <w:pPr>
        <w:ind w:left="720" w:hanging="360"/>
      </w:pPr>
    </w:lvl>
    <w:lvl w:ilvl="1" w:tplc="DBBC4666">
      <w:start w:val="1"/>
      <w:numFmt w:val="bullet"/>
      <w:lvlText w:val="○"/>
      <w:lvlJc w:val="left"/>
      <w:pPr>
        <w:ind w:left="1440" w:hanging="360"/>
      </w:pPr>
    </w:lvl>
    <w:lvl w:ilvl="2" w:tplc="0BA049FA">
      <w:start w:val="1"/>
      <w:numFmt w:val="bullet"/>
      <w:lvlText w:val="■"/>
      <w:lvlJc w:val="left"/>
      <w:pPr>
        <w:ind w:left="2160" w:hanging="360"/>
      </w:pPr>
    </w:lvl>
    <w:lvl w:ilvl="3" w:tplc="4F06F790">
      <w:start w:val="1"/>
      <w:numFmt w:val="bullet"/>
      <w:lvlText w:val="●"/>
      <w:lvlJc w:val="left"/>
      <w:pPr>
        <w:ind w:left="2880" w:hanging="360"/>
      </w:pPr>
    </w:lvl>
    <w:lvl w:ilvl="4" w:tplc="15301D62">
      <w:start w:val="1"/>
      <w:numFmt w:val="bullet"/>
      <w:lvlText w:val="○"/>
      <w:lvlJc w:val="left"/>
      <w:pPr>
        <w:ind w:left="3600" w:hanging="360"/>
      </w:pPr>
    </w:lvl>
    <w:lvl w:ilvl="5" w:tplc="B3EE28C6">
      <w:start w:val="1"/>
      <w:numFmt w:val="bullet"/>
      <w:lvlText w:val="■"/>
      <w:lvlJc w:val="left"/>
      <w:pPr>
        <w:ind w:left="4320" w:hanging="360"/>
      </w:pPr>
    </w:lvl>
    <w:lvl w:ilvl="6" w:tplc="8E921926">
      <w:start w:val="1"/>
      <w:numFmt w:val="bullet"/>
      <w:lvlText w:val="●"/>
      <w:lvlJc w:val="left"/>
      <w:pPr>
        <w:ind w:left="5040" w:hanging="360"/>
      </w:pPr>
    </w:lvl>
    <w:lvl w:ilvl="7" w:tplc="3C6EA824">
      <w:start w:val="1"/>
      <w:numFmt w:val="bullet"/>
      <w:lvlText w:val="●"/>
      <w:lvlJc w:val="left"/>
      <w:pPr>
        <w:ind w:left="5760" w:hanging="360"/>
      </w:pPr>
    </w:lvl>
    <w:lvl w:ilvl="8" w:tplc="143486EE">
      <w:start w:val="1"/>
      <w:numFmt w:val="bullet"/>
      <w:lvlText w:val="●"/>
      <w:lvlJc w:val="left"/>
      <w:pPr>
        <w:ind w:left="6480" w:hanging="360"/>
      </w:pPr>
    </w:lvl>
  </w:abstractNum>
  <w:num w:numId="1" w16cid:durableId="18508295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007"/>
    <w:rsid w:val="0070591E"/>
    <w:rsid w:val="00811007"/>
    <w:rsid w:val="00D26E98"/>
    <w:rsid w:val="00D8136C"/>
    <w:rsid w:val="00DE7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C9B58"/>
  <w15:docId w15:val="{FFA4D85A-7E98-4849-AFF4-F7C4B35EC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200" w:line="360" w:lineRule="auto"/>
      <w:outlineLvl w:val="0"/>
    </w:pPr>
    <w:rPr>
      <w:b/>
      <w:bCs/>
      <w:color w:val="000000"/>
      <w:sz w:val="26"/>
      <w:szCs w:val="26"/>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DE74F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2581</Words>
  <Characters>14713</Characters>
  <Application>Microsoft Office Word</Application>
  <DocSecurity>0</DocSecurity>
  <Lines>122</Lines>
  <Paragraphs>34</Paragraphs>
  <ScaleCrop>false</ScaleCrop>
  <Company/>
  <LinksUpToDate>false</LinksUpToDate>
  <CharactersWithSpaces>17260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Anca Anael Andru</cp:lastModifiedBy>
  <cp:revision>3</cp:revision>
  <dcterms:created xsi:type="dcterms:W3CDTF">2026-07-22T20:49:00Z</dcterms:created>
  <dcterms:modified xsi:type="dcterms:W3CDTF">2026-07-22T21:39:00Z</dcterms:modified>
</cp:coreProperties>
</file>