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89C01B" w14:textId="78390AEE" w:rsidR="00072D4C" w:rsidRDefault="00A223ED" w:rsidP="00A223ED">
      <w:pPr>
        <w:jc w:val="center"/>
        <w:rPr>
          <w:rFonts w:ascii="Arial" w:hAnsi="Arial" w:cs="Arial"/>
          <w:b/>
          <w:bCs/>
          <w:sz w:val="28"/>
          <w:szCs w:val="28"/>
        </w:rPr>
      </w:pPr>
      <w:r w:rsidRPr="00A223ED">
        <w:rPr>
          <w:rFonts w:ascii="Arial" w:hAnsi="Arial" w:cs="Arial"/>
          <w:b/>
          <w:bCs/>
          <w:sz w:val="28"/>
          <w:szCs w:val="28"/>
        </w:rPr>
        <w:t xml:space="preserve">The Book of Ruth </w:t>
      </w:r>
      <w:r w:rsidR="00FA6504">
        <w:rPr>
          <w:rFonts w:ascii="Arial" w:hAnsi="Arial" w:cs="Arial"/>
          <w:b/>
          <w:bCs/>
          <w:sz w:val="28"/>
          <w:szCs w:val="28"/>
        </w:rPr>
        <w:t>as a Modern-Day Feminist Narrative</w:t>
      </w:r>
    </w:p>
    <w:p w14:paraId="1F9BD957" w14:textId="77777777" w:rsidR="00A223ED" w:rsidRDefault="00A223ED" w:rsidP="00A223ED">
      <w:pPr>
        <w:jc w:val="center"/>
        <w:rPr>
          <w:rFonts w:ascii="Arial" w:hAnsi="Arial" w:cs="Arial"/>
          <w:sz w:val="28"/>
          <w:szCs w:val="28"/>
        </w:rPr>
      </w:pPr>
    </w:p>
    <w:p w14:paraId="11278514" w14:textId="252C6AA7" w:rsidR="00A223ED" w:rsidRDefault="00A223ED" w:rsidP="00A223ED">
      <w:pPr>
        <w:rPr>
          <w:rFonts w:ascii="Arial" w:hAnsi="Arial" w:cs="Arial"/>
          <w:b/>
          <w:bCs/>
          <w:sz w:val="28"/>
          <w:szCs w:val="28"/>
        </w:rPr>
      </w:pPr>
      <w:r>
        <w:rPr>
          <w:rFonts w:ascii="Arial" w:hAnsi="Arial" w:cs="Arial"/>
          <w:b/>
          <w:bCs/>
          <w:sz w:val="28"/>
          <w:szCs w:val="28"/>
        </w:rPr>
        <w:t>Introduction</w:t>
      </w:r>
    </w:p>
    <w:p w14:paraId="6FCD0D26" w14:textId="256CD768" w:rsidR="00FA6504" w:rsidRPr="00FA6504" w:rsidRDefault="00E25F88" w:rsidP="00A223ED">
      <w:pPr>
        <w:rPr>
          <w:rFonts w:ascii="Arial" w:hAnsi="Arial" w:cs="Arial"/>
          <w:sz w:val="24"/>
          <w:szCs w:val="24"/>
        </w:rPr>
      </w:pPr>
      <w:r>
        <w:rPr>
          <w:rFonts w:ascii="Arial" w:hAnsi="Arial" w:cs="Arial"/>
          <w:sz w:val="24"/>
          <w:szCs w:val="24"/>
        </w:rPr>
        <w:t xml:space="preserve">The book of Ruth is a narrative within the Old Testament that focuses on the experiences of two women, Ruth and Naomi, as they navigate famine, widowhood, and social vulnerability within ancient Israel. The text has been interpreted </w:t>
      </w:r>
      <w:r w:rsidR="00DE199F">
        <w:rPr>
          <w:rFonts w:ascii="Arial" w:hAnsi="Arial" w:cs="Arial"/>
          <w:sz w:val="24"/>
          <w:szCs w:val="24"/>
        </w:rPr>
        <w:t xml:space="preserve">through a feminist lens in modern biblical scholarship due to its emphasis on female agency and the centrality of women to the narrative. However, this claim remains contested, particularly due to its resolution within patriarchal structures. While female initiative and survival are central to the narrative, the outcome is ultimately resolved through male figures, culminating in the Davidic lineage. This essay will critically assess the </w:t>
      </w:r>
      <w:r w:rsidR="008B4920">
        <w:rPr>
          <w:rFonts w:ascii="Arial" w:hAnsi="Arial" w:cs="Arial"/>
          <w:sz w:val="24"/>
          <w:szCs w:val="24"/>
        </w:rPr>
        <w:t>claims of a feminist narrative within the book of Ruth and whether the story is ultimately one of female empowerment</w:t>
      </w:r>
      <w:r w:rsidR="007F17FE">
        <w:rPr>
          <w:rFonts w:ascii="Arial" w:hAnsi="Arial" w:cs="Arial"/>
          <w:sz w:val="24"/>
          <w:szCs w:val="24"/>
        </w:rPr>
        <w:t>, through the identification of feminist themes throughout the book, and the ultimate resolution through marriage.</w:t>
      </w:r>
      <w:r w:rsidR="00DE199F">
        <w:rPr>
          <w:rFonts w:ascii="Arial" w:hAnsi="Arial" w:cs="Arial"/>
          <w:sz w:val="24"/>
          <w:szCs w:val="24"/>
        </w:rPr>
        <w:t xml:space="preserve"> </w:t>
      </w:r>
    </w:p>
    <w:p w14:paraId="0EF596B1" w14:textId="4D088947" w:rsidR="00A223ED" w:rsidRDefault="002049F5" w:rsidP="00A223ED">
      <w:pPr>
        <w:rPr>
          <w:rFonts w:ascii="Arial" w:hAnsi="Arial" w:cs="Arial"/>
          <w:b/>
          <w:bCs/>
          <w:sz w:val="28"/>
          <w:szCs w:val="28"/>
        </w:rPr>
      </w:pPr>
      <w:r>
        <w:rPr>
          <w:rFonts w:ascii="Arial" w:hAnsi="Arial" w:cs="Arial"/>
          <w:b/>
          <w:bCs/>
          <w:sz w:val="28"/>
          <w:szCs w:val="28"/>
        </w:rPr>
        <w:t xml:space="preserve">Female Agency </w:t>
      </w:r>
    </w:p>
    <w:p w14:paraId="617CE6E6" w14:textId="5E00A056" w:rsidR="008B4920" w:rsidRPr="008B4920" w:rsidRDefault="007F17FE" w:rsidP="00A223ED">
      <w:pPr>
        <w:rPr>
          <w:rFonts w:ascii="Arial" w:hAnsi="Arial" w:cs="Arial"/>
          <w:sz w:val="24"/>
          <w:szCs w:val="24"/>
        </w:rPr>
      </w:pPr>
      <w:r>
        <w:rPr>
          <w:rFonts w:ascii="Arial" w:hAnsi="Arial" w:cs="Arial"/>
          <w:sz w:val="24"/>
          <w:szCs w:val="24"/>
        </w:rPr>
        <w:t xml:space="preserve">The Book of Ruth describes to us the narrative of Ruth and Naomi, </w:t>
      </w:r>
      <w:r w:rsidR="00411CCB">
        <w:rPr>
          <w:rFonts w:ascii="Arial" w:hAnsi="Arial" w:cs="Arial"/>
          <w:sz w:val="24"/>
          <w:szCs w:val="24"/>
        </w:rPr>
        <w:t>a daughter-in-law and mother-in-law who experience</w:t>
      </w:r>
      <w:r>
        <w:rPr>
          <w:rFonts w:ascii="Arial" w:hAnsi="Arial" w:cs="Arial"/>
          <w:sz w:val="24"/>
          <w:szCs w:val="24"/>
        </w:rPr>
        <w:t xml:space="preserve"> hardship through the loss of their husbands. </w:t>
      </w:r>
      <w:r w:rsidR="006816E4">
        <w:rPr>
          <w:rFonts w:ascii="Arial" w:hAnsi="Arial" w:cs="Arial"/>
          <w:sz w:val="24"/>
          <w:szCs w:val="24"/>
        </w:rPr>
        <w:t>Their</w:t>
      </w:r>
      <w:r>
        <w:rPr>
          <w:rFonts w:ascii="Arial" w:hAnsi="Arial" w:cs="Arial"/>
          <w:sz w:val="24"/>
          <w:szCs w:val="24"/>
        </w:rPr>
        <w:t xml:space="preserve"> story is </w:t>
      </w:r>
      <w:r w:rsidR="006816E4">
        <w:rPr>
          <w:rFonts w:ascii="Arial" w:hAnsi="Arial" w:cs="Arial"/>
          <w:sz w:val="24"/>
          <w:szCs w:val="24"/>
        </w:rPr>
        <w:t>often interpreted as highlighting loyalty and perseverance within a patriarchal social structure</w:t>
      </w:r>
      <w:r w:rsidR="00E54893">
        <w:rPr>
          <w:rStyle w:val="FootnoteReference"/>
          <w:rFonts w:ascii="Arial" w:hAnsi="Arial" w:cs="Arial"/>
          <w:sz w:val="24"/>
          <w:szCs w:val="24"/>
        </w:rPr>
        <w:footnoteReference w:id="1"/>
      </w:r>
      <w:r>
        <w:rPr>
          <w:rFonts w:ascii="Arial" w:hAnsi="Arial" w:cs="Arial"/>
          <w:sz w:val="24"/>
          <w:szCs w:val="24"/>
        </w:rPr>
        <w:t xml:space="preserve">. Some scholars </w:t>
      </w:r>
      <w:r w:rsidR="00DF3EE8">
        <w:rPr>
          <w:rFonts w:ascii="Arial" w:hAnsi="Arial" w:cs="Arial"/>
          <w:sz w:val="24"/>
          <w:szCs w:val="24"/>
        </w:rPr>
        <w:t>argue that</w:t>
      </w:r>
      <w:r>
        <w:rPr>
          <w:rFonts w:ascii="Arial" w:hAnsi="Arial" w:cs="Arial"/>
          <w:sz w:val="24"/>
          <w:szCs w:val="24"/>
        </w:rPr>
        <w:t xml:space="preserve"> the Book of Ruth </w:t>
      </w:r>
      <w:r w:rsidR="00DF3EE8">
        <w:rPr>
          <w:rFonts w:ascii="Arial" w:hAnsi="Arial" w:cs="Arial"/>
          <w:sz w:val="24"/>
          <w:szCs w:val="24"/>
        </w:rPr>
        <w:t xml:space="preserve">can be read </w:t>
      </w:r>
      <w:r>
        <w:rPr>
          <w:rFonts w:ascii="Arial" w:hAnsi="Arial" w:cs="Arial"/>
          <w:sz w:val="24"/>
          <w:szCs w:val="24"/>
        </w:rPr>
        <w:t xml:space="preserve">as a feminist narrative, and evidence of this comes from the narrative being driven by Ruth and Naomi, </w:t>
      </w:r>
      <w:r w:rsidR="006816E4">
        <w:rPr>
          <w:rFonts w:ascii="Arial" w:hAnsi="Arial" w:cs="Arial"/>
          <w:sz w:val="24"/>
          <w:szCs w:val="24"/>
        </w:rPr>
        <w:t>contrasting the</w:t>
      </w:r>
      <w:r>
        <w:rPr>
          <w:rFonts w:ascii="Arial" w:hAnsi="Arial" w:cs="Arial"/>
          <w:sz w:val="24"/>
          <w:szCs w:val="24"/>
        </w:rPr>
        <w:t xml:space="preserve"> typical Old Testament</w:t>
      </w:r>
      <w:r w:rsidR="006816E4">
        <w:rPr>
          <w:rFonts w:ascii="Arial" w:hAnsi="Arial" w:cs="Arial"/>
          <w:sz w:val="24"/>
          <w:szCs w:val="24"/>
        </w:rPr>
        <w:t xml:space="preserve"> narrative w</w:t>
      </w:r>
      <w:r>
        <w:rPr>
          <w:rFonts w:ascii="Arial" w:hAnsi="Arial" w:cs="Arial"/>
          <w:sz w:val="24"/>
          <w:szCs w:val="24"/>
        </w:rPr>
        <w:t>here male figures predominantly are the focus of the narrative.</w:t>
      </w:r>
      <w:r w:rsidR="008771B6">
        <w:rPr>
          <w:rFonts w:ascii="Arial" w:hAnsi="Arial" w:cs="Arial"/>
          <w:sz w:val="24"/>
          <w:szCs w:val="24"/>
        </w:rPr>
        <w:t xml:space="preserve"> Phyllis Trible argues that “</w:t>
      </w:r>
      <w:r w:rsidR="008771B6" w:rsidRPr="008771B6">
        <w:rPr>
          <w:rFonts w:ascii="Arial" w:hAnsi="Arial" w:cs="Arial"/>
          <w:sz w:val="24"/>
          <w:szCs w:val="24"/>
        </w:rPr>
        <w:t>Naomi shapes a theology that paradoxically subverts and serves patriarchy</w:t>
      </w:r>
      <w:r w:rsidR="008771B6">
        <w:rPr>
          <w:rFonts w:ascii="Arial" w:hAnsi="Arial" w:cs="Arial"/>
          <w:sz w:val="24"/>
          <w:szCs w:val="24"/>
        </w:rPr>
        <w:t>,”</w:t>
      </w:r>
      <w:r w:rsidR="004743FA">
        <w:rPr>
          <w:rStyle w:val="FootnoteReference"/>
          <w:rFonts w:ascii="Arial" w:hAnsi="Arial" w:cs="Arial"/>
          <w:sz w:val="24"/>
          <w:szCs w:val="24"/>
        </w:rPr>
        <w:footnoteReference w:id="2"/>
      </w:r>
      <w:r w:rsidR="008771B6">
        <w:rPr>
          <w:rFonts w:ascii="Arial" w:hAnsi="Arial" w:cs="Arial"/>
          <w:sz w:val="24"/>
          <w:szCs w:val="24"/>
        </w:rPr>
        <w:t xml:space="preserve"> highlighting Naomi’s significant narrative influence, suggesting that while she operates within a patriarchal social framework, she also shapes key developments within the story.</w:t>
      </w:r>
      <w:r w:rsidR="00411CCB">
        <w:rPr>
          <w:rFonts w:ascii="Arial" w:hAnsi="Arial" w:cs="Arial"/>
          <w:sz w:val="24"/>
          <w:szCs w:val="24"/>
        </w:rPr>
        <w:t xml:space="preserve"> </w:t>
      </w:r>
      <w:r w:rsidR="006816E4">
        <w:rPr>
          <w:rFonts w:ascii="Arial" w:hAnsi="Arial" w:cs="Arial"/>
          <w:sz w:val="24"/>
          <w:szCs w:val="24"/>
        </w:rPr>
        <w:t>This becomes evident f</w:t>
      </w:r>
      <w:r w:rsidR="00411CCB">
        <w:rPr>
          <w:rFonts w:ascii="Arial" w:hAnsi="Arial" w:cs="Arial"/>
          <w:sz w:val="24"/>
          <w:szCs w:val="24"/>
        </w:rPr>
        <w:t xml:space="preserve">ollowing the death of </w:t>
      </w:r>
      <w:r w:rsidR="006816E4">
        <w:rPr>
          <w:rFonts w:ascii="Arial" w:hAnsi="Arial" w:cs="Arial"/>
          <w:sz w:val="24"/>
          <w:szCs w:val="24"/>
        </w:rPr>
        <w:t>Naomi’s husband, when she</w:t>
      </w:r>
      <w:r w:rsidR="00411CCB">
        <w:rPr>
          <w:rFonts w:ascii="Arial" w:hAnsi="Arial" w:cs="Arial"/>
          <w:sz w:val="24"/>
          <w:szCs w:val="24"/>
        </w:rPr>
        <w:t xml:space="preserve"> decides to travel to Moab, hearing news that the Lord had provided food for the people there. </w:t>
      </w:r>
      <w:r w:rsidR="006816E4">
        <w:rPr>
          <w:rFonts w:ascii="Arial" w:hAnsi="Arial" w:cs="Arial"/>
          <w:sz w:val="24"/>
          <w:szCs w:val="24"/>
        </w:rPr>
        <w:t xml:space="preserve">Initially, Naomi encourages Ruth to leave her company and return to her family, but Ruth chooses to remain with her, declaring her commitment in Ruth 1:16-18, “Where you go I will go, and where you stay I will stay.”, highlighting Ruth’s independent decision-making and loyalty, which can be interpreted as an expression of female agency. </w:t>
      </w:r>
      <w:r w:rsidR="008771B6">
        <w:rPr>
          <w:rFonts w:ascii="Arial" w:hAnsi="Arial" w:cs="Arial"/>
          <w:sz w:val="24"/>
          <w:szCs w:val="24"/>
        </w:rPr>
        <w:t>This shows Ruth’s independent decision-making, which can be interpreted as female agency within the narrative. Ruth’s agency is demonstrated further in Ruth 2, where she chooses to work in the fields to provide for herself and Naomi</w:t>
      </w:r>
      <w:r w:rsidR="00504E80">
        <w:rPr>
          <w:rFonts w:ascii="Arial" w:hAnsi="Arial" w:cs="Arial"/>
          <w:sz w:val="24"/>
          <w:szCs w:val="24"/>
        </w:rPr>
        <w:t>.</w:t>
      </w:r>
      <w:r w:rsidR="00DD2C12">
        <w:rPr>
          <w:rFonts w:ascii="Arial" w:hAnsi="Arial" w:cs="Arial"/>
          <w:sz w:val="24"/>
          <w:szCs w:val="24"/>
        </w:rPr>
        <w:t xml:space="preserve"> Richard Purcell notes that Boaz’s words “paint Ruth in the patriarchal role”</w:t>
      </w:r>
      <w:r w:rsidR="00632368">
        <w:rPr>
          <w:rFonts w:ascii="Arial" w:hAnsi="Arial" w:cs="Arial"/>
          <w:sz w:val="24"/>
          <w:szCs w:val="24"/>
        </w:rPr>
        <w:t xml:space="preserve">, likening her acts </w:t>
      </w:r>
      <w:r w:rsidR="000B068C">
        <w:rPr>
          <w:rFonts w:ascii="Arial" w:hAnsi="Arial" w:cs="Arial"/>
          <w:sz w:val="24"/>
          <w:szCs w:val="24"/>
        </w:rPr>
        <w:lastRenderedPageBreak/>
        <w:t>to those of</w:t>
      </w:r>
      <w:r w:rsidR="00632368">
        <w:rPr>
          <w:rFonts w:ascii="Arial" w:hAnsi="Arial" w:cs="Arial"/>
          <w:sz w:val="24"/>
          <w:szCs w:val="24"/>
        </w:rPr>
        <w:t xml:space="preserve"> figures such as Abraham</w:t>
      </w:r>
      <w:r w:rsidR="00512AE2">
        <w:rPr>
          <w:rStyle w:val="FootnoteReference"/>
          <w:rFonts w:ascii="Arial" w:hAnsi="Arial" w:cs="Arial"/>
          <w:sz w:val="24"/>
          <w:szCs w:val="24"/>
        </w:rPr>
        <w:footnoteReference w:id="3"/>
      </w:r>
      <w:r w:rsidR="00512AE2">
        <w:rPr>
          <w:rFonts w:ascii="Arial" w:hAnsi="Arial" w:cs="Arial"/>
          <w:sz w:val="24"/>
          <w:szCs w:val="24"/>
        </w:rPr>
        <w:t>.</w:t>
      </w:r>
      <w:r w:rsidR="008771B6">
        <w:rPr>
          <w:rFonts w:ascii="Arial" w:hAnsi="Arial" w:cs="Arial"/>
          <w:sz w:val="24"/>
          <w:szCs w:val="24"/>
        </w:rPr>
        <w:t xml:space="preserve"> </w:t>
      </w:r>
      <w:r w:rsidR="004743FA">
        <w:rPr>
          <w:rFonts w:ascii="Arial" w:hAnsi="Arial" w:cs="Arial"/>
          <w:sz w:val="24"/>
          <w:szCs w:val="24"/>
        </w:rPr>
        <w:t>She is noticed by Boaz, the owner of the field, who instructs his workers to allow her to glean the sheaves in his fields (Ruth 2:8-13). This shows that while Ruth is operating within a patriarchal economic system, she is still able to influence her own circumstances</w:t>
      </w:r>
      <w:r w:rsidR="00B55838">
        <w:rPr>
          <w:rFonts w:ascii="Arial" w:hAnsi="Arial" w:cs="Arial"/>
          <w:sz w:val="24"/>
          <w:szCs w:val="24"/>
        </w:rPr>
        <w:t xml:space="preserve"> and exercise a degree of agency, </w:t>
      </w:r>
      <w:r w:rsidR="005A0AF9">
        <w:rPr>
          <w:rFonts w:ascii="Arial" w:hAnsi="Arial" w:cs="Arial"/>
          <w:sz w:val="24"/>
          <w:szCs w:val="24"/>
        </w:rPr>
        <w:t>albeit within limits defined by male authority</w:t>
      </w:r>
      <w:r w:rsidR="009A2064">
        <w:rPr>
          <w:rFonts w:ascii="Arial" w:hAnsi="Arial" w:cs="Arial"/>
          <w:sz w:val="24"/>
          <w:szCs w:val="24"/>
        </w:rPr>
        <w:t xml:space="preserve">, reinforcing the idea that while Ruth’s agency is significant, it is not fully autonomous. </w:t>
      </w:r>
      <w:r w:rsidR="001D4628">
        <w:rPr>
          <w:rFonts w:ascii="Arial" w:hAnsi="Arial" w:cs="Arial"/>
          <w:sz w:val="24"/>
          <w:szCs w:val="24"/>
        </w:rPr>
        <w:t>A further example of Ruth’s agency is within Ruth 3, where she follows Naomi’s ins</w:t>
      </w:r>
      <w:r w:rsidR="00D13B14">
        <w:rPr>
          <w:rFonts w:ascii="Arial" w:hAnsi="Arial" w:cs="Arial"/>
          <w:sz w:val="24"/>
          <w:szCs w:val="24"/>
        </w:rPr>
        <w:t>tructions to approach Boaz (Ruth 3:</w:t>
      </w:r>
      <w:r w:rsidR="006C4CD2">
        <w:rPr>
          <w:rFonts w:ascii="Arial" w:hAnsi="Arial" w:cs="Arial"/>
          <w:sz w:val="24"/>
          <w:szCs w:val="24"/>
        </w:rPr>
        <w:t>1-5)</w:t>
      </w:r>
      <w:r w:rsidR="00A9295B">
        <w:rPr>
          <w:rFonts w:ascii="Arial" w:hAnsi="Arial" w:cs="Arial"/>
          <w:sz w:val="24"/>
          <w:szCs w:val="24"/>
        </w:rPr>
        <w:t xml:space="preserve">, displaying that these women are </w:t>
      </w:r>
      <w:r w:rsidR="003A1CCF">
        <w:rPr>
          <w:rFonts w:ascii="Arial" w:hAnsi="Arial" w:cs="Arial"/>
          <w:sz w:val="24"/>
          <w:szCs w:val="24"/>
        </w:rPr>
        <w:t>strategizing</w:t>
      </w:r>
      <w:r w:rsidR="00A9295B">
        <w:rPr>
          <w:rFonts w:ascii="Arial" w:hAnsi="Arial" w:cs="Arial"/>
          <w:sz w:val="24"/>
          <w:szCs w:val="24"/>
        </w:rPr>
        <w:t xml:space="preserve"> without male guidance. </w:t>
      </w:r>
      <w:r w:rsidR="003A1CCF">
        <w:rPr>
          <w:rFonts w:ascii="Arial" w:hAnsi="Arial" w:cs="Arial"/>
          <w:sz w:val="24"/>
          <w:szCs w:val="24"/>
        </w:rPr>
        <w:t xml:space="preserve">Although the plan is directed by Naomi, Ruth’s willingness to execute </w:t>
      </w:r>
      <w:r w:rsidR="007023A6">
        <w:rPr>
          <w:rFonts w:ascii="Arial" w:hAnsi="Arial" w:cs="Arial"/>
          <w:sz w:val="24"/>
          <w:szCs w:val="24"/>
        </w:rPr>
        <w:t>it demonstrates her willingness to take a risk in order to secure her future. As S</w:t>
      </w:r>
      <w:r w:rsidR="00EA7270">
        <w:rPr>
          <w:rFonts w:ascii="Arial" w:hAnsi="Arial" w:cs="Arial"/>
          <w:sz w:val="24"/>
          <w:szCs w:val="24"/>
        </w:rPr>
        <w:t>a</w:t>
      </w:r>
      <w:r w:rsidR="007023A6">
        <w:rPr>
          <w:rFonts w:ascii="Arial" w:hAnsi="Arial" w:cs="Arial"/>
          <w:sz w:val="24"/>
          <w:szCs w:val="24"/>
        </w:rPr>
        <w:t xml:space="preserve">kenfeld observes, </w:t>
      </w:r>
      <w:r w:rsidR="0006569F">
        <w:rPr>
          <w:rFonts w:ascii="Arial" w:hAnsi="Arial" w:cs="Arial"/>
          <w:sz w:val="24"/>
          <w:szCs w:val="24"/>
        </w:rPr>
        <w:t xml:space="preserve">Ruth’s actions within this narrative are bold and strategic, displaying her active role in </w:t>
      </w:r>
      <w:r w:rsidR="00B43F4D">
        <w:rPr>
          <w:rFonts w:ascii="Arial" w:hAnsi="Arial" w:cs="Arial"/>
          <w:sz w:val="24"/>
          <w:szCs w:val="24"/>
        </w:rPr>
        <w:t>deciding her own outcome</w:t>
      </w:r>
      <w:r w:rsidR="00AF53F8">
        <w:rPr>
          <w:rStyle w:val="FootnoteReference"/>
          <w:rFonts w:ascii="Arial" w:hAnsi="Arial" w:cs="Arial"/>
          <w:sz w:val="24"/>
          <w:szCs w:val="24"/>
        </w:rPr>
        <w:footnoteReference w:id="4"/>
      </w:r>
      <w:r w:rsidR="00B43F4D">
        <w:rPr>
          <w:rFonts w:ascii="Arial" w:hAnsi="Arial" w:cs="Arial"/>
          <w:sz w:val="24"/>
          <w:szCs w:val="24"/>
        </w:rPr>
        <w:t xml:space="preserve">. </w:t>
      </w:r>
      <w:r w:rsidR="00A91A18">
        <w:rPr>
          <w:rFonts w:ascii="Arial" w:hAnsi="Arial" w:cs="Arial"/>
          <w:sz w:val="24"/>
          <w:szCs w:val="24"/>
        </w:rPr>
        <w:t>Sakenfeld also notes that the significance of Ruth’s preparation for this encounter ha</w:t>
      </w:r>
      <w:r w:rsidR="00EA7270">
        <w:rPr>
          <w:rFonts w:ascii="Arial" w:hAnsi="Arial" w:cs="Arial"/>
          <w:sz w:val="24"/>
          <w:szCs w:val="24"/>
        </w:rPr>
        <w:t>s</w:t>
      </w:r>
      <w:r w:rsidR="00A91A18">
        <w:rPr>
          <w:rFonts w:ascii="Arial" w:hAnsi="Arial" w:cs="Arial"/>
          <w:sz w:val="24"/>
          <w:szCs w:val="24"/>
        </w:rPr>
        <w:t xml:space="preserve"> been debated, and </w:t>
      </w:r>
      <w:r w:rsidR="000B2463">
        <w:rPr>
          <w:rFonts w:ascii="Arial" w:hAnsi="Arial" w:cs="Arial"/>
          <w:sz w:val="24"/>
          <w:szCs w:val="24"/>
        </w:rPr>
        <w:t xml:space="preserve">there is no final interpretation </w:t>
      </w:r>
      <w:r w:rsidR="00C702AE">
        <w:rPr>
          <w:rFonts w:ascii="Arial" w:hAnsi="Arial" w:cs="Arial"/>
          <w:sz w:val="24"/>
          <w:szCs w:val="24"/>
        </w:rPr>
        <w:t xml:space="preserve">accounting for the details of the scene. This vagueness </w:t>
      </w:r>
      <w:r w:rsidR="00A26D82">
        <w:rPr>
          <w:rFonts w:ascii="Arial" w:hAnsi="Arial" w:cs="Arial"/>
          <w:sz w:val="24"/>
          <w:szCs w:val="24"/>
        </w:rPr>
        <w:t>shows that Ruth’s actions are complex, suggesting that her actions are deliberate and not purely symbolic</w:t>
      </w:r>
      <w:r w:rsidR="00AF53F8">
        <w:rPr>
          <w:rStyle w:val="FootnoteReference"/>
          <w:rFonts w:ascii="Arial" w:hAnsi="Arial" w:cs="Arial"/>
          <w:sz w:val="24"/>
          <w:szCs w:val="24"/>
        </w:rPr>
        <w:footnoteReference w:id="5"/>
      </w:r>
      <w:r w:rsidR="00A26D82">
        <w:rPr>
          <w:rFonts w:ascii="Arial" w:hAnsi="Arial" w:cs="Arial"/>
          <w:sz w:val="24"/>
          <w:szCs w:val="24"/>
        </w:rPr>
        <w:t>.</w:t>
      </w:r>
    </w:p>
    <w:p w14:paraId="16BF1CE7" w14:textId="21FF1828" w:rsidR="002049F5" w:rsidRDefault="007F17FE" w:rsidP="00A223ED">
      <w:pPr>
        <w:rPr>
          <w:rFonts w:ascii="Arial" w:hAnsi="Arial" w:cs="Arial"/>
          <w:b/>
          <w:bCs/>
          <w:sz w:val="28"/>
          <w:szCs w:val="28"/>
        </w:rPr>
      </w:pPr>
      <w:r>
        <w:rPr>
          <w:rFonts w:ascii="Arial" w:hAnsi="Arial" w:cs="Arial"/>
          <w:b/>
          <w:bCs/>
          <w:sz w:val="28"/>
          <w:szCs w:val="28"/>
        </w:rPr>
        <w:t>Survival &amp; Structural Constraints</w:t>
      </w:r>
    </w:p>
    <w:p w14:paraId="0DA7C8D9" w14:textId="77777777" w:rsidR="00B75859" w:rsidRDefault="00B501C7" w:rsidP="00A223ED">
      <w:pPr>
        <w:rPr>
          <w:rFonts w:ascii="Arial" w:hAnsi="Arial" w:cs="Arial"/>
          <w:sz w:val="24"/>
          <w:szCs w:val="24"/>
        </w:rPr>
      </w:pPr>
      <w:r>
        <w:rPr>
          <w:rFonts w:ascii="Arial" w:hAnsi="Arial" w:cs="Arial"/>
          <w:sz w:val="24"/>
          <w:szCs w:val="24"/>
        </w:rPr>
        <w:t xml:space="preserve">While the Book of Ruth presents </w:t>
      </w:r>
      <w:r w:rsidR="0039047E">
        <w:rPr>
          <w:rFonts w:ascii="Arial" w:hAnsi="Arial" w:cs="Arial"/>
          <w:sz w:val="24"/>
          <w:szCs w:val="24"/>
        </w:rPr>
        <w:t xml:space="preserve">clear examples of female agency, </w:t>
      </w:r>
      <w:r w:rsidR="009C3290">
        <w:rPr>
          <w:rFonts w:ascii="Arial" w:hAnsi="Arial" w:cs="Arial"/>
          <w:sz w:val="24"/>
          <w:szCs w:val="24"/>
        </w:rPr>
        <w:t>this agency is exercised within a patriarchal social and economic system</w:t>
      </w:r>
      <w:r w:rsidR="007671E5">
        <w:rPr>
          <w:rFonts w:ascii="Arial" w:hAnsi="Arial" w:cs="Arial"/>
          <w:sz w:val="24"/>
          <w:szCs w:val="24"/>
        </w:rPr>
        <w:t>. Therefore, Ruth’s ability to act independently is not entirely autonomous, but dependent on structures ultimately controlled by male figures</w:t>
      </w:r>
      <w:r w:rsidR="00827A8F">
        <w:rPr>
          <w:rFonts w:ascii="Arial" w:hAnsi="Arial" w:cs="Arial"/>
          <w:sz w:val="24"/>
          <w:szCs w:val="24"/>
        </w:rPr>
        <w:t xml:space="preserve">. Sakenfeld notes that while the narrative begins with women making decisions independently, </w:t>
      </w:r>
      <w:r w:rsidR="000725C1">
        <w:rPr>
          <w:rFonts w:ascii="Arial" w:hAnsi="Arial" w:cs="Arial"/>
          <w:sz w:val="24"/>
          <w:szCs w:val="24"/>
        </w:rPr>
        <w:t>these actions are “circumscribed by the customs and assumptions of a male-dominated social structure,” emphasising the limits placed on female autonomy throughout the story</w:t>
      </w:r>
      <w:r w:rsidR="008D4763">
        <w:rPr>
          <w:rStyle w:val="FootnoteReference"/>
          <w:rFonts w:ascii="Arial" w:hAnsi="Arial" w:cs="Arial"/>
          <w:sz w:val="24"/>
          <w:szCs w:val="24"/>
        </w:rPr>
        <w:footnoteReference w:id="6"/>
      </w:r>
      <w:r w:rsidR="007671E5">
        <w:rPr>
          <w:rFonts w:ascii="Arial" w:hAnsi="Arial" w:cs="Arial"/>
          <w:sz w:val="24"/>
          <w:szCs w:val="24"/>
        </w:rPr>
        <w:t xml:space="preserve">. </w:t>
      </w:r>
      <w:r w:rsidR="001B7E59">
        <w:rPr>
          <w:rFonts w:ascii="Arial" w:hAnsi="Arial" w:cs="Arial"/>
          <w:sz w:val="24"/>
          <w:szCs w:val="24"/>
        </w:rPr>
        <w:t xml:space="preserve">We see in Ruth 2:2-3 that Ruth decides to glean in the fields, reflecting her initiative but also displaying the necessity of this act, </w:t>
      </w:r>
      <w:r w:rsidR="003D0E1C">
        <w:rPr>
          <w:rFonts w:ascii="Arial" w:hAnsi="Arial" w:cs="Arial"/>
          <w:sz w:val="24"/>
          <w:szCs w:val="24"/>
        </w:rPr>
        <w:t xml:space="preserve">as gleaning was a provision for the poor within Israelite law. While she independently made this decision to glean, </w:t>
      </w:r>
      <w:r w:rsidR="005A32A0">
        <w:rPr>
          <w:rFonts w:ascii="Arial" w:hAnsi="Arial" w:cs="Arial"/>
          <w:sz w:val="24"/>
          <w:szCs w:val="24"/>
        </w:rPr>
        <w:t xml:space="preserve">her actions were a result of </w:t>
      </w:r>
      <w:r w:rsidR="00E53BCA">
        <w:rPr>
          <w:rFonts w:ascii="Arial" w:hAnsi="Arial" w:cs="Arial"/>
          <w:sz w:val="24"/>
          <w:szCs w:val="24"/>
        </w:rPr>
        <w:t>necessity and survival</w:t>
      </w:r>
      <w:r w:rsidR="00E10D12">
        <w:rPr>
          <w:rFonts w:ascii="Arial" w:hAnsi="Arial" w:cs="Arial"/>
          <w:sz w:val="24"/>
          <w:szCs w:val="24"/>
        </w:rPr>
        <w:t>.</w:t>
      </w:r>
      <w:r w:rsidR="00901417">
        <w:rPr>
          <w:rFonts w:ascii="Arial" w:hAnsi="Arial" w:cs="Arial"/>
          <w:sz w:val="24"/>
          <w:szCs w:val="24"/>
        </w:rPr>
        <w:t xml:space="preserve"> Sakenfeld notes that ‘Ruth’s gleaning represents the option available to destitute women</w:t>
      </w:r>
      <w:r w:rsidR="008740B2">
        <w:rPr>
          <w:rFonts w:ascii="Arial" w:hAnsi="Arial" w:cs="Arial"/>
          <w:sz w:val="24"/>
          <w:szCs w:val="24"/>
        </w:rPr>
        <w:t>’</w:t>
      </w:r>
      <w:r w:rsidR="008740B2">
        <w:rPr>
          <w:rStyle w:val="FootnoteReference"/>
          <w:rFonts w:ascii="Arial" w:hAnsi="Arial" w:cs="Arial"/>
          <w:sz w:val="24"/>
          <w:szCs w:val="24"/>
        </w:rPr>
        <w:footnoteReference w:id="7"/>
      </w:r>
      <w:r w:rsidR="00CC2F3C">
        <w:rPr>
          <w:rFonts w:ascii="Arial" w:hAnsi="Arial" w:cs="Arial"/>
          <w:sz w:val="24"/>
          <w:szCs w:val="24"/>
        </w:rPr>
        <w:t xml:space="preserve">, displaying </w:t>
      </w:r>
      <w:r w:rsidR="00E10D12">
        <w:rPr>
          <w:rFonts w:ascii="Arial" w:hAnsi="Arial" w:cs="Arial"/>
          <w:sz w:val="24"/>
          <w:szCs w:val="24"/>
        </w:rPr>
        <w:t>how her choices are shaped by economic vulnerability</w:t>
      </w:r>
      <w:r w:rsidR="00B75859" w:rsidRPr="00B75859">
        <w:t xml:space="preserve"> </w:t>
      </w:r>
      <w:r w:rsidR="00B75859" w:rsidRPr="00B75859">
        <w:rPr>
          <w:rFonts w:ascii="Arial" w:hAnsi="Arial" w:cs="Arial"/>
          <w:sz w:val="24"/>
          <w:szCs w:val="24"/>
        </w:rPr>
        <w:t xml:space="preserve">Her ability to glean safely is ultimately dependent on Boaz’s permission, highlighting the dependence of women on male landowners who control access to economic survival. Although Ruth acts through her own agency, she relies on gleaning to sustain herself, meaning her survival is based on legal provisions for the poor rather than true independence. The fields in which she gleans are owned by Boaz, reinforcing that her access to food is mediated through male property ownership and permission. More broadly, Israelite legal and social structures locate </w:t>
      </w:r>
      <w:r w:rsidR="00B75859" w:rsidRPr="00B75859">
        <w:rPr>
          <w:rFonts w:ascii="Arial" w:hAnsi="Arial" w:cs="Arial"/>
          <w:sz w:val="24"/>
          <w:szCs w:val="24"/>
        </w:rPr>
        <w:lastRenderedPageBreak/>
        <w:t>women’s security within marriage, meaning that long-term protection and inheritance are dependent on the male redeemer system.</w:t>
      </w:r>
    </w:p>
    <w:p w14:paraId="2618254F" w14:textId="7F94E1CF" w:rsidR="002049F5" w:rsidRDefault="007F17FE" w:rsidP="00A223ED">
      <w:pPr>
        <w:rPr>
          <w:rFonts w:ascii="Arial" w:hAnsi="Arial" w:cs="Arial"/>
          <w:b/>
          <w:bCs/>
          <w:sz w:val="28"/>
          <w:szCs w:val="28"/>
        </w:rPr>
      </w:pPr>
      <w:r>
        <w:rPr>
          <w:rFonts w:ascii="Arial" w:hAnsi="Arial" w:cs="Arial"/>
          <w:b/>
          <w:bCs/>
          <w:sz w:val="28"/>
          <w:szCs w:val="28"/>
        </w:rPr>
        <w:t>Resolution Through Marriage</w:t>
      </w:r>
    </w:p>
    <w:p w14:paraId="7FC0918A" w14:textId="0235BAA5" w:rsidR="007F17FE" w:rsidRPr="00E404D7" w:rsidRDefault="002F3E18" w:rsidP="00A223ED">
      <w:pPr>
        <w:rPr>
          <w:rFonts w:ascii="Arial" w:hAnsi="Arial" w:cs="Arial"/>
          <w:sz w:val="24"/>
          <w:szCs w:val="24"/>
        </w:rPr>
      </w:pPr>
      <w:r>
        <w:rPr>
          <w:rFonts w:ascii="Arial" w:hAnsi="Arial" w:cs="Arial"/>
          <w:sz w:val="24"/>
          <w:szCs w:val="24"/>
        </w:rPr>
        <w:t xml:space="preserve">Despite the </w:t>
      </w:r>
      <w:r w:rsidR="007F53BB">
        <w:rPr>
          <w:rFonts w:ascii="Arial" w:hAnsi="Arial" w:cs="Arial"/>
          <w:sz w:val="24"/>
          <w:szCs w:val="24"/>
        </w:rPr>
        <w:t xml:space="preserve">independence and </w:t>
      </w:r>
      <w:r w:rsidR="00006BD6">
        <w:rPr>
          <w:rFonts w:ascii="Arial" w:hAnsi="Arial" w:cs="Arial"/>
          <w:sz w:val="24"/>
          <w:szCs w:val="24"/>
        </w:rPr>
        <w:t>initiative</w:t>
      </w:r>
      <w:r w:rsidR="007F53BB">
        <w:rPr>
          <w:rFonts w:ascii="Arial" w:hAnsi="Arial" w:cs="Arial"/>
          <w:sz w:val="24"/>
          <w:szCs w:val="24"/>
        </w:rPr>
        <w:t xml:space="preserve"> displayed by Ruth and </w:t>
      </w:r>
      <w:r w:rsidR="00006BD6">
        <w:rPr>
          <w:rFonts w:ascii="Arial" w:hAnsi="Arial" w:cs="Arial"/>
          <w:sz w:val="24"/>
          <w:szCs w:val="24"/>
        </w:rPr>
        <w:t>Naomi</w:t>
      </w:r>
      <w:r w:rsidR="007F53BB">
        <w:rPr>
          <w:rFonts w:ascii="Arial" w:hAnsi="Arial" w:cs="Arial"/>
          <w:sz w:val="24"/>
          <w:szCs w:val="24"/>
        </w:rPr>
        <w:t xml:space="preserve"> throughout the narrative, the story’s resolution depends on</w:t>
      </w:r>
      <w:r w:rsidR="00006BD6">
        <w:rPr>
          <w:rFonts w:ascii="Arial" w:hAnsi="Arial" w:cs="Arial"/>
          <w:sz w:val="24"/>
          <w:szCs w:val="24"/>
        </w:rPr>
        <w:t xml:space="preserve"> the patriarchal structure of marriage, with Ruth marrying </w:t>
      </w:r>
      <w:r w:rsidR="00B45ACC">
        <w:rPr>
          <w:rFonts w:ascii="Arial" w:hAnsi="Arial" w:cs="Arial"/>
          <w:sz w:val="24"/>
          <w:szCs w:val="24"/>
        </w:rPr>
        <w:t>Boaz</w:t>
      </w:r>
      <w:r w:rsidR="00E5574D">
        <w:rPr>
          <w:rFonts w:ascii="Arial" w:hAnsi="Arial" w:cs="Arial"/>
          <w:sz w:val="24"/>
          <w:szCs w:val="24"/>
        </w:rPr>
        <w:t xml:space="preserve"> to guarantee security for her future</w:t>
      </w:r>
      <w:r w:rsidR="00C461C7">
        <w:rPr>
          <w:rFonts w:ascii="Arial" w:hAnsi="Arial" w:cs="Arial"/>
          <w:sz w:val="24"/>
          <w:szCs w:val="24"/>
        </w:rPr>
        <w:t xml:space="preserve">. This </w:t>
      </w:r>
      <w:r w:rsidR="003A1340">
        <w:rPr>
          <w:rFonts w:ascii="Arial" w:hAnsi="Arial" w:cs="Arial"/>
          <w:sz w:val="24"/>
          <w:szCs w:val="24"/>
        </w:rPr>
        <w:t>demonstrates</w:t>
      </w:r>
      <w:r w:rsidR="00C461C7">
        <w:rPr>
          <w:rFonts w:ascii="Arial" w:hAnsi="Arial" w:cs="Arial"/>
          <w:sz w:val="24"/>
          <w:szCs w:val="24"/>
        </w:rPr>
        <w:t xml:space="preserve"> that while Ruth acts independently throughout the text, </w:t>
      </w:r>
      <w:r w:rsidR="001C4300">
        <w:rPr>
          <w:rFonts w:ascii="Arial" w:hAnsi="Arial" w:cs="Arial"/>
          <w:sz w:val="24"/>
          <w:szCs w:val="24"/>
        </w:rPr>
        <w:t xml:space="preserve">her long-term security is only achieved through submission to a </w:t>
      </w:r>
      <w:r w:rsidR="003B7D4C">
        <w:rPr>
          <w:rFonts w:ascii="Arial" w:hAnsi="Arial" w:cs="Arial"/>
          <w:sz w:val="24"/>
          <w:szCs w:val="24"/>
        </w:rPr>
        <w:t>male-controlled</w:t>
      </w:r>
      <w:r w:rsidR="001C4300">
        <w:rPr>
          <w:rFonts w:ascii="Arial" w:hAnsi="Arial" w:cs="Arial"/>
          <w:sz w:val="24"/>
          <w:szCs w:val="24"/>
        </w:rPr>
        <w:t xml:space="preserve"> legal system</w:t>
      </w:r>
      <w:r w:rsidR="00E036FA">
        <w:rPr>
          <w:rFonts w:ascii="Arial" w:hAnsi="Arial" w:cs="Arial"/>
          <w:sz w:val="24"/>
          <w:szCs w:val="24"/>
        </w:rPr>
        <w:t xml:space="preserve">, reinforcing the </w:t>
      </w:r>
      <w:r w:rsidR="00FA3D3D">
        <w:rPr>
          <w:rFonts w:ascii="Arial" w:hAnsi="Arial" w:cs="Arial"/>
          <w:sz w:val="24"/>
          <w:szCs w:val="24"/>
        </w:rPr>
        <w:t xml:space="preserve">dependence of women on male protection within Israelite society. </w:t>
      </w:r>
      <w:r w:rsidR="000C10F0">
        <w:rPr>
          <w:rFonts w:ascii="Arial" w:hAnsi="Arial" w:cs="Arial"/>
          <w:sz w:val="24"/>
          <w:szCs w:val="24"/>
        </w:rPr>
        <w:t xml:space="preserve">Ruth 4 begins </w:t>
      </w:r>
      <w:r w:rsidR="00675318">
        <w:rPr>
          <w:rFonts w:ascii="Arial" w:hAnsi="Arial" w:cs="Arial"/>
          <w:sz w:val="24"/>
          <w:szCs w:val="24"/>
        </w:rPr>
        <w:t>with</w:t>
      </w:r>
      <w:r w:rsidR="000C10F0">
        <w:rPr>
          <w:rFonts w:ascii="Arial" w:hAnsi="Arial" w:cs="Arial"/>
          <w:sz w:val="24"/>
          <w:szCs w:val="24"/>
        </w:rPr>
        <w:t xml:space="preserve"> Boaz bargaining with the elders of the town for Naomi’s </w:t>
      </w:r>
      <w:r w:rsidR="00675318">
        <w:rPr>
          <w:rFonts w:ascii="Arial" w:hAnsi="Arial" w:cs="Arial"/>
          <w:sz w:val="24"/>
          <w:szCs w:val="24"/>
        </w:rPr>
        <w:t>land. He states that with this land will come Ruth</w:t>
      </w:r>
      <w:r w:rsidR="00243780">
        <w:rPr>
          <w:rFonts w:ascii="Arial" w:hAnsi="Arial" w:cs="Arial"/>
          <w:sz w:val="24"/>
          <w:szCs w:val="24"/>
        </w:rPr>
        <w:t xml:space="preserve">, </w:t>
      </w:r>
      <w:r w:rsidR="00025AE2">
        <w:rPr>
          <w:rFonts w:ascii="Arial" w:hAnsi="Arial" w:cs="Arial"/>
          <w:sz w:val="24"/>
          <w:szCs w:val="24"/>
        </w:rPr>
        <w:t>to</w:t>
      </w:r>
      <w:r w:rsidR="00243780">
        <w:rPr>
          <w:rFonts w:ascii="Arial" w:hAnsi="Arial" w:cs="Arial"/>
          <w:sz w:val="24"/>
          <w:szCs w:val="24"/>
        </w:rPr>
        <w:t xml:space="preserve"> “maintain the name of the dead with his property” (Ruth 4:5).</w:t>
      </w:r>
      <w:r w:rsidR="00025AE2">
        <w:rPr>
          <w:rFonts w:ascii="Arial" w:hAnsi="Arial" w:cs="Arial"/>
          <w:sz w:val="24"/>
          <w:szCs w:val="24"/>
        </w:rPr>
        <w:t xml:space="preserve"> </w:t>
      </w:r>
      <w:r w:rsidR="004B566D">
        <w:rPr>
          <w:rFonts w:ascii="Arial" w:hAnsi="Arial" w:cs="Arial"/>
          <w:sz w:val="24"/>
          <w:szCs w:val="24"/>
        </w:rPr>
        <w:t xml:space="preserve">This passage </w:t>
      </w:r>
      <w:r w:rsidR="00C462B5">
        <w:rPr>
          <w:rFonts w:ascii="Arial" w:hAnsi="Arial" w:cs="Arial"/>
          <w:sz w:val="24"/>
          <w:szCs w:val="24"/>
        </w:rPr>
        <w:t>demonstrates that Ruth’s marriage is negotiated through male legal authority,</w:t>
      </w:r>
      <w:r w:rsidR="001B29C1">
        <w:rPr>
          <w:rFonts w:ascii="Arial" w:hAnsi="Arial" w:cs="Arial"/>
          <w:sz w:val="24"/>
          <w:szCs w:val="24"/>
        </w:rPr>
        <w:t xml:space="preserve"> </w:t>
      </w:r>
      <w:r w:rsidR="00081F30">
        <w:rPr>
          <w:rFonts w:ascii="Arial" w:hAnsi="Arial" w:cs="Arial"/>
          <w:sz w:val="24"/>
          <w:szCs w:val="24"/>
        </w:rPr>
        <w:t>centred on</w:t>
      </w:r>
      <w:r w:rsidR="001B29C1">
        <w:rPr>
          <w:rFonts w:ascii="Arial" w:hAnsi="Arial" w:cs="Arial"/>
          <w:sz w:val="24"/>
          <w:szCs w:val="24"/>
        </w:rPr>
        <w:t xml:space="preserve"> inheritance and social security, as opposed to personal choice in the modern </w:t>
      </w:r>
      <w:r w:rsidR="00D349F6">
        <w:rPr>
          <w:rFonts w:ascii="Arial" w:hAnsi="Arial" w:cs="Arial"/>
          <w:sz w:val="24"/>
          <w:szCs w:val="24"/>
        </w:rPr>
        <w:t>understanding</w:t>
      </w:r>
      <w:r w:rsidR="001B29C1">
        <w:rPr>
          <w:rFonts w:ascii="Arial" w:hAnsi="Arial" w:cs="Arial"/>
          <w:sz w:val="24"/>
          <w:szCs w:val="24"/>
        </w:rPr>
        <w:t xml:space="preserve"> of marriage.</w:t>
      </w:r>
      <w:r w:rsidR="00C7188A">
        <w:rPr>
          <w:rFonts w:ascii="Arial" w:hAnsi="Arial" w:cs="Arial"/>
          <w:sz w:val="24"/>
          <w:szCs w:val="24"/>
        </w:rPr>
        <w:t xml:space="preserve"> </w:t>
      </w:r>
      <w:r w:rsidR="003C6D29">
        <w:rPr>
          <w:rFonts w:ascii="Arial" w:hAnsi="Arial" w:cs="Arial"/>
          <w:sz w:val="24"/>
          <w:szCs w:val="24"/>
        </w:rPr>
        <w:t xml:space="preserve"> This transaction is validated by the male elders, who </w:t>
      </w:r>
      <w:r w:rsidR="00484B83">
        <w:rPr>
          <w:rFonts w:ascii="Arial" w:hAnsi="Arial" w:cs="Arial"/>
          <w:sz w:val="24"/>
          <w:szCs w:val="24"/>
        </w:rPr>
        <w:t>hold the legal authority required to process it</w:t>
      </w:r>
      <w:r w:rsidR="001A7C30">
        <w:rPr>
          <w:rFonts w:ascii="Arial" w:hAnsi="Arial" w:cs="Arial"/>
          <w:sz w:val="24"/>
          <w:szCs w:val="24"/>
        </w:rPr>
        <w:t xml:space="preserve">. This chapter shows that while the </w:t>
      </w:r>
      <w:r w:rsidR="00DD1E52">
        <w:rPr>
          <w:rFonts w:ascii="Arial" w:hAnsi="Arial" w:cs="Arial"/>
          <w:sz w:val="24"/>
          <w:szCs w:val="24"/>
        </w:rPr>
        <w:t xml:space="preserve">book of Ruth began centred around female agency and initiative, the narrative has shifted </w:t>
      </w:r>
      <w:r w:rsidR="009465C3">
        <w:rPr>
          <w:rFonts w:ascii="Arial" w:hAnsi="Arial" w:cs="Arial"/>
          <w:sz w:val="24"/>
          <w:szCs w:val="24"/>
        </w:rPr>
        <w:t xml:space="preserve">to patriarchal systems </w:t>
      </w:r>
      <w:r w:rsidR="009F2DB3">
        <w:rPr>
          <w:rFonts w:ascii="Arial" w:hAnsi="Arial" w:cs="Arial"/>
          <w:sz w:val="24"/>
          <w:szCs w:val="24"/>
        </w:rPr>
        <w:t>structured</w:t>
      </w:r>
      <w:r w:rsidR="009465C3">
        <w:rPr>
          <w:rFonts w:ascii="Arial" w:hAnsi="Arial" w:cs="Arial"/>
          <w:sz w:val="24"/>
          <w:szCs w:val="24"/>
        </w:rPr>
        <w:t xml:space="preserve"> around male authority. </w:t>
      </w:r>
      <w:r w:rsidR="00B22F6A">
        <w:rPr>
          <w:rFonts w:ascii="Arial" w:hAnsi="Arial" w:cs="Arial"/>
          <w:sz w:val="24"/>
          <w:szCs w:val="24"/>
        </w:rPr>
        <w:t xml:space="preserve">While Ruth’s agency is significant, it does </w:t>
      </w:r>
      <w:r w:rsidR="00E8184F">
        <w:rPr>
          <w:rFonts w:ascii="Arial" w:hAnsi="Arial" w:cs="Arial"/>
          <w:sz w:val="24"/>
          <w:szCs w:val="24"/>
        </w:rPr>
        <w:t xml:space="preserve">not dismantle the patriarchal structures. The narrative instead resolves through Ruth’s integration </w:t>
      </w:r>
      <w:r w:rsidR="00101CC3">
        <w:rPr>
          <w:rFonts w:ascii="Arial" w:hAnsi="Arial" w:cs="Arial"/>
          <w:sz w:val="24"/>
          <w:szCs w:val="24"/>
        </w:rPr>
        <w:t xml:space="preserve">into those structures through marriage. Therefore, </w:t>
      </w:r>
      <w:r w:rsidR="00EA0ED7">
        <w:rPr>
          <w:rFonts w:ascii="Arial" w:hAnsi="Arial" w:cs="Arial"/>
          <w:sz w:val="24"/>
          <w:szCs w:val="24"/>
        </w:rPr>
        <w:t>despite the book of Ruth presenting women as active participants within the narrative, its conclusion ultimately reinforces those patriarchal systems</w:t>
      </w:r>
      <w:r w:rsidR="00595667">
        <w:rPr>
          <w:rFonts w:ascii="Arial" w:hAnsi="Arial" w:cs="Arial"/>
          <w:sz w:val="24"/>
          <w:szCs w:val="24"/>
        </w:rPr>
        <w:t xml:space="preserve">, rather than overcoming them. </w:t>
      </w:r>
    </w:p>
    <w:p w14:paraId="37CAEE7C" w14:textId="1592FB01" w:rsidR="002049F5" w:rsidRDefault="00BF386C" w:rsidP="00A223ED">
      <w:pPr>
        <w:rPr>
          <w:rFonts w:ascii="Arial" w:hAnsi="Arial" w:cs="Arial"/>
          <w:b/>
          <w:bCs/>
          <w:sz w:val="28"/>
          <w:szCs w:val="28"/>
        </w:rPr>
      </w:pPr>
      <w:r>
        <w:rPr>
          <w:rFonts w:ascii="Arial" w:hAnsi="Arial" w:cs="Arial"/>
          <w:b/>
          <w:bCs/>
          <w:sz w:val="28"/>
          <w:szCs w:val="28"/>
        </w:rPr>
        <w:t>Genealogy and Ideological Purpose</w:t>
      </w:r>
    </w:p>
    <w:p w14:paraId="1C43BC9E" w14:textId="6FCBCE8A" w:rsidR="007F17FE" w:rsidRDefault="003B3449" w:rsidP="00A223ED">
      <w:pPr>
        <w:rPr>
          <w:rFonts w:ascii="Arial" w:hAnsi="Arial" w:cs="Arial"/>
          <w:sz w:val="24"/>
          <w:szCs w:val="24"/>
        </w:rPr>
      </w:pPr>
      <w:r>
        <w:rPr>
          <w:rFonts w:ascii="Arial" w:hAnsi="Arial" w:cs="Arial"/>
          <w:sz w:val="24"/>
          <w:szCs w:val="24"/>
        </w:rPr>
        <w:t>While</w:t>
      </w:r>
      <w:r w:rsidR="00221A35">
        <w:rPr>
          <w:rFonts w:ascii="Arial" w:hAnsi="Arial" w:cs="Arial"/>
          <w:sz w:val="24"/>
          <w:szCs w:val="24"/>
        </w:rPr>
        <w:t xml:space="preserve"> the narrative of Ruth</w:t>
      </w:r>
      <w:r>
        <w:rPr>
          <w:rFonts w:ascii="Arial" w:hAnsi="Arial" w:cs="Arial"/>
          <w:sz w:val="24"/>
          <w:szCs w:val="24"/>
        </w:rPr>
        <w:t xml:space="preserve"> focuses heavily on </w:t>
      </w:r>
      <w:r w:rsidR="005C3A8A">
        <w:rPr>
          <w:rFonts w:ascii="Arial" w:hAnsi="Arial" w:cs="Arial"/>
          <w:sz w:val="24"/>
          <w:szCs w:val="24"/>
        </w:rPr>
        <w:t>women's agency, the text concludes with a</w:t>
      </w:r>
      <w:r w:rsidR="00BB3D59">
        <w:rPr>
          <w:rFonts w:ascii="Arial" w:hAnsi="Arial" w:cs="Arial"/>
          <w:sz w:val="24"/>
          <w:szCs w:val="24"/>
        </w:rPr>
        <w:t xml:space="preserve"> male genealogy and the establishment of the Davidic lineage.</w:t>
      </w:r>
      <w:r w:rsidR="003A76AA">
        <w:rPr>
          <w:rFonts w:ascii="Arial" w:hAnsi="Arial" w:cs="Arial"/>
          <w:sz w:val="24"/>
          <w:szCs w:val="24"/>
        </w:rPr>
        <w:t xml:space="preserve"> Following the birth of Obed</w:t>
      </w:r>
      <w:r w:rsidR="00DE721E">
        <w:rPr>
          <w:rFonts w:ascii="Arial" w:hAnsi="Arial" w:cs="Arial"/>
          <w:sz w:val="24"/>
          <w:szCs w:val="24"/>
        </w:rPr>
        <w:t xml:space="preserve"> in Ruth 4:13, </w:t>
      </w:r>
      <w:r w:rsidR="00A7577E">
        <w:rPr>
          <w:rFonts w:ascii="Arial" w:hAnsi="Arial" w:cs="Arial"/>
          <w:sz w:val="24"/>
          <w:szCs w:val="24"/>
        </w:rPr>
        <w:t>the narrative shifts to describing the genealogy of David,</w:t>
      </w:r>
      <w:r w:rsidR="00123C19">
        <w:rPr>
          <w:rFonts w:ascii="Arial" w:hAnsi="Arial" w:cs="Arial"/>
          <w:sz w:val="24"/>
          <w:szCs w:val="24"/>
        </w:rPr>
        <w:t xml:space="preserve"> concluding </w:t>
      </w:r>
      <w:r w:rsidR="00493CE3">
        <w:rPr>
          <w:rFonts w:ascii="Arial" w:hAnsi="Arial" w:cs="Arial"/>
          <w:sz w:val="24"/>
          <w:szCs w:val="24"/>
        </w:rPr>
        <w:t xml:space="preserve">with the male royal </w:t>
      </w:r>
      <w:r w:rsidR="005A2552">
        <w:rPr>
          <w:rFonts w:ascii="Arial" w:hAnsi="Arial" w:cs="Arial"/>
          <w:sz w:val="24"/>
          <w:szCs w:val="24"/>
        </w:rPr>
        <w:t>bloodline</w:t>
      </w:r>
      <w:r w:rsidR="00493CE3">
        <w:rPr>
          <w:rFonts w:ascii="Arial" w:hAnsi="Arial" w:cs="Arial"/>
          <w:sz w:val="24"/>
          <w:szCs w:val="24"/>
        </w:rPr>
        <w:t xml:space="preserve">. </w:t>
      </w:r>
      <w:r w:rsidR="004446F7">
        <w:rPr>
          <w:rFonts w:ascii="Arial" w:hAnsi="Arial" w:cs="Arial"/>
          <w:sz w:val="24"/>
          <w:szCs w:val="24"/>
        </w:rPr>
        <w:t>The</w:t>
      </w:r>
      <w:r w:rsidR="005A2552">
        <w:rPr>
          <w:rFonts w:ascii="Arial" w:hAnsi="Arial" w:cs="Arial"/>
          <w:sz w:val="24"/>
          <w:szCs w:val="24"/>
        </w:rPr>
        <w:t xml:space="preserve"> shift in narrative </w:t>
      </w:r>
      <w:r w:rsidR="00322B3C">
        <w:rPr>
          <w:rFonts w:ascii="Arial" w:hAnsi="Arial" w:cs="Arial"/>
          <w:sz w:val="24"/>
          <w:szCs w:val="24"/>
        </w:rPr>
        <w:t>shows that while Ruth’s story is important, it became so because of the conclusion, in which</w:t>
      </w:r>
      <w:r w:rsidR="008A7393">
        <w:rPr>
          <w:rFonts w:ascii="Arial" w:hAnsi="Arial" w:cs="Arial"/>
          <w:sz w:val="24"/>
          <w:szCs w:val="24"/>
        </w:rPr>
        <w:t xml:space="preserve"> she contributes to the Davidic ancestry, becoming ‘the great-grandmother of David king of Israel’</w:t>
      </w:r>
      <w:r w:rsidR="008A7393">
        <w:rPr>
          <w:rStyle w:val="FootnoteReference"/>
          <w:rFonts w:ascii="Arial" w:hAnsi="Arial" w:cs="Arial"/>
          <w:sz w:val="24"/>
          <w:szCs w:val="24"/>
        </w:rPr>
        <w:footnoteReference w:id="8"/>
      </w:r>
      <w:r w:rsidR="008A7393">
        <w:rPr>
          <w:rFonts w:ascii="Arial" w:hAnsi="Arial" w:cs="Arial"/>
          <w:sz w:val="24"/>
          <w:szCs w:val="24"/>
        </w:rPr>
        <w:t>.</w:t>
      </w:r>
      <w:r w:rsidR="00770807">
        <w:rPr>
          <w:rFonts w:ascii="Arial" w:hAnsi="Arial" w:cs="Arial"/>
          <w:sz w:val="24"/>
          <w:szCs w:val="24"/>
        </w:rPr>
        <w:t xml:space="preserve"> Ruth’s role within the narrative shifts from one of perseverance and female agency to one of a broader purpose, legitimising the Davidic monarchy. By concluding with the lineage of David, the attention is redirected from Ruth and Naomi, suggesting that the purpose of the text is not solely to celebrate female perseverance but to provide legitimacy to the Davidic monarchy. </w:t>
      </w:r>
      <w:r w:rsidR="00B861BB">
        <w:rPr>
          <w:rFonts w:ascii="Arial" w:hAnsi="Arial" w:cs="Arial"/>
          <w:sz w:val="24"/>
          <w:szCs w:val="24"/>
        </w:rPr>
        <w:t xml:space="preserve">Exum argues that women within biblical narratives are often brought to the forefront “in the service of </w:t>
      </w:r>
      <w:r w:rsidR="00B861BB">
        <w:rPr>
          <w:rFonts w:ascii="Arial" w:hAnsi="Arial" w:cs="Arial"/>
          <w:sz w:val="24"/>
          <w:szCs w:val="24"/>
        </w:rPr>
        <w:lastRenderedPageBreak/>
        <w:t>an androcentric agenda”, leaving once they have served their purpose</w:t>
      </w:r>
      <w:r w:rsidR="00B861BB">
        <w:rPr>
          <w:rStyle w:val="FootnoteReference"/>
          <w:rFonts w:ascii="Arial" w:hAnsi="Arial" w:cs="Arial"/>
          <w:sz w:val="24"/>
          <w:szCs w:val="24"/>
        </w:rPr>
        <w:footnoteReference w:id="9"/>
      </w:r>
      <w:r w:rsidR="00B861BB">
        <w:rPr>
          <w:rFonts w:ascii="Arial" w:hAnsi="Arial" w:cs="Arial"/>
          <w:sz w:val="24"/>
          <w:szCs w:val="24"/>
        </w:rPr>
        <w:t>, which is prevalent in Ruth, as the narrative redirects the attention to the Davidic lineage.</w:t>
      </w:r>
    </w:p>
    <w:p w14:paraId="54530157" w14:textId="424B878D" w:rsidR="00440D38" w:rsidRDefault="00440D38" w:rsidP="00A223ED">
      <w:pPr>
        <w:rPr>
          <w:rFonts w:ascii="Arial" w:hAnsi="Arial" w:cs="Arial"/>
          <w:b/>
          <w:bCs/>
          <w:sz w:val="28"/>
          <w:szCs w:val="28"/>
        </w:rPr>
      </w:pPr>
      <w:r>
        <w:rPr>
          <w:rFonts w:ascii="Arial" w:hAnsi="Arial" w:cs="Arial"/>
          <w:b/>
          <w:bCs/>
          <w:sz w:val="28"/>
          <w:szCs w:val="28"/>
        </w:rPr>
        <w:t>Evaluation</w:t>
      </w:r>
    </w:p>
    <w:p w14:paraId="0AACE4F8" w14:textId="4686FF41" w:rsidR="00440D38" w:rsidRPr="00440D38" w:rsidRDefault="00CF7F5B" w:rsidP="00A223ED">
      <w:pPr>
        <w:rPr>
          <w:rFonts w:ascii="Arial" w:hAnsi="Arial" w:cs="Arial"/>
          <w:sz w:val="24"/>
          <w:szCs w:val="24"/>
        </w:rPr>
      </w:pPr>
      <w:r>
        <w:rPr>
          <w:rFonts w:ascii="Arial" w:hAnsi="Arial" w:cs="Arial"/>
          <w:sz w:val="24"/>
          <w:szCs w:val="24"/>
        </w:rPr>
        <w:t>While the Book of Ruth ends with a shift toward patriarchy, this does not eliminate feminist interpretations of the narrative. The story remains highly unusual compared to other books of the Bible, as it is the only narrative predominantly focused on a female protagonist, displaying that while Ruth is considered an outsider, she is able, through her own initiative, to integrate herself into the Davidic lineage. Ruth’s status as a foreigner isn’t a point that should be viewed lightly, as Powell writes, “the narrator reminds us no less than six times of Ruth’s Moabite status… The frequent mention of Ruth’s Moabite status therefore, strongly suggests the narrative’s preoccupation with exo</w:t>
      </w:r>
      <w:r w:rsidR="008A03BA">
        <w:rPr>
          <w:rFonts w:ascii="Arial" w:hAnsi="Arial" w:cs="Arial"/>
          <w:sz w:val="24"/>
          <w:szCs w:val="24"/>
        </w:rPr>
        <w:t>g</w:t>
      </w:r>
      <w:r>
        <w:rPr>
          <w:rFonts w:ascii="Arial" w:hAnsi="Arial" w:cs="Arial"/>
          <w:sz w:val="24"/>
          <w:szCs w:val="24"/>
        </w:rPr>
        <w:t>amy.”</w:t>
      </w:r>
      <w:r>
        <w:rPr>
          <w:rStyle w:val="FootnoteReference"/>
          <w:rFonts w:ascii="Arial" w:hAnsi="Arial" w:cs="Arial"/>
          <w:sz w:val="24"/>
          <w:szCs w:val="24"/>
        </w:rPr>
        <w:footnoteReference w:id="10"/>
      </w:r>
      <w:r>
        <w:rPr>
          <w:rFonts w:ascii="Arial" w:hAnsi="Arial" w:cs="Arial"/>
          <w:sz w:val="24"/>
          <w:szCs w:val="24"/>
        </w:rPr>
        <w:t xml:space="preserve"> </w:t>
      </w:r>
      <w:r w:rsidR="00EF302A">
        <w:rPr>
          <w:rFonts w:ascii="Arial" w:hAnsi="Arial" w:cs="Arial"/>
          <w:sz w:val="24"/>
          <w:szCs w:val="24"/>
        </w:rPr>
        <w:t xml:space="preserve">This repetition of </w:t>
      </w:r>
      <w:r>
        <w:rPr>
          <w:rFonts w:ascii="Arial" w:hAnsi="Arial" w:cs="Arial"/>
          <w:sz w:val="24"/>
          <w:szCs w:val="24"/>
        </w:rPr>
        <w:t xml:space="preserve">Ruth’s status as a Moabite is highly significant within the narrative, as foreigners were often viewed as outsiders within Israelite societies. This acceptance can therefore be viewed as challenging traditional social expectations surrounding gender and ethnicity. </w:t>
      </w:r>
      <w:r w:rsidR="00EF302A">
        <w:rPr>
          <w:rFonts w:ascii="Arial" w:hAnsi="Arial" w:cs="Arial"/>
          <w:sz w:val="24"/>
          <w:szCs w:val="24"/>
        </w:rPr>
        <w:t>As Powell writes, “</w:t>
      </w:r>
      <w:r w:rsidR="00EF302A" w:rsidRPr="00EF302A">
        <w:rPr>
          <w:rFonts w:ascii="Arial" w:hAnsi="Arial" w:cs="Arial"/>
          <w:sz w:val="24"/>
          <w:szCs w:val="24"/>
        </w:rPr>
        <w:t>While Ruth subversively disrupts the boundaries demarcating the limits of her sexuality, gender and ethnicity, those same boundaries are realigned as the narrative draws to a close.</w:t>
      </w:r>
      <w:r w:rsidR="00EF302A">
        <w:rPr>
          <w:rFonts w:ascii="Arial" w:hAnsi="Arial" w:cs="Arial"/>
          <w:sz w:val="24"/>
          <w:szCs w:val="24"/>
        </w:rPr>
        <w:t>”</w:t>
      </w:r>
      <w:r w:rsidR="00EF302A">
        <w:rPr>
          <w:rStyle w:val="FootnoteReference"/>
          <w:rFonts w:ascii="Arial" w:hAnsi="Arial" w:cs="Arial"/>
          <w:sz w:val="24"/>
          <w:szCs w:val="24"/>
        </w:rPr>
        <w:footnoteReference w:id="11"/>
      </w:r>
      <w:r w:rsidR="00EB6296">
        <w:rPr>
          <w:rFonts w:ascii="Arial" w:hAnsi="Arial" w:cs="Arial"/>
          <w:sz w:val="24"/>
          <w:szCs w:val="24"/>
        </w:rPr>
        <w:t xml:space="preserve"> This suggests that while the narrative allows Ruth to transgress these boundaries, these boundaries are ultimately reinstated by the conclusion of the story. </w:t>
      </w:r>
      <w:r w:rsidR="00784146">
        <w:rPr>
          <w:rFonts w:ascii="Arial" w:hAnsi="Arial" w:cs="Arial"/>
          <w:sz w:val="24"/>
          <w:szCs w:val="24"/>
        </w:rPr>
        <w:t>Despite this, it is still possible to read the Book of Ruth as a feminist piece of literature, with Ruth’s female agency being a prevalent focus of the plot, and female characters driving the plot forward through their own independent actions. This interpretation</w:t>
      </w:r>
      <w:r w:rsidR="007D0129">
        <w:rPr>
          <w:rFonts w:ascii="Arial" w:hAnsi="Arial" w:cs="Arial"/>
          <w:sz w:val="24"/>
          <w:szCs w:val="24"/>
        </w:rPr>
        <w:t>,</w:t>
      </w:r>
      <w:r w:rsidR="00784146">
        <w:rPr>
          <w:rFonts w:ascii="Arial" w:hAnsi="Arial" w:cs="Arial"/>
          <w:sz w:val="24"/>
          <w:szCs w:val="24"/>
        </w:rPr>
        <w:t xml:space="preserve"> however, is complicated by the narrative focus </w:t>
      </w:r>
      <w:r w:rsidR="007D0129">
        <w:rPr>
          <w:rFonts w:ascii="Arial" w:hAnsi="Arial" w:cs="Arial"/>
          <w:sz w:val="24"/>
          <w:szCs w:val="24"/>
        </w:rPr>
        <w:t>on</w:t>
      </w:r>
      <w:r w:rsidR="00784146">
        <w:rPr>
          <w:rFonts w:ascii="Arial" w:hAnsi="Arial" w:cs="Arial"/>
          <w:sz w:val="24"/>
          <w:szCs w:val="24"/>
        </w:rPr>
        <w:t xml:space="preserve"> male genealogy at the conclusion, returning to the typical </w:t>
      </w:r>
      <w:r w:rsidR="007D0129">
        <w:rPr>
          <w:rFonts w:ascii="Arial" w:hAnsi="Arial" w:cs="Arial"/>
          <w:sz w:val="24"/>
          <w:szCs w:val="24"/>
        </w:rPr>
        <w:t>patriarchal</w:t>
      </w:r>
      <w:r w:rsidR="00784146">
        <w:rPr>
          <w:rFonts w:ascii="Arial" w:hAnsi="Arial" w:cs="Arial"/>
          <w:sz w:val="24"/>
          <w:szCs w:val="24"/>
        </w:rPr>
        <w:t xml:space="preserve"> focus of the Bible. Taken together, these elements indicate that the Book of Ruth is a complex piece of writing that has both feminist and patriarchal readings, </w:t>
      </w:r>
      <w:r w:rsidR="008A03BA">
        <w:rPr>
          <w:rFonts w:ascii="Arial" w:hAnsi="Arial" w:cs="Arial"/>
          <w:sz w:val="24"/>
          <w:szCs w:val="24"/>
        </w:rPr>
        <w:t>allowing for multiple interpretive readings</w:t>
      </w:r>
      <w:r w:rsidR="00784146">
        <w:rPr>
          <w:rFonts w:ascii="Arial" w:hAnsi="Arial" w:cs="Arial"/>
          <w:sz w:val="24"/>
          <w:szCs w:val="24"/>
        </w:rPr>
        <w:t xml:space="preserve">. </w:t>
      </w:r>
      <w:r w:rsidR="007D0129">
        <w:rPr>
          <w:rFonts w:ascii="Arial" w:hAnsi="Arial" w:cs="Arial"/>
          <w:sz w:val="24"/>
          <w:szCs w:val="24"/>
        </w:rPr>
        <w:t xml:space="preserve">Overall, while the text does contain feminist elements, it is best understood as being partially feminist but limited by societal restrictions, ultimately reinforcing the patriarchy. </w:t>
      </w:r>
    </w:p>
    <w:p w14:paraId="2BBB1381" w14:textId="50BA7207" w:rsidR="00BF386C" w:rsidRDefault="00BF386C" w:rsidP="00A223ED">
      <w:pPr>
        <w:rPr>
          <w:rFonts w:ascii="Arial" w:hAnsi="Arial" w:cs="Arial"/>
          <w:b/>
          <w:bCs/>
          <w:sz w:val="28"/>
          <w:szCs w:val="28"/>
        </w:rPr>
      </w:pPr>
      <w:r>
        <w:rPr>
          <w:rFonts w:ascii="Arial" w:hAnsi="Arial" w:cs="Arial"/>
          <w:b/>
          <w:bCs/>
          <w:sz w:val="28"/>
          <w:szCs w:val="28"/>
        </w:rPr>
        <w:t>Conclusion</w:t>
      </w:r>
    </w:p>
    <w:p w14:paraId="57885D8D" w14:textId="324674BB" w:rsidR="007F17FE" w:rsidRPr="00F305F3" w:rsidRDefault="00F305F3" w:rsidP="00A223ED">
      <w:pPr>
        <w:rPr>
          <w:rFonts w:ascii="Arial" w:hAnsi="Arial" w:cs="Arial"/>
          <w:sz w:val="24"/>
          <w:szCs w:val="24"/>
        </w:rPr>
      </w:pPr>
      <w:r>
        <w:rPr>
          <w:rFonts w:ascii="Arial" w:hAnsi="Arial" w:cs="Arial"/>
          <w:sz w:val="24"/>
          <w:szCs w:val="24"/>
        </w:rPr>
        <w:t>In conclusion,</w:t>
      </w:r>
      <w:r w:rsidR="00DC0FF3">
        <w:rPr>
          <w:rFonts w:ascii="Arial" w:hAnsi="Arial" w:cs="Arial"/>
          <w:sz w:val="24"/>
          <w:szCs w:val="24"/>
        </w:rPr>
        <w:t xml:space="preserve"> while the Book of Ruth has elements that can be interpreted as feminist, such as Ruth’s agency</w:t>
      </w:r>
      <w:r w:rsidR="009A409A">
        <w:rPr>
          <w:rFonts w:ascii="Arial" w:hAnsi="Arial" w:cs="Arial"/>
          <w:sz w:val="24"/>
          <w:szCs w:val="24"/>
        </w:rPr>
        <w:t xml:space="preserve"> and independent decision-making, the conclusion to the story ultimately undermines the underlying themes of feminism. The book </w:t>
      </w:r>
      <w:r w:rsidR="008A03BA">
        <w:rPr>
          <w:rFonts w:ascii="Arial" w:hAnsi="Arial" w:cs="Arial"/>
          <w:sz w:val="24"/>
          <w:szCs w:val="24"/>
        </w:rPr>
        <w:t>of Ruth is an unusual book of the Bible</w:t>
      </w:r>
      <w:r w:rsidR="009A409A">
        <w:rPr>
          <w:rFonts w:ascii="Arial" w:hAnsi="Arial" w:cs="Arial"/>
          <w:sz w:val="24"/>
          <w:szCs w:val="24"/>
        </w:rPr>
        <w:t xml:space="preserve">, being </w:t>
      </w:r>
      <w:r w:rsidR="008A03BA">
        <w:rPr>
          <w:rFonts w:ascii="Arial" w:hAnsi="Arial" w:cs="Arial"/>
          <w:sz w:val="24"/>
          <w:szCs w:val="24"/>
        </w:rPr>
        <w:t xml:space="preserve">one of the few </w:t>
      </w:r>
      <w:r w:rsidR="009A409A">
        <w:rPr>
          <w:rFonts w:ascii="Arial" w:hAnsi="Arial" w:cs="Arial"/>
          <w:sz w:val="24"/>
          <w:szCs w:val="24"/>
        </w:rPr>
        <w:t>book</w:t>
      </w:r>
      <w:r w:rsidR="008A03BA">
        <w:rPr>
          <w:rFonts w:ascii="Arial" w:hAnsi="Arial" w:cs="Arial"/>
          <w:sz w:val="24"/>
          <w:szCs w:val="24"/>
        </w:rPr>
        <w:t>s</w:t>
      </w:r>
      <w:r w:rsidR="009A409A">
        <w:rPr>
          <w:rFonts w:ascii="Arial" w:hAnsi="Arial" w:cs="Arial"/>
          <w:sz w:val="24"/>
          <w:szCs w:val="24"/>
        </w:rPr>
        <w:t xml:space="preserve"> that focuses almost </w:t>
      </w:r>
      <w:r w:rsidR="009A409A">
        <w:rPr>
          <w:rFonts w:ascii="Arial" w:hAnsi="Arial" w:cs="Arial"/>
          <w:sz w:val="24"/>
          <w:szCs w:val="24"/>
        </w:rPr>
        <w:lastRenderedPageBreak/>
        <w:t>entirely on a female perspective. Therefore, one can understand that the narrative isn’t entirely a feminist piece of literature; however, the text can be inspirational to women when read through a feminist lens. However, the narrative resolves itself through submission to male societal and economic structures, such as marriage and the Davidic lineage. While Ruth and Naomi drive the majority of the narrative through their own perseverance, their long-term security is resolved through male-controlled systems. As a result, the Book of Ruth can be understood as a narrative that challenges patriarchal systems, rather than as a fully feminist narrative.</w:t>
      </w:r>
    </w:p>
    <w:p w14:paraId="26721057" w14:textId="0B1469C4" w:rsidR="008A03BA" w:rsidRDefault="00B861BB" w:rsidP="00A223ED">
      <w:pPr>
        <w:rPr>
          <w:rFonts w:ascii="Arial" w:hAnsi="Arial" w:cs="Arial"/>
          <w:b/>
          <w:bCs/>
          <w:sz w:val="28"/>
          <w:szCs w:val="28"/>
        </w:rPr>
      </w:pPr>
      <w:r>
        <w:rPr>
          <w:rFonts w:ascii="Arial" w:hAnsi="Arial" w:cs="Arial"/>
          <w:b/>
          <w:bCs/>
          <w:sz w:val="28"/>
          <w:szCs w:val="28"/>
        </w:rPr>
        <w:t xml:space="preserve"> </w:t>
      </w:r>
      <w:r>
        <w:rPr>
          <w:rFonts w:ascii="Arial" w:hAnsi="Arial" w:cs="Arial"/>
          <w:b/>
          <w:bCs/>
          <w:sz w:val="28"/>
          <w:szCs w:val="28"/>
        </w:rPr>
        <w:tab/>
      </w:r>
    </w:p>
    <w:p w14:paraId="292A29F8" w14:textId="77777777" w:rsidR="008A03BA" w:rsidRDefault="008A03BA">
      <w:pPr>
        <w:rPr>
          <w:rFonts w:ascii="Arial" w:hAnsi="Arial" w:cs="Arial"/>
          <w:b/>
          <w:bCs/>
          <w:sz w:val="28"/>
          <w:szCs w:val="28"/>
        </w:rPr>
      </w:pPr>
      <w:r>
        <w:rPr>
          <w:rFonts w:ascii="Arial" w:hAnsi="Arial" w:cs="Arial"/>
          <w:b/>
          <w:bCs/>
          <w:sz w:val="28"/>
          <w:szCs w:val="28"/>
        </w:rPr>
        <w:br w:type="page"/>
      </w:r>
    </w:p>
    <w:p w14:paraId="16C7D3C8" w14:textId="719BD156" w:rsidR="00A223ED" w:rsidRDefault="008A03BA" w:rsidP="00A223ED">
      <w:pPr>
        <w:rPr>
          <w:rFonts w:ascii="Arial" w:hAnsi="Arial" w:cs="Arial"/>
          <w:b/>
          <w:bCs/>
          <w:sz w:val="28"/>
          <w:szCs w:val="28"/>
        </w:rPr>
      </w:pPr>
      <w:r>
        <w:rPr>
          <w:rFonts w:ascii="Arial" w:hAnsi="Arial" w:cs="Arial"/>
          <w:b/>
          <w:bCs/>
          <w:sz w:val="28"/>
          <w:szCs w:val="28"/>
        </w:rPr>
        <w:lastRenderedPageBreak/>
        <w:t>Bibliography</w:t>
      </w:r>
    </w:p>
    <w:p w14:paraId="00475A13" w14:textId="6B724170" w:rsidR="008A03BA" w:rsidRDefault="008A03BA" w:rsidP="00A223ED">
      <w:pPr>
        <w:rPr>
          <w:rFonts w:ascii="Arial" w:hAnsi="Arial" w:cs="Arial"/>
          <w:sz w:val="24"/>
          <w:szCs w:val="24"/>
        </w:rPr>
      </w:pPr>
      <w:r w:rsidRPr="008A03BA">
        <w:rPr>
          <w:rFonts w:ascii="Arial" w:hAnsi="Arial" w:cs="Arial"/>
          <w:sz w:val="24"/>
          <w:szCs w:val="24"/>
        </w:rPr>
        <w:t>Alter</w:t>
      </w:r>
      <w:r>
        <w:rPr>
          <w:rFonts w:ascii="Arial" w:hAnsi="Arial" w:cs="Arial"/>
          <w:sz w:val="24"/>
          <w:szCs w:val="24"/>
        </w:rPr>
        <w:t>,</w:t>
      </w:r>
      <w:r w:rsidRPr="008A03BA">
        <w:rPr>
          <w:rFonts w:ascii="Arial" w:hAnsi="Arial" w:cs="Arial"/>
          <w:sz w:val="24"/>
          <w:szCs w:val="24"/>
        </w:rPr>
        <w:t xml:space="preserve"> </w:t>
      </w:r>
      <w:r w:rsidRPr="008A03BA">
        <w:rPr>
          <w:rFonts w:ascii="Arial" w:hAnsi="Arial" w:cs="Arial"/>
          <w:sz w:val="24"/>
          <w:szCs w:val="24"/>
        </w:rPr>
        <w:t>Robert, The Hebrew Bible: A Translation with Commentary, kindle ed. (W. W. Norton &amp; Company, 2019)</w:t>
      </w:r>
    </w:p>
    <w:p w14:paraId="7C1681B0" w14:textId="1E961F9C" w:rsidR="008A03BA" w:rsidRDefault="008A03BA" w:rsidP="00A223ED">
      <w:pPr>
        <w:rPr>
          <w:rFonts w:ascii="Arial" w:hAnsi="Arial" w:cs="Arial"/>
          <w:sz w:val="24"/>
          <w:szCs w:val="24"/>
        </w:rPr>
      </w:pPr>
      <w:r w:rsidRPr="008A03BA">
        <w:rPr>
          <w:rFonts w:ascii="Arial" w:hAnsi="Arial" w:cs="Arial"/>
          <w:sz w:val="24"/>
          <w:szCs w:val="24"/>
        </w:rPr>
        <w:t>Exum</w:t>
      </w:r>
      <w:r>
        <w:rPr>
          <w:rFonts w:ascii="Arial" w:hAnsi="Arial" w:cs="Arial"/>
          <w:sz w:val="24"/>
          <w:szCs w:val="24"/>
        </w:rPr>
        <w:t>,</w:t>
      </w:r>
      <w:r w:rsidRPr="008A03BA">
        <w:rPr>
          <w:rFonts w:ascii="Arial" w:hAnsi="Arial" w:cs="Arial"/>
          <w:sz w:val="24"/>
          <w:szCs w:val="24"/>
        </w:rPr>
        <w:t xml:space="preserve"> </w:t>
      </w:r>
      <w:r w:rsidRPr="008A03BA">
        <w:rPr>
          <w:rFonts w:ascii="Arial" w:hAnsi="Arial" w:cs="Arial"/>
          <w:sz w:val="24"/>
          <w:szCs w:val="24"/>
        </w:rPr>
        <w:t>J. Cheryl, Fragmented Women: Feminist (Sub)versions of Biblical Narratives (Sheffield Academic Press, 1993)</w:t>
      </w:r>
    </w:p>
    <w:p w14:paraId="3D727CCD" w14:textId="2CC7BC23" w:rsidR="008A03BA" w:rsidRDefault="008A03BA" w:rsidP="00A223ED">
      <w:pPr>
        <w:rPr>
          <w:rFonts w:ascii="Arial" w:hAnsi="Arial" w:cs="Arial"/>
          <w:sz w:val="24"/>
          <w:szCs w:val="24"/>
        </w:rPr>
      </w:pPr>
      <w:r w:rsidRPr="008A03BA">
        <w:rPr>
          <w:rFonts w:ascii="Arial" w:hAnsi="Arial" w:cs="Arial"/>
          <w:sz w:val="24"/>
          <w:szCs w:val="24"/>
        </w:rPr>
        <w:t>Frymer-Kensky</w:t>
      </w:r>
      <w:r>
        <w:rPr>
          <w:rFonts w:ascii="Arial" w:hAnsi="Arial" w:cs="Arial"/>
          <w:sz w:val="24"/>
          <w:szCs w:val="24"/>
        </w:rPr>
        <w:t>,</w:t>
      </w:r>
      <w:r w:rsidRPr="008A03BA">
        <w:rPr>
          <w:rFonts w:ascii="Arial" w:hAnsi="Arial" w:cs="Arial"/>
          <w:sz w:val="24"/>
          <w:szCs w:val="24"/>
        </w:rPr>
        <w:t xml:space="preserve"> </w:t>
      </w:r>
      <w:r w:rsidRPr="008A03BA">
        <w:rPr>
          <w:rFonts w:ascii="Arial" w:hAnsi="Arial" w:cs="Arial"/>
          <w:sz w:val="24"/>
          <w:szCs w:val="24"/>
        </w:rPr>
        <w:t>Tikva, Reading the Women of the Bible, Kindle ed. (Schocken Books, 2008</w:t>
      </w:r>
    </w:p>
    <w:p w14:paraId="72384CA5" w14:textId="6A027A30" w:rsidR="008A03BA" w:rsidRDefault="008A03BA" w:rsidP="00A223ED">
      <w:pPr>
        <w:rPr>
          <w:rFonts w:ascii="Arial" w:hAnsi="Arial" w:cs="Arial"/>
          <w:sz w:val="24"/>
          <w:szCs w:val="24"/>
        </w:rPr>
      </w:pPr>
      <w:r w:rsidRPr="008A03BA">
        <w:rPr>
          <w:rFonts w:ascii="Arial" w:hAnsi="Arial" w:cs="Arial"/>
          <w:sz w:val="24"/>
          <w:szCs w:val="24"/>
        </w:rPr>
        <w:t>Powell</w:t>
      </w:r>
      <w:r>
        <w:rPr>
          <w:rFonts w:ascii="Arial" w:hAnsi="Arial" w:cs="Arial"/>
          <w:sz w:val="24"/>
          <w:szCs w:val="24"/>
        </w:rPr>
        <w:t>,</w:t>
      </w:r>
      <w:r w:rsidRPr="008A03BA">
        <w:rPr>
          <w:rFonts w:ascii="Arial" w:hAnsi="Arial" w:cs="Arial"/>
          <w:sz w:val="24"/>
          <w:szCs w:val="24"/>
        </w:rPr>
        <w:t xml:space="preserve"> </w:t>
      </w:r>
      <w:r w:rsidRPr="008A03BA">
        <w:rPr>
          <w:rFonts w:ascii="Arial" w:hAnsi="Arial" w:cs="Arial"/>
          <w:sz w:val="24"/>
          <w:szCs w:val="24"/>
        </w:rPr>
        <w:t xml:space="preserve">Stephanie Day, ‘Do Not Press Me </w:t>
      </w:r>
      <w:proofErr w:type="gramStart"/>
      <w:r w:rsidRPr="008A03BA">
        <w:rPr>
          <w:rFonts w:ascii="Arial" w:hAnsi="Arial" w:cs="Arial"/>
          <w:sz w:val="24"/>
          <w:szCs w:val="24"/>
        </w:rPr>
        <w:t>To</w:t>
      </w:r>
      <w:proofErr w:type="gramEnd"/>
      <w:r w:rsidRPr="008A03BA">
        <w:rPr>
          <w:rFonts w:ascii="Arial" w:hAnsi="Arial" w:cs="Arial"/>
          <w:sz w:val="24"/>
          <w:szCs w:val="24"/>
        </w:rPr>
        <w:t xml:space="preserve"> Leave You: Narrative Desire </w:t>
      </w:r>
      <w:proofErr w:type="gramStart"/>
      <w:r w:rsidRPr="008A03BA">
        <w:rPr>
          <w:rFonts w:ascii="Arial" w:hAnsi="Arial" w:cs="Arial"/>
          <w:sz w:val="24"/>
          <w:szCs w:val="24"/>
        </w:rPr>
        <w:t>And</w:t>
      </w:r>
      <w:proofErr w:type="gramEnd"/>
      <w:r w:rsidRPr="008A03BA">
        <w:rPr>
          <w:rFonts w:ascii="Arial" w:hAnsi="Arial" w:cs="Arial"/>
          <w:sz w:val="24"/>
          <w:szCs w:val="24"/>
        </w:rPr>
        <w:t xml:space="preserve"> </w:t>
      </w:r>
      <w:proofErr w:type="gramStart"/>
      <w:r w:rsidRPr="008A03BA">
        <w:rPr>
          <w:rFonts w:ascii="Arial" w:hAnsi="Arial" w:cs="Arial"/>
          <w:sz w:val="24"/>
          <w:szCs w:val="24"/>
        </w:rPr>
        <w:t>The</w:t>
      </w:r>
      <w:proofErr w:type="gramEnd"/>
      <w:r w:rsidRPr="008A03BA">
        <w:rPr>
          <w:rFonts w:ascii="Arial" w:hAnsi="Arial" w:cs="Arial"/>
          <w:sz w:val="24"/>
          <w:szCs w:val="24"/>
        </w:rPr>
        <w:t xml:space="preserve"> Book of Ruth’ (unpublished doctoral thesis, Drew University, 2015) &lt; https://digitalcollections.drew.edu/UniversityArchives/ThesesAndDissertations/THEO/PhD/2015/Powell/openaccess/SDPowell.pdf&gt; [accessed 13 May 2026]</w:t>
      </w:r>
    </w:p>
    <w:p w14:paraId="15EDEEB0" w14:textId="54AD5C84" w:rsidR="008A03BA" w:rsidRDefault="008A03BA" w:rsidP="00A223ED">
      <w:pPr>
        <w:rPr>
          <w:rFonts w:ascii="Arial" w:hAnsi="Arial" w:cs="Arial"/>
          <w:sz w:val="24"/>
          <w:szCs w:val="24"/>
        </w:rPr>
      </w:pPr>
      <w:r w:rsidRPr="008A03BA">
        <w:rPr>
          <w:rFonts w:ascii="Arial" w:hAnsi="Arial" w:cs="Arial"/>
          <w:sz w:val="24"/>
          <w:szCs w:val="24"/>
        </w:rPr>
        <w:t>Purcell</w:t>
      </w:r>
      <w:r>
        <w:rPr>
          <w:rFonts w:ascii="Arial" w:hAnsi="Arial" w:cs="Arial"/>
          <w:sz w:val="24"/>
          <w:szCs w:val="24"/>
        </w:rPr>
        <w:t>,</w:t>
      </w:r>
      <w:r w:rsidRPr="008A03BA">
        <w:rPr>
          <w:rFonts w:ascii="Arial" w:hAnsi="Arial" w:cs="Arial"/>
          <w:sz w:val="24"/>
          <w:szCs w:val="24"/>
        </w:rPr>
        <w:t xml:space="preserve"> </w:t>
      </w:r>
      <w:r w:rsidRPr="008A03BA">
        <w:rPr>
          <w:rFonts w:ascii="Arial" w:hAnsi="Arial" w:cs="Arial"/>
          <w:sz w:val="24"/>
          <w:szCs w:val="24"/>
        </w:rPr>
        <w:t>Richard Anthony, ‘Playing the Man in the Book of Ruth: Reshaping the Masculine Ideal’, Biblical Interpretation, 30 (4), 486 – 508, p.498 &lt;https://brill-com.uwtsd.idm.oclc.org/view/journals/bi/30/4/article-p486_005.xml&gt; [accessed 5 May 2026</w:t>
      </w:r>
    </w:p>
    <w:p w14:paraId="031D9BD3" w14:textId="6F298E35" w:rsidR="008A03BA" w:rsidRDefault="008A03BA" w:rsidP="00A223ED">
      <w:pPr>
        <w:rPr>
          <w:rFonts w:ascii="Arial" w:hAnsi="Arial" w:cs="Arial"/>
          <w:sz w:val="24"/>
          <w:szCs w:val="24"/>
        </w:rPr>
      </w:pPr>
      <w:proofErr w:type="spellStart"/>
      <w:r w:rsidRPr="008A03BA">
        <w:rPr>
          <w:rFonts w:ascii="Arial" w:hAnsi="Arial" w:cs="Arial"/>
          <w:sz w:val="24"/>
          <w:szCs w:val="24"/>
        </w:rPr>
        <w:t>Sakenfeld</w:t>
      </w:r>
      <w:proofErr w:type="spellEnd"/>
      <w:r>
        <w:rPr>
          <w:rFonts w:ascii="Arial" w:hAnsi="Arial" w:cs="Arial"/>
          <w:sz w:val="24"/>
          <w:szCs w:val="24"/>
        </w:rPr>
        <w:t>,</w:t>
      </w:r>
      <w:r w:rsidRPr="008A03BA">
        <w:rPr>
          <w:rFonts w:ascii="Arial" w:hAnsi="Arial" w:cs="Arial"/>
          <w:sz w:val="24"/>
          <w:szCs w:val="24"/>
        </w:rPr>
        <w:t xml:space="preserve"> </w:t>
      </w:r>
      <w:r w:rsidRPr="008A03BA">
        <w:rPr>
          <w:rFonts w:ascii="Arial" w:hAnsi="Arial" w:cs="Arial"/>
          <w:sz w:val="24"/>
          <w:szCs w:val="24"/>
        </w:rPr>
        <w:t>Katharine Doob, Ruth, kindle ed. (John Knox Press, 1999)</w:t>
      </w:r>
    </w:p>
    <w:p w14:paraId="6D477DD1" w14:textId="579E8893" w:rsidR="008A03BA" w:rsidRPr="008A03BA" w:rsidRDefault="008A03BA" w:rsidP="00A223ED">
      <w:pPr>
        <w:rPr>
          <w:rFonts w:ascii="Arial" w:hAnsi="Arial" w:cs="Arial"/>
          <w:sz w:val="24"/>
          <w:szCs w:val="24"/>
        </w:rPr>
      </w:pPr>
      <w:r w:rsidRPr="008A03BA">
        <w:rPr>
          <w:rFonts w:ascii="Arial" w:hAnsi="Arial" w:cs="Arial"/>
          <w:sz w:val="24"/>
          <w:szCs w:val="24"/>
        </w:rPr>
        <w:t>Trible</w:t>
      </w:r>
      <w:r>
        <w:rPr>
          <w:rFonts w:ascii="Arial" w:hAnsi="Arial" w:cs="Arial"/>
          <w:sz w:val="24"/>
          <w:szCs w:val="24"/>
        </w:rPr>
        <w:t>,</w:t>
      </w:r>
      <w:r w:rsidRPr="008A03BA">
        <w:rPr>
          <w:rFonts w:ascii="Arial" w:hAnsi="Arial" w:cs="Arial"/>
          <w:sz w:val="24"/>
          <w:szCs w:val="24"/>
        </w:rPr>
        <w:t xml:space="preserve"> </w:t>
      </w:r>
      <w:r w:rsidRPr="008A03BA">
        <w:rPr>
          <w:rFonts w:ascii="Arial" w:hAnsi="Arial" w:cs="Arial"/>
          <w:sz w:val="24"/>
          <w:szCs w:val="24"/>
        </w:rPr>
        <w:t>Phyllis, ‘Naomi: Bible’, The Shalvi/ Hyman Encyclopaedia of Jewish Women, 20 March 2009 &lt; https://jwa.org/encyclopedia/article/naomi-bible&gt; [accessed 4 May 2026]</w:t>
      </w:r>
    </w:p>
    <w:sectPr w:rsidR="008A03BA" w:rsidRPr="008A03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5C9F4B" w14:textId="77777777" w:rsidR="000A0AE8" w:rsidRDefault="000A0AE8" w:rsidP="004743FA">
      <w:pPr>
        <w:spacing w:after="0" w:line="240" w:lineRule="auto"/>
      </w:pPr>
      <w:r>
        <w:separator/>
      </w:r>
    </w:p>
  </w:endnote>
  <w:endnote w:type="continuationSeparator" w:id="0">
    <w:p w14:paraId="7A78CE1C" w14:textId="77777777" w:rsidR="000A0AE8" w:rsidRDefault="000A0AE8" w:rsidP="004743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34BD6" w14:textId="77777777" w:rsidR="000A0AE8" w:rsidRDefault="000A0AE8" w:rsidP="004743FA">
      <w:pPr>
        <w:spacing w:after="0" w:line="240" w:lineRule="auto"/>
      </w:pPr>
      <w:r>
        <w:separator/>
      </w:r>
    </w:p>
  </w:footnote>
  <w:footnote w:type="continuationSeparator" w:id="0">
    <w:p w14:paraId="591AA0B4" w14:textId="77777777" w:rsidR="000A0AE8" w:rsidRDefault="000A0AE8" w:rsidP="004743FA">
      <w:pPr>
        <w:spacing w:after="0" w:line="240" w:lineRule="auto"/>
      </w:pPr>
      <w:r>
        <w:continuationSeparator/>
      </w:r>
    </w:p>
  </w:footnote>
  <w:footnote w:id="1">
    <w:p w14:paraId="333255E6" w14:textId="7BE8C5C6" w:rsidR="00E54893" w:rsidRDefault="00E54893">
      <w:pPr>
        <w:pStyle w:val="FootnoteText"/>
      </w:pPr>
      <w:r>
        <w:rPr>
          <w:rStyle w:val="FootnoteReference"/>
        </w:rPr>
        <w:footnoteRef/>
      </w:r>
      <w:r>
        <w:t xml:space="preserve"> </w:t>
      </w:r>
      <w:r w:rsidR="00A75067">
        <w:t xml:space="preserve">Tikva Frymer-Kensky, </w:t>
      </w:r>
      <w:r w:rsidR="00A75067">
        <w:rPr>
          <w:i/>
          <w:iCs/>
        </w:rPr>
        <w:t>Reading the Women of the Bible</w:t>
      </w:r>
      <w:r w:rsidR="00602360">
        <w:rPr>
          <w:i/>
          <w:iCs/>
        </w:rPr>
        <w:t xml:space="preserve">, </w:t>
      </w:r>
      <w:r w:rsidR="00602360">
        <w:t xml:space="preserve">Kindle ed. (Schocken Books, </w:t>
      </w:r>
      <w:r w:rsidR="00444C55">
        <w:t>2008), p.</w:t>
      </w:r>
      <w:r w:rsidR="00A75067">
        <w:t xml:space="preserve"> 4957</w:t>
      </w:r>
      <w:r w:rsidR="00444C55">
        <w:t>.</w:t>
      </w:r>
    </w:p>
  </w:footnote>
  <w:footnote w:id="2">
    <w:p w14:paraId="69EADEBB" w14:textId="2A41C341" w:rsidR="004743FA" w:rsidRDefault="004743FA">
      <w:pPr>
        <w:pStyle w:val="FootnoteText"/>
      </w:pPr>
      <w:r>
        <w:rPr>
          <w:rStyle w:val="FootnoteReference"/>
        </w:rPr>
        <w:footnoteRef/>
      </w:r>
      <w:r>
        <w:t xml:space="preserve"> </w:t>
      </w:r>
      <w:r w:rsidR="00A429E8">
        <w:t>Phyllis Trible, ‘Naomi: Bible’, The Shalvi/ Hyman Encyclopaedia of Jewish Women, 20 March 2009 &lt;</w:t>
      </w:r>
      <w:r w:rsidR="00A429E8" w:rsidRPr="00A429E8">
        <w:t xml:space="preserve"> </w:t>
      </w:r>
      <w:r w:rsidR="001217F5" w:rsidRPr="001217F5">
        <w:t>https://jwa.org/encyclopedia/article/naomi-bible</w:t>
      </w:r>
      <w:r w:rsidR="00A429E8">
        <w:t>&gt; [accessed 4 May 2026].</w:t>
      </w:r>
    </w:p>
  </w:footnote>
  <w:footnote w:id="3">
    <w:p w14:paraId="5835D12D" w14:textId="61F27268" w:rsidR="00512AE2" w:rsidRDefault="00512AE2">
      <w:pPr>
        <w:pStyle w:val="FootnoteText"/>
      </w:pPr>
      <w:r>
        <w:rPr>
          <w:rStyle w:val="FootnoteReference"/>
        </w:rPr>
        <w:footnoteRef/>
      </w:r>
      <w:r>
        <w:t xml:space="preserve"> </w:t>
      </w:r>
      <w:r w:rsidR="008200B8">
        <w:t xml:space="preserve">Richard Anthony Purcell, </w:t>
      </w:r>
      <w:r w:rsidR="006E75C3">
        <w:t xml:space="preserve">‘Playing the Man in the Book of Ruth: Reshaping the Masculine Ideal’, </w:t>
      </w:r>
      <w:r w:rsidR="005C5CEB">
        <w:rPr>
          <w:i/>
          <w:iCs/>
        </w:rPr>
        <w:t xml:space="preserve">Biblical Interpretation, </w:t>
      </w:r>
      <w:r w:rsidR="005C5CEB">
        <w:t>30 (4), 486 – 508</w:t>
      </w:r>
      <w:r w:rsidR="002B5531">
        <w:t>, p</w:t>
      </w:r>
      <w:r>
        <w:t>.498</w:t>
      </w:r>
      <w:r w:rsidR="002B5531">
        <w:t xml:space="preserve"> &lt;</w:t>
      </w:r>
      <w:r w:rsidR="002B5531" w:rsidRPr="002B5531">
        <w:t xml:space="preserve"> https://brill-com.uwtsd.idm.oclc.org/view/journals/bi/30/4/article-p486_005.xml</w:t>
      </w:r>
      <w:r w:rsidR="002B5531">
        <w:t xml:space="preserve">&gt; [accessed 5 May 2026]. </w:t>
      </w:r>
    </w:p>
  </w:footnote>
  <w:footnote w:id="4">
    <w:p w14:paraId="2E0D4932" w14:textId="68781549" w:rsidR="00AF53F8" w:rsidRPr="002D393A" w:rsidRDefault="00AF53F8">
      <w:pPr>
        <w:pStyle w:val="FootnoteText"/>
      </w:pPr>
      <w:r>
        <w:rPr>
          <w:rStyle w:val="FootnoteReference"/>
        </w:rPr>
        <w:footnoteRef/>
      </w:r>
      <w:r>
        <w:t xml:space="preserve"> </w:t>
      </w:r>
      <w:r w:rsidR="00491A77">
        <w:t xml:space="preserve">Katharine Doob Sakenfeld, </w:t>
      </w:r>
      <w:r w:rsidR="00422E7C">
        <w:rPr>
          <w:i/>
          <w:iCs/>
        </w:rPr>
        <w:t>Ruth</w:t>
      </w:r>
      <w:r w:rsidR="007B102E">
        <w:rPr>
          <w:i/>
          <w:iCs/>
        </w:rPr>
        <w:t xml:space="preserve">, </w:t>
      </w:r>
      <w:r w:rsidR="007B102E">
        <w:t>kindle ed.</w:t>
      </w:r>
      <w:r w:rsidR="002D393A">
        <w:rPr>
          <w:i/>
          <w:iCs/>
        </w:rPr>
        <w:t xml:space="preserve"> </w:t>
      </w:r>
      <w:r w:rsidR="002D393A">
        <w:t>(</w:t>
      </w:r>
      <w:r w:rsidR="007B102E">
        <w:t>John Knox Press, 1999), p.</w:t>
      </w:r>
      <w:r w:rsidR="005D7C9E">
        <w:t xml:space="preserve"> 328</w:t>
      </w:r>
      <w:r w:rsidR="0051331C">
        <w:t>.</w:t>
      </w:r>
    </w:p>
  </w:footnote>
  <w:footnote w:id="5">
    <w:p w14:paraId="34398949" w14:textId="3EC83E35" w:rsidR="00AF53F8" w:rsidRDefault="00AF53F8">
      <w:pPr>
        <w:pStyle w:val="FootnoteText"/>
      </w:pPr>
      <w:r>
        <w:rPr>
          <w:rStyle w:val="FootnoteReference"/>
        </w:rPr>
        <w:footnoteRef/>
      </w:r>
      <w:r>
        <w:t xml:space="preserve"> </w:t>
      </w:r>
      <w:r w:rsidR="0051331C">
        <w:t xml:space="preserve">Sakenfeld, </w:t>
      </w:r>
      <w:r w:rsidR="0051331C">
        <w:rPr>
          <w:i/>
          <w:iCs/>
        </w:rPr>
        <w:t>Ruth,</w:t>
      </w:r>
      <w:r w:rsidR="001D797D">
        <w:rPr>
          <w:i/>
          <w:iCs/>
        </w:rPr>
        <w:t xml:space="preserve"> </w:t>
      </w:r>
      <w:r w:rsidR="0051331C">
        <w:t xml:space="preserve">p. </w:t>
      </w:r>
      <w:r w:rsidR="002A689A">
        <w:t>1187.</w:t>
      </w:r>
    </w:p>
  </w:footnote>
  <w:footnote w:id="6">
    <w:p w14:paraId="5E9F50F6" w14:textId="60D13A12" w:rsidR="008D4763" w:rsidRPr="00827A8F" w:rsidRDefault="008D4763">
      <w:pPr>
        <w:pStyle w:val="FootnoteText"/>
      </w:pPr>
      <w:r>
        <w:rPr>
          <w:rStyle w:val="FootnoteReference"/>
        </w:rPr>
        <w:footnoteRef/>
      </w:r>
      <w:r>
        <w:t xml:space="preserve"> Sakenfeld, </w:t>
      </w:r>
      <w:r>
        <w:rPr>
          <w:i/>
          <w:iCs/>
        </w:rPr>
        <w:t xml:space="preserve">Ruth, </w:t>
      </w:r>
      <w:r w:rsidR="00827A8F">
        <w:t xml:space="preserve">p. 1820. </w:t>
      </w:r>
    </w:p>
  </w:footnote>
  <w:footnote w:id="7">
    <w:p w14:paraId="5FE82A66" w14:textId="382DC371" w:rsidR="008740B2" w:rsidRDefault="008740B2">
      <w:pPr>
        <w:pStyle w:val="FootnoteText"/>
      </w:pPr>
      <w:r>
        <w:rPr>
          <w:rStyle w:val="FootnoteReference"/>
        </w:rPr>
        <w:footnoteRef/>
      </w:r>
      <w:r>
        <w:t xml:space="preserve"> </w:t>
      </w:r>
      <w:r w:rsidR="00F470E8">
        <w:t xml:space="preserve">Sakenfeld, </w:t>
      </w:r>
      <w:r w:rsidR="00F470E8">
        <w:rPr>
          <w:i/>
          <w:iCs/>
        </w:rPr>
        <w:t xml:space="preserve">Ruth, </w:t>
      </w:r>
      <w:r w:rsidR="00F470E8">
        <w:t>p. 1835.</w:t>
      </w:r>
    </w:p>
  </w:footnote>
  <w:footnote w:id="8">
    <w:p w14:paraId="254BF657" w14:textId="44C64DF3" w:rsidR="008A7393" w:rsidRPr="00770807" w:rsidRDefault="008A7393">
      <w:pPr>
        <w:pStyle w:val="FootnoteText"/>
      </w:pPr>
      <w:r>
        <w:rPr>
          <w:rStyle w:val="FootnoteReference"/>
        </w:rPr>
        <w:footnoteRef/>
      </w:r>
      <w:r>
        <w:t xml:space="preserve"> </w:t>
      </w:r>
      <w:r w:rsidR="00770807">
        <w:t xml:space="preserve">Robert Alter, </w:t>
      </w:r>
      <w:r>
        <w:rPr>
          <w:i/>
          <w:iCs/>
        </w:rPr>
        <w:t>The Hebrew Bible: A Translation with Commentar</w:t>
      </w:r>
      <w:r w:rsidR="00770807">
        <w:rPr>
          <w:i/>
          <w:iCs/>
        </w:rPr>
        <w:t xml:space="preserve">y, </w:t>
      </w:r>
      <w:r w:rsidR="00770807">
        <w:t>kindle ed. (W. W. Norton &amp; Company, 2019), p. 97232.</w:t>
      </w:r>
    </w:p>
  </w:footnote>
  <w:footnote w:id="9">
    <w:p w14:paraId="725D76AD" w14:textId="21ED35F3" w:rsidR="00B861BB" w:rsidRDefault="00B861BB">
      <w:pPr>
        <w:pStyle w:val="FootnoteText"/>
      </w:pPr>
      <w:r>
        <w:rPr>
          <w:rStyle w:val="FootnoteReference"/>
        </w:rPr>
        <w:footnoteRef/>
      </w:r>
      <w:r>
        <w:t xml:space="preserve"> J. Cheryl Exum, </w:t>
      </w:r>
      <w:r>
        <w:rPr>
          <w:i/>
          <w:iCs/>
        </w:rPr>
        <w:t>Fragmented Women: Feminist (Sub)versions of Biblical Narratives (</w:t>
      </w:r>
      <w:r>
        <w:t>Sheffield Academic Press, 1993) p.97.</w:t>
      </w:r>
    </w:p>
  </w:footnote>
  <w:footnote w:id="10">
    <w:p w14:paraId="54AD69AD" w14:textId="30359174" w:rsidR="00CF7F5B" w:rsidRDefault="00CF7F5B">
      <w:pPr>
        <w:pStyle w:val="FootnoteText"/>
      </w:pPr>
      <w:r>
        <w:rPr>
          <w:rStyle w:val="FootnoteReference"/>
        </w:rPr>
        <w:footnoteRef/>
      </w:r>
      <w:r>
        <w:t xml:space="preserve"> </w:t>
      </w:r>
      <w:r w:rsidR="00EB6296">
        <w:t xml:space="preserve">Stephanie Day Powell, ‘Do Not Press Me </w:t>
      </w:r>
      <w:proofErr w:type="gramStart"/>
      <w:r w:rsidR="00EB6296">
        <w:t>To</w:t>
      </w:r>
      <w:proofErr w:type="gramEnd"/>
      <w:r w:rsidR="00EB6296">
        <w:t xml:space="preserve"> Leave You: Narrative Desire </w:t>
      </w:r>
      <w:proofErr w:type="gramStart"/>
      <w:r w:rsidR="00EB6296">
        <w:t>And</w:t>
      </w:r>
      <w:proofErr w:type="gramEnd"/>
      <w:r w:rsidR="00EB6296">
        <w:t xml:space="preserve"> </w:t>
      </w:r>
      <w:proofErr w:type="gramStart"/>
      <w:r w:rsidR="00EB6296">
        <w:t>The</w:t>
      </w:r>
      <w:proofErr w:type="gramEnd"/>
      <w:r w:rsidR="00EB6296">
        <w:t xml:space="preserve"> Book of Ruth’ (unpublished doctoral thesis, Drew University, 2015) &lt;</w:t>
      </w:r>
      <w:r w:rsidR="00EB6296" w:rsidRPr="00EB6296">
        <w:t xml:space="preserve"> https://digitalcollections.drew.edu/UniversityArchives/ThesesAndDissertations/THEO/PhD/2015/Powell/openaccess/SDPowell.pdf</w:t>
      </w:r>
      <w:r w:rsidR="00EB6296">
        <w:t>&gt; [accessed 13 May 2026] p.33.</w:t>
      </w:r>
    </w:p>
  </w:footnote>
  <w:footnote w:id="11">
    <w:p w14:paraId="3F134F16" w14:textId="66C27EDD" w:rsidR="00EF302A" w:rsidRDefault="00EF302A">
      <w:pPr>
        <w:pStyle w:val="FootnoteText"/>
      </w:pPr>
      <w:r>
        <w:rPr>
          <w:rStyle w:val="FootnoteReference"/>
        </w:rPr>
        <w:footnoteRef/>
      </w:r>
      <w:r>
        <w:t xml:space="preserve"> Powell</w:t>
      </w:r>
      <w:r w:rsidR="00EB6296">
        <w:t xml:space="preserve">, ‘Do Not Press Me </w:t>
      </w:r>
      <w:proofErr w:type="gramStart"/>
      <w:r w:rsidR="00EB6296">
        <w:t>To</w:t>
      </w:r>
      <w:proofErr w:type="gramEnd"/>
      <w:r w:rsidR="00EB6296">
        <w:t xml:space="preserve"> Leave You’, p.3.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53F9"/>
    <w:rsid w:val="000064B7"/>
    <w:rsid w:val="00006BD6"/>
    <w:rsid w:val="00025AE2"/>
    <w:rsid w:val="00037BB5"/>
    <w:rsid w:val="0006569F"/>
    <w:rsid w:val="000725C1"/>
    <w:rsid w:val="00072D4C"/>
    <w:rsid w:val="00081F30"/>
    <w:rsid w:val="00082265"/>
    <w:rsid w:val="000830A2"/>
    <w:rsid w:val="0009299E"/>
    <w:rsid w:val="000A0AE8"/>
    <w:rsid w:val="000A2F15"/>
    <w:rsid w:val="000B068C"/>
    <w:rsid w:val="000B2463"/>
    <w:rsid w:val="000C02A2"/>
    <w:rsid w:val="000C10F0"/>
    <w:rsid w:val="00101CC3"/>
    <w:rsid w:val="001217F5"/>
    <w:rsid w:val="00123C19"/>
    <w:rsid w:val="001A7C30"/>
    <w:rsid w:val="001B29C1"/>
    <w:rsid w:val="001B7E59"/>
    <w:rsid w:val="001C4300"/>
    <w:rsid w:val="001C5B64"/>
    <w:rsid w:val="001D4628"/>
    <w:rsid w:val="001D797D"/>
    <w:rsid w:val="002049F5"/>
    <w:rsid w:val="00221A35"/>
    <w:rsid w:val="0023608A"/>
    <w:rsid w:val="00243780"/>
    <w:rsid w:val="00264EAF"/>
    <w:rsid w:val="00295B2C"/>
    <w:rsid w:val="002A689A"/>
    <w:rsid w:val="002B5531"/>
    <w:rsid w:val="002B563A"/>
    <w:rsid w:val="002C5F6E"/>
    <w:rsid w:val="002D393A"/>
    <w:rsid w:val="002F3E18"/>
    <w:rsid w:val="00322B3C"/>
    <w:rsid w:val="00382D48"/>
    <w:rsid w:val="0039047E"/>
    <w:rsid w:val="003A1340"/>
    <w:rsid w:val="003A1CCF"/>
    <w:rsid w:val="003A5A47"/>
    <w:rsid w:val="003A76AA"/>
    <w:rsid w:val="003B3449"/>
    <w:rsid w:val="003B3E03"/>
    <w:rsid w:val="003B7D4C"/>
    <w:rsid w:val="003C6D29"/>
    <w:rsid w:val="003D0E1C"/>
    <w:rsid w:val="003D3437"/>
    <w:rsid w:val="0040411D"/>
    <w:rsid w:val="00410BF5"/>
    <w:rsid w:val="00411CCB"/>
    <w:rsid w:val="00422E7C"/>
    <w:rsid w:val="00424F63"/>
    <w:rsid w:val="00432456"/>
    <w:rsid w:val="00440D38"/>
    <w:rsid w:val="004446F7"/>
    <w:rsid w:val="00444C55"/>
    <w:rsid w:val="00461E3A"/>
    <w:rsid w:val="004743FA"/>
    <w:rsid w:val="00484B83"/>
    <w:rsid w:val="00491A77"/>
    <w:rsid w:val="00493CE3"/>
    <w:rsid w:val="004B566D"/>
    <w:rsid w:val="004C39FC"/>
    <w:rsid w:val="00504E80"/>
    <w:rsid w:val="00512AE2"/>
    <w:rsid w:val="0051331C"/>
    <w:rsid w:val="005912A9"/>
    <w:rsid w:val="00595667"/>
    <w:rsid w:val="005A0AF9"/>
    <w:rsid w:val="005A2552"/>
    <w:rsid w:val="005A32A0"/>
    <w:rsid w:val="005B0963"/>
    <w:rsid w:val="005C3A8A"/>
    <w:rsid w:val="005C5CEB"/>
    <w:rsid w:val="005C7CE2"/>
    <w:rsid w:val="005D7C9E"/>
    <w:rsid w:val="00602360"/>
    <w:rsid w:val="00632368"/>
    <w:rsid w:val="006539A5"/>
    <w:rsid w:val="00664D90"/>
    <w:rsid w:val="0067033F"/>
    <w:rsid w:val="00675318"/>
    <w:rsid w:val="006816E4"/>
    <w:rsid w:val="006927E2"/>
    <w:rsid w:val="006B3AF5"/>
    <w:rsid w:val="006B4179"/>
    <w:rsid w:val="006C4CD2"/>
    <w:rsid w:val="006E75C3"/>
    <w:rsid w:val="007023A6"/>
    <w:rsid w:val="007671E5"/>
    <w:rsid w:val="00770807"/>
    <w:rsid w:val="00780718"/>
    <w:rsid w:val="00784146"/>
    <w:rsid w:val="007919F6"/>
    <w:rsid w:val="007B102E"/>
    <w:rsid w:val="007D0129"/>
    <w:rsid w:val="007F17FE"/>
    <w:rsid w:val="007F53BB"/>
    <w:rsid w:val="00816E52"/>
    <w:rsid w:val="008200B8"/>
    <w:rsid w:val="00827A8F"/>
    <w:rsid w:val="00862200"/>
    <w:rsid w:val="00863E1A"/>
    <w:rsid w:val="008740B2"/>
    <w:rsid w:val="008771B6"/>
    <w:rsid w:val="008A03BA"/>
    <w:rsid w:val="008A7393"/>
    <w:rsid w:val="008B4920"/>
    <w:rsid w:val="008D4763"/>
    <w:rsid w:val="00901417"/>
    <w:rsid w:val="009465C3"/>
    <w:rsid w:val="009A2064"/>
    <w:rsid w:val="009A409A"/>
    <w:rsid w:val="009A744E"/>
    <w:rsid w:val="009C3290"/>
    <w:rsid w:val="009F1CB5"/>
    <w:rsid w:val="009F2DB3"/>
    <w:rsid w:val="00A223ED"/>
    <w:rsid w:val="00A26D82"/>
    <w:rsid w:val="00A429E8"/>
    <w:rsid w:val="00A562A1"/>
    <w:rsid w:val="00A75067"/>
    <w:rsid w:val="00A7577E"/>
    <w:rsid w:val="00A91A18"/>
    <w:rsid w:val="00A9295B"/>
    <w:rsid w:val="00AD53A7"/>
    <w:rsid w:val="00AF53F8"/>
    <w:rsid w:val="00B21214"/>
    <w:rsid w:val="00B22F6A"/>
    <w:rsid w:val="00B43F4D"/>
    <w:rsid w:val="00B45ACC"/>
    <w:rsid w:val="00B501C7"/>
    <w:rsid w:val="00B55838"/>
    <w:rsid w:val="00B653F9"/>
    <w:rsid w:val="00B73B0B"/>
    <w:rsid w:val="00B75859"/>
    <w:rsid w:val="00B861BB"/>
    <w:rsid w:val="00B864D4"/>
    <w:rsid w:val="00BB3D59"/>
    <w:rsid w:val="00BE7714"/>
    <w:rsid w:val="00BF386C"/>
    <w:rsid w:val="00C30E44"/>
    <w:rsid w:val="00C461C7"/>
    <w:rsid w:val="00C462B5"/>
    <w:rsid w:val="00C702AE"/>
    <w:rsid w:val="00C7188A"/>
    <w:rsid w:val="00CC2F3C"/>
    <w:rsid w:val="00CF56C1"/>
    <w:rsid w:val="00CF7F5B"/>
    <w:rsid w:val="00D13B14"/>
    <w:rsid w:val="00D349F6"/>
    <w:rsid w:val="00D9378F"/>
    <w:rsid w:val="00DC0FF3"/>
    <w:rsid w:val="00DD1E52"/>
    <w:rsid w:val="00DD2C12"/>
    <w:rsid w:val="00DE199F"/>
    <w:rsid w:val="00DE721E"/>
    <w:rsid w:val="00DF3EE8"/>
    <w:rsid w:val="00E036FA"/>
    <w:rsid w:val="00E10D12"/>
    <w:rsid w:val="00E25F88"/>
    <w:rsid w:val="00E404D7"/>
    <w:rsid w:val="00E53BCA"/>
    <w:rsid w:val="00E54893"/>
    <w:rsid w:val="00E5574D"/>
    <w:rsid w:val="00E8184F"/>
    <w:rsid w:val="00E862BB"/>
    <w:rsid w:val="00EA0ED7"/>
    <w:rsid w:val="00EA7270"/>
    <w:rsid w:val="00EB6296"/>
    <w:rsid w:val="00EE617E"/>
    <w:rsid w:val="00EF302A"/>
    <w:rsid w:val="00EF4B2B"/>
    <w:rsid w:val="00F03D32"/>
    <w:rsid w:val="00F305F3"/>
    <w:rsid w:val="00F470E8"/>
    <w:rsid w:val="00F70C6F"/>
    <w:rsid w:val="00F90E2A"/>
    <w:rsid w:val="00FA3D3D"/>
    <w:rsid w:val="00FA6504"/>
    <w:rsid w:val="00FC26B7"/>
    <w:rsid w:val="00FE6C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6E19F7"/>
  <w15:chartTrackingRefBased/>
  <w15:docId w15:val="{361A471E-B64C-49E4-BFDC-6E6EB19CED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53F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B653F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B653F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B653F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B653F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B653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53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53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53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53F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B653F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B653F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B653F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B653F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B653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53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53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53F9"/>
    <w:rPr>
      <w:rFonts w:eastAsiaTheme="majorEastAsia" w:cstheme="majorBidi"/>
      <w:color w:val="272727" w:themeColor="text1" w:themeTint="D8"/>
    </w:rPr>
  </w:style>
  <w:style w:type="paragraph" w:styleId="Title">
    <w:name w:val="Title"/>
    <w:basedOn w:val="Normal"/>
    <w:next w:val="Normal"/>
    <w:link w:val="TitleChar"/>
    <w:uiPriority w:val="10"/>
    <w:qFormat/>
    <w:rsid w:val="00B653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53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53F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53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53F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B653F9"/>
    <w:rPr>
      <w:i/>
      <w:iCs/>
      <w:color w:val="404040" w:themeColor="text1" w:themeTint="BF"/>
    </w:rPr>
  </w:style>
  <w:style w:type="paragraph" w:styleId="ListParagraph">
    <w:name w:val="List Paragraph"/>
    <w:basedOn w:val="Normal"/>
    <w:uiPriority w:val="34"/>
    <w:qFormat/>
    <w:rsid w:val="00B653F9"/>
    <w:pPr>
      <w:ind w:left="720"/>
      <w:contextualSpacing/>
    </w:pPr>
  </w:style>
  <w:style w:type="character" w:styleId="IntenseEmphasis">
    <w:name w:val="Intense Emphasis"/>
    <w:basedOn w:val="DefaultParagraphFont"/>
    <w:uiPriority w:val="21"/>
    <w:qFormat/>
    <w:rsid w:val="00B653F9"/>
    <w:rPr>
      <w:i/>
      <w:iCs/>
      <w:color w:val="365F91" w:themeColor="accent1" w:themeShade="BF"/>
    </w:rPr>
  </w:style>
  <w:style w:type="paragraph" w:styleId="IntenseQuote">
    <w:name w:val="Intense Quote"/>
    <w:basedOn w:val="Normal"/>
    <w:next w:val="Normal"/>
    <w:link w:val="IntenseQuoteChar"/>
    <w:uiPriority w:val="30"/>
    <w:qFormat/>
    <w:rsid w:val="00B653F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B653F9"/>
    <w:rPr>
      <w:i/>
      <w:iCs/>
      <w:color w:val="365F91" w:themeColor="accent1" w:themeShade="BF"/>
    </w:rPr>
  </w:style>
  <w:style w:type="character" w:styleId="IntenseReference">
    <w:name w:val="Intense Reference"/>
    <w:basedOn w:val="DefaultParagraphFont"/>
    <w:uiPriority w:val="32"/>
    <w:qFormat/>
    <w:rsid w:val="00B653F9"/>
    <w:rPr>
      <w:b/>
      <w:bCs/>
      <w:smallCaps/>
      <w:color w:val="365F91" w:themeColor="accent1" w:themeShade="BF"/>
      <w:spacing w:val="5"/>
    </w:rPr>
  </w:style>
  <w:style w:type="paragraph" w:styleId="FootnoteText">
    <w:name w:val="footnote text"/>
    <w:basedOn w:val="Normal"/>
    <w:link w:val="FootnoteTextChar"/>
    <w:uiPriority w:val="99"/>
    <w:semiHidden/>
    <w:unhideWhenUsed/>
    <w:rsid w:val="004743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743FA"/>
    <w:rPr>
      <w:sz w:val="20"/>
      <w:szCs w:val="20"/>
    </w:rPr>
  </w:style>
  <w:style w:type="character" w:styleId="FootnoteReference">
    <w:name w:val="footnote reference"/>
    <w:basedOn w:val="DefaultParagraphFont"/>
    <w:uiPriority w:val="99"/>
    <w:semiHidden/>
    <w:unhideWhenUsed/>
    <w:rsid w:val="004743FA"/>
    <w:rPr>
      <w:vertAlign w:val="superscript"/>
    </w:rPr>
  </w:style>
  <w:style w:type="character" w:styleId="Hyperlink">
    <w:name w:val="Hyperlink"/>
    <w:basedOn w:val="DefaultParagraphFont"/>
    <w:uiPriority w:val="99"/>
    <w:unhideWhenUsed/>
    <w:rsid w:val="00A429E8"/>
    <w:rPr>
      <w:color w:val="0000FF" w:themeColor="hyperlink"/>
      <w:u w:val="single"/>
    </w:rPr>
  </w:style>
  <w:style w:type="character" w:styleId="UnresolvedMention">
    <w:name w:val="Unresolved Mention"/>
    <w:basedOn w:val="DefaultParagraphFont"/>
    <w:uiPriority w:val="99"/>
    <w:semiHidden/>
    <w:unhideWhenUsed/>
    <w:rsid w:val="00A429E8"/>
    <w:rPr>
      <w:color w:val="605E5C"/>
      <w:shd w:val="clear" w:color="auto" w:fill="E1DFDD"/>
    </w:rPr>
  </w:style>
  <w:style w:type="character" w:styleId="FollowedHyperlink">
    <w:name w:val="FollowedHyperlink"/>
    <w:basedOn w:val="DefaultParagraphFont"/>
    <w:uiPriority w:val="99"/>
    <w:semiHidden/>
    <w:unhideWhenUsed/>
    <w:rsid w:val="002B5531"/>
    <w:rPr>
      <w:color w:val="800080" w:themeColor="followedHyperlink"/>
      <w:u w:val="single"/>
    </w:rPr>
  </w:style>
  <w:style w:type="paragraph" w:styleId="Header">
    <w:name w:val="header"/>
    <w:basedOn w:val="Normal"/>
    <w:link w:val="HeaderChar"/>
    <w:uiPriority w:val="99"/>
    <w:unhideWhenUsed/>
    <w:rsid w:val="00EB62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296"/>
  </w:style>
  <w:style w:type="paragraph" w:styleId="Footer">
    <w:name w:val="footer"/>
    <w:basedOn w:val="Normal"/>
    <w:link w:val="FooterChar"/>
    <w:uiPriority w:val="99"/>
    <w:unhideWhenUsed/>
    <w:rsid w:val="00EB62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2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4" ma:contentTypeDescription="Create a new document." ma:contentTypeScope="" ma:versionID="cb61869fe9abf916354521e194b94ebc">
  <xsd:schema xmlns:xsd="http://www.w3.org/2001/XMLSchema" xmlns:xs="http://www.w3.org/2001/XMLSchema" xmlns:p="http://schemas.microsoft.com/office/2006/metadata/properties" xmlns:ns3="b4f9f7ee-5770-4a14-8925-17f3d16e50b7" targetNamespace="http://schemas.microsoft.com/office/2006/metadata/properties" ma:root="true" ma:fieldsID="f465bc2d14ba1ad942e618bffb12f63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A33C282-7DF6-4E88-B34D-E82F005EDC1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07682DA-DDB7-4640-A2F3-3632624912C2}">
  <ds:schemaRefs>
    <ds:schemaRef ds:uri="http://schemas.openxmlformats.org/officeDocument/2006/bibliography"/>
  </ds:schemaRefs>
</ds:datastoreItem>
</file>

<file path=customXml/itemProps3.xml><?xml version="1.0" encoding="utf-8"?>
<ds:datastoreItem xmlns:ds="http://schemas.openxmlformats.org/officeDocument/2006/customXml" ds:itemID="{D6172EB0-9C01-46DB-9E24-6F5521AB52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39A99BB-B4E0-4D4A-826F-5C4B8140A15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1883</Words>
  <Characters>10737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Keiron Hewitt (2502787)</dc:creator>
  <cp:keywords/>
  <dc:description/>
  <cp:lastModifiedBy>Keiron Hewitt (2502787)</cp:lastModifiedBy>
  <cp:revision>3</cp:revision>
  <dcterms:created xsi:type="dcterms:W3CDTF">2026-05-13T18:56:00Z</dcterms:created>
  <dcterms:modified xsi:type="dcterms:W3CDTF">2026-05-13T19:10:00Z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450297a3-8018-422e-b12a-14083cf9afc5</vt:lpwstr>
  </property>
</Properties>
</file>