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62CF4" w14:textId="71314C64" w:rsidR="003E4FFA" w:rsidRDefault="003E4FFA" w:rsidP="003E4FFA">
      <w:pPr>
        <w:spacing w:line="360" w:lineRule="auto"/>
        <w:jc w:val="both"/>
        <w:rPr>
          <w:b/>
          <w:bCs/>
        </w:rPr>
      </w:pPr>
      <w:r>
        <w:rPr>
          <w:b/>
          <w:bCs/>
        </w:rPr>
        <w:t>2124831 – Matthew Benson-Davison</w:t>
      </w:r>
    </w:p>
    <w:p w14:paraId="7CCB3145" w14:textId="77777777" w:rsidR="003E4FFA" w:rsidRDefault="003E4FFA" w:rsidP="003E4FFA">
      <w:pPr>
        <w:spacing w:line="360" w:lineRule="auto"/>
        <w:jc w:val="both"/>
        <w:rPr>
          <w:b/>
          <w:bCs/>
        </w:rPr>
      </w:pPr>
    </w:p>
    <w:p w14:paraId="2946F2A4" w14:textId="1E675240" w:rsidR="003E4FFA" w:rsidRDefault="003E4FFA" w:rsidP="003E4FFA">
      <w:pPr>
        <w:spacing w:line="360" w:lineRule="auto"/>
        <w:jc w:val="both"/>
        <w:rPr>
          <w:b/>
          <w:bCs/>
        </w:rPr>
      </w:pPr>
      <w:r w:rsidRPr="00ED4E82">
        <w:rPr>
          <w:b/>
          <w:bCs/>
        </w:rPr>
        <w:t xml:space="preserve">How have past instances of police malpractice and misconduct influenced modern professional policing? </w:t>
      </w:r>
    </w:p>
    <w:p w14:paraId="21D736C0" w14:textId="77777777" w:rsidR="003E4FFA" w:rsidRDefault="003E4FFA" w:rsidP="002E06BD">
      <w:pPr>
        <w:rPr>
          <w:b/>
          <w:bCs/>
        </w:rPr>
      </w:pPr>
    </w:p>
    <w:p w14:paraId="585C2DEE" w14:textId="77777777" w:rsidR="003E4FFA" w:rsidRDefault="003E4FFA" w:rsidP="003E4FFA">
      <w:pPr>
        <w:spacing w:line="360" w:lineRule="auto"/>
        <w:jc w:val="both"/>
      </w:pPr>
      <w:r>
        <w:t xml:space="preserve">Police misconduct has been a critical issue of concern for decades and is defined as “inappropriate actions taken by police officers in connection with their official duties” (Maher, 2015:np). However, this definition can undermine the corruption and sometimes criminal behaviour which malpractice and misconduct include. Police officers who partake in criminal behaviour and misconduct are often labelled ‘rotten apples’ due to the individualistic nature of unethical behaviour (Gottschalk et al., 2011). However, it is this separable nature of misconduct which poses challenges for modern professional policing. </w:t>
      </w:r>
    </w:p>
    <w:p w14:paraId="635AD68E" w14:textId="77777777" w:rsidR="003E4FFA" w:rsidRDefault="003E4FFA" w:rsidP="003E4FFA">
      <w:pPr>
        <w:spacing w:line="360" w:lineRule="auto"/>
        <w:jc w:val="both"/>
      </w:pPr>
    </w:p>
    <w:p w14:paraId="2EE5F049" w14:textId="77777777" w:rsidR="003E4FFA" w:rsidRDefault="003E4FFA" w:rsidP="003E4FFA">
      <w:pPr>
        <w:spacing w:line="360" w:lineRule="auto"/>
        <w:jc w:val="both"/>
      </w:pPr>
      <w:r>
        <w:t xml:space="preserve">This essay first highlights two of the most high-profile police malpractice in the history of British policing, before outlining legislative and procedural changes introduced to improve standards in policing behaviour and ethical outcomes. The murder of Sarah Everard is also used to critically analyse the outcome of these regulations. Finally, this essay concludes by highlighting how the introduction of law does not always result in positive outcomes, and how the ethical conscience of the individual can affect the public’s perception of the police service. </w:t>
      </w:r>
    </w:p>
    <w:p w14:paraId="463FED2C" w14:textId="77777777" w:rsidR="003E4FFA" w:rsidRDefault="003E4FFA" w:rsidP="003E4FFA">
      <w:pPr>
        <w:spacing w:line="360" w:lineRule="auto"/>
        <w:jc w:val="both"/>
      </w:pPr>
    </w:p>
    <w:p w14:paraId="1D7A83DC" w14:textId="77777777" w:rsidR="003E4FFA" w:rsidRDefault="003E4FFA" w:rsidP="003E4FFA">
      <w:pPr>
        <w:jc w:val="both"/>
        <w:rPr>
          <w:b/>
          <w:bCs/>
        </w:rPr>
      </w:pPr>
      <w:r w:rsidRPr="00033691">
        <w:rPr>
          <w:b/>
          <w:bCs/>
        </w:rPr>
        <w:t>Past Cases of Misconduct</w:t>
      </w:r>
    </w:p>
    <w:p w14:paraId="00213E5B" w14:textId="77777777" w:rsidR="003E4FFA" w:rsidRPr="00033691" w:rsidRDefault="003E4FFA" w:rsidP="003E4FFA">
      <w:pPr>
        <w:jc w:val="both"/>
        <w:rPr>
          <w:b/>
          <w:bCs/>
        </w:rPr>
      </w:pPr>
    </w:p>
    <w:p w14:paraId="1661DBB7" w14:textId="77777777" w:rsidR="003E4FFA" w:rsidRDefault="003E4FFA" w:rsidP="003E4FFA">
      <w:pPr>
        <w:spacing w:line="360" w:lineRule="auto"/>
        <w:jc w:val="both"/>
      </w:pPr>
      <w:r w:rsidRPr="000341BA">
        <w:t>Chris Mullin MP</w:t>
      </w:r>
      <w:r w:rsidRPr="00033691">
        <w:rPr>
          <w:b/>
          <w:bCs/>
        </w:rPr>
        <w:t xml:space="preserve"> </w:t>
      </w:r>
      <w:r w:rsidRPr="000341BA">
        <w:t>(1997</w:t>
      </w:r>
      <w:r>
        <w:t>a</w:t>
      </w:r>
      <w:r w:rsidRPr="000341BA">
        <w:t>)</w:t>
      </w:r>
      <w:r>
        <w:t xml:space="preserve"> reflects that in November 1974, an IRA bombing campaign in the West Midlands fatally injured 21 people. Subsequently, six Irish men were arrested with the case against them based mainly on confessions signed by four defendants (Gudjonsson and </w:t>
      </w:r>
      <w:proofErr w:type="spellStart"/>
      <w:r>
        <w:t>MacKeith</w:t>
      </w:r>
      <w:proofErr w:type="spellEnd"/>
      <w:r>
        <w:t xml:space="preserve">, 2003). By March 1991, compelling new evidence presented how police notebooks had been extensively re-written and how the police often turned to violence against the suspects (Mullin, 1997a). The Appeals Court quashed the convictions of the Birmingham Six, demonstrating how police officers were using their positions of power to coerce suspects into false confessions. </w:t>
      </w:r>
    </w:p>
    <w:p w14:paraId="4336A6DE" w14:textId="77777777" w:rsidR="003E4FFA" w:rsidRDefault="003E4FFA" w:rsidP="003E4FFA">
      <w:pPr>
        <w:spacing w:line="360" w:lineRule="auto"/>
        <w:jc w:val="both"/>
        <w:rPr>
          <w:b/>
          <w:bCs/>
        </w:rPr>
      </w:pPr>
    </w:p>
    <w:p w14:paraId="22AC5B03" w14:textId="77777777" w:rsidR="003E4FFA" w:rsidRPr="003F0516" w:rsidRDefault="003E4FFA" w:rsidP="003E4FFA">
      <w:pPr>
        <w:spacing w:line="360" w:lineRule="auto"/>
        <w:jc w:val="both"/>
        <w:rPr>
          <w:b/>
          <w:bCs/>
        </w:rPr>
      </w:pPr>
    </w:p>
    <w:p w14:paraId="492C4F44" w14:textId="77777777" w:rsidR="003E4FFA" w:rsidRDefault="003E4FFA" w:rsidP="003E4FFA">
      <w:pPr>
        <w:spacing w:line="360" w:lineRule="auto"/>
        <w:jc w:val="both"/>
      </w:pPr>
      <w:r>
        <w:lastRenderedPageBreak/>
        <w:t xml:space="preserve">Similarly, in September 1978, Carl Bridgwater, a Nottinghamshire paperboy, was found dead after accidently interrupting an armed robbery at Yew Tree Farm (Mullin, 1997b). Four suspects were later arrested for a similar armed robbery at a nearby farm, and subsequently charged with Carl’s murder. This materialised as one of the four detainees signed a confession implicating himself and the others (ibid). However, it later emerged that the detainee had signed a blank document under duress after being assaulted by police officers, who later forged the statement (Gudjonsson, 2002). In 1997, the Court of Appeals quashed all four convictions (Porter and </w:t>
      </w:r>
      <w:proofErr w:type="spellStart"/>
      <w:r>
        <w:t>Warrender</w:t>
      </w:r>
      <w:proofErr w:type="spellEnd"/>
      <w:r>
        <w:t>, 2009).</w:t>
      </w:r>
    </w:p>
    <w:p w14:paraId="43E9C0FD" w14:textId="77777777" w:rsidR="003E4FFA" w:rsidRDefault="003E4FFA" w:rsidP="003E4FFA">
      <w:pPr>
        <w:spacing w:line="360" w:lineRule="auto"/>
        <w:jc w:val="both"/>
        <w:rPr>
          <w:b/>
          <w:bCs/>
        </w:rPr>
      </w:pPr>
    </w:p>
    <w:p w14:paraId="799D8937" w14:textId="77777777" w:rsidR="003E4FFA" w:rsidRDefault="003E4FFA" w:rsidP="003E4FFA">
      <w:pPr>
        <w:jc w:val="both"/>
        <w:rPr>
          <w:b/>
          <w:bCs/>
        </w:rPr>
      </w:pPr>
      <w:r>
        <w:rPr>
          <w:b/>
          <w:bCs/>
        </w:rPr>
        <w:t xml:space="preserve">Modern Professional Policing </w:t>
      </w:r>
    </w:p>
    <w:p w14:paraId="2BA604FC" w14:textId="77777777" w:rsidR="003E4FFA" w:rsidRDefault="003E4FFA" w:rsidP="003E4FFA">
      <w:pPr>
        <w:jc w:val="both"/>
        <w:rPr>
          <w:b/>
          <w:bCs/>
        </w:rPr>
      </w:pPr>
    </w:p>
    <w:p w14:paraId="1B19F0B8" w14:textId="77777777" w:rsidR="003E4FFA" w:rsidRDefault="003E4FFA" w:rsidP="003E4FFA">
      <w:pPr>
        <w:spacing w:line="360" w:lineRule="auto"/>
        <w:jc w:val="both"/>
      </w:pPr>
      <w:r>
        <w:t xml:space="preserve">Partially influenced by the above cases, the Police and Criminal Evidence Act 1984 (PACE) was introduced. The aim of PACE was to restore the British public’s confidence in the police force by pushing key values such as integrity and trust (Home Office, 2010). The act moved to unify police powers and carefully balance the rights of the individual and the powers of the police (Home Office, 2013). Specifically, it covered issues raised in the Birmingham Six and Bridgewater Four cases, including legal requirements for the detention, treatment and questioning of suspects (ibid). Therefore, previous police misconduct has had a significant and long-term impact on the practices of modern professional policing.  </w:t>
      </w:r>
    </w:p>
    <w:p w14:paraId="4D348D06" w14:textId="77777777" w:rsidR="003E4FFA" w:rsidRDefault="003E4FFA" w:rsidP="003E4FFA">
      <w:pPr>
        <w:spacing w:line="360" w:lineRule="auto"/>
        <w:jc w:val="both"/>
      </w:pPr>
    </w:p>
    <w:p w14:paraId="7412F246" w14:textId="77777777" w:rsidR="003E4FFA" w:rsidRDefault="003E4FFA" w:rsidP="003E4FFA">
      <w:pPr>
        <w:spacing w:line="360" w:lineRule="auto"/>
        <w:jc w:val="both"/>
      </w:pPr>
      <w:r>
        <w:t xml:space="preserve">However, it can be argued that despite legislation governing police procedure, police misconduct continued to occur.  The Crown Prosecution Service (CPS) was established in 1986 to provide a counterbalance to the increased police powers under PACE, provide an independent perspective and increase public confidence (Samuels, 1986). However, there has also been criticisms of the CPS as suspects face extended bail-times whilst a decision is made regarding their charges and prosecution, creating possibilities for further criminal activity (CPS, 2022). Therefore, whilst the procedures put in place due to previous instances of misconduct can satisfy public concern regarding impartiality, this can be undermined through poor process times and low conviction rates at court. </w:t>
      </w:r>
    </w:p>
    <w:p w14:paraId="15E55221" w14:textId="77777777" w:rsidR="003E4FFA" w:rsidRDefault="003E4FFA" w:rsidP="003E4FFA">
      <w:pPr>
        <w:spacing w:line="360" w:lineRule="auto"/>
        <w:jc w:val="both"/>
      </w:pPr>
    </w:p>
    <w:p w14:paraId="198C88A5" w14:textId="77777777" w:rsidR="003E4FFA" w:rsidRDefault="003E4FFA" w:rsidP="003E4FFA">
      <w:pPr>
        <w:spacing w:line="360" w:lineRule="auto"/>
        <w:jc w:val="both"/>
      </w:pPr>
    </w:p>
    <w:p w14:paraId="4C96E792" w14:textId="3B9CE52E" w:rsidR="003E4FFA" w:rsidRDefault="003E4FFA" w:rsidP="003E4FFA">
      <w:pPr>
        <w:spacing w:line="360" w:lineRule="auto"/>
        <w:jc w:val="both"/>
      </w:pPr>
      <w:r>
        <w:lastRenderedPageBreak/>
        <w:t>Whilst both the 1984 Act and the CPS attempt to improve procedures and regulations, at the heart of police malpractice and misconduct is a breach of the code of ethics. Each police officer is committed to individual standards of behaviour as outlined by The Code of Ethics, produced by the College of Policing (2014). It sets and defines the exemplary standards of behaviour for everyone in policing (</w:t>
      </w:r>
      <w:proofErr w:type="spellStart"/>
      <w:r>
        <w:t>Westmarland</w:t>
      </w:r>
      <w:proofErr w:type="spellEnd"/>
      <w:r>
        <w:t xml:space="preserve"> and Rowe, 2018). When the code of ethics is breached, the incident may be referred to the Independent Office for Police Conduct (IOPC) for investigation. </w:t>
      </w:r>
    </w:p>
    <w:p w14:paraId="024EDBD6" w14:textId="0D10F7DF" w:rsidR="003E4FFA" w:rsidRDefault="003E4FFA" w:rsidP="003E4FFA">
      <w:pPr>
        <w:spacing w:line="360" w:lineRule="auto"/>
        <w:jc w:val="both"/>
        <w:rPr>
          <w:rFonts w:cstheme="minorHAnsi"/>
          <w:color w:val="000000" w:themeColor="text1"/>
          <w:shd w:val="clear" w:color="auto" w:fill="FFFFFF"/>
        </w:rPr>
      </w:pPr>
      <w:r>
        <w:t xml:space="preserve">The IOPC was set up in January 2018, as an independent body whose role is to investigate police misconduct and ensure investigations are robust and impartial (IOPC, 2020). A recent case reviewed by the IOPC concerns the murder of Sarah Everard. The IOPC investigation suggests that organisational failures led to the incomprehensive vetting of Wayne </w:t>
      </w:r>
      <w:proofErr w:type="spellStart"/>
      <w:r>
        <w:t>Couzens</w:t>
      </w:r>
      <w:proofErr w:type="spellEnd"/>
      <w:r>
        <w:t xml:space="preserve"> and lost investigative opportunities regarding reports of indecent exposure (Brown and Horvath (2021). This case also highlights the reputational damage caused to the police service and further indicates how crucial it is that policing is held to the highest standard to maintain community confidence (ibid). This high-profile misconduct by a serving police officer had significant impacts on the trust in the police (Beighton and </w:t>
      </w:r>
      <w:proofErr w:type="spellStart"/>
      <w:r>
        <w:rPr>
          <w:rFonts w:cstheme="minorHAnsi"/>
          <w:color w:val="000000" w:themeColor="text1"/>
          <w:shd w:val="clear" w:color="auto" w:fill="FFFFFF"/>
        </w:rPr>
        <w:t>Kemiche</w:t>
      </w:r>
      <w:proofErr w:type="spellEnd"/>
      <w:r>
        <w:rPr>
          <w:rFonts w:cstheme="minorHAnsi"/>
          <w:color w:val="000000" w:themeColor="text1"/>
          <w:shd w:val="clear" w:color="auto" w:fill="FFFFFF"/>
        </w:rPr>
        <w:t>, 2021).</w:t>
      </w:r>
    </w:p>
    <w:p w14:paraId="5F01D78A" w14:textId="77777777" w:rsidR="0075106A" w:rsidRDefault="0075106A" w:rsidP="003E4FFA">
      <w:pPr>
        <w:spacing w:line="360" w:lineRule="auto"/>
        <w:jc w:val="both"/>
        <w:rPr>
          <w:b/>
          <w:bCs/>
        </w:rPr>
      </w:pPr>
    </w:p>
    <w:p w14:paraId="26545ABD" w14:textId="77777777" w:rsidR="003E4FFA" w:rsidRDefault="003E4FFA" w:rsidP="003E4FFA">
      <w:pPr>
        <w:jc w:val="both"/>
        <w:rPr>
          <w:b/>
          <w:bCs/>
        </w:rPr>
      </w:pPr>
      <w:r w:rsidRPr="0007084D">
        <w:rPr>
          <w:b/>
          <w:bCs/>
        </w:rPr>
        <w:t xml:space="preserve">Conclusion </w:t>
      </w:r>
    </w:p>
    <w:p w14:paraId="0D29CEC5" w14:textId="77777777" w:rsidR="003E4FFA" w:rsidRDefault="003E4FFA" w:rsidP="003E4FFA">
      <w:pPr>
        <w:jc w:val="both"/>
        <w:rPr>
          <w:b/>
          <w:bCs/>
        </w:rPr>
      </w:pPr>
    </w:p>
    <w:p w14:paraId="0BF483F2" w14:textId="77777777" w:rsidR="0075106A" w:rsidRDefault="003E4FFA" w:rsidP="003E4FFA">
      <w:pPr>
        <w:spacing w:line="360" w:lineRule="auto"/>
        <w:jc w:val="both"/>
      </w:pPr>
      <w:r>
        <w:t xml:space="preserve">This essay has drawn on two case studies of police malpractice which were pivotal in the formation of the 1984 Act, </w:t>
      </w:r>
      <w:proofErr w:type="gramStart"/>
      <w:r>
        <w:t>in order to</w:t>
      </w:r>
      <w:proofErr w:type="gramEnd"/>
      <w:r>
        <w:t xml:space="preserve"> demonstrate how police malpractice and misconduct have influenced modern professional policing, both through guidance and action. This essay has also examined the use of the 1984 Act, the CPS and the IOPC and shown how these policies and bodies are implemented to uphold community trust and police integrity.  However, it has also been identified that despite these regulations, incidents of malpractice and misconduct may still occur, as seen in the recent murder of Sarah Everard. The arguments made in this essay have shown that whilst the police service can put procedures in place based on past instances, managing and improving police conduct is an </w:t>
      </w:r>
      <w:proofErr w:type="gramStart"/>
      <w:r>
        <w:t>ever evolving</w:t>
      </w:r>
      <w:proofErr w:type="gramEnd"/>
      <w:r>
        <w:t xml:space="preserve"> process. Nevertheless, whilst we cannot expect police misconduct to be eliminated entirely as it is the ethical conscience of the individual which constitutes issues of misconduct, we can be reassured that the service will continue to take a stand against ‘rotten </w:t>
      </w:r>
      <w:proofErr w:type="gramStart"/>
      <w:r>
        <w:t>apples’</w:t>
      </w:r>
      <w:proofErr w:type="gramEnd"/>
      <w:r>
        <w:t>.</w:t>
      </w:r>
    </w:p>
    <w:p w14:paraId="24285AA2" w14:textId="6388A37B" w:rsidR="003E4FFA" w:rsidRDefault="003E4FFA" w:rsidP="003E4FFA">
      <w:pPr>
        <w:spacing w:line="360" w:lineRule="auto"/>
        <w:jc w:val="both"/>
      </w:pPr>
      <w:r>
        <w:t xml:space="preserve"> Word Count: 985</w:t>
      </w:r>
    </w:p>
    <w:p w14:paraId="6504A958" w14:textId="77777777" w:rsidR="006504EF" w:rsidRDefault="006504EF" w:rsidP="002E06BD">
      <w:pPr>
        <w:spacing w:line="360" w:lineRule="auto"/>
        <w:rPr>
          <w:b/>
          <w:bCs/>
        </w:rPr>
      </w:pPr>
      <w:r w:rsidRPr="00055239">
        <w:rPr>
          <w:b/>
          <w:bCs/>
        </w:rPr>
        <w:lastRenderedPageBreak/>
        <w:t xml:space="preserve">How does media coverage affect policing strategies in relation to public protection incidents? </w:t>
      </w:r>
    </w:p>
    <w:p w14:paraId="7EE18D00" w14:textId="77777777" w:rsidR="006504EF" w:rsidRDefault="006504EF" w:rsidP="006504EF">
      <w:pPr>
        <w:rPr>
          <w:b/>
          <w:bCs/>
        </w:rPr>
      </w:pPr>
    </w:p>
    <w:p w14:paraId="2DEB38C1" w14:textId="77777777" w:rsidR="006504EF" w:rsidRDefault="006504EF" w:rsidP="006504EF">
      <w:pPr>
        <w:spacing w:line="360" w:lineRule="auto"/>
        <w:jc w:val="both"/>
        <w:rPr>
          <w:rFonts w:cstheme="minorHAnsi"/>
          <w:spacing w:val="3"/>
        </w:rPr>
      </w:pPr>
      <w:r w:rsidRPr="00EB5F1F">
        <w:rPr>
          <w:rFonts w:cstheme="minorHAnsi"/>
        </w:rPr>
        <w:t xml:space="preserve">A public protection incident is one where </w:t>
      </w:r>
      <w:r>
        <w:rPr>
          <w:rFonts w:cstheme="minorHAnsi"/>
        </w:rPr>
        <w:t xml:space="preserve">a </w:t>
      </w:r>
      <w:r w:rsidRPr="00EB5F1F">
        <w:rPr>
          <w:rFonts w:cstheme="minorHAnsi"/>
        </w:rPr>
        <w:t>vulnerable individual</w:t>
      </w:r>
      <w:r>
        <w:rPr>
          <w:rFonts w:cstheme="minorHAnsi"/>
        </w:rPr>
        <w:t>(s)</w:t>
      </w:r>
      <w:r w:rsidRPr="00EB5F1F">
        <w:rPr>
          <w:rFonts w:cstheme="minorHAnsi"/>
        </w:rPr>
        <w:t xml:space="preserve"> needs safeguarding from the risk of har</w:t>
      </w:r>
      <w:r>
        <w:rPr>
          <w:rFonts w:cstheme="minorHAnsi"/>
        </w:rPr>
        <w:t xml:space="preserve">m (College of Policing, 2020). </w:t>
      </w:r>
      <w:r w:rsidRPr="00EB5F1F">
        <w:rPr>
          <w:rFonts w:cstheme="minorHAnsi"/>
        </w:rPr>
        <w:t>This include</w:t>
      </w:r>
      <w:r>
        <w:rPr>
          <w:rFonts w:cstheme="minorHAnsi"/>
        </w:rPr>
        <w:t>s, but is not subject to,</w:t>
      </w:r>
      <w:r w:rsidRPr="00EB5F1F">
        <w:rPr>
          <w:rFonts w:cstheme="minorHAnsi"/>
        </w:rPr>
        <w:t xml:space="preserve"> incidents such as </w:t>
      </w:r>
      <w:r>
        <w:rPr>
          <w:rFonts w:cstheme="minorHAnsi"/>
        </w:rPr>
        <w:t>c</w:t>
      </w:r>
      <w:r w:rsidRPr="00EB5F1F">
        <w:rPr>
          <w:rFonts w:cstheme="minorHAnsi"/>
        </w:rPr>
        <w:t xml:space="preserve">hild or domestic abuse, </w:t>
      </w:r>
      <w:r>
        <w:rPr>
          <w:rFonts w:cstheme="minorHAnsi"/>
        </w:rPr>
        <w:t>as well as</w:t>
      </w:r>
      <w:r w:rsidRPr="00EB5F1F">
        <w:rPr>
          <w:rFonts w:cstheme="minorHAnsi"/>
        </w:rPr>
        <w:t xml:space="preserve"> firearms incidents or activities of an Organised Crime Gan</w:t>
      </w:r>
      <w:r>
        <w:rPr>
          <w:rFonts w:cstheme="minorHAnsi"/>
        </w:rPr>
        <w:t>g (ibid).</w:t>
      </w:r>
      <w:r w:rsidRPr="00EB5F1F">
        <w:rPr>
          <w:rFonts w:cstheme="minorHAnsi"/>
        </w:rPr>
        <w:t xml:space="preserve"> Public protection incidents are </w:t>
      </w:r>
      <w:r>
        <w:rPr>
          <w:rFonts w:cstheme="minorHAnsi"/>
        </w:rPr>
        <w:t>a daily occurrence for</w:t>
      </w:r>
      <w:r w:rsidRPr="00EB5F1F">
        <w:rPr>
          <w:rFonts w:cstheme="minorHAnsi"/>
        </w:rPr>
        <w:t xml:space="preserve"> police forces, however when a serious public protection incident occurs, it can require a significant policing response</w:t>
      </w:r>
      <w:r>
        <w:rPr>
          <w:rFonts w:cstheme="minorHAnsi"/>
        </w:rPr>
        <w:t xml:space="preserve">, </w:t>
      </w:r>
      <w:r w:rsidRPr="00EB5F1F">
        <w:rPr>
          <w:rFonts w:cstheme="minorHAnsi"/>
        </w:rPr>
        <w:t xml:space="preserve">termed ‘Critical Incidents.’ A </w:t>
      </w:r>
      <w:r>
        <w:rPr>
          <w:rFonts w:cstheme="minorHAnsi"/>
        </w:rPr>
        <w:t>c</w:t>
      </w:r>
      <w:r w:rsidRPr="00EB5F1F">
        <w:rPr>
          <w:rFonts w:cstheme="minorHAnsi"/>
        </w:rPr>
        <w:t xml:space="preserve">ritical </w:t>
      </w:r>
      <w:r>
        <w:rPr>
          <w:rFonts w:cstheme="minorHAnsi"/>
        </w:rPr>
        <w:t>i</w:t>
      </w:r>
      <w:r w:rsidRPr="00EB5F1F">
        <w:rPr>
          <w:rFonts w:cstheme="minorHAnsi"/>
        </w:rPr>
        <w:t xml:space="preserve">ncident is </w:t>
      </w:r>
      <w:r w:rsidRPr="00EB5F1F">
        <w:rPr>
          <w:rFonts w:cstheme="minorHAnsi"/>
          <w:spacing w:val="3"/>
        </w:rPr>
        <w:t>any incident where the effectiveness of the police response is likely to have a significant impact on the confidence of the victim, their family and/or the community</w:t>
      </w:r>
      <w:r>
        <w:rPr>
          <w:rFonts w:cstheme="minorHAnsi"/>
          <w:spacing w:val="3"/>
        </w:rPr>
        <w:t xml:space="preserve"> </w:t>
      </w:r>
      <w:r w:rsidRPr="00EB5F1F">
        <w:rPr>
          <w:rFonts w:cstheme="minorHAnsi"/>
          <w:spacing w:val="3"/>
        </w:rPr>
        <w:t>(College of Policing</w:t>
      </w:r>
      <w:r>
        <w:rPr>
          <w:rFonts w:cstheme="minorHAnsi"/>
          <w:spacing w:val="3"/>
        </w:rPr>
        <w:t xml:space="preserve">, </w:t>
      </w:r>
      <w:r w:rsidRPr="00EB5F1F">
        <w:rPr>
          <w:rFonts w:cstheme="minorHAnsi"/>
          <w:spacing w:val="3"/>
        </w:rPr>
        <w:t>2</w:t>
      </w:r>
      <w:r>
        <w:rPr>
          <w:rFonts w:cstheme="minorHAnsi"/>
          <w:spacing w:val="3"/>
        </w:rPr>
        <w:t>021a</w:t>
      </w:r>
      <w:r w:rsidRPr="00EB5F1F">
        <w:rPr>
          <w:rFonts w:cstheme="minorHAnsi"/>
          <w:spacing w:val="3"/>
        </w:rPr>
        <w:t>)</w:t>
      </w:r>
      <w:r>
        <w:rPr>
          <w:rFonts w:cstheme="minorHAnsi"/>
          <w:spacing w:val="3"/>
        </w:rPr>
        <w:t xml:space="preserve">. Therefore, media coverage can significantly affect the way in which the police approach public protection incidents. </w:t>
      </w:r>
    </w:p>
    <w:p w14:paraId="33ED126A" w14:textId="77777777" w:rsidR="006504EF" w:rsidRDefault="006504EF" w:rsidP="006504EF">
      <w:pPr>
        <w:spacing w:line="360" w:lineRule="auto"/>
        <w:jc w:val="both"/>
        <w:rPr>
          <w:rFonts w:cstheme="minorHAnsi"/>
          <w:spacing w:val="3"/>
        </w:rPr>
      </w:pPr>
    </w:p>
    <w:p w14:paraId="28E83F3B" w14:textId="77777777" w:rsidR="006504EF" w:rsidRDefault="006504EF" w:rsidP="006504EF">
      <w:pPr>
        <w:spacing w:line="360" w:lineRule="auto"/>
        <w:jc w:val="both"/>
        <w:rPr>
          <w:rFonts w:cstheme="minorHAnsi"/>
          <w:spacing w:val="3"/>
        </w:rPr>
      </w:pPr>
      <w:r>
        <w:rPr>
          <w:rFonts w:cstheme="minorHAnsi"/>
          <w:spacing w:val="3"/>
        </w:rPr>
        <w:t xml:space="preserve">This essay argues that a press strategy should be a central tool for the police force and a close working relationship between the press and police should be developed, albeit with caution. Firstly, this essay examines how media interest can lead to the development of a Gold Group and the appointment of Senior Investigating Officers (SIOs), before moving on to discuss how the media can also be utilised as a tool to aid investigations. This essay refers to two case studies to illustrate the argument, namely that of the April Jones murder investigation and the Rotherham child sexual abuse scandal. The essay concludes that media coverage can have varying impacts on police strategies regarding public protection incidents. </w:t>
      </w:r>
    </w:p>
    <w:p w14:paraId="70CE824A" w14:textId="77777777" w:rsidR="006504EF" w:rsidRDefault="006504EF" w:rsidP="006504EF">
      <w:pPr>
        <w:spacing w:line="360" w:lineRule="auto"/>
        <w:jc w:val="both"/>
        <w:rPr>
          <w:rFonts w:cstheme="minorHAnsi"/>
          <w:spacing w:val="3"/>
        </w:rPr>
      </w:pPr>
    </w:p>
    <w:p w14:paraId="3D693224" w14:textId="77777777" w:rsidR="006504EF" w:rsidRDefault="006504EF" w:rsidP="006504EF">
      <w:pPr>
        <w:spacing w:line="360" w:lineRule="auto"/>
        <w:jc w:val="both"/>
        <w:rPr>
          <w:rFonts w:cstheme="minorHAnsi"/>
          <w:b/>
          <w:bCs/>
          <w:spacing w:val="3"/>
        </w:rPr>
      </w:pPr>
      <w:r>
        <w:rPr>
          <w:rFonts w:cstheme="minorHAnsi"/>
          <w:b/>
          <w:bCs/>
          <w:spacing w:val="3"/>
        </w:rPr>
        <w:t xml:space="preserve">Establishing a Gold Group </w:t>
      </w:r>
    </w:p>
    <w:p w14:paraId="07B5603B" w14:textId="77777777" w:rsidR="006504EF" w:rsidRPr="00587271" w:rsidRDefault="006504EF" w:rsidP="006504EF">
      <w:pPr>
        <w:jc w:val="both"/>
        <w:rPr>
          <w:rFonts w:cstheme="minorHAnsi"/>
          <w:b/>
          <w:bCs/>
          <w:spacing w:val="3"/>
        </w:rPr>
      </w:pPr>
    </w:p>
    <w:p w14:paraId="5439600B" w14:textId="77777777" w:rsidR="006504EF" w:rsidRDefault="006504EF" w:rsidP="006504EF">
      <w:pPr>
        <w:spacing w:line="360" w:lineRule="auto"/>
        <w:jc w:val="both"/>
        <w:rPr>
          <w:rFonts w:cstheme="minorHAnsi"/>
          <w:spacing w:val="3"/>
        </w:rPr>
      </w:pPr>
      <w:r>
        <w:rPr>
          <w:rFonts w:cstheme="minorHAnsi"/>
          <w:spacing w:val="3"/>
        </w:rPr>
        <w:t>It is well-established that critical incidents will generate substantial press interest (</w:t>
      </w:r>
      <w:r>
        <w:rPr>
          <w:rFonts w:cstheme="minorHAnsi"/>
        </w:rPr>
        <w:t>Wheatcroft et al., 2012).</w:t>
      </w:r>
      <w:r>
        <w:rPr>
          <w:rFonts w:cstheme="minorHAnsi"/>
          <w:spacing w:val="3"/>
        </w:rPr>
        <w:t xml:space="preserve"> Therefore, it can be argued that the response should be commensurate to the likely level of press scrutiny. This is supported by the College of Policing (2014) who propose that when potentially national consequences arise, such as in the instance of a complex child abuse investigation, the establishment of a Gold Group should be considered. </w:t>
      </w:r>
    </w:p>
    <w:p w14:paraId="38267112" w14:textId="77777777" w:rsidR="006504EF" w:rsidRDefault="006504EF" w:rsidP="006504EF">
      <w:pPr>
        <w:spacing w:line="360" w:lineRule="auto"/>
        <w:jc w:val="both"/>
        <w:rPr>
          <w:rFonts w:cstheme="minorHAnsi"/>
          <w:spacing w:val="3"/>
        </w:rPr>
      </w:pPr>
    </w:p>
    <w:p w14:paraId="35CC88AC" w14:textId="77777777" w:rsidR="006504EF" w:rsidRDefault="006504EF" w:rsidP="006504EF">
      <w:pPr>
        <w:spacing w:line="360" w:lineRule="auto"/>
        <w:jc w:val="both"/>
        <w:rPr>
          <w:rFonts w:cstheme="minorHAnsi"/>
          <w:spacing w:val="3"/>
        </w:rPr>
      </w:pPr>
      <w:r>
        <w:rPr>
          <w:rFonts w:cstheme="minorHAnsi"/>
          <w:spacing w:val="3"/>
        </w:rPr>
        <w:lastRenderedPageBreak/>
        <w:t xml:space="preserve">A Gold Group is comprised of senior managers from various partner agencies who aim to form policies and arrange funding for investigations (MPA, 2008). A SIO accredited to Level 3 of the Professionalism and Investigation Process (PIP 3) should be appointed to lead the enquiry. This qualification further develops upon previous knowledge and skills gained regarding safeguarding, working with partner agencies, and the development of appropriate investigative strategies (College of Policing, 2023). </w:t>
      </w:r>
    </w:p>
    <w:p w14:paraId="02A3ECC1" w14:textId="77777777" w:rsidR="006504EF" w:rsidRDefault="006504EF" w:rsidP="006504EF">
      <w:pPr>
        <w:spacing w:line="360" w:lineRule="auto"/>
        <w:jc w:val="both"/>
        <w:rPr>
          <w:rFonts w:cstheme="minorHAnsi"/>
          <w:spacing w:val="3"/>
        </w:rPr>
      </w:pPr>
    </w:p>
    <w:p w14:paraId="65BE596A" w14:textId="77777777" w:rsidR="006504EF" w:rsidRDefault="006504EF" w:rsidP="006504EF">
      <w:pPr>
        <w:spacing w:line="360" w:lineRule="auto"/>
        <w:jc w:val="both"/>
        <w:rPr>
          <w:rFonts w:cstheme="minorHAnsi"/>
          <w:spacing w:val="3"/>
        </w:rPr>
      </w:pPr>
      <w:r>
        <w:rPr>
          <w:rFonts w:cstheme="minorHAnsi"/>
          <w:spacing w:val="3"/>
        </w:rPr>
        <w:t xml:space="preserve">The SIO will then be able to develop a close working relationship with the media at an early stage of the investigative process. Additionally, where the nature of an investigation indicates that there is likely to be considerable media attention, it is integral that investigators inform the force press officer at the earliest opportunity (College of Policing, 2021b). The press officer can then begin to develop a preliminary media strategy (ibid). These arguments have shown how media interest and coverage can encourage a police force to establish a gold group and appoint SIOs in the instance of public protection incidents. </w:t>
      </w:r>
    </w:p>
    <w:p w14:paraId="52792548" w14:textId="77777777" w:rsidR="006504EF" w:rsidRDefault="006504EF" w:rsidP="006504EF">
      <w:pPr>
        <w:spacing w:line="360" w:lineRule="auto"/>
        <w:jc w:val="both"/>
        <w:rPr>
          <w:rFonts w:cstheme="minorHAnsi"/>
          <w:spacing w:val="3"/>
        </w:rPr>
      </w:pPr>
    </w:p>
    <w:p w14:paraId="0C98099C" w14:textId="77777777" w:rsidR="006504EF" w:rsidRDefault="006504EF" w:rsidP="006504EF">
      <w:pPr>
        <w:spacing w:line="360" w:lineRule="auto"/>
        <w:jc w:val="both"/>
        <w:rPr>
          <w:rFonts w:ascii="Calibri" w:hAnsi="Calibri" w:cs="Calibri"/>
          <w:b/>
          <w:bCs/>
          <w:spacing w:val="3"/>
        </w:rPr>
      </w:pPr>
      <w:r w:rsidRPr="00305C9B">
        <w:rPr>
          <w:rFonts w:ascii="Calibri" w:hAnsi="Calibri" w:cs="Calibri"/>
          <w:b/>
          <w:bCs/>
          <w:spacing w:val="3"/>
        </w:rPr>
        <w:t xml:space="preserve">Utilising the Media </w:t>
      </w:r>
    </w:p>
    <w:p w14:paraId="3FB55FF7" w14:textId="77777777" w:rsidR="006504EF" w:rsidRPr="00305C9B" w:rsidRDefault="006504EF" w:rsidP="006504EF">
      <w:pPr>
        <w:jc w:val="both"/>
        <w:rPr>
          <w:rFonts w:ascii="Calibri" w:hAnsi="Calibri" w:cs="Calibri"/>
          <w:b/>
          <w:bCs/>
          <w:spacing w:val="3"/>
        </w:rPr>
      </w:pPr>
    </w:p>
    <w:p w14:paraId="2C2F6CB6" w14:textId="77777777" w:rsidR="006504EF" w:rsidRPr="00DC508C" w:rsidRDefault="006504EF" w:rsidP="006504EF">
      <w:pPr>
        <w:pStyle w:val="NormalWeb"/>
        <w:spacing w:before="0" w:beforeAutospacing="0" w:after="360" w:afterAutospacing="0" w:line="360" w:lineRule="auto"/>
        <w:jc w:val="both"/>
        <w:rPr>
          <w:rFonts w:ascii="Calibri" w:hAnsi="Calibri" w:cs="Calibri"/>
        </w:rPr>
      </w:pPr>
      <w:r w:rsidRPr="00305C9B">
        <w:rPr>
          <w:rFonts w:ascii="Calibri" w:hAnsi="Calibri" w:cs="Calibri"/>
        </w:rPr>
        <w:t>These close working relationships can also influence police strategies regarding public protection incidents as the police can utilise media and public interest to aid their investigatio</w:t>
      </w:r>
      <w:r>
        <w:rPr>
          <w:rFonts w:ascii="Calibri" w:hAnsi="Calibri" w:cs="Calibri"/>
        </w:rPr>
        <w:t xml:space="preserve">n. </w:t>
      </w:r>
      <w:r w:rsidRPr="00305C9B">
        <w:rPr>
          <w:rFonts w:ascii="Calibri" w:hAnsi="Calibri" w:cs="Calibri"/>
        </w:rPr>
        <w:t xml:space="preserve">This is evidenced in the 2012 murder investigation of April Jones. April Jones was a </w:t>
      </w:r>
      <w:r>
        <w:rPr>
          <w:rFonts w:ascii="Calibri" w:hAnsi="Calibri" w:cs="Calibri"/>
        </w:rPr>
        <w:t>5</w:t>
      </w:r>
      <w:r w:rsidRPr="00305C9B">
        <w:rPr>
          <w:rFonts w:ascii="Calibri" w:hAnsi="Calibri" w:cs="Calibri"/>
        </w:rPr>
        <w:t>-year-old girl who went missing from outside her home in Machynlleth, North Wales, and was last seen climbing into a grey va</w:t>
      </w:r>
      <w:r>
        <w:rPr>
          <w:rFonts w:ascii="Calibri" w:hAnsi="Calibri" w:cs="Calibri"/>
        </w:rPr>
        <w:t xml:space="preserve">n (BBC, 2012a). </w:t>
      </w:r>
      <w:r w:rsidRPr="00305C9B">
        <w:rPr>
          <w:rFonts w:ascii="Calibri" w:hAnsi="Calibri" w:cs="Calibri"/>
        </w:rPr>
        <w:t>Dyfed-Powys Police immediately upgraded the investigation to a ‘critical incident’ and launched a large-scale search across Machynlleth</w:t>
      </w:r>
      <w:r>
        <w:rPr>
          <w:rFonts w:ascii="Calibri" w:hAnsi="Calibri" w:cs="Calibri"/>
        </w:rPr>
        <w:t xml:space="preserve"> (Morris, 2013).</w:t>
      </w:r>
      <w:r w:rsidRPr="00305C9B">
        <w:rPr>
          <w:rFonts w:ascii="Calibri" w:hAnsi="Calibri" w:cs="Calibri"/>
        </w:rPr>
        <w:t xml:space="preserve"> The force also dr</w:t>
      </w:r>
      <w:r>
        <w:rPr>
          <w:rFonts w:ascii="Calibri" w:hAnsi="Calibri" w:cs="Calibri"/>
        </w:rPr>
        <w:t xml:space="preserve">ew </w:t>
      </w:r>
      <w:r w:rsidRPr="00305C9B">
        <w:rPr>
          <w:rFonts w:ascii="Calibri" w:hAnsi="Calibri" w:cs="Calibri"/>
        </w:rPr>
        <w:t xml:space="preserve">on the media as April’s mother and later, the Prime Minister, David Cameron, made </w:t>
      </w:r>
      <w:r>
        <w:rPr>
          <w:rFonts w:ascii="Calibri" w:hAnsi="Calibri" w:cs="Calibri"/>
        </w:rPr>
        <w:t xml:space="preserve">public appeals (BBC, 2012b). </w:t>
      </w:r>
      <w:r w:rsidRPr="00305C9B">
        <w:rPr>
          <w:rFonts w:ascii="Calibri" w:hAnsi="Calibri" w:cs="Calibri"/>
        </w:rPr>
        <w:t>This generated significant support from the public with hundreds volunteering in the search effort</w:t>
      </w:r>
      <w:r>
        <w:rPr>
          <w:rFonts w:ascii="Calibri" w:hAnsi="Calibri" w:cs="Calibri"/>
        </w:rPr>
        <w:t xml:space="preserve"> (Hudson et al., 2012). </w:t>
      </w:r>
      <w:r w:rsidRPr="00305C9B">
        <w:rPr>
          <w:rFonts w:ascii="Calibri" w:hAnsi="Calibri" w:cs="Calibri"/>
        </w:rPr>
        <w:t>This media engagement is a positive example of how media support can aid an investigation. However, the utilisation of the media requires careful manoeuvring as they ultimately serve to boost their ratings</w:t>
      </w:r>
      <w:r>
        <w:rPr>
          <w:rFonts w:ascii="Calibri" w:hAnsi="Calibri" w:cs="Calibri"/>
        </w:rPr>
        <w:t xml:space="preserve"> (Wilson et al., 2011).</w:t>
      </w:r>
      <w:r w:rsidRPr="00305C9B">
        <w:rPr>
          <w:rFonts w:ascii="Calibri" w:hAnsi="Calibri" w:cs="Calibri"/>
        </w:rPr>
        <w:t xml:space="preserve"> During the April Jones investigation Sky News presenter Kay Burley was accused o</w:t>
      </w:r>
      <w:r>
        <w:rPr>
          <w:rFonts w:ascii="Calibri" w:hAnsi="Calibri" w:cs="Calibri"/>
        </w:rPr>
        <w:t>f</w:t>
      </w:r>
      <w:r w:rsidRPr="00305C9B">
        <w:rPr>
          <w:rFonts w:ascii="Calibri" w:hAnsi="Calibri" w:cs="Calibri"/>
        </w:rPr>
        <w:t xml:space="preserve"> insensitivity after breaking the news of Jones' probable </w:t>
      </w:r>
      <w:r w:rsidRPr="00305C9B">
        <w:rPr>
          <w:rFonts w:ascii="Calibri" w:hAnsi="Calibri" w:cs="Calibri"/>
        </w:rPr>
        <w:lastRenderedPageBreak/>
        <w:t>death live on-air to volunteers who were unaware the case ha</w:t>
      </w:r>
      <w:r>
        <w:rPr>
          <w:rFonts w:ascii="Calibri" w:hAnsi="Calibri" w:cs="Calibri"/>
        </w:rPr>
        <w:t>d</w:t>
      </w:r>
      <w:r w:rsidRPr="00305C9B">
        <w:rPr>
          <w:rFonts w:ascii="Calibri" w:hAnsi="Calibri" w:cs="Calibri"/>
        </w:rPr>
        <w:t xml:space="preserve"> changed from missing person</w:t>
      </w:r>
      <w:r>
        <w:rPr>
          <w:rFonts w:ascii="Calibri" w:hAnsi="Calibri" w:cs="Calibri"/>
        </w:rPr>
        <w:t xml:space="preserve">s </w:t>
      </w:r>
      <w:r w:rsidRPr="00305C9B">
        <w:rPr>
          <w:rFonts w:ascii="Calibri" w:hAnsi="Calibri" w:cs="Calibri"/>
        </w:rPr>
        <w:t>to a murder inquiry</w:t>
      </w:r>
      <w:r>
        <w:rPr>
          <w:rFonts w:ascii="Calibri" w:hAnsi="Calibri" w:cs="Calibri"/>
        </w:rPr>
        <w:t xml:space="preserve"> (Duncan and Newton, 2013).</w:t>
      </w:r>
    </w:p>
    <w:p w14:paraId="326A3DC3" w14:textId="77777777" w:rsidR="006504EF" w:rsidRDefault="006504EF" w:rsidP="006504EF">
      <w:pPr>
        <w:spacing w:line="360" w:lineRule="auto"/>
        <w:jc w:val="both"/>
      </w:pPr>
      <w:r>
        <w:t xml:space="preserve">These issues with the media can also hinder police investigations as the press can focus on certain aspects of the case. This was seen in 2000 when revelations emerged that groups of men in towns including Rotherham, South Yorkshire, had been sexually abusing scores of young girls over several years (Boyd, 2015). These crimes received widespread news coverage, however, when compared to the April Jones case, there was a marked difference in how they were reported. In popular press, a narrative of the dangerous masculinities of Muslim men was forwarded and rendered the central cause of the child sexual abuse scandal (Tufail, 2018). This illustrates how even with a close working relationship; the media can distort narratives to boost their ratings and push harmful stereotypes. These arguments have shown that media coverage may encourage police to appeal to the public on their platforms, however, caution is necessary. </w:t>
      </w:r>
    </w:p>
    <w:p w14:paraId="30D02BCC" w14:textId="77777777" w:rsidR="006504EF" w:rsidRDefault="006504EF" w:rsidP="006504EF">
      <w:pPr>
        <w:spacing w:line="360" w:lineRule="auto"/>
        <w:jc w:val="both"/>
      </w:pPr>
    </w:p>
    <w:p w14:paraId="3D2CEF4D" w14:textId="77777777" w:rsidR="006504EF" w:rsidRDefault="006504EF" w:rsidP="006504EF">
      <w:pPr>
        <w:jc w:val="both"/>
        <w:rPr>
          <w:b/>
          <w:bCs/>
        </w:rPr>
      </w:pPr>
      <w:r w:rsidRPr="005650D1">
        <w:rPr>
          <w:b/>
          <w:bCs/>
        </w:rPr>
        <w:t>Conclusion</w:t>
      </w:r>
    </w:p>
    <w:p w14:paraId="7FE52DAB" w14:textId="77777777" w:rsidR="006504EF" w:rsidRDefault="006504EF" w:rsidP="006504EF">
      <w:pPr>
        <w:spacing w:line="360" w:lineRule="auto"/>
        <w:jc w:val="both"/>
        <w:rPr>
          <w:b/>
          <w:bCs/>
        </w:rPr>
      </w:pPr>
    </w:p>
    <w:p w14:paraId="1615EB04" w14:textId="77777777" w:rsidR="006504EF" w:rsidRDefault="006504EF" w:rsidP="006504EF">
      <w:pPr>
        <w:spacing w:line="360" w:lineRule="auto"/>
        <w:jc w:val="both"/>
      </w:pPr>
      <w:r>
        <w:t xml:space="preserve">To summarise, press reporting can have a large impact on police strategies relating to public protection incidents, as well as associated implications for public confidence. This essay has argued that substantial media interest can encourage a police force to establish a Gold Group and appoint a SIO to develop close working relationships with the press. Additionally, whilst this essay has shown how media interest may </w:t>
      </w:r>
      <w:r w:rsidRPr="00702400">
        <w:t>push</w:t>
      </w:r>
      <w:r>
        <w:t xml:space="preserve"> the police to make public appeals, a critical examination has identified how the utilisation of the media can also become a hindrance to sensitive investigations. Therefore, these arguments have shown how it is essential to develop an appropriate and clear, yet respectful press relationship which aims to further the investigation and put public worries at ease. In conclusion, the affect media coverage can have on police strategies can vary, therefore it is essential that a police force develops a clear press strategy and approach media relationships with caution. </w:t>
      </w:r>
    </w:p>
    <w:p w14:paraId="61E5AF86" w14:textId="77777777" w:rsidR="006504EF" w:rsidRDefault="006504EF" w:rsidP="006504EF">
      <w:pPr>
        <w:spacing w:line="360" w:lineRule="auto"/>
        <w:jc w:val="both"/>
      </w:pPr>
    </w:p>
    <w:p w14:paraId="14C09D7E" w14:textId="6B66FDC4" w:rsidR="002E06BD" w:rsidRDefault="006504EF" w:rsidP="006504EF">
      <w:pPr>
        <w:spacing w:line="360" w:lineRule="auto"/>
        <w:jc w:val="both"/>
      </w:pPr>
      <w:r>
        <w:t>Word Count: 999</w:t>
      </w:r>
    </w:p>
    <w:p w14:paraId="69224927" w14:textId="77777777" w:rsidR="0075106A" w:rsidRDefault="0075106A" w:rsidP="006504EF">
      <w:pPr>
        <w:spacing w:line="360" w:lineRule="auto"/>
        <w:jc w:val="both"/>
      </w:pPr>
    </w:p>
    <w:p w14:paraId="3CCD1B03" w14:textId="77777777" w:rsidR="002E06BD" w:rsidRPr="00D72FCF" w:rsidRDefault="002E06BD" w:rsidP="002E06BD">
      <w:pPr>
        <w:spacing w:line="360" w:lineRule="auto"/>
        <w:rPr>
          <w:b/>
          <w:bCs/>
        </w:rPr>
      </w:pPr>
      <w:r w:rsidRPr="00D72FCF">
        <w:rPr>
          <w:b/>
          <w:bCs/>
        </w:rPr>
        <w:lastRenderedPageBreak/>
        <w:t xml:space="preserve">How effective is early intervention in preventing young people from offending, or re-offending? </w:t>
      </w:r>
    </w:p>
    <w:p w14:paraId="2392121E" w14:textId="77777777" w:rsidR="002E06BD" w:rsidRDefault="002E06BD" w:rsidP="002E06BD">
      <w:pPr>
        <w:rPr>
          <w:b/>
          <w:bCs/>
        </w:rPr>
      </w:pPr>
    </w:p>
    <w:p w14:paraId="35CDBC13" w14:textId="77777777" w:rsidR="002E06BD" w:rsidRDefault="002E06BD" w:rsidP="002E06BD">
      <w:pPr>
        <w:spacing w:line="360" w:lineRule="auto"/>
        <w:jc w:val="both"/>
      </w:pPr>
      <w:r>
        <w:t xml:space="preserve">Early intervention aims to reduce or eradicate anti-social or criminal behaviour in children and support the development of resilience (Youth.gov, </w:t>
      </w:r>
      <w:proofErr w:type="spellStart"/>
      <w:r>
        <w:t>nd</w:t>
      </w:r>
      <w:proofErr w:type="spellEnd"/>
      <w:r>
        <w:t xml:space="preserve">). In the United Kingdom’s (UK) police force, this is forwarded through a public health approach with an emphasis on multi-agency partnerships (College of Policing, 2022). There is a consensus in the literature regarding the importance of these partnerships to provide high-quality and effective early interventions including the police, local authorities, schools, and the community (Public Health England, 2019). The success of youth justice and early intervention is currently measured against key factors; a reduction in first-time entrants, a reduction in re-offending and, a reduction in custodial sentences (Davies, 2019). </w:t>
      </w:r>
    </w:p>
    <w:p w14:paraId="30B50111" w14:textId="77777777" w:rsidR="002E06BD" w:rsidRDefault="002E06BD" w:rsidP="002E06BD">
      <w:pPr>
        <w:spacing w:line="360" w:lineRule="auto"/>
        <w:jc w:val="both"/>
      </w:pPr>
    </w:p>
    <w:p w14:paraId="2AF6ACB0" w14:textId="77777777" w:rsidR="002E06BD" w:rsidRDefault="002E06BD" w:rsidP="002E06BD">
      <w:pPr>
        <w:spacing w:line="360" w:lineRule="auto"/>
        <w:jc w:val="both"/>
      </w:pPr>
      <w:r>
        <w:t xml:space="preserve">This essay uses the three key factors to critically analyse the effectiveness of early intervention programmes in the UK. First, this essay examines the effectiveness of labelling children ‘at risk’, before moving on to evaluate tailored interventions. Due to the scope of this assignment, this essay takes a case study approach and focuses on Neath Port Talbot’s (NPT) implementation of education, training, and employment (ETE) interventions. </w:t>
      </w:r>
    </w:p>
    <w:p w14:paraId="544BA8AA" w14:textId="77777777" w:rsidR="002E06BD" w:rsidRDefault="002E06BD" w:rsidP="002E06BD">
      <w:pPr>
        <w:spacing w:line="360" w:lineRule="auto"/>
        <w:jc w:val="both"/>
      </w:pPr>
    </w:p>
    <w:p w14:paraId="75925B98" w14:textId="77777777" w:rsidR="002E06BD" w:rsidRDefault="002E06BD" w:rsidP="002E06BD">
      <w:pPr>
        <w:jc w:val="both"/>
        <w:rPr>
          <w:b/>
          <w:bCs/>
        </w:rPr>
      </w:pPr>
      <w:r w:rsidRPr="00E6216A">
        <w:rPr>
          <w:b/>
          <w:bCs/>
        </w:rPr>
        <w:t xml:space="preserve">At Risk </w:t>
      </w:r>
      <w:r>
        <w:rPr>
          <w:b/>
          <w:bCs/>
        </w:rPr>
        <w:t xml:space="preserve">or In Need? </w:t>
      </w:r>
    </w:p>
    <w:p w14:paraId="0AD0CE42" w14:textId="77777777" w:rsidR="002E06BD" w:rsidRDefault="002E06BD" w:rsidP="002E06BD">
      <w:pPr>
        <w:jc w:val="both"/>
        <w:rPr>
          <w:b/>
          <w:bCs/>
        </w:rPr>
      </w:pPr>
      <w:r>
        <w:rPr>
          <w:b/>
          <w:bCs/>
        </w:rPr>
        <w:t xml:space="preserve"> </w:t>
      </w:r>
    </w:p>
    <w:p w14:paraId="07856D28" w14:textId="77777777" w:rsidR="002E06BD" w:rsidRDefault="002E06BD" w:rsidP="002E06BD">
      <w:pPr>
        <w:spacing w:line="360" w:lineRule="auto"/>
        <w:jc w:val="both"/>
      </w:pPr>
      <w:r>
        <w:t xml:space="preserve">Risk factors are defined as “anything that increases the probability that a person will suffer harm” (Public Health England, 2019:np). Following this approach, the Crime and Disorders Act (1998) forwarded the aim that the Youth Justice System should prevent offending and promote intervention for those categorised as ‘at risk’. This is supported by Haydon (2014) who argues that both empirical and theoretical research reflects that young people are more likely to become involved in anti-social and criminal behaviour if they have been subject to ‘risk </w:t>
      </w:r>
      <w:proofErr w:type="gramStart"/>
      <w:r>
        <w:t>factors’</w:t>
      </w:r>
      <w:proofErr w:type="gramEnd"/>
      <w:r>
        <w:t xml:space="preserve">. Risk factors can occur on various scales, such as alcohol and substance misuse on the individual level, to poverty and social exclusion in the community (Public Health England, 2019). Despite the scale, it is the timeliness of intervention which can have the biggest impact since the earlier interventions are implemented the more </w:t>
      </w:r>
      <w:proofErr w:type="gramStart"/>
      <w:r>
        <w:t>effective</w:t>
      </w:r>
      <w:proofErr w:type="gramEnd"/>
      <w:r>
        <w:t xml:space="preserve"> they are (Youth.gov, </w:t>
      </w:r>
      <w:proofErr w:type="spellStart"/>
      <w:r>
        <w:t>nd</w:t>
      </w:r>
      <w:proofErr w:type="spellEnd"/>
      <w:r>
        <w:t xml:space="preserve">). </w:t>
      </w:r>
    </w:p>
    <w:p w14:paraId="24B94D55" w14:textId="77777777" w:rsidR="002E06BD" w:rsidRDefault="002E06BD" w:rsidP="002E06BD">
      <w:pPr>
        <w:spacing w:line="360" w:lineRule="auto"/>
        <w:jc w:val="both"/>
      </w:pPr>
    </w:p>
    <w:p w14:paraId="73D87963" w14:textId="77777777" w:rsidR="002E06BD" w:rsidRDefault="002E06BD" w:rsidP="002E06BD">
      <w:pPr>
        <w:spacing w:line="360" w:lineRule="auto"/>
        <w:jc w:val="both"/>
      </w:pPr>
      <w:r>
        <w:lastRenderedPageBreak/>
        <w:t>However, the objectives of intervention programmes are questioned as it can be difficult to separate the risk of offending from other vulnerabilities (Haydon, 2014). It has been identified that most children who are targeted for early intervention programmes are also usually in need of other welfare provisions (ibid). This is confirmed by Schofield et al. (2015) who found that many young offenders are in care. Therefore, the effectiveness of early interventions may suffer due to an inability to distinguish between those ‘at risk’ and those ‘in need’.</w:t>
      </w:r>
    </w:p>
    <w:p w14:paraId="52B5BE0E" w14:textId="77777777" w:rsidR="002E06BD" w:rsidRDefault="002E06BD" w:rsidP="002E06BD">
      <w:pPr>
        <w:spacing w:line="360" w:lineRule="auto"/>
        <w:jc w:val="both"/>
      </w:pPr>
    </w:p>
    <w:p w14:paraId="2148F8ED" w14:textId="77777777" w:rsidR="002E06BD" w:rsidRDefault="002E06BD" w:rsidP="002E06BD">
      <w:pPr>
        <w:spacing w:line="360" w:lineRule="auto"/>
        <w:jc w:val="both"/>
      </w:pPr>
      <w:r>
        <w:t xml:space="preserve">Nevertheless, the identification of ‘at risk’ children and the implementation of early intervention in the UK has proved successful. By March 2022, the UK has seen a decrease of 79% in young people between 10-17 cautioned or sentenced in the last decade, and a 78% fall in first-time entrants in the same period (YJB, 2023). Additionally, re-offending rates are the lowest on record, however, this is likely to have been impacted by COVID-19 (ibid). Therefore, the UK’s emphasis on early intervention and identification of children with risk factors proves to be effective for all key measures. </w:t>
      </w:r>
    </w:p>
    <w:p w14:paraId="07826DC6" w14:textId="77777777" w:rsidR="002E06BD" w:rsidRDefault="002E06BD" w:rsidP="002E06BD">
      <w:pPr>
        <w:spacing w:line="360" w:lineRule="auto"/>
        <w:jc w:val="both"/>
      </w:pPr>
    </w:p>
    <w:p w14:paraId="31B9F7F5" w14:textId="77777777" w:rsidR="002E06BD" w:rsidRDefault="002E06BD" w:rsidP="002E06BD">
      <w:pPr>
        <w:jc w:val="both"/>
        <w:rPr>
          <w:b/>
          <w:bCs/>
        </w:rPr>
      </w:pPr>
      <w:r w:rsidRPr="00F7624A">
        <w:rPr>
          <w:b/>
          <w:bCs/>
        </w:rPr>
        <w:t>Tailored Interventions</w:t>
      </w:r>
      <w:r>
        <w:rPr>
          <w:b/>
          <w:bCs/>
        </w:rPr>
        <w:t xml:space="preserve"> – ETE in Neath Port Talbot</w:t>
      </w:r>
    </w:p>
    <w:p w14:paraId="466A403B" w14:textId="77777777" w:rsidR="002E06BD" w:rsidRPr="00F7624A" w:rsidRDefault="002E06BD" w:rsidP="002E06BD">
      <w:pPr>
        <w:jc w:val="both"/>
        <w:rPr>
          <w:b/>
          <w:bCs/>
        </w:rPr>
      </w:pPr>
      <w:r>
        <w:rPr>
          <w:b/>
          <w:bCs/>
        </w:rPr>
        <w:t xml:space="preserve"> </w:t>
      </w:r>
    </w:p>
    <w:p w14:paraId="752EE32F" w14:textId="77777777" w:rsidR="002E06BD" w:rsidRDefault="002E06BD" w:rsidP="002E06BD">
      <w:pPr>
        <w:spacing w:line="360" w:lineRule="auto"/>
        <w:jc w:val="both"/>
      </w:pPr>
      <w:r>
        <w:t xml:space="preserve">Once identified as ‘at risk’, early intervention programmes are tailored to suit individual needs and the available services (Morris and O’Malley, 2016). For these interventions to be effective, exposure to the youth justice system should be a last resort for both offenders and re-offenders (ibid). Instead, the public health approach pushes for protective factors to help overcome the risks (Public Health England, 2019). </w:t>
      </w:r>
    </w:p>
    <w:p w14:paraId="22CE746B" w14:textId="77777777" w:rsidR="002E06BD" w:rsidRDefault="002E06BD" w:rsidP="002E06BD">
      <w:pPr>
        <w:spacing w:line="360" w:lineRule="auto"/>
        <w:jc w:val="both"/>
      </w:pPr>
    </w:p>
    <w:p w14:paraId="6554E78A" w14:textId="77777777" w:rsidR="002E06BD" w:rsidRDefault="002E06BD" w:rsidP="002E06BD">
      <w:pPr>
        <w:spacing w:line="360" w:lineRule="auto"/>
        <w:jc w:val="both"/>
      </w:pPr>
      <w:r>
        <w:t xml:space="preserve">ETE are widely considered essential areas of intervention. A commitment to school or training and active participation are highlighted as protective factors which can overcome certain risks (Public Health England, 2019). NPT’s annual plan for their Youth Justice and Early Intervention service focuses heavily on ETE. They highlight that engaging young people in ETE has proven to be beneficial in drawing them away from criminal behaviour and towards avenues of employment (Davies, 2019). NPT’s Youth Justice service appointed an ETE practitioner to provide consistent support and formed partnerships with Head Teachers, local colleges, and Swansea University (ibid). The effectiveness of ETE interventions for first-time entrants is </w:t>
      </w:r>
      <w:r>
        <w:lastRenderedPageBreak/>
        <w:t>shown in the decrease from 23 young people in 2018/19 to 18 in 2020/21 (Davies, 2019; 2021), therefore indicating that ETE early intervention is effective regarding this measure.</w:t>
      </w:r>
    </w:p>
    <w:p w14:paraId="05437B98" w14:textId="77777777" w:rsidR="002E06BD" w:rsidRDefault="002E06BD" w:rsidP="002E06BD">
      <w:pPr>
        <w:spacing w:line="360" w:lineRule="auto"/>
        <w:jc w:val="both"/>
        <w:rPr>
          <w:color w:val="000000" w:themeColor="text1"/>
        </w:rPr>
      </w:pPr>
    </w:p>
    <w:p w14:paraId="08E91D43" w14:textId="77777777" w:rsidR="002E06BD" w:rsidRDefault="002E06BD" w:rsidP="002E06BD">
      <w:pPr>
        <w:spacing w:line="360" w:lineRule="auto"/>
        <w:jc w:val="both"/>
        <w:rPr>
          <w:color w:val="000000" w:themeColor="text1"/>
        </w:rPr>
      </w:pPr>
      <w:r>
        <w:rPr>
          <w:color w:val="000000" w:themeColor="text1"/>
        </w:rPr>
        <w:t xml:space="preserve">ETE is also considered beneficial regarding re-offending as the development of life skills can provide individuals with a sense of purpose and drive (Public Health England, 2019). However, NPT found tackling re-offending to be a continuous challenge since there can be limited opportunities for further education and training for re-offenders due to the perceived risk they pose or lack of qualifications (Davies, 2019). Therefore, the effectiveness of early interventions can be limited by the available services. This is evidenced in their published statistics which show an increase in re-offending from 15 individuals in 2017/18 to 23 in 2018/19 (Davies, 2021). Nevertheless, there has been a decrease from 4 custodial sentences in 2017/18 to 3 in 2020/21, however, this rate has fluctuated (Davies, 2019; 2021).  Therefore, it can be argued that whilst ETE interventions are effective in reducing the number of first-time entrants and somewhat custodial sentences, the limited services available do not allow for ETE to combat issues of re-offending in NPT. </w:t>
      </w:r>
    </w:p>
    <w:p w14:paraId="721438CD" w14:textId="77777777" w:rsidR="002E06BD" w:rsidRPr="00AE2692" w:rsidRDefault="002E06BD" w:rsidP="002E06BD">
      <w:pPr>
        <w:spacing w:line="360" w:lineRule="auto"/>
        <w:jc w:val="both"/>
      </w:pPr>
    </w:p>
    <w:p w14:paraId="0CD409C9" w14:textId="77777777" w:rsidR="002E06BD" w:rsidRDefault="002E06BD" w:rsidP="002E06BD">
      <w:pPr>
        <w:jc w:val="both"/>
        <w:rPr>
          <w:b/>
          <w:bCs/>
        </w:rPr>
      </w:pPr>
      <w:r>
        <w:rPr>
          <w:b/>
          <w:bCs/>
        </w:rPr>
        <w:t>Conclusion</w:t>
      </w:r>
    </w:p>
    <w:p w14:paraId="3D881A7E" w14:textId="77777777" w:rsidR="002E06BD" w:rsidRDefault="002E06BD" w:rsidP="002E06BD">
      <w:pPr>
        <w:spacing w:line="360" w:lineRule="auto"/>
        <w:jc w:val="both"/>
        <w:rPr>
          <w:b/>
          <w:bCs/>
        </w:rPr>
      </w:pPr>
    </w:p>
    <w:p w14:paraId="5CC94E37" w14:textId="4963718D" w:rsidR="002E06BD" w:rsidRDefault="002E06BD" w:rsidP="002E06BD">
      <w:pPr>
        <w:spacing w:line="360" w:lineRule="auto"/>
        <w:jc w:val="both"/>
      </w:pPr>
      <w:r>
        <w:t xml:space="preserve">To ensure early interventions maintain and develop their effectiveness Youth Offending services should implement long-term interventions which utilise protective factors such as ETE in combination with others (Public Health England, 2019).  It is also essential to recognise that the necessary intervention can change over time as the individual and the environment develop, therefore all partners must </w:t>
      </w:r>
      <w:r w:rsidRPr="0072014E">
        <w:t>utilise</w:t>
      </w:r>
      <w:r>
        <w:t xml:space="preserve"> adaptable and flexible frameworks (ibid). </w:t>
      </w:r>
    </w:p>
    <w:p w14:paraId="31CA7131" w14:textId="77777777" w:rsidR="002E06BD" w:rsidRDefault="002E06BD" w:rsidP="002E06BD">
      <w:pPr>
        <w:spacing w:line="360" w:lineRule="auto"/>
        <w:jc w:val="both"/>
      </w:pPr>
      <w:r>
        <w:t>This essay has shown how the UK’s public health approach to tackling crime and the associated recognition of ‘at risk’ children has significantly helped meet all key areas that early interventions aim to address. However, further safeguarding should be implemented to ensure those ‘in need’ do not suffer. The NPT case study has shown ETE to be an effective intervention regarding the prevention of offending, yet it may not be as effective to tackle re-offending. Finally, NPT demonstrated how the external environment can impact the effectiveness of early intervention, therefore emphasising the importance of well-developed partnerships.</w:t>
      </w:r>
    </w:p>
    <w:p w14:paraId="3E653D24" w14:textId="4BADCA60" w:rsidR="002E06BD" w:rsidRDefault="002E06BD" w:rsidP="002E06BD">
      <w:pPr>
        <w:spacing w:line="360" w:lineRule="auto"/>
        <w:jc w:val="both"/>
      </w:pPr>
      <w:r>
        <w:t>Word Count: 1032</w:t>
      </w:r>
    </w:p>
    <w:p w14:paraId="006FC1E6" w14:textId="77777777" w:rsidR="00F2601C" w:rsidRDefault="00F2601C" w:rsidP="00F2601C">
      <w:pPr>
        <w:spacing w:line="360" w:lineRule="auto"/>
        <w:rPr>
          <w:b/>
          <w:bCs/>
        </w:rPr>
      </w:pPr>
      <w:r w:rsidRPr="004A1221">
        <w:rPr>
          <w:b/>
          <w:bCs/>
        </w:rPr>
        <w:lastRenderedPageBreak/>
        <w:t xml:space="preserve">Are partnership approaches the most effective means of rehabilitating offenders? </w:t>
      </w:r>
    </w:p>
    <w:p w14:paraId="5A6E464E" w14:textId="77777777" w:rsidR="00F2601C" w:rsidRDefault="00F2601C" w:rsidP="00F2601C">
      <w:pPr>
        <w:jc w:val="both"/>
        <w:rPr>
          <w:b/>
          <w:bCs/>
        </w:rPr>
      </w:pPr>
    </w:p>
    <w:p w14:paraId="538C0F8E" w14:textId="77777777" w:rsidR="00F2601C" w:rsidRDefault="00F2601C" w:rsidP="00F2601C">
      <w:pPr>
        <w:spacing w:line="360" w:lineRule="auto"/>
        <w:jc w:val="both"/>
      </w:pPr>
      <w:r>
        <w:t xml:space="preserve">Rehabilitation has been surrounded by debate for decades, from the naïve assumption that “nothing works” to recent debates regarding the effectiveness of multi-agency partners (Fleming, 2009:6). Fleming (2009) defines multi-agency partnerships as a synchronised response from public sector agencies to address crime and disorder, however, this definition fails to acknowledge variance in partnerships committed to providing effective rehabilitation. Multi-agency partnerships are formally promoted through legislation including the 1998 Crime and Disorders Act which made partnership policing a requirement (O’Brien, 2000).  Additionally, these partnerships can occur across the public, private, and voluntary sector (Taylor, 2022). </w:t>
      </w:r>
    </w:p>
    <w:p w14:paraId="3F3D8B22" w14:textId="77777777" w:rsidR="00F2601C" w:rsidRDefault="00F2601C" w:rsidP="00F2601C">
      <w:pPr>
        <w:spacing w:line="360" w:lineRule="auto"/>
        <w:jc w:val="both"/>
      </w:pPr>
    </w:p>
    <w:p w14:paraId="370F7B4F" w14:textId="77777777" w:rsidR="00F2601C" w:rsidRPr="009D3728" w:rsidRDefault="00F2601C" w:rsidP="00F2601C">
      <w:pPr>
        <w:spacing w:line="360" w:lineRule="auto"/>
        <w:jc w:val="both"/>
      </w:pPr>
      <w:r>
        <w:t xml:space="preserve">This essay provides a nuanced argument regarding the ability of multi-agency partnerships to provide effective rehabilitation. First, this essay critically analyses how partnerships can create a unique rehabilitation programme and overall address wider societal issues. Then, the factors which may hinder the effectiveness of rehabilitation are discussed. Throughout this essay, a case study from HM Prison Parc, Bridgend (hereafter, Parc) is implemented whereby prisoners were able to engage in rehabilitation through archaeology. The project was run by </w:t>
      </w:r>
      <w:proofErr w:type="spellStart"/>
      <w:r>
        <w:t>Cadw</w:t>
      </w:r>
      <w:proofErr w:type="spellEnd"/>
      <w:r>
        <w:t>, the Welsh Government’s Historic Environmental service in partnership with G4S and National Museums Wales (</w:t>
      </w:r>
      <w:proofErr w:type="spellStart"/>
      <w:r>
        <w:t>Pudney</w:t>
      </w:r>
      <w:proofErr w:type="spellEnd"/>
      <w:r>
        <w:t>, 2017).</w:t>
      </w:r>
    </w:p>
    <w:p w14:paraId="67FA4503" w14:textId="77777777" w:rsidR="00F2601C" w:rsidRDefault="00F2601C" w:rsidP="00F2601C"/>
    <w:p w14:paraId="07367097" w14:textId="77777777" w:rsidR="00F2601C" w:rsidRPr="00BB5E4C" w:rsidRDefault="00F2601C" w:rsidP="00F2601C">
      <w:pPr>
        <w:rPr>
          <w:b/>
          <w:bCs/>
        </w:rPr>
      </w:pPr>
      <w:r>
        <w:rPr>
          <w:b/>
          <w:bCs/>
        </w:rPr>
        <w:t xml:space="preserve">Enhancing Effectiveness </w:t>
      </w:r>
    </w:p>
    <w:p w14:paraId="4E8A04EE" w14:textId="77777777" w:rsidR="00F2601C" w:rsidRDefault="00F2601C" w:rsidP="00F2601C"/>
    <w:p w14:paraId="1FEC0185" w14:textId="77777777" w:rsidR="00F2601C" w:rsidRDefault="00F2601C" w:rsidP="00F2601C">
      <w:pPr>
        <w:spacing w:line="360" w:lineRule="auto"/>
        <w:jc w:val="both"/>
      </w:pPr>
      <w:r>
        <w:t>Imprisonment has had only limited success with rehabilitation, rather a programme unique to the offenders’ environment is crucial (</w:t>
      </w:r>
      <w:proofErr w:type="spellStart"/>
      <w:r>
        <w:t>Tiquet</w:t>
      </w:r>
      <w:proofErr w:type="spellEnd"/>
      <w:r>
        <w:t>, 2019). This is supported by Jarvis (2018) who argues that the varying nature of different communities means that a singular approach to rehabilitation will not provide effective results. It is suggested that a partnership approach can provide unique rehabilitation programmes suited to offenders’ environments through a collaboration of public sector partners including the Prison and Probation Service (HMPPS) and voluntary sector partners (Turner-Wilson et al., 2021).</w:t>
      </w:r>
    </w:p>
    <w:p w14:paraId="3C0303BD" w14:textId="77777777" w:rsidR="00F2601C" w:rsidRDefault="00F2601C" w:rsidP="00F2601C">
      <w:pPr>
        <w:spacing w:line="360" w:lineRule="auto"/>
        <w:jc w:val="both"/>
      </w:pPr>
    </w:p>
    <w:p w14:paraId="5AB33AE2" w14:textId="77777777" w:rsidR="00F2601C" w:rsidRDefault="00F2601C" w:rsidP="00F2601C">
      <w:pPr>
        <w:spacing w:line="360" w:lineRule="auto"/>
        <w:jc w:val="both"/>
      </w:pPr>
    </w:p>
    <w:p w14:paraId="28E6C60C" w14:textId="77777777" w:rsidR="00F2601C" w:rsidRDefault="00F2601C" w:rsidP="00F2601C">
      <w:pPr>
        <w:spacing w:line="360" w:lineRule="auto"/>
        <w:jc w:val="both"/>
      </w:pPr>
      <w:r>
        <w:lastRenderedPageBreak/>
        <w:t>This is evidenced through the archaeology rehabilitation programme in Parc, where lessons focused on Welsh archaeology and heritage (</w:t>
      </w:r>
      <w:proofErr w:type="spellStart"/>
      <w:r>
        <w:t>Pudney</w:t>
      </w:r>
      <w:proofErr w:type="spellEnd"/>
      <w:r>
        <w:t xml:space="preserve">, 2017). Additionally, this programme focused on offenders already enrolled in GCSE History classes, which was identified as a significant help to engage the participants (ibid). The tailored nature of the programme at Parc resulted in two-thirds of the participants claiming they would actively visit heritage sites on their release (ibid). This suggests that a partnership approach is required to formulate a programme in line with not only an offender’s environment, but also their interests, therefore, due to the variance in these factors a singular agency approach would prove ineffective. </w:t>
      </w:r>
    </w:p>
    <w:p w14:paraId="38487AF3" w14:textId="77777777" w:rsidR="00F2601C" w:rsidRDefault="00F2601C" w:rsidP="00F2601C">
      <w:pPr>
        <w:spacing w:line="360" w:lineRule="auto"/>
        <w:jc w:val="both"/>
      </w:pPr>
    </w:p>
    <w:p w14:paraId="4FA185C8" w14:textId="77777777" w:rsidR="00F2601C" w:rsidRDefault="00F2601C" w:rsidP="00F2601C">
      <w:pPr>
        <w:spacing w:line="360" w:lineRule="auto"/>
        <w:jc w:val="both"/>
      </w:pPr>
      <w:r>
        <w:t>Despite unique rehabilitation programmes, the integration of offenders into society is largely constrained by societal issues including poverty, inequality, and unemployment (</w:t>
      </w:r>
      <w:proofErr w:type="spellStart"/>
      <w:r>
        <w:t>Tiquet</w:t>
      </w:r>
      <w:proofErr w:type="spellEnd"/>
      <w:r>
        <w:t>, 2019). This is developed by Weisburd et al. (2017) who states that long-term community-based programmes which focus on overcoming these issues are commonly found to be successful in rehabilitation. The various issues which arise in different communities require a local-level design of rehabilitation programmes that target problem areas to provide the most effective programme (</w:t>
      </w:r>
      <w:proofErr w:type="spellStart"/>
      <w:r>
        <w:t>Tiquet</w:t>
      </w:r>
      <w:proofErr w:type="spellEnd"/>
      <w:r>
        <w:t>, 2019).</w:t>
      </w:r>
    </w:p>
    <w:p w14:paraId="02962AC4" w14:textId="77777777" w:rsidR="00F2601C" w:rsidRDefault="00F2601C" w:rsidP="00F2601C">
      <w:pPr>
        <w:spacing w:line="360" w:lineRule="auto"/>
        <w:jc w:val="both"/>
      </w:pPr>
    </w:p>
    <w:p w14:paraId="55F36443" w14:textId="77777777" w:rsidR="00F2601C" w:rsidRDefault="00F2601C" w:rsidP="00F2601C">
      <w:pPr>
        <w:spacing w:line="360" w:lineRule="auto"/>
        <w:jc w:val="both"/>
      </w:pPr>
      <w:r>
        <w:t xml:space="preserve">There is no mention of wider partnerships outside of the archaeology programme which focused on societal issues in Wales, nevertheless, as the project was run as part of the Welsh Government’s strategy, there are other branches concerned with underlying issues (Welsh Government, 2022).  However, Turner-Wilson et al. (2022) </w:t>
      </w:r>
      <w:proofErr w:type="gramStart"/>
      <w:r>
        <w:t>recognise</w:t>
      </w:r>
      <w:proofErr w:type="gramEnd"/>
      <w:r>
        <w:t xml:space="preserve"> that engagement with private sector organisations can decrease social isolation and stigmatisation since organisation that may have had very little interaction with the CJS historically, can aid offenders in rehabilitation. Therefore, it can be argued that singular-agency rehabilitation programmes cannot impact the wider issues which hold such a strong influence over the effectiveness of rehabilitation, as effectively as multi-agency rehabilitation programmes. </w:t>
      </w:r>
    </w:p>
    <w:p w14:paraId="755A4DFB" w14:textId="77777777" w:rsidR="00F2601C" w:rsidRDefault="00F2601C" w:rsidP="00F2601C">
      <w:pPr>
        <w:rPr>
          <w:b/>
          <w:bCs/>
        </w:rPr>
      </w:pPr>
    </w:p>
    <w:p w14:paraId="624D1AB5" w14:textId="77777777" w:rsidR="00175CF8" w:rsidRDefault="00175CF8" w:rsidP="00F2601C">
      <w:pPr>
        <w:rPr>
          <w:b/>
          <w:bCs/>
        </w:rPr>
      </w:pPr>
    </w:p>
    <w:p w14:paraId="6DB2C5CB" w14:textId="77777777" w:rsidR="00175CF8" w:rsidRDefault="00175CF8" w:rsidP="00F2601C">
      <w:pPr>
        <w:rPr>
          <w:b/>
          <w:bCs/>
        </w:rPr>
      </w:pPr>
    </w:p>
    <w:p w14:paraId="019E7F83" w14:textId="603E5EDA" w:rsidR="00175CF8" w:rsidRDefault="00175CF8" w:rsidP="00F2601C">
      <w:pPr>
        <w:rPr>
          <w:b/>
          <w:bCs/>
        </w:rPr>
      </w:pPr>
    </w:p>
    <w:p w14:paraId="53C9B752" w14:textId="7C8AB4BB" w:rsidR="0075106A" w:rsidRDefault="0075106A" w:rsidP="00F2601C">
      <w:pPr>
        <w:rPr>
          <w:b/>
          <w:bCs/>
        </w:rPr>
      </w:pPr>
    </w:p>
    <w:p w14:paraId="70445202" w14:textId="77777777" w:rsidR="0075106A" w:rsidRDefault="0075106A" w:rsidP="00F2601C">
      <w:pPr>
        <w:rPr>
          <w:b/>
          <w:bCs/>
        </w:rPr>
      </w:pPr>
    </w:p>
    <w:p w14:paraId="4B76034C" w14:textId="77777777" w:rsidR="00175CF8" w:rsidRDefault="00175CF8" w:rsidP="00F2601C">
      <w:pPr>
        <w:rPr>
          <w:b/>
          <w:bCs/>
        </w:rPr>
      </w:pPr>
    </w:p>
    <w:p w14:paraId="246E9FC1" w14:textId="388E7046" w:rsidR="00F2601C" w:rsidRDefault="00F2601C" w:rsidP="00F2601C">
      <w:pPr>
        <w:rPr>
          <w:b/>
          <w:bCs/>
        </w:rPr>
      </w:pPr>
      <w:r w:rsidRPr="00BF7533">
        <w:rPr>
          <w:b/>
          <w:bCs/>
        </w:rPr>
        <w:lastRenderedPageBreak/>
        <w:t>Harming Effectiveness</w:t>
      </w:r>
    </w:p>
    <w:p w14:paraId="42F37579" w14:textId="77777777" w:rsidR="00F2601C" w:rsidRDefault="00F2601C" w:rsidP="00F2601C">
      <w:pPr>
        <w:rPr>
          <w:b/>
          <w:bCs/>
        </w:rPr>
      </w:pPr>
    </w:p>
    <w:p w14:paraId="10EE6BF1" w14:textId="77777777" w:rsidR="00F2601C" w:rsidRDefault="00F2601C" w:rsidP="00F2601C">
      <w:pPr>
        <w:spacing w:line="360" w:lineRule="auto"/>
        <w:jc w:val="both"/>
      </w:pPr>
      <w:r>
        <w:t>Despite the benefits multi-agency partnerships can bring for rehabilitation, there are factors of partnerships that can decrease the effectiveness of these programmes. Where a singular organisation providing rehabilitation programmes will work toward a shared aim, the same cannot be said for partnerships (</w:t>
      </w:r>
      <w:proofErr w:type="spellStart"/>
      <w:r>
        <w:t>Tiquet</w:t>
      </w:r>
      <w:proofErr w:type="spellEnd"/>
      <w:r>
        <w:t>, 2019). It has been highlighted that when multiple agencies are involved, the various goals and objectives of different organisations can be a hindrance (Tufail, 2013).</w:t>
      </w:r>
    </w:p>
    <w:p w14:paraId="25AFACE2" w14:textId="77777777" w:rsidR="00F2601C" w:rsidRDefault="00F2601C" w:rsidP="00F2601C">
      <w:pPr>
        <w:spacing w:line="360" w:lineRule="auto"/>
        <w:jc w:val="both"/>
      </w:pPr>
    </w:p>
    <w:p w14:paraId="5F8813A5" w14:textId="77777777" w:rsidR="00F2601C" w:rsidRDefault="00F2601C" w:rsidP="00F2601C">
      <w:pPr>
        <w:spacing w:line="360" w:lineRule="auto"/>
        <w:jc w:val="both"/>
      </w:pPr>
      <w:r>
        <w:t xml:space="preserve">Whilst the archaeology rehabilitation programme in Parc did not highlight any conflict of interest, it would be naïve to assume that G4S has the same key performance indicators (KPIs) as </w:t>
      </w:r>
      <w:proofErr w:type="spellStart"/>
      <w:r>
        <w:t>Cadw</w:t>
      </w:r>
      <w:proofErr w:type="spellEnd"/>
      <w:r>
        <w:t xml:space="preserve">. Nevertheless, the issue with agendas is prevalent with substance abuse rehabilitation programmes where </w:t>
      </w:r>
      <w:proofErr w:type="spellStart"/>
      <w:r>
        <w:t>Tiquet</w:t>
      </w:r>
      <w:proofErr w:type="spellEnd"/>
      <w:r>
        <w:t xml:space="preserve"> (2019) identifies how HMPPS is mostly focused on risk management, whilst the voluntary agencies are driven by the completion of treatment. Therefore, a singular organisation with shared goals may be more effective if realistic and agreed aims and objectives are not set out by partners.  </w:t>
      </w:r>
    </w:p>
    <w:p w14:paraId="02668DF7" w14:textId="77777777" w:rsidR="00F2601C" w:rsidRDefault="00F2601C" w:rsidP="00F2601C">
      <w:pPr>
        <w:spacing w:line="360" w:lineRule="auto"/>
        <w:jc w:val="both"/>
      </w:pPr>
    </w:p>
    <w:p w14:paraId="3360FB39" w14:textId="77777777" w:rsidR="00F2601C" w:rsidRDefault="00F2601C" w:rsidP="00F2601C">
      <w:pPr>
        <w:spacing w:line="360" w:lineRule="auto"/>
        <w:jc w:val="both"/>
      </w:pPr>
      <w:r>
        <w:t xml:space="preserve">To outline these aims and objectives, clear communication is essential between partners. There is a consensus within the literature that information </w:t>
      </w:r>
      <w:proofErr w:type="gramStart"/>
      <w:r>
        <w:t>sharing</w:t>
      </w:r>
      <w:proofErr w:type="gramEnd"/>
      <w:r>
        <w:t xml:space="preserve"> and trust are crucial for partnerships to provide effective rehabilitation (Fleming, 2009). A lack of trust between agencies can “silence” some partners, limiting the value of partnerships (</w:t>
      </w:r>
      <w:proofErr w:type="spellStart"/>
      <w:r>
        <w:t>Hipple</w:t>
      </w:r>
      <w:proofErr w:type="spellEnd"/>
      <w:r>
        <w:t xml:space="preserve"> et al., 2017:61). However, even with adequate information sharing, the exclusive nature of partners means a lack of context and professional knowledge hinders the effectiveness of rehabilitation programmes (</w:t>
      </w:r>
      <w:proofErr w:type="spellStart"/>
      <w:r>
        <w:t>Tiquet</w:t>
      </w:r>
      <w:proofErr w:type="spellEnd"/>
      <w:r>
        <w:t xml:space="preserve">, 2019). </w:t>
      </w:r>
    </w:p>
    <w:p w14:paraId="2A927FEB" w14:textId="77777777" w:rsidR="00F2601C" w:rsidRDefault="00F2601C" w:rsidP="00F2601C">
      <w:pPr>
        <w:spacing w:line="360" w:lineRule="auto"/>
        <w:jc w:val="both"/>
      </w:pPr>
    </w:p>
    <w:p w14:paraId="1ACE0A48" w14:textId="2B7D130F" w:rsidR="00F2601C" w:rsidRDefault="00F2601C" w:rsidP="00F2601C">
      <w:pPr>
        <w:spacing w:line="360" w:lineRule="auto"/>
        <w:jc w:val="both"/>
      </w:pPr>
      <w:r>
        <w:t xml:space="preserve">However, whilst the archaeology programme in Parc only briefly acknowledges the communication between themselves, G4S and </w:t>
      </w:r>
      <w:proofErr w:type="spellStart"/>
      <w:r>
        <w:t>Cadw</w:t>
      </w:r>
      <w:proofErr w:type="spellEnd"/>
      <w:r>
        <w:t>, the collaboration needed to set up the programmes within the prison and gain clearance for themselves and the equipment speaks to how essential good communication channels are (</w:t>
      </w:r>
      <w:proofErr w:type="spellStart"/>
      <w:r>
        <w:t>Pudney</w:t>
      </w:r>
      <w:proofErr w:type="spellEnd"/>
      <w:r>
        <w:t xml:space="preserve">, 2017). Based on this, it can be argued that the integration of partners, where resources and information are pooled and expertise shared, is required to provide an effective rehabilitation programme. Currently, an </w:t>
      </w:r>
      <w:r>
        <w:lastRenderedPageBreak/>
        <w:t>integrated approach is rare (</w:t>
      </w:r>
      <w:proofErr w:type="spellStart"/>
      <w:r>
        <w:t>Tiquet</w:t>
      </w:r>
      <w:proofErr w:type="spellEnd"/>
      <w:r>
        <w:t>, 2019), therefore, a singular agency approach may be more effective.</w:t>
      </w:r>
    </w:p>
    <w:p w14:paraId="7850F678" w14:textId="77777777" w:rsidR="00175CF8" w:rsidRDefault="00175CF8" w:rsidP="00F2601C">
      <w:pPr>
        <w:spacing w:line="360" w:lineRule="auto"/>
        <w:jc w:val="both"/>
      </w:pPr>
    </w:p>
    <w:p w14:paraId="6D6D2E9D" w14:textId="77777777" w:rsidR="00F2601C" w:rsidRPr="00F00F14" w:rsidRDefault="00F2601C" w:rsidP="00F2601C">
      <w:pPr>
        <w:spacing w:line="360" w:lineRule="auto"/>
        <w:jc w:val="both"/>
      </w:pPr>
      <w:r>
        <w:rPr>
          <w:b/>
          <w:bCs/>
        </w:rPr>
        <w:t>Conclusion</w:t>
      </w:r>
    </w:p>
    <w:p w14:paraId="10A241A9" w14:textId="77777777" w:rsidR="00F2601C" w:rsidRDefault="00F2601C" w:rsidP="00F2601C">
      <w:pPr>
        <w:rPr>
          <w:b/>
          <w:bCs/>
        </w:rPr>
      </w:pPr>
    </w:p>
    <w:p w14:paraId="3BBDB75A" w14:textId="77777777" w:rsidR="00F2601C" w:rsidRDefault="00F2601C" w:rsidP="00F2601C">
      <w:pPr>
        <w:spacing w:line="360" w:lineRule="auto"/>
        <w:jc w:val="both"/>
      </w:pPr>
      <w:r>
        <w:t xml:space="preserve">This essay has provided a nuanced argument regarding the effectiveness of partnership approaches to rehabilitation. It has been seen that a multi-agency approach can provide rehabilitation programmes that a singular agency may not have the capacity to facilitate, including unique programmes designed according to an offender’s environment and interests and programmes which go beyond the individual to address wider societal issues. </w:t>
      </w:r>
      <w:proofErr w:type="gramStart"/>
      <w:r>
        <w:t>However,  this</w:t>
      </w:r>
      <w:proofErr w:type="gramEnd"/>
      <w:r>
        <w:t xml:space="preserve"> essay has also shown how multi-agency partnerships can be a source of harm for offenders involved in their rehabilitation programmes, regarding various agendas and inadequate collaboration. Nevertheless, the partnership approach to rehabilitation continues to develop and will hopefully overcome these issues, furthering their ability to provide the most effective means of rehabilitation.</w:t>
      </w:r>
    </w:p>
    <w:p w14:paraId="782FD20E" w14:textId="77777777" w:rsidR="00F2601C" w:rsidRDefault="00F2601C" w:rsidP="00F2601C">
      <w:pPr>
        <w:spacing w:line="360" w:lineRule="auto"/>
        <w:jc w:val="both"/>
      </w:pPr>
    </w:p>
    <w:p w14:paraId="5D9A6589" w14:textId="77777777" w:rsidR="00F2601C" w:rsidRDefault="00F2601C" w:rsidP="00F2601C">
      <w:pPr>
        <w:spacing w:line="360" w:lineRule="auto"/>
        <w:jc w:val="both"/>
      </w:pPr>
      <w:r>
        <w:t>Word Count: 1019</w:t>
      </w:r>
    </w:p>
    <w:p w14:paraId="07361BC1" w14:textId="77777777" w:rsidR="00F2601C" w:rsidRDefault="00F2601C" w:rsidP="00F2601C">
      <w:pPr>
        <w:spacing w:line="360" w:lineRule="auto"/>
        <w:jc w:val="both"/>
      </w:pPr>
    </w:p>
    <w:p w14:paraId="41D36C91" w14:textId="77777777" w:rsidR="00F2601C" w:rsidRDefault="00F2601C" w:rsidP="00F2601C">
      <w:pPr>
        <w:spacing w:line="360" w:lineRule="auto"/>
        <w:jc w:val="both"/>
      </w:pPr>
    </w:p>
    <w:p w14:paraId="66F8CC04" w14:textId="77777777" w:rsidR="00F2601C" w:rsidRDefault="00F2601C" w:rsidP="00F2601C">
      <w:pPr>
        <w:spacing w:line="360" w:lineRule="auto"/>
        <w:jc w:val="both"/>
      </w:pPr>
    </w:p>
    <w:p w14:paraId="71B7B162" w14:textId="77777777" w:rsidR="00F2601C" w:rsidRDefault="00F2601C" w:rsidP="00F2601C">
      <w:pPr>
        <w:spacing w:line="360" w:lineRule="auto"/>
        <w:jc w:val="both"/>
      </w:pPr>
    </w:p>
    <w:p w14:paraId="2F1CE713" w14:textId="77777777" w:rsidR="00F2601C" w:rsidRDefault="00F2601C" w:rsidP="00F2601C">
      <w:pPr>
        <w:spacing w:line="360" w:lineRule="auto"/>
        <w:jc w:val="both"/>
      </w:pPr>
    </w:p>
    <w:p w14:paraId="02D9A217" w14:textId="77777777" w:rsidR="00F2601C" w:rsidRDefault="00F2601C" w:rsidP="00F2601C">
      <w:pPr>
        <w:spacing w:line="360" w:lineRule="auto"/>
        <w:jc w:val="both"/>
      </w:pPr>
    </w:p>
    <w:p w14:paraId="722C0C31" w14:textId="77777777" w:rsidR="00F2601C" w:rsidRDefault="00F2601C" w:rsidP="00F2601C">
      <w:pPr>
        <w:spacing w:line="360" w:lineRule="auto"/>
        <w:jc w:val="both"/>
      </w:pPr>
    </w:p>
    <w:p w14:paraId="1EDCAAB7" w14:textId="77777777" w:rsidR="00F2601C" w:rsidRDefault="00F2601C" w:rsidP="00F2601C">
      <w:pPr>
        <w:spacing w:line="360" w:lineRule="auto"/>
        <w:jc w:val="both"/>
      </w:pPr>
    </w:p>
    <w:p w14:paraId="128E0314" w14:textId="77777777" w:rsidR="00F2601C" w:rsidRDefault="00F2601C" w:rsidP="00F2601C">
      <w:pPr>
        <w:spacing w:line="360" w:lineRule="auto"/>
        <w:jc w:val="both"/>
      </w:pPr>
    </w:p>
    <w:p w14:paraId="6D18CC83" w14:textId="77777777" w:rsidR="00F2601C" w:rsidRDefault="00F2601C" w:rsidP="00F2601C">
      <w:pPr>
        <w:spacing w:line="360" w:lineRule="auto"/>
        <w:jc w:val="both"/>
      </w:pPr>
    </w:p>
    <w:p w14:paraId="6B6AAAE8" w14:textId="77777777" w:rsidR="00F2601C" w:rsidRDefault="00F2601C" w:rsidP="00F2601C">
      <w:pPr>
        <w:spacing w:line="360" w:lineRule="auto"/>
        <w:jc w:val="both"/>
      </w:pPr>
    </w:p>
    <w:p w14:paraId="762B8714" w14:textId="77777777" w:rsidR="00F2601C" w:rsidRDefault="00F2601C" w:rsidP="00F2601C">
      <w:pPr>
        <w:spacing w:line="360" w:lineRule="auto"/>
        <w:jc w:val="both"/>
      </w:pPr>
    </w:p>
    <w:p w14:paraId="7EEA13C1" w14:textId="77777777" w:rsidR="00F2601C" w:rsidRDefault="00F2601C" w:rsidP="00F2601C">
      <w:pPr>
        <w:spacing w:line="360" w:lineRule="auto"/>
        <w:jc w:val="both"/>
      </w:pPr>
    </w:p>
    <w:p w14:paraId="7504DF4D" w14:textId="77777777" w:rsidR="00F2601C" w:rsidRDefault="00F2601C" w:rsidP="00F2601C">
      <w:pPr>
        <w:spacing w:line="360" w:lineRule="auto"/>
        <w:jc w:val="both"/>
      </w:pPr>
    </w:p>
    <w:p w14:paraId="56F7877B" w14:textId="77777777" w:rsidR="00F2601C" w:rsidRDefault="00F2601C" w:rsidP="00F2601C">
      <w:pPr>
        <w:spacing w:line="360" w:lineRule="auto"/>
        <w:jc w:val="both"/>
      </w:pPr>
    </w:p>
    <w:p w14:paraId="571A3D5C" w14:textId="1B1EF191" w:rsidR="00175CF8" w:rsidRDefault="00175CF8" w:rsidP="003E4FFA">
      <w:pPr>
        <w:spacing w:line="360" w:lineRule="auto"/>
        <w:jc w:val="both"/>
      </w:pPr>
      <w:r w:rsidRPr="00175CF8">
        <w:rPr>
          <w:b/>
          <w:bCs/>
        </w:rPr>
        <w:lastRenderedPageBreak/>
        <w:t>Bibliographies</w:t>
      </w:r>
    </w:p>
    <w:p w14:paraId="4C9BF7F5" w14:textId="76EF5845" w:rsidR="003E4FFA" w:rsidRDefault="006504EF" w:rsidP="003E4FFA">
      <w:pPr>
        <w:spacing w:line="360" w:lineRule="auto"/>
        <w:jc w:val="both"/>
        <w:rPr>
          <w:b/>
          <w:bCs/>
        </w:rPr>
      </w:pPr>
      <w:r>
        <w:rPr>
          <w:b/>
          <w:bCs/>
        </w:rPr>
        <w:t xml:space="preserve">Essay 1 </w:t>
      </w:r>
    </w:p>
    <w:p w14:paraId="16845570" w14:textId="77777777" w:rsidR="003E4FFA" w:rsidRPr="008D2CED" w:rsidRDefault="003E4FFA" w:rsidP="003E4FFA">
      <w:r w:rsidRPr="008D2CED">
        <w:t xml:space="preserve">Beighton, C. and </w:t>
      </w:r>
      <w:proofErr w:type="spellStart"/>
      <w:r w:rsidRPr="008D2CED">
        <w:t>Kemiche</w:t>
      </w:r>
      <w:proofErr w:type="spellEnd"/>
      <w:r w:rsidRPr="008D2CED">
        <w:t xml:space="preserve">, Z. 2021. (Un)trustworthy organisations? Implications of the Sarah Everard murder case. CCCU. Available at: </w:t>
      </w:r>
      <w:hyperlink r:id="rId9" w:history="1">
        <w:r w:rsidRPr="008D2CED">
          <w:rPr>
            <w:rStyle w:val="Hyperlink"/>
          </w:rPr>
          <w:t>https://blogs.canterbury.ac.uk/expertcomment/untrustworthy-organisations-implications-of-the-sarah-everard-murder-case/</w:t>
        </w:r>
      </w:hyperlink>
      <w:r w:rsidRPr="008D2CED">
        <w:t xml:space="preserve"> [Accessed: 31/01/23]. </w:t>
      </w:r>
    </w:p>
    <w:p w14:paraId="6DCE5E96" w14:textId="77777777" w:rsidR="003E4FFA" w:rsidRDefault="003E4FFA" w:rsidP="003E4FFA"/>
    <w:p w14:paraId="210F837A" w14:textId="77777777" w:rsidR="003E4FFA" w:rsidRPr="008D2CED" w:rsidRDefault="003E4FFA" w:rsidP="003E4FFA">
      <w:r w:rsidRPr="008D2CED">
        <w:t xml:space="preserve">Brown, J. and Horvath, M. 2021. Sarah Everard: The tipping point to take violence against women and girls seriously? British Politics and Policy at LSE. Available at: </w:t>
      </w:r>
      <w:hyperlink r:id="rId10" w:history="1">
        <w:r w:rsidRPr="008D2CED">
          <w:rPr>
            <w:rStyle w:val="Hyperlink"/>
          </w:rPr>
          <w:t>https://eprints.lse.ac.uk/112889/1/politicsandpolicy_sarah_everard.pdf</w:t>
        </w:r>
      </w:hyperlink>
      <w:r w:rsidRPr="008D2CED">
        <w:t xml:space="preserve"> [Accessed: 01/02/23]. </w:t>
      </w:r>
    </w:p>
    <w:p w14:paraId="6B3390D8" w14:textId="77777777" w:rsidR="003E4FFA" w:rsidRDefault="003E4FFA" w:rsidP="003E4FFA"/>
    <w:p w14:paraId="3448B125" w14:textId="77777777" w:rsidR="003E4FFA" w:rsidRPr="008D2CED" w:rsidRDefault="003E4FFA" w:rsidP="003E4FFA">
      <w:r w:rsidRPr="008D2CED">
        <w:t xml:space="preserve">College of Policing. 2014. Code of Ethics. Available at: </w:t>
      </w:r>
      <w:hyperlink r:id="rId11" w:history="1">
        <w:r w:rsidRPr="008D2CED">
          <w:rPr>
            <w:rStyle w:val="Hyperlink"/>
          </w:rPr>
          <w:t>https://assets.college.police.uk/s3fs-public/2021-02/code_of_ethics.pdf</w:t>
        </w:r>
      </w:hyperlink>
      <w:r w:rsidRPr="008D2CED">
        <w:t xml:space="preserve"> [Accessed: 31/01/23]. </w:t>
      </w:r>
    </w:p>
    <w:p w14:paraId="63C0A9E3" w14:textId="77777777" w:rsidR="003E4FFA" w:rsidRDefault="003E4FFA" w:rsidP="003E4FFA"/>
    <w:p w14:paraId="7142544F" w14:textId="77777777" w:rsidR="003E4FFA" w:rsidRPr="008D2CED" w:rsidRDefault="003E4FFA" w:rsidP="003E4FFA">
      <w:r w:rsidRPr="008D2CED">
        <w:t xml:space="preserve">CPS. 2022. Bail. Available at: </w:t>
      </w:r>
      <w:hyperlink r:id="rId12" w:anchor=":~:text=The%20Police%20Crime%20Sentencing%20and,breach%20of%20pre%2Dcharge%20bail" w:history="1">
        <w:r w:rsidRPr="008D2CED">
          <w:rPr>
            <w:rStyle w:val="Hyperlink"/>
          </w:rPr>
          <w:t>https://www.cps.gov.uk/legal-guidance/bail#:~:text=The%20Police%20Crime%20Sentencing%20and,breach%20of%20pre%2Dcharge%20bail</w:t>
        </w:r>
      </w:hyperlink>
      <w:r w:rsidRPr="008D2CED">
        <w:t xml:space="preserve"> [Accessed: 31/01/23]. </w:t>
      </w:r>
    </w:p>
    <w:p w14:paraId="18A95BA7" w14:textId="77777777" w:rsidR="003E4FFA" w:rsidRDefault="003E4FFA" w:rsidP="003E4FFA"/>
    <w:p w14:paraId="342DE05F" w14:textId="77777777" w:rsidR="003E4FFA" w:rsidRPr="008D2CED" w:rsidRDefault="003E4FFA" w:rsidP="003E4FFA">
      <w:r w:rsidRPr="008D2CED">
        <w:t xml:space="preserve">Gottschalk, P., Dean, G. and </w:t>
      </w:r>
      <w:proofErr w:type="spellStart"/>
      <w:r w:rsidRPr="008D2CED">
        <w:t>Glomseth</w:t>
      </w:r>
      <w:proofErr w:type="spellEnd"/>
      <w:r w:rsidRPr="008D2CED">
        <w:t xml:space="preserve">, R. 2012. Police misconduct and crime: bad apples or system failure? Journal of Money Laundering Control 15(1), pp. 6-24. </w:t>
      </w:r>
    </w:p>
    <w:p w14:paraId="5F057A05" w14:textId="77777777" w:rsidR="003E4FFA" w:rsidRDefault="003E4FFA" w:rsidP="003E4FFA"/>
    <w:p w14:paraId="70270607" w14:textId="77777777" w:rsidR="003E4FFA" w:rsidRPr="008D2CED" w:rsidRDefault="003E4FFA" w:rsidP="003E4FFA">
      <w:r w:rsidRPr="008D2CED">
        <w:t>Gudjonsson, G.H. 2002. Unreliable confessions and miscarriages of justice in Britain. International Journal of Police Science and Management 4(4), pp. 332-343.</w:t>
      </w:r>
    </w:p>
    <w:p w14:paraId="241F302F" w14:textId="77777777" w:rsidR="003E4FFA" w:rsidRDefault="003E4FFA" w:rsidP="003E4FFA"/>
    <w:p w14:paraId="5B883571" w14:textId="77777777" w:rsidR="003E4FFA" w:rsidRPr="008D2CED" w:rsidRDefault="003E4FFA" w:rsidP="003E4FFA">
      <w:r w:rsidRPr="008D2CED">
        <w:t xml:space="preserve">Gudjonsson, G.H. and </w:t>
      </w:r>
      <w:proofErr w:type="spellStart"/>
      <w:r w:rsidRPr="008D2CED">
        <w:t>MacKeith</w:t>
      </w:r>
      <w:proofErr w:type="spellEnd"/>
      <w:r w:rsidRPr="008D2CED">
        <w:t xml:space="preserve">, J.A.C. 2003. The Guildford Four and the Birmingham Six. In: Gudjonsson, G.H. ed. The Psychology of Interrogations and Confessions: A Handbook. Chichester: John Wiley &amp; Sons, pp. 445-457. </w:t>
      </w:r>
    </w:p>
    <w:p w14:paraId="13771D00" w14:textId="77777777" w:rsidR="003E4FFA" w:rsidRDefault="003E4FFA" w:rsidP="003E4FFA"/>
    <w:p w14:paraId="5BA04085" w14:textId="77777777" w:rsidR="003E4FFA" w:rsidRPr="008D2CED" w:rsidRDefault="003E4FFA" w:rsidP="003E4FFA">
      <w:r w:rsidRPr="008D2CED">
        <w:t xml:space="preserve">Home Office. 2010. Police and Criminal Evidence Act 1984. Available at: </w:t>
      </w:r>
      <w:hyperlink r:id="rId13" w:history="1">
        <w:r w:rsidRPr="008D2CED">
          <w:rPr>
            <w:rStyle w:val="Hyperlink"/>
          </w:rPr>
          <w:t>https://assets.publishing.service.gov.uk/government/uploads/system/uploads/attachment_data/file/117611/pace-code-a-2011.pdf</w:t>
        </w:r>
      </w:hyperlink>
      <w:r w:rsidRPr="008D2CED">
        <w:t xml:space="preserve"> [Accessed: 30/01/23].  </w:t>
      </w:r>
    </w:p>
    <w:p w14:paraId="2DD81F03" w14:textId="77777777" w:rsidR="003E4FFA" w:rsidRDefault="003E4FFA" w:rsidP="003E4FFA"/>
    <w:p w14:paraId="572A70C2" w14:textId="77777777" w:rsidR="003E4FFA" w:rsidRPr="008D2CED" w:rsidRDefault="003E4FFA" w:rsidP="003E4FFA">
      <w:r w:rsidRPr="008D2CED">
        <w:t xml:space="preserve">Home Office. 2013. Police and Criminal Evidence Act 1984 (PACE) Codes of Practice. Available at: </w:t>
      </w:r>
      <w:hyperlink r:id="rId14" w:history="1">
        <w:r w:rsidRPr="008D2CED">
          <w:rPr>
            <w:rStyle w:val="Hyperlink"/>
          </w:rPr>
          <w:t>https://www.gov.uk/guidance/police-and-criminal-evidence-act-1984-pace-codes-of-practice</w:t>
        </w:r>
      </w:hyperlink>
      <w:r w:rsidRPr="008D2CED">
        <w:t xml:space="preserve"> [Accessed: 30/01/23]. </w:t>
      </w:r>
    </w:p>
    <w:p w14:paraId="1234A4EF" w14:textId="77777777" w:rsidR="003E4FFA" w:rsidRDefault="003E4FFA" w:rsidP="003E4FFA"/>
    <w:p w14:paraId="08A8323B" w14:textId="77777777" w:rsidR="003E4FFA" w:rsidRPr="008D2CED" w:rsidRDefault="003E4FFA" w:rsidP="003E4FFA">
      <w:r w:rsidRPr="008D2CED">
        <w:t xml:space="preserve">IOPC. 2020. Our Policies. Available at: </w:t>
      </w:r>
      <w:hyperlink r:id="rId15" w:history="1">
        <w:r w:rsidRPr="008D2CED">
          <w:rPr>
            <w:rStyle w:val="Hyperlink"/>
          </w:rPr>
          <w:t>https://www.policeconduct.gov.uk/who-we-are/accountability-and-performance/our-policies</w:t>
        </w:r>
      </w:hyperlink>
      <w:r w:rsidRPr="008D2CED">
        <w:t xml:space="preserve"> [Accessed: 31/01/23].</w:t>
      </w:r>
    </w:p>
    <w:p w14:paraId="379BA6E6" w14:textId="77777777" w:rsidR="003E4FFA" w:rsidRDefault="003E4FFA" w:rsidP="003E4FFA"/>
    <w:p w14:paraId="695E9880" w14:textId="77777777" w:rsidR="003E4FFA" w:rsidRPr="008D2CED" w:rsidRDefault="003E4FFA" w:rsidP="003E4FFA">
      <w:r w:rsidRPr="008D2CED">
        <w:t xml:space="preserve">Maher, T.M. 2015. Police Misconduct. In: Huebner, B.M. ed. Oxford Bibliographies in Criminology [Online]. Oxford: Oxford University Press. Available at: </w:t>
      </w:r>
      <w:hyperlink r:id="rId16" w:history="1">
        <w:r w:rsidRPr="008D2CED">
          <w:rPr>
            <w:rStyle w:val="Hyperlink"/>
          </w:rPr>
          <w:t>https://www.oxfordbibliographies.com/display/document/obo-9780195396607/obo-9780195396607-0186.xml</w:t>
        </w:r>
      </w:hyperlink>
      <w:r w:rsidRPr="008D2CED">
        <w:t xml:space="preserve"> [Accessed 31/01/23].</w:t>
      </w:r>
    </w:p>
    <w:p w14:paraId="6D0D4342" w14:textId="77777777" w:rsidR="003E4FFA" w:rsidRDefault="003E4FFA" w:rsidP="003E4FFA"/>
    <w:p w14:paraId="30DA363C" w14:textId="77777777" w:rsidR="003E4FFA" w:rsidRPr="008D2CED" w:rsidRDefault="003E4FFA" w:rsidP="003E4FFA">
      <w:r w:rsidRPr="008D2CED">
        <w:lastRenderedPageBreak/>
        <w:t xml:space="preserve">Mullin, C. 1997a. Birmingham Six Case [online]. Record of Chris Mullin MP - Miscarriages of Justice Campaigning, UDMU/5/1. Hull: Hull University Archives. Available at: </w:t>
      </w:r>
      <w:hyperlink r:id="rId17" w:history="1">
        <w:r w:rsidRPr="008D2CED">
          <w:rPr>
            <w:rStyle w:val="Hyperlink"/>
          </w:rPr>
          <w:t>https://archiveshub.jisc.ac.uk/search/archives/60bbc820-ba84-32cc-bfea-92eb25b48028?component=fbe3b34b-f226-3abf-b5b1-e81bde8005e2</w:t>
        </w:r>
      </w:hyperlink>
      <w:r w:rsidRPr="008D2CED">
        <w:t xml:space="preserve"> [Accessed: 30/01/23].</w:t>
      </w:r>
    </w:p>
    <w:p w14:paraId="3E5F6DFE" w14:textId="77777777" w:rsidR="003E4FFA" w:rsidRDefault="003E4FFA" w:rsidP="003E4FFA"/>
    <w:p w14:paraId="6E0B8D13" w14:textId="77777777" w:rsidR="003E4FFA" w:rsidRPr="008D2CED" w:rsidRDefault="003E4FFA" w:rsidP="003E4FFA">
      <w:r w:rsidRPr="008D2CED">
        <w:t xml:space="preserve">Mullin, C. 1997b. Carl Bridgewater Case [online]. Record of Chris Mullin MP - Miscarriages of Justice Campaigning, UDMU/5/3. Hull: Hull University Archives. Available at: </w:t>
      </w:r>
      <w:hyperlink r:id="rId18" w:history="1">
        <w:r w:rsidRPr="008D2CED">
          <w:rPr>
            <w:rStyle w:val="Hyperlink"/>
          </w:rPr>
          <w:t>https://archiveshub.jisc.ac.uk/search/archives/60bbc820-ba84-32cc-bfea-92eb25b48028?component=148be76c-8123-3e68-86fa-5ab179273d17</w:t>
        </w:r>
      </w:hyperlink>
      <w:r w:rsidRPr="008D2CED">
        <w:t xml:space="preserve"> [Accessed: 30/01/23]. </w:t>
      </w:r>
    </w:p>
    <w:p w14:paraId="4C301002" w14:textId="77777777" w:rsidR="003E4FFA" w:rsidRDefault="003E4FFA" w:rsidP="003E4FFA"/>
    <w:p w14:paraId="6AE2EB2D" w14:textId="77777777" w:rsidR="003E4FFA" w:rsidRPr="008D2CED" w:rsidRDefault="003E4FFA" w:rsidP="003E4FFA">
      <w:r w:rsidRPr="008D2CED">
        <w:t xml:space="preserve">Porter, L.E. and </w:t>
      </w:r>
      <w:proofErr w:type="spellStart"/>
      <w:r w:rsidRPr="008D2CED">
        <w:t>Warrender</w:t>
      </w:r>
      <w:proofErr w:type="spellEnd"/>
      <w:r w:rsidRPr="008D2CED">
        <w:t xml:space="preserve">, C. 2009. A multivariate model of police deviance: examining the nature of corruption, </w:t>
      </w:r>
      <w:proofErr w:type="gramStart"/>
      <w:r w:rsidRPr="008D2CED">
        <w:t>crime</w:t>
      </w:r>
      <w:proofErr w:type="gramEnd"/>
      <w:r w:rsidRPr="008D2CED">
        <w:t xml:space="preserve"> and misconduct. Policing and Society 19(1), pp. 1-45. </w:t>
      </w:r>
    </w:p>
    <w:p w14:paraId="1E64FE02" w14:textId="77777777" w:rsidR="003E4FFA" w:rsidRDefault="003E4FFA" w:rsidP="003E4FFA"/>
    <w:p w14:paraId="2371527E" w14:textId="77777777" w:rsidR="003E4FFA" w:rsidRPr="008D2CED" w:rsidRDefault="003E4FFA" w:rsidP="003E4FFA">
      <w:r w:rsidRPr="008D2CED">
        <w:t xml:space="preserve">Samuels, A. 1986. Crown Prosecution Service. The Journal of Criminal Law 50(4), pp. 432-441. </w:t>
      </w:r>
    </w:p>
    <w:p w14:paraId="4D76755A" w14:textId="77777777" w:rsidR="003E4FFA" w:rsidRDefault="003E4FFA" w:rsidP="003E4FFA"/>
    <w:p w14:paraId="5480E5C5" w14:textId="4BC904BC" w:rsidR="003E4FFA" w:rsidRDefault="003E4FFA" w:rsidP="003E4FFA">
      <w:proofErr w:type="spellStart"/>
      <w:r w:rsidRPr="008D2CED">
        <w:t>Westmarland</w:t>
      </w:r>
      <w:proofErr w:type="spellEnd"/>
      <w:r w:rsidRPr="008D2CED">
        <w:t xml:space="preserve">, L. and Rowe, M. 2018. Police ethics and integrity: can a new code overturn the blue code? Policing and Society 28(7), pp. 854-870. </w:t>
      </w:r>
    </w:p>
    <w:p w14:paraId="79C7720A" w14:textId="736EF05A" w:rsidR="006504EF" w:rsidRDefault="006504EF" w:rsidP="003E4FFA"/>
    <w:p w14:paraId="50467111" w14:textId="3E301EF3" w:rsidR="00175CF8" w:rsidRDefault="006504EF" w:rsidP="00175CF8">
      <w:pPr>
        <w:jc w:val="both"/>
        <w:rPr>
          <w:b/>
          <w:bCs/>
        </w:rPr>
      </w:pPr>
      <w:r>
        <w:rPr>
          <w:b/>
          <w:bCs/>
        </w:rPr>
        <w:t xml:space="preserve">Essay 2 </w:t>
      </w:r>
    </w:p>
    <w:p w14:paraId="57202FCF" w14:textId="77777777" w:rsidR="00175CF8" w:rsidRDefault="00175CF8" w:rsidP="00175CF8">
      <w:pPr>
        <w:jc w:val="both"/>
        <w:rPr>
          <w:b/>
          <w:bCs/>
        </w:rPr>
      </w:pPr>
    </w:p>
    <w:p w14:paraId="7CE7F212" w14:textId="77777777" w:rsidR="006504EF" w:rsidRDefault="006504EF" w:rsidP="006504EF">
      <w:pPr>
        <w:rPr>
          <w:rFonts w:cstheme="minorHAnsi"/>
        </w:rPr>
      </w:pPr>
      <w:r>
        <w:rPr>
          <w:rFonts w:cstheme="minorHAnsi"/>
        </w:rPr>
        <w:t xml:space="preserve">BBC. 2012a. April Jones abduction: Child got into van willingly say police. </w:t>
      </w:r>
      <w:r>
        <w:rPr>
          <w:rFonts w:cstheme="minorHAnsi"/>
          <w:i/>
          <w:iCs/>
        </w:rPr>
        <w:t xml:space="preserve">BBC News. </w:t>
      </w:r>
      <w:r>
        <w:rPr>
          <w:rFonts w:cstheme="minorHAnsi"/>
        </w:rPr>
        <w:t xml:space="preserve">Available at: </w:t>
      </w:r>
      <w:hyperlink r:id="rId19" w:history="1">
        <w:r w:rsidRPr="000574B1">
          <w:rPr>
            <w:rStyle w:val="Hyperlink"/>
            <w:rFonts w:cstheme="minorHAnsi"/>
          </w:rPr>
          <w:t>https://www.bbc.co.uk/news/uk-wales-19800140</w:t>
        </w:r>
      </w:hyperlink>
      <w:r>
        <w:rPr>
          <w:rFonts w:cstheme="minorHAnsi"/>
        </w:rPr>
        <w:t xml:space="preserve"> [Accessed: 18/01/23]. </w:t>
      </w:r>
    </w:p>
    <w:p w14:paraId="693EA2E2" w14:textId="77777777" w:rsidR="006504EF" w:rsidRDefault="006504EF" w:rsidP="006504EF">
      <w:pPr>
        <w:rPr>
          <w:rFonts w:cstheme="minorHAnsi"/>
        </w:rPr>
      </w:pPr>
    </w:p>
    <w:p w14:paraId="22FBAC2B" w14:textId="77777777" w:rsidR="006504EF" w:rsidRDefault="006504EF" w:rsidP="006504EF">
      <w:pPr>
        <w:rPr>
          <w:rFonts w:cstheme="minorHAnsi"/>
        </w:rPr>
      </w:pPr>
      <w:r>
        <w:rPr>
          <w:rFonts w:cstheme="minorHAnsi"/>
        </w:rPr>
        <w:t xml:space="preserve">BBC. 2012b. Cameron: ‘Help this family find their lovely child’. </w:t>
      </w:r>
      <w:r>
        <w:rPr>
          <w:rFonts w:cstheme="minorHAnsi"/>
          <w:i/>
          <w:iCs/>
        </w:rPr>
        <w:t xml:space="preserve">BBC News. </w:t>
      </w:r>
      <w:r>
        <w:rPr>
          <w:rFonts w:cstheme="minorHAnsi"/>
        </w:rPr>
        <w:t xml:space="preserve">Available at: </w:t>
      </w:r>
      <w:hyperlink r:id="rId20" w:history="1">
        <w:r w:rsidRPr="000574B1">
          <w:rPr>
            <w:rStyle w:val="Hyperlink"/>
            <w:rFonts w:cstheme="minorHAnsi"/>
          </w:rPr>
          <w:t>https://www.bbc.co.uk/news/av/uk-19825626</w:t>
        </w:r>
      </w:hyperlink>
      <w:r>
        <w:rPr>
          <w:rFonts w:cstheme="minorHAnsi"/>
        </w:rPr>
        <w:t xml:space="preserve"> [Accessed: 18/01/23]. </w:t>
      </w:r>
    </w:p>
    <w:p w14:paraId="2C08AEF6" w14:textId="77777777" w:rsidR="006504EF" w:rsidRDefault="006504EF" w:rsidP="006504EF">
      <w:pPr>
        <w:rPr>
          <w:rFonts w:cstheme="minorHAnsi"/>
        </w:rPr>
      </w:pPr>
    </w:p>
    <w:p w14:paraId="642CD5D4" w14:textId="77777777" w:rsidR="006504EF" w:rsidRDefault="006504EF" w:rsidP="006504EF">
      <w:pPr>
        <w:rPr>
          <w:rFonts w:cstheme="minorHAnsi"/>
        </w:rPr>
      </w:pPr>
      <w:r>
        <w:rPr>
          <w:rFonts w:cstheme="minorHAnsi"/>
        </w:rPr>
        <w:t xml:space="preserve">Boyd, I. 2015. </w:t>
      </w:r>
      <w:r w:rsidRPr="00A52DB6">
        <w:rPr>
          <w:rFonts w:cstheme="minorHAnsi"/>
          <w:i/>
          <w:iCs/>
        </w:rPr>
        <w:t>Being Heard: A Thematic Analysis of the Newspaper Media Response to the Jay Report and the Rotherham Child Abuse Scandal</w:t>
      </w:r>
      <w:r>
        <w:rPr>
          <w:rFonts w:cstheme="minorHAnsi"/>
        </w:rPr>
        <w:t xml:space="preserve">. MA Thesis. University of Hertfordshire. </w:t>
      </w:r>
    </w:p>
    <w:p w14:paraId="27140447" w14:textId="77777777" w:rsidR="006504EF" w:rsidRDefault="006504EF" w:rsidP="006504EF">
      <w:pPr>
        <w:rPr>
          <w:rFonts w:cstheme="minorHAnsi"/>
        </w:rPr>
      </w:pPr>
    </w:p>
    <w:p w14:paraId="45F4DE9A" w14:textId="77777777" w:rsidR="006504EF" w:rsidRPr="004D5E8B" w:rsidRDefault="006504EF" w:rsidP="006504EF">
      <w:pPr>
        <w:rPr>
          <w:rFonts w:cstheme="minorHAnsi"/>
        </w:rPr>
      </w:pPr>
      <w:r>
        <w:rPr>
          <w:rFonts w:cstheme="minorHAnsi"/>
        </w:rPr>
        <w:t xml:space="preserve">College of Policing. 2014. </w:t>
      </w:r>
      <w:r>
        <w:rPr>
          <w:rFonts w:cstheme="minorHAnsi"/>
          <w:i/>
          <w:iCs/>
        </w:rPr>
        <w:t xml:space="preserve">Managing Complex Child Abuse Investigation. </w:t>
      </w:r>
      <w:r>
        <w:rPr>
          <w:rFonts w:cstheme="minorHAnsi"/>
        </w:rPr>
        <w:t xml:space="preserve">Available at: </w:t>
      </w:r>
      <w:hyperlink r:id="rId21" w:history="1">
        <w:r w:rsidRPr="00FE15DD">
          <w:rPr>
            <w:rStyle w:val="Hyperlink"/>
            <w:rFonts w:cstheme="minorHAnsi"/>
          </w:rPr>
          <w:t>https://www.college.police.uk/app/major-investigation-and-public-protection/investigating-child-abuse-and-safeguarding-children/managing-complex-child-abuse-investigations</w:t>
        </w:r>
      </w:hyperlink>
      <w:r>
        <w:rPr>
          <w:rFonts w:cstheme="minorHAnsi"/>
        </w:rPr>
        <w:t xml:space="preserve"> [Accessed: 18/01/23]. </w:t>
      </w:r>
    </w:p>
    <w:p w14:paraId="5E0C865F" w14:textId="77777777" w:rsidR="006504EF" w:rsidRDefault="006504EF" w:rsidP="006504EF">
      <w:pPr>
        <w:rPr>
          <w:rFonts w:cstheme="minorHAnsi"/>
        </w:rPr>
      </w:pPr>
    </w:p>
    <w:p w14:paraId="218BCED8" w14:textId="77777777" w:rsidR="006504EF" w:rsidRDefault="006504EF" w:rsidP="006504EF">
      <w:pPr>
        <w:rPr>
          <w:rFonts w:cstheme="minorHAnsi"/>
        </w:rPr>
      </w:pPr>
      <w:r>
        <w:rPr>
          <w:rFonts w:cstheme="minorHAnsi"/>
        </w:rPr>
        <w:t xml:space="preserve">College of Policing. 2020. </w:t>
      </w:r>
      <w:r w:rsidRPr="00C315F2">
        <w:rPr>
          <w:rFonts w:cstheme="minorHAnsi"/>
          <w:i/>
          <w:iCs/>
        </w:rPr>
        <w:t>Managing Public Protection Information</w:t>
      </w:r>
      <w:r>
        <w:rPr>
          <w:rFonts w:cstheme="minorHAnsi"/>
        </w:rPr>
        <w:t xml:space="preserve">. Available at: </w:t>
      </w:r>
      <w:hyperlink r:id="rId22" w:history="1">
        <w:r w:rsidRPr="000574B1">
          <w:rPr>
            <w:rStyle w:val="Hyperlink"/>
            <w:rFonts w:cstheme="minorHAnsi"/>
          </w:rPr>
          <w:t>https://www.college.police.uk/app/major-investigation-and-public-protection/managing-sexual-offenders-and-violent-offenders/managing-public-protection-information</w:t>
        </w:r>
      </w:hyperlink>
      <w:r>
        <w:rPr>
          <w:rFonts w:cstheme="minorHAnsi"/>
        </w:rPr>
        <w:t xml:space="preserve"> [Accessed: 18/01/23]. </w:t>
      </w:r>
    </w:p>
    <w:p w14:paraId="0B8AF044" w14:textId="77777777" w:rsidR="006504EF" w:rsidRDefault="006504EF" w:rsidP="006504EF">
      <w:pPr>
        <w:rPr>
          <w:rFonts w:cstheme="minorHAnsi"/>
        </w:rPr>
      </w:pPr>
    </w:p>
    <w:p w14:paraId="6C30123A" w14:textId="77777777" w:rsidR="006504EF" w:rsidRDefault="006504EF" w:rsidP="006504EF">
      <w:pPr>
        <w:rPr>
          <w:rFonts w:cstheme="minorHAnsi"/>
        </w:rPr>
      </w:pPr>
      <w:r>
        <w:rPr>
          <w:rFonts w:cstheme="minorHAnsi"/>
        </w:rPr>
        <w:t xml:space="preserve">College of Policing. 2021a. </w:t>
      </w:r>
      <w:r w:rsidRPr="00C315F2">
        <w:rPr>
          <w:rFonts w:cstheme="minorHAnsi"/>
          <w:i/>
          <w:iCs/>
        </w:rPr>
        <w:t>Introduction and Types of Critical Incidents</w:t>
      </w:r>
      <w:r>
        <w:rPr>
          <w:rFonts w:cstheme="minorHAnsi"/>
        </w:rPr>
        <w:t xml:space="preserve">. Available at: </w:t>
      </w:r>
      <w:hyperlink r:id="rId23" w:history="1">
        <w:r w:rsidRPr="000574B1">
          <w:rPr>
            <w:rStyle w:val="Hyperlink"/>
            <w:rFonts w:cstheme="minorHAnsi"/>
          </w:rPr>
          <w:t>https://www.college.police.uk/app/critical-incident-management/introduction-and-types-critical-incidents</w:t>
        </w:r>
      </w:hyperlink>
      <w:r>
        <w:rPr>
          <w:rFonts w:cstheme="minorHAnsi"/>
        </w:rPr>
        <w:t xml:space="preserve"> [Accessed: 18/01/23]. </w:t>
      </w:r>
    </w:p>
    <w:p w14:paraId="0B383DC0" w14:textId="77777777" w:rsidR="006504EF" w:rsidRDefault="006504EF" w:rsidP="006504EF">
      <w:pPr>
        <w:rPr>
          <w:rFonts w:cstheme="minorHAnsi"/>
        </w:rPr>
      </w:pPr>
    </w:p>
    <w:p w14:paraId="07A599D6" w14:textId="77777777" w:rsidR="006504EF" w:rsidRDefault="006504EF" w:rsidP="006504EF">
      <w:pPr>
        <w:rPr>
          <w:rFonts w:cstheme="minorHAnsi"/>
        </w:rPr>
      </w:pPr>
      <w:r>
        <w:rPr>
          <w:rFonts w:cstheme="minorHAnsi"/>
        </w:rPr>
        <w:lastRenderedPageBreak/>
        <w:t xml:space="preserve">College of Policing. 2021b. </w:t>
      </w:r>
      <w:r w:rsidRPr="00C315F2">
        <w:rPr>
          <w:rFonts w:cstheme="minorHAnsi"/>
          <w:i/>
          <w:iCs/>
        </w:rPr>
        <w:t>Communications Strategy</w:t>
      </w:r>
      <w:r>
        <w:rPr>
          <w:rFonts w:cstheme="minorHAnsi"/>
        </w:rPr>
        <w:t xml:space="preserve">. Available at: </w:t>
      </w:r>
      <w:hyperlink r:id="rId24" w:anchor="media-strategy" w:history="1">
        <w:r w:rsidRPr="000574B1">
          <w:rPr>
            <w:rStyle w:val="Hyperlink"/>
            <w:rFonts w:cstheme="minorHAnsi"/>
          </w:rPr>
          <w:t>https://www.college.police.uk/app/investigation/investigative-strategies/communications-strategy#media-strategy</w:t>
        </w:r>
      </w:hyperlink>
      <w:r>
        <w:rPr>
          <w:rFonts w:cstheme="minorHAnsi"/>
        </w:rPr>
        <w:t xml:space="preserve"> [Accessed: 18/01/23]. </w:t>
      </w:r>
    </w:p>
    <w:p w14:paraId="770B6B39" w14:textId="77777777" w:rsidR="006504EF" w:rsidRDefault="006504EF" w:rsidP="006504EF">
      <w:pPr>
        <w:rPr>
          <w:rFonts w:cstheme="minorHAnsi"/>
        </w:rPr>
      </w:pPr>
    </w:p>
    <w:p w14:paraId="0C1D6AAA" w14:textId="77777777" w:rsidR="006504EF" w:rsidRDefault="006504EF" w:rsidP="006504EF">
      <w:pPr>
        <w:rPr>
          <w:rFonts w:cstheme="minorHAnsi"/>
        </w:rPr>
      </w:pPr>
      <w:r>
        <w:rPr>
          <w:rFonts w:cstheme="minorHAnsi"/>
        </w:rPr>
        <w:t xml:space="preserve">College of Policing. 2023. </w:t>
      </w:r>
      <w:r w:rsidRPr="00112234">
        <w:rPr>
          <w:rFonts w:cstheme="minorHAnsi"/>
          <w:i/>
          <w:iCs/>
        </w:rPr>
        <w:t>PIP Level 3</w:t>
      </w:r>
      <w:r>
        <w:rPr>
          <w:rFonts w:cstheme="minorHAnsi"/>
        </w:rPr>
        <w:t xml:space="preserve">. Available at: </w:t>
      </w:r>
      <w:hyperlink r:id="rId25" w:history="1">
        <w:r w:rsidRPr="000574B1">
          <w:rPr>
            <w:rStyle w:val="Hyperlink"/>
            <w:rFonts w:cstheme="minorHAnsi"/>
          </w:rPr>
          <w:t>https://www.college.police.uk/career-learning/learning/courses/pip-level-3-core-learning-major-crime-investigation-module</w:t>
        </w:r>
      </w:hyperlink>
      <w:r>
        <w:rPr>
          <w:rFonts w:cstheme="minorHAnsi"/>
        </w:rPr>
        <w:t xml:space="preserve"> [Accessed: 18/01/23]. </w:t>
      </w:r>
    </w:p>
    <w:p w14:paraId="5F91A019" w14:textId="77777777" w:rsidR="006504EF" w:rsidRDefault="006504EF" w:rsidP="006504EF">
      <w:pPr>
        <w:rPr>
          <w:rFonts w:cstheme="minorHAnsi"/>
        </w:rPr>
      </w:pPr>
    </w:p>
    <w:p w14:paraId="70B7BC97" w14:textId="77777777" w:rsidR="006504EF" w:rsidRDefault="006504EF" w:rsidP="006504EF">
      <w:pPr>
        <w:rPr>
          <w:rFonts w:cstheme="minorHAnsi"/>
        </w:rPr>
      </w:pPr>
      <w:r>
        <w:rPr>
          <w:rFonts w:cstheme="minorHAnsi"/>
        </w:rPr>
        <w:t xml:space="preserve">Duncan, S. and Newton, J. 2013. A Better Death in a Digital Age: Post-Leveson Indicators for More Responsible Reporting of the Bereaved. </w:t>
      </w:r>
      <w:r>
        <w:rPr>
          <w:rFonts w:cstheme="minorHAnsi"/>
          <w:i/>
          <w:iCs/>
        </w:rPr>
        <w:t xml:space="preserve">Ethical Space: The International Journal of Communication Ethics </w:t>
      </w:r>
      <w:r>
        <w:rPr>
          <w:rFonts w:cstheme="minorHAnsi"/>
        </w:rPr>
        <w:t>10(1), pp. 22-28.</w:t>
      </w:r>
    </w:p>
    <w:p w14:paraId="53CAE112" w14:textId="77777777" w:rsidR="006504EF" w:rsidRDefault="006504EF" w:rsidP="006504EF">
      <w:pPr>
        <w:rPr>
          <w:rFonts w:cstheme="minorHAnsi"/>
        </w:rPr>
      </w:pPr>
    </w:p>
    <w:p w14:paraId="29293EE4" w14:textId="77777777" w:rsidR="006504EF" w:rsidRPr="008C066E" w:rsidRDefault="006504EF" w:rsidP="006504EF">
      <w:pPr>
        <w:rPr>
          <w:rFonts w:cstheme="minorHAnsi"/>
          <w:i/>
          <w:iCs/>
        </w:rPr>
      </w:pPr>
      <w:r>
        <w:rPr>
          <w:rFonts w:cstheme="minorHAnsi"/>
        </w:rPr>
        <w:t xml:space="preserve">Hudson, K., </w:t>
      </w:r>
      <w:proofErr w:type="spellStart"/>
      <w:r>
        <w:rPr>
          <w:rFonts w:cstheme="minorHAnsi"/>
        </w:rPr>
        <w:t>Kemshall</w:t>
      </w:r>
      <w:proofErr w:type="spellEnd"/>
      <w:r>
        <w:rPr>
          <w:rFonts w:cstheme="minorHAnsi"/>
        </w:rPr>
        <w:t xml:space="preserve">, H. and McCartan, K. 2012. </w:t>
      </w:r>
      <w:r w:rsidRPr="00FB33EE">
        <w:rPr>
          <w:rFonts w:cstheme="minorHAnsi"/>
          <w:i/>
          <w:iCs/>
        </w:rPr>
        <w:t>Community Management of Sexual Offenders in Austere Times</w:t>
      </w:r>
      <w:r>
        <w:rPr>
          <w:rFonts w:cstheme="minorHAnsi"/>
        </w:rPr>
        <w:t xml:space="preserve">. </w:t>
      </w:r>
    </w:p>
    <w:p w14:paraId="2E5E7204" w14:textId="77777777" w:rsidR="006504EF" w:rsidRDefault="006504EF" w:rsidP="006504EF">
      <w:pPr>
        <w:rPr>
          <w:rFonts w:cstheme="minorHAnsi"/>
        </w:rPr>
      </w:pPr>
    </w:p>
    <w:p w14:paraId="7848DE57" w14:textId="77777777" w:rsidR="006504EF" w:rsidRPr="00DF4909" w:rsidRDefault="006504EF" w:rsidP="006504EF">
      <w:pPr>
        <w:rPr>
          <w:rFonts w:cstheme="minorHAnsi"/>
        </w:rPr>
      </w:pPr>
      <w:r>
        <w:rPr>
          <w:rFonts w:cstheme="minorHAnsi"/>
        </w:rPr>
        <w:t xml:space="preserve">Morris, S. 2013. April Jones murder: how detectives pieced together her final hours. </w:t>
      </w:r>
      <w:r>
        <w:rPr>
          <w:rFonts w:cstheme="minorHAnsi"/>
          <w:i/>
          <w:iCs/>
        </w:rPr>
        <w:t xml:space="preserve">The Guardian. </w:t>
      </w:r>
      <w:r>
        <w:rPr>
          <w:rFonts w:cstheme="minorHAnsi"/>
        </w:rPr>
        <w:t xml:space="preserve">Available at: </w:t>
      </w:r>
      <w:hyperlink r:id="rId26" w:anchor=":~:text=Dyfed%20Powys%20deemed%20April's%20disappearance,a%20child's%20disappearance%20are%20made" w:history="1">
        <w:r w:rsidRPr="006905CE">
          <w:rPr>
            <w:rStyle w:val="Hyperlink"/>
            <w:rFonts w:cstheme="minorHAnsi"/>
          </w:rPr>
          <w:t>https://www.theguardian.com/uk/2013/may/30/april-jones-murder-final-hours#:~:text=Dyfed%20Powys%20deemed%20April's%20disappearance,a%20child's%20disappearance%20are%20made</w:t>
        </w:r>
      </w:hyperlink>
      <w:r w:rsidRPr="00DF4909">
        <w:rPr>
          <w:rFonts w:cstheme="minorHAnsi"/>
        </w:rPr>
        <w:t>.</w:t>
      </w:r>
      <w:r>
        <w:rPr>
          <w:rFonts w:cstheme="minorHAnsi"/>
        </w:rPr>
        <w:t xml:space="preserve"> [Accessed: 18/01/2023].</w:t>
      </w:r>
    </w:p>
    <w:p w14:paraId="1E86961C" w14:textId="77777777" w:rsidR="006504EF" w:rsidRDefault="006504EF" w:rsidP="006504EF">
      <w:pPr>
        <w:rPr>
          <w:rFonts w:cstheme="minorHAnsi"/>
        </w:rPr>
      </w:pPr>
    </w:p>
    <w:p w14:paraId="2C39763B" w14:textId="77777777" w:rsidR="006504EF" w:rsidRDefault="006504EF" w:rsidP="006504EF">
      <w:pPr>
        <w:rPr>
          <w:rFonts w:cstheme="minorHAnsi"/>
        </w:rPr>
      </w:pPr>
      <w:r>
        <w:rPr>
          <w:rFonts w:cstheme="minorHAnsi"/>
        </w:rPr>
        <w:t xml:space="preserve">MPA. 2008. </w:t>
      </w:r>
      <w:r w:rsidRPr="00C315F2">
        <w:rPr>
          <w:rFonts w:cstheme="minorHAnsi"/>
          <w:i/>
          <w:iCs/>
        </w:rPr>
        <w:t>The Accountability and Effectiveness of Gold Groups</w:t>
      </w:r>
      <w:r>
        <w:rPr>
          <w:rFonts w:cstheme="minorHAnsi"/>
        </w:rPr>
        <w:t xml:space="preserve">. Available at: </w:t>
      </w:r>
      <w:hyperlink r:id="rId27" w:history="1">
        <w:r w:rsidRPr="000574B1">
          <w:rPr>
            <w:rStyle w:val="Hyperlink"/>
            <w:rFonts w:cstheme="minorHAnsi"/>
          </w:rPr>
          <w:t>http://policeauthority.org/metropolitan/committees/x-cop/2008/080605/08/index.html</w:t>
        </w:r>
      </w:hyperlink>
      <w:r>
        <w:rPr>
          <w:rFonts w:cstheme="minorHAnsi"/>
        </w:rPr>
        <w:t xml:space="preserve"> [Accessed: 18/01/23]. </w:t>
      </w:r>
    </w:p>
    <w:p w14:paraId="337988E8" w14:textId="77777777" w:rsidR="006504EF" w:rsidRDefault="006504EF" w:rsidP="006504EF">
      <w:pPr>
        <w:rPr>
          <w:rFonts w:cstheme="minorHAnsi"/>
        </w:rPr>
      </w:pPr>
    </w:p>
    <w:p w14:paraId="5885ED18" w14:textId="77777777" w:rsidR="006504EF" w:rsidRPr="00A63925" w:rsidRDefault="006504EF" w:rsidP="006504EF">
      <w:pPr>
        <w:rPr>
          <w:rFonts w:cstheme="minorHAnsi"/>
          <w:shd w:val="clear" w:color="auto" w:fill="FFFFFF"/>
        </w:rPr>
      </w:pPr>
      <w:r w:rsidRPr="00A52DB6">
        <w:rPr>
          <w:rFonts w:cstheme="minorHAnsi"/>
        </w:rPr>
        <w:t xml:space="preserve">Tufail, W. 2018. </w:t>
      </w:r>
      <w:r>
        <w:rPr>
          <w:rFonts w:cstheme="minorHAnsi"/>
          <w:shd w:val="clear" w:color="auto" w:fill="FFFFFF"/>
        </w:rPr>
        <w:t xml:space="preserve">Media, State and ‘Political Correctness’: The Radicalisation of the Rotherham Child Sexual Abuse Scandal. In: Bhatia, M., Poynting, S. and Tufail, W. eds. </w:t>
      </w:r>
      <w:r>
        <w:rPr>
          <w:rFonts w:cstheme="minorHAnsi"/>
          <w:i/>
          <w:iCs/>
          <w:shd w:val="clear" w:color="auto" w:fill="FFFFFF"/>
        </w:rPr>
        <w:t xml:space="preserve">Media, Crime and Racism. </w:t>
      </w:r>
      <w:r>
        <w:rPr>
          <w:rFonts w:cstheme="minorHAnsi"/>
          <w:shd w:val="clear" w:color="auto" w:fill="FFFFFF"/>
        </w:rPr>
        <w:t xml:space="preserve">London: Palgrave Macmillan, pp. 49-71. </w:t>
      </w:r>
    </w:p>
    <w:p w14:paraId="24E59021" w14:textId="77777777" w:rsidR="006504EF" w:rsidRDefault="006504EF" w:rsidP="006504EF">
      <w:pPr>
        <w:rPr>
          <w:rFonts w:cstheme="minorHAnsi"/>
        </w:rPr>
      </w:pPr>
    </w:p>
    <w:p w14:paraId="15D716BC" w14:textId="77777777" w:rsidR="006504EF" w:rsidRDefault="006504EF" w:rsidP="006504EF">
      <w:pPr>
        <w:rPr>
          <w:rFonts w:cstheme="minorHAnsi"/>
        </w:rPr>
      </w:pPr>
      <w:r>
        <w:rPr>
          <w:rFonts w:cstheme="minorHAnsi"/>
        </w:rPr>
        <w:t xml:space="preserve">Wheatcroft, J.M., Alison, L.A. and McGrory, D. 2012. The Influence of Trust on Senior Investigating Officer’s Decision Making in High-Profile Critical Incidents. </w:t>
      </w:r>
      <w:r>
        <w:rPr>
          <w:rFonts w:cstheme="minorHAnsi"/>
          <w:i/>
          <w:iCs/>
        </w:rPr>
        <w:t xml:space="preserve">Police Quarterly </w:t>
      </w:r>
      <w:r>
        <w:rPr>
          <w:rFonts w:cstheme="minorHAnsi"/>
        </w:rPr>
        <w:t xml:space="preserve">15(4), pp. 386-413. </w:t>
      </w:r>
    </w:p>
    <w:p w14:paraId="778FEE7B" w14:textId="77777777" w:rsidR="006504EF" w:rsidRDefault="006504EF" w:rsidP="006504EF">
      <w:pPr>
        <w:rPr>
          <w:rFonts w:cstheme="minorHAnsi"/>
        </w:rPr>
      </w:pPr>
    </w:p>
    <w:p w14:paraId="67BCC9C3" w14:textId="77777777" w:rsidR="006504EF" w:rsidRDefault="006504EF" w:rsidP="006504EF">
      <w:pPr>
        <w:rPr>
          <w:rFonts w:cstheme="minorHAnsi"/>
        </w:rPr>
      </w:pPr>
      <w:r>
        <w:rPr>
          <w:rFonts w:cstheme="minorHAnsi"/>
        </w:rPr>
        <w:t xml:space="preserve">Wilson, D., Howe, N., Kemp., D. and </w:t>
      </w:r>
      <w:proofErr w:type="spellStart"/>
      <w:r>
        <w:rPr>
          <w:rFonts w:cstheme="minorHAnsi"/>
        </w:rPr>
        <w:t>Tolputt</w:t>
      </w:r>
      <w:proofErr w:type="spellEnd"/>
      <w:r>
        <w:rPr>
          <w:rFonts w:cstheme="minorHAnsi"/>
        </w:rPr>
        <w:t xml:space="preserve">, H. 2011. Servicing the Media’s Needs at Arm’s Length: Police-Media Relations during High-Profile Murder Investigations. </w:t>
      </w:r>
      <w:r>
        <w:rPr>
          <w:rFonts w:cstheme="minorHAnsi"/>
          <w:i/>
          <w:iCs/>
        </w:rPr>
        <w:t xml:space="preserve">Policing </w:t>
      </w:r>
      <w:r>
        <w:rPr>
          <w:rFonts w:cstheme="minorHAnsi"/>
        </w:rPr>
        <w:t xml:space="preserve">1(1), pp. 1-13. </w:t>
      </w:r>
    </w:p>
    <w:p w14:paraId="02079D51" w14:textId="3C1D7644" w:rsidR="006504EF" w:rsidRDefault="006504EF" w:rsidP="003E4FFA"/>
    <w:p w14:paraId="5A86D650" w14:textId="123A3A07" w:rsidR="002E06BD" w:rsidRDefault="002E06BD" w:rsidP="00175CF8">
      <w:pPr>
        <w:jc w:val="both"/>
        <w:rPr>
          <w:b/>
          <w:bCs/>
        </w:rPr>
      </w:pPr>
      <w:r>
        <w:rPr>
          <w:b/>
          <w:bCs/>
        </w:rPr>
        <w:t>Essay 3</w:t>
      </w:r>
    </w:p>
    <w:p w14:paraId="3C77341F" w14:textId="77777777" w:rsidR="00175CF8" w:rsidRPr="00471411" w:rsidRDefault="00175CF8" w:rsidP="002E06BD">
      <w:pPr>
        <w:spacing w:line="360" w:lineRule="auto"/>
        <w:jc w:val="both"/>
        <w:rPr>
          <w:b/>
          <w:bCs/>
        </w:rPr>
      </w:pPr>
    </w:p>
    <w:p w14:paraId="01D8B1E7" w14:textId="77777777" w:rsidR="002E06BD" w:rsidRDefault="002E06BD" w:rsidP="002E06BD">
      <w:pPr>
        <w:rPr>
          <w:iCs/>
        </w:rPr>
      </w:pPr>
      <w:r>
        <w:rPr>
          <w:iCs/>
        </w:rPr>
        <w:t xml:space="preserve">College of Policing. 2022. </w:t>
      </w:r>
      <w:r>
        <w:rPr>
          <w:i/>
        </w:rPr>
        <w:t xml:space="preserve">Prevention and early intervention. </w:t>
      </w:r>
      <w:r>
        <w:rPr>
          <w:iCs/>
        </w:rPr>
        <w:t xml:space="preserve">Available at: </w:t>
      </w:r>
      <w:hyperlink r:id="rId28" w:history="1">
        <w:r w:rsidRPr="00B77CA9">
          <w:rPr>
            <w:rStyle w:val="Hyperlink"/>
            <w:iCs/>
          </w:rPr>
          <w:t>https://www.college.police.uk/guidance/drug-crimes-evidence-briefing/prevention-and-early-intervention</w:t>
        </w:r>
      </w:hyperlink>
      <w:r>
        <w:rPr>
          <w:iCs/>
        </w:rPr>
        <w:t xml:space="preserve"> [Accessed 15/02/23].</w:t>
      </w:r>
    </w:p>
    <w:p w14:paraId="712DA18A" w14:textId="77777777" w:rsidR="002E06BD" w:rsidRDefault="002E06BD" w:rsidP="002E06BD">
      <w:pPr>
        <w:rPr>
          <w:iCs/>
        </w:rPr>
      </w:pPr>
    </w:p>
    <w:p w14:paraId="7E9B14EE" w14:textId="77777777" w:rsidR="002E06BD" w:rsidRDefault="002E06BD" w:rsidP="002E06BD">
      <w:pPr>
        <w:rPr>
          <w:iCs/>
        </w:rPr>
      </w:pPr>
      <w:r>
        <w:rPr>
          <w:iCs/>
        </w:rPr>
        <w:t xml:space="preserve">Crime and Disorder Act 1998. c.37. Available at: </w:t>
      </w:r>
      <w:hyperlink r:id="rId29" w:history="1">
        <w:r w:rsidRPr="007C1E21">
          <w:rPr>
            <w:rStyle w:val="Hyperlink"/>
            <w:iCs/>
          </w:rPr>
          <w:t>https://www.legislation.gov.uk/ukpga/1998/37/part/III/crossheading/youth-justice</w:t>
        </w:r>
      </w:hyperlink>
      <w:r>
        <w:rPr>
          <w:iCs/>
        </w:rPr>
        <w:t xml:space="preserve"> [Accessed: 17/02/23].</w:t>
      </w:r>
    </w:p>
    <w:p w14:paraId="1E7EF1AA" w14:textId="77777777" w:rsidR="002E06BD" w:rsidRDefault="002E06BD" w:rsidP="002E06BD">
      <w:pPr>
        <w:rPr>
          <w:iCs/>
        </w:rPr>
      </w:pPr>
    </w:p>
    <w:p w14:paraId="0709BC56" w14:textId="77777777" w:rsidR="002E06BD" w:rsidRDefault="002E06BD" w:rsidP="002E06BD">
      <w:pPr>
        <w:rPr>
          <w:iCs/>
        </w:rPr>
      </w:pPr>
      <w:r>
        <w:rPr>
          <w:iCs/>
        </w:rPr>
        <w:lastRenderedPageBreak/>
        <w:t xml:space="preserve">Davies, A. 2019. </w:t>
      </w:r>
      <w:r>
        <w:rPr>
          <w:i/>
        </w:rPr>
        <w:t xml:space="preserve">Neath Port Talbot Youth Justice &amp; Early Intervention Service: Annual Plan 2019/20. </w:t>
      </w:r>
      <w:r>
        <w:rPr>
          <w:iCs/>
        </w:rPr>
        <w:t xml:space="preserve">Available at: </w:t>
      </w:r>
      <w:hyperlink r:id="rId30" w:history="1">
        <w:r w:rsidRPr="007C1E21">
          <w:rPr>
            <w:rStyle w:val="Hyperlink"/>
            <w:iCs/>
          </w:rPr>
          <w:t>https://democracy.npt.gov.uk/documents/s56270/NPT%20YJEIS%20Youth%20Justice%20Plan%202019-2020%2017102019%20Social%20Care%20Health%20and%20Wellbeing%20Cabinet%20Board.pdf</w:t>
        </w:r>
      </w:hyperlink>
      <w:r>
        <w:rPr>
          <w:iCs/>
        </w:rPr>
        <w:t xml:space="preserve"> [Accessed: 16/02/23]. </w:t>
      </w:r>
    </w:p>
    <w:p w14:paraId="1B8ADDDA" w14:textId="77777777" w:rsidR="002E06BD" w:rsidRDefault="002E06BD" w:rsidP="002E06BD">
      <w:pPr>
        <w:rPr>
          <w:iCs/>
        </w:rPr>
      </w:pPr>
    </w:p>
    <w:p w14:paraId="396DA6EC" w14:textId="77777777" w:rsidR="002E06BD" w:rsidRDefault="002E06BD" w:rsidP="002E06BD">
      <w:pPr>
        <w:rPr>
          <w:iCs/>
        </w:rPr>
      </w:pPr>
      <w:r>
        <w:rPr>
          <w:iCs/>
        </w:rPr>
        <w:t xml:space="preserve">Davies, A. 2021. </w:t>
      </w:r>
      <w:r>
        <w:rPr>
          <w:i/>
        </w:rPr>
        <w:t xml:space="preserve">Neath Port Talbot Annual Youth Justice Plan 2021/22. </w:t>
      </w:r>
      <w:r>
        <w:rPr>
          <w:iCs/>
        </w:rPr>
        <w:t xml:space="preserve">Available at: </w:t>
      </w:r>
      <w:hyperlink r:id="rId31" w:history="1">
        <w:r w:rsidRPr="003974C7">
          <w:rPr>
            <w:rStyle w:val="Hyperlink"/>
            <w:iCs/>
          </w:rPr>
          <w:t>https://democracy.npt.gov.uk/documents/s72714/Final%20Version%20NPT%20Youth%20Justice%20Service%20Annual%20Youth%20Justice%20plan%202021-%202022%20-%20APPENDIX%201.pdf</w:t>
        </w:r>
      </w:hyperlink>
      <w:r>
        <w:rPr>
          <w:iCs/>
        </w:rPr>
        <w:t xml:space="preserve"> [Accessed: 20/02/23].</w:t>
      </w:r>
    </w:p>
    <w:p w14:paraId="3EA98473" w14:textId="77777777" w:rsidR="002E06BD" w:rsidRDefault="002E06BD" w:rsidP="002E06BD"/>
    <w:p w14:paraId="084B0C05" w14:textId="77777777" w:rsidR="002E06BD" w:rsidRDefault="002E06BD" w:rsidP="002E06BD">
      <w:r>
        <w:t xml:space="preserve">Haydon, D. 2014. Early Intervention for the Prevention of Offending in Northern Ireland. </w:t>
      </w:r>
      <w:r>
        <w:rPr>
          <w:i/>
          <w:iCs/>
        </w:rPr>
        <w:t xml:space="preserve">Youth Justice </w:t>
      </w:r>
      <w:r>
        <w:t>14(3), pp. 226-240.</w:t>
      </w:r>
    </w:p>
    <w:p w14:paraId="4218BFEF" w14:textId="77777777" w:rsidR="002E06BD" w:rsidRDefault="002E06BD" w:rsidP="002E06BD">
      <w:pPr>
        <w:rPr>
          <w:iCs/>
        </w:rPr>
      </w:pPr>
    </w:p>
    <w:p w14:paraId="4A87FC6E" w14:textId="77777777" w:rsidR="002E06BD" w:rsidRDefault="002E06BD" w:rsidP="002E06BD">
      <w:pPr>
        <w:rPr>
          <w:iCs/>
        </w:rPr>
      </w:pPr>
      <w:r>
        <w:rPr>
          <w:iCs/>
        </w:rPr>
        <w:t xml:space="preserve">Morris, R. and O’Malley, L. 2016. </w:t>
      </w:r>
      <w:r w:rsidRPr="00AA408E">
        <w:rPr>
          <w:iCs/>
        </w:rPr>
        <w:t>Children, Crime and Correction</w:t>
      </w:r>
      <w:r>
        <w:rPr>
          <w:i/>
        </w:rPr>
        <w:t xml:space="preserve">. </w:t>
      </w:r>
      <w:r>
        <w:rPr>
          <w:iCs/>
        </w:rPr>
        <w:t xml:space="preserve">In: Bradshaw, J. ed. </w:t>
      </w:r>
      <w:r>
        <w:rPr>
          <w:i/>
        </w:rPr>
        <w:t xml:space="preserve">The Well-being of Children in the UK. </w:t>
      </w:r>
      <w:r>
        <w:rPr>
          <w:iCs/>
        </w:rPr>
        <w:t>4</w:t>
      </w:r>
      <w:r w:rsidRPr="00AA408E">
        <w:rPr>
          <w:iCs/>
          <w:vertAlign w:val="superscript"/>
        </w:rPr>
        <w:t>th</w:t>
      </w:r>
      <w:r>
        <w:rPr>
          <w:iCs/>
        </w:rPr>
        <w:t xml:space="preserve"> ed. Bristol: Bristol University Press, pp. 309-346.</w:t>
      </w:r>
    </w:p>
    <w:p w14:paraId="5DEBE22C" w14:textId="77777777" w:rsidR="002E06BD" w:rsidRDefault="002E06BD" w:rsidP="002E06BD"/>
    <w:p w14:paraId="3D50A680" w14:textId="77777777" w:rsidR="002E06BD" w:rsidRDefault="002E06BD" w:rsidP="002E06BD">
      <w:r>
        <w:t xml:space="preserve">Public Health England. 2019. </w:t>
      </w:r>
      <w:r>
        <w:rPr>
          <w:i/>
          <w:iCs/>
        </w:rPr>
        <w:t xml:space="preserve">Collaborative Approaches to Preventing Offending and Re-Offending by Children (CAPRICRON) Summary. </w:t>
      </w:r>
      <w:r>
        <w:t xml:space="preserve">Available at: </w:t>
      </w:r>
      <w:hyperlink r:id="rId32" w:history="1">
        <w:r w:rsidRPr="00FE15DD">
          <w:rPr>
            <w:rStyle w:val="Hyperlink"/>
          </w:rPr>
          <w:t>https://www.gov.uk/government/publications/preventing-offending-and-re-offending-by-children/collaborative-approaches-to-preventing-offending-and-re-offending-by-children-capricorn-summary</w:t>
        </w:r>
      </w:hyperlink>
      <w:r>
        <w:t xml:space="preserve"> [Accessed: 10/02/23].</w:t>
      </w:r>
    </w:p>
    <w:p w14:paraId="5A104148" w14:textId="77777777" w:rsidR="002E06BD" w:rsidRDefault="002E06BD" w:rsidP="002E06BD"/>
    <w:p w14:paraId="3CA55D9E" w14:textId="77777777" w:rsidR="002E06BD" w:rsidRPr="00A75C3F" w:rsidRDefault="002E06BD" w:rsidP="002E06BD">
      <w:pPr>
        <w:jc w:val="both"/>
      </w:pPr>
      <w:r>
        <w:t xml:space="preserve">Schofield, G., </w:t>
      </w:r>
      <w:proofErr w:type="spellStart"/>
      <w:r>
        <w:t>Biggart</w:t>
      </w:r>
      <w:proofErr w:type="spellEnd"/>
      <w:r>
        <w:t xml:space="preserve">, L., Ward, E., Larsson, B. 2015. Looked after children and offending: An exploration of risk, </w:t>
      </w:r>
      <w:proofErr w:type="gramStart"/>
      <w:r>
        <w:t>resilience</w:t>
      </w:r>
      <w:proofErr w:type="gramEnd"/>
      <w:r>
        <w:t xml:space="preserve"> and the role of social cognition. </w:t>
      </w:r>
      <w:r>
        <w:rPr>
          <w:i/>
          <w:iCs/>
        </w:rPr>
        <w:t xml:space="preserve">Children and Youth Services </w:t>
      </w:r>
      <w:r>
        <w:t xml:space="preserve">51, pp. 125-133. </w:t>
      </w:r>
    </w:p>
    <w:p w14:paraId="2F0556E8" w14:textId="77777777" w:rsidR="002E06BD" w:rsidRDefault="002E06BD" w:rsidP="002E06BD">
      <w:pPr>
        <w:rPr>
          <w:iCs/>
        </w:rPr>
      </w:pPr>
    </w:p>
    <w:p w14:paraId="7AE3DA52" w14:textId="77777777" w:rsidR="002E06BD" w:rsidRDefault="002E06BD" w:rsidP="002E06BD">
      <w:pPr>
        <w:rPr>
          <w:iCs/>
        </w:rPr>
      </w:pPr>
      <w:r>
        <w:rPr>
          <w:iCs/>
        </w:rPr>
        <w:t xml:space="preserve">Youth Justice Board. 2023. </w:t>
      </w:r>
      <w:r>
        <w:rPr>
          <w:i/>
        </w:rPr>
        <w:t xml:space="preserve">Youth Justice Statistics 2021/22 England and Wales. </w:t>
      </w:r>
      <w:r>
        <w:rPr>
          <w:iCs/>
        </w:rPr>
        <w:t xml:space="preserve">Available at: </w:t>
      </w:r>
      <w:hyperlink r:id="rId33" w:history="1">
        <w:r w:rsidRPr="007C1E21">
          <w:rPr>
            <w:rStyle w:val="Hyperlink"/>
            <w:iCs/>
          </w:rPr>
          <w:t>https://assets.publishing.service.gov.uk/government/uploads/system/uploads/attachment_data/file/1131414/Youth_Justice_Statistics_2021-22.pdf</w:t>
        </w:r>
      </w:hyperlink>
      <w:r>
        <w:rPr>
          <w:iCs/>
        </w:rPr>
        <w:t xml:space="preserve"> [Accessed: 17/02/23].</w:t>
      </w:r>
    </w:p>
    <w:p w14:paraId="123B660A" w14:textId="77777777" w:rsidR="002E06BD" w:rsidRDefault="002E06BD" w:rsidP="002E06BD"/>
    <w:p w14:paraId="0BC656FE" w14:textId="2616FCC2" w:rsidR="002E06BD" w:rsidRDefault="002E06BD" w:rsidP="002E06BD">
      <w:pPr>
        <w:rPr>
          <w:iCs/>
        </w:rPr>
      </w:pPr>
      <w:r>
        <w:t xml:space="preserve">Youth.Gov. </w:t>
      </w:r>
      <w:proofErr w:type="spellStart"/>
      <w:r>
        <w:t>nd</w:t>
      </w:r>
      <w:proofErr w:type="spellEnd"/>
      <w:r>
        <w:t xml:space="preserve">. </w:t>
      </w:r>
      <w:r>
        <w:rPr>
          <w:i/>
        </w:rPr>
        <w:t xml:space="preserve">Prevention and Early Intervention. </w:t>
      </w:r>
      <w:r>
        <w:rPr>
          <w:iCs/>
        </w:rPr>
        <w:t xml:space="preserve">Available at: </w:t>
      </w:r>
      <w:hyperlink r:id="rId34" w:anchor=":~:text=Early%20intervention%20prevents%20the%20onset%20of%20delinquent%20behavior,prevention%20and%20early%20intervention%20are%20more%20effective.%206" w:history="1">
        <w:r w:rsidRPr="00752647">
          <w:rPr>
            <w:rStyle w:val="Hyperlink"/>
            <w:iCs/>
          </w:rPr>
          <w:t>https://youth.gov/youth-topics/juvenile-justice/prevention-and-early-intervention#:~:text=Early%20intervention%20prevents%20the%20onset%20of%20delinquent%20behavior,prevention%20and%20early%20intervention%20are%20more%20effective.%206</w:t>
        </w:r>
      </w:hyperlink>
      <w:r>
        <w:rPr>
          <w:iCs/>
        </w:rPr>
        <w:t xml:space="preserve"> [Accessed: 10/02/23].</w:t>
      </w:r>
    </w:p>
    <w:p w14:paraId="5AEB5313" w14:textId="10DEED60" w:rsidR="00F2601C" w:rsidRDefault="00F2601C" w:rsidP="002E06BD">
      <w:pPr>
        <w:rPr>
          <w:iCs/>
        </w:rPr>
      </w:pPr>
    </w:p>
    <w:p w14:paraId="37DD779C" w14:textId="74AED30D" w:rsidR="00175CF8" w:rsidRDefault="00F2601C" w:rsidP="00175CF8">
      <w:pPr>
        <w:jc w:val="both"/>
        <w:rPr>
          <w:b/>
          <w:bCs/>
        </w:rPr>
      </w:pPr>
      <w:r>
        <w:rPr>
          <w:b/>
          <w:bCs/>
        </w:rPr>
        <w:t>Essay 4</w:t>
      </w:r>
    </w:p>
    <w:p w14:paraId="71E3A011" w14:textId="77777777" w:rsidR="00175CF8" w:rsidRPr="000D46DC" w:rsidRDefault="00175CF8" w:rsidP="00175CF8">
      <w:pPr>
        <w:jc w:val="both"/>
        <w:rPr>
          <w:b/>
          <w:bCs/>
        </w:rPr>
      </w:pPr>
    </w:p>
    <w:p w14:paraId="04580171" w14:textId="77777777" w:rsidR="00F2601C" w:rsidRDefault="00F2601C" w:rsidP="00F2601C">
      <w:r>
        <w:t xml:space="preserve">Fleming, J. 2009. Multi-agency Partnerships. In: Wakefield, A. and Fleming, J. eds. </w:t>
      </w:r>
      <w:r>
        <w:rPr>
          <w:i/>
          <w:iCs/>
        </w:rPr>
        <w:t xml:space="preserve">The SAGE Dictionary of Policing. </w:t>
      </w:r>
      <w:r>
        <w:t>London: SAGE Publications Ltd, pp. 276-280.</w:t>
      </w:r>
    </w:p>
    <w:p w14:paraId="3F3BEF7E" w14:textId="77777777" w:rsidR="00F2601C" w:rsidRDefault="00F2601C" w:rsidP="00F2601C"/>
    <w:p w14:paraId="795F8B63" w14:textId="77777777" w:rsidR="00F2601C" w:rsidRDefault="00F2601C" w:rsidP="00F2601C">
      <w:proofErr w:type="spellStart"/>
      <w:r>
        <w:t>Hipple</w:t>
      </w:r>
      <w:proofErr w:type="spellEnd"/>
      <w:r>
        <w:t xml:space="preserve">, N.K., </w:t>
      </w:r>
      <w:proofErr w:type="spellStart"/>
      <w:r>
        <w:t>McGarrell</w:t>
      </w:r>
      <w:proofErr w:type="spellEnd"/>
      <w:r>
        <w:t xml:space="preserve">, E.F., O’Brien, </w:t>
      </w:r>
      <w:proofErr w:type="gramStart"/>
      <w:r>
        <w:t>M.</w:t>
      </w:r>
      <w:proofErr w:type="gramEnd"/>
      <w:r>
        <w:t xml:space="preserve"> and Huebner, B.M. 2017. Gun crime incident reviews as a strategy for enhancing problem solving and information sharing. </w:t>
      </w:r>
      <w:r>
        <w:rPr>
          <w:i/>
          <w:iCs/>
        </w:rPr>
        <w:t xml:space="preserve">Journal of Crime and Justice </w:t>
      </w:r>
      <w:r>
        <w:t>40(1), pp. 50-67.</w:t>
      </w:r>
    </w:p>
    <w:p w14:paraId="61735444" w14:textId="77777777" w:rsidR="00F2601C" w:rsidRDefault="00F2601C" w:rsidP="00F2601C"/>
    <w:p w14:paraId="2074A5EC" w14:textId="77777777" w:rsidR="00F2601C" w:rsidRDefault="00F2601C" w:rsidP="00F2601C">
      <w:r>
        <w:lastRenderedPageBreak/>
        <w:t xml:space="preserve">Jarvis, A. 2018. </w:t>
      </w:r>
      <w:r>
        <w:rPr>
          <w:i/>
          <w:iCs/>
        </w:rPr>
        <w:t xml:space="preserve">Leading Change: The Role of Local Authorities in Supporting Women with multiple needs. </w:t>
      </w:r>
      <w:r>
        <w:t xml:space="preserve">Available at: </w:t>
      </w:r>
      <w:hyperlink r:id="rId35" w:history="1">
        <w:r w:rsidRPr="00EA27F8">
          <w:rPr>
            <w:rStyle w:val="Hyperlink"/>
          </w:rPr>
          <w:t>http://www.prisonreformtrust.org.uk/wp-content/uploads/old_files/Documents/leadingchangereissuecomp.pdf</w:t>
        </w:r>
      </w:hyperlink>
      <w:r>
        <w:t xml:space="preserve"> [Accessed: 8/3/2023].</w:t>
      </w:r>
    </w:p>
    <w:p w14:paraId="360E13D2" w14:textId="77777777" w:rsidR="00F2601C" w:rsidRDefault="00F2601C" w:rsidP="00F2601C"/>
    <w:p w14:paraId="551B24E6" w14:textId="77777777" w:rsidR="00F2601C" w:rsidRDefault="00F2601C" w:rsidP="00F2601C">
      <w:r>
        <w:t xml:space="preserve">O’Brien, M. 2000. Crime Reduction Partnerships. </w:t>
      </w:r>
      <w:r>
        <w:rPr>
          <w:i/>
          <w:iCs/>
        </w:rPr>
        <w:t xml:space="preserve">UK Parliament. </w:t>
      </w:r>
      <w:r>
        <w:t xml:space="preserve">Available at: </w:t>
      </w:r>
      <w:hyperlink r:id="rId36" w:history="1">
        <w:r w:rsidRPr="00EA27F8">
          <w:rPr>
            <w:rStyle w:val="Hyperlink"/>
          </w:rPr>
          <w:t>https://hansard.parliament.uk/Commons/2000-07-27/debates/7e516720-ec9d-44cb-9c3d-d240c8292baa/CrimeReductionPartnerships</w:t>
        </w:r>
      </w:hyperlink>
      <w:r>
        <w:t xml:space="preserve"> [Accessed: 8/3/2023]. </w:t>
      </w:r>
    </w:p>
    <w:p w14:paraId="0D635B95" w14:textId="77777777" w:rsidR="00F2601C" w:rsidRDefault="00F2601C" w:rsidP="00F2601C"/>
    <w:p w14:paraId="37BD164E" w14:textId="77777777" w:rsidR="00F2601C" w:rsidRDefault="00F2601C" w:rsidP="00F2601C">
      <w:proofErr w:type="spellStart"/>
      <w:r>
        <w:t>Pudney</w:t>
      </w:r>
      <w:proofErr w:type="spellEnd"/>
      <w:r>
        <w:t xml:space="preserve">, C. 2017. </w:t>
      </w:r>
      <w:proofErr w:type="spellStart"/>
      <w:r>
        <w:t>Romas</w:t>
      </w:r>
      <w:proofErr w:type="spellEnd"/>
      <w:r>
        <w:t xml:space="preserve"> and Reducing Recidivism: Archaeology Social </w:t>
      </w:r>
      <w:proofErr w:type="gramStart"/>
      <w:r>
        <w:t>Benefit, and</w:t>
      </w:r>
      <w:proofErr w:type="gramEnd"/>
      <w:r>
        <w:t xml:space="preserve"> Working with Offenders in Wales (Part 1). </w:t>
      </w:r>
      <w:r w:rsidRPr="000E5E93">
        <w:rPr>
          <w:i/>
          <w:iCs/>
        </w:rPr>
        <w:t xml:space="preserve">Public Archaeology </w:t>
      </w:r>
      <w:r>
        <w:t xml:space="preserve">16(1), pp. 19-41. </w:t>
      </w:r>
    </w:p>
    <w:p w14:paraId="6C0D8A7F" w14:textId="77777777" w:rsidR="00F2601C" w:rsidRDefault="00F2601C" w:rsidP="00F2601C"/>
    <w:p w14:paraId="5E871402" w14:textId="77777777" w:rsidR="00F2601C" w:rsidRDefault="00F2601C" w:rsidP="00F2601C">
      <w:r>
        <w:t xml:space="preserve">Taylor, R. 2022. Crime and Rehabilitation: An Overview. </w:t>
      </w:r>
      <w:r>
        <w:rPr>
          <w:i/>
          <w:iCs/>
        </w:rPr>
        <w:t xml:space="preserve">House of Lords Library. </w:t>
      </w:r>
      <w:r>
        <w:t xml:space="preserve">Available at: </w:t>
      </w:r>
      <w:hyperlink r:id="rId37" w:anchor="heading-6" w:history="1">
        <w:r w:rsidRPr="00C6359A">
          <w:rPr>
            <w:rStyle w:val="Hyperlink"/>
          </w:rPr>
          <w:t>https://lordslibrary.parliament.uk/crime-and-rehabilitation-an-overview/#heading-6</w:t>
        </w:r>
      </w:hyperlink>
      <w:r>
        <w:t xml:space="preserve"> [Accessed: 7/3/23].</w:t>
      </w:r>
    </w:p>
    <w:p w14:paraId="7F1783E3" w14:textId="77777777" w:rsidR="00F2601C" w:rsidRDefault="00F2601C" w:rsidP="00F2601C"/>
    <w:p w14:paraId="442BA2A3" w14:textId="77777777" w:rsidR="00F2601C" w:rsidRDefault="00F2601C" w:rsidP="00F2601C">
      <w:proofErr w:type="spellStart"/>
      <w:r>
        <w:t>Tiquet</w:t>
      </w:r>
      <w:proofErr w:type="spellEnd"/>
      <w:r>
        <w:t xml:space="preserve">, M-E. 2019. Enforcement and rehabilitation: challenges to partnership working with substance using offenders. In: </w:t>
      </w:r>
      <w:proofErr w:type="spellStart"/>
      <w:r>
        <w:t>Pycroft</w:t>
      </w:r>
      <w:proofErr w:type="spellEnd"/>
      <w:r>
        <w:t xml:space="preserve">, A. and Gough, D. eds. </w:t>
      </w:r>
      <w:r>
        <w:rPr>
          <w:i/>
          <w:iCs/>
        </w:rPr>
        <w:t xml:space="preserve">Multi-Agency Working in Criminal Justice: Theory, </w:t>
      </w:r>
      <w:proofErr w:type="gramStart"/>
      <w:r>
        <w:rPr>
          <w:i/>
          <w:iCs/>
        </w:rPr>
        <w:t>Policy</w:t>
      </w:r>
      <w:proofErr w:type="gramEnd"/>
      <w:r>
        <w:rPr>
          <w:i/>
          <w:iCs/>
        </w:rPr>
        <w:t xml:space="preserve"> and Practice. </w:t>
      </w:r>
      <w:r>
        <w:t>2</w:t>
      </w:r>
      <w:r w:rsidRPr="003D4586">
        <w:rPr>
          <w:vertAlign w:val="superscript"/>
        </w:rPr>
        <w:t>nd</w:t>
      </w:r>
      <w:r>
        <w:t xml:space="preserve"> ed. Bristol: Policy Press, pp. 255-270.</w:t>
      </w:r>
    </w:p>
    <w:p w14:paraId="590B14C4" w14:textId="77777777" w:rsidR="00F2601C" w:rsidRDefault="00F2601C" w:rsidP="00F2601C"/>
    <w:p w14:paraId="19287CF8" w14:textId="77777777" w:rsidR="00F2601C" w:rsidRDefault="00F2601C" w:rsidP="00F2601C">
      <w:r>
        <w:t xml:space="preserve">Tufail, W. 2013. </w:t>
      </w:r>
      <w:r w:rsidRPr="00194A18">
        <w:rPr>
          <w:i/>
          <w:iCs/>
        </w:rPr>
        <w:t>‘Partnership Policing in Three Marginalised Communities: An Ethnographic Study</w:t>
      </w:r>
      <w:r>
        <w:t xml:space="preserve">. </w:t>
      </w:r>
      <w:r w:rsidRPr="00194A18">
        <w:t>PhD Thesis,</w:t>
      </w:r>
      <w:r>
        <w:rPr>
          <w:i/>
          <w:iCs/>
        </w:rPr>
        <w:t xml:space="preserve"> </w:t>
      </w:r>
      <w:r>
        <w:t>University of Salford.</w:t>
      </w:r>
    </w:p>
    <w:p w14:paraId="414F00CC" w14:textId="77777777" w:rsidR="00F2601C" w:rsidRDefault="00F2601C" w:rsidP="00F2601C"/>
    <w:p w14:paraId="0EDE6FA0" w14:textId="77777777" w:rsidR="00F2601C" w:rsidRDefault="00F2601C" w:rsidP="00F2601C">
      <w:r>
        <w:t xml:space="preserve">Turner-Wilson, A., </w:t>
      </w:r>
      <w:proofErr w:type="spellStart"/>
      <w:r>
        <w:t>Daearborn</w:t>
      </w:r>
      <w:proofErr w:type="spellEnd"/>
      <w:r>
        <w:t xml:space="preserve">, S. and Bullen, C. 2021. Avenues of Opportunity: Journeys of Activities Through Third Sector Organisations. In: </w:t>
      </w:r>
      <w:proofErr w:type="spellStart"/>
      <w:r>
        <w:t>Hean</w:t>
      </w:r>
      <w:proofErr w:type="spellEnd"/>
      <w:r>
        <w:t xml:space="preserve">, S., Johnsen, B., </w:t>
      </w:r>
      <w:proofErr w:type="spellStart"/>
      <w:r>
        <w:t>Kajamaa</w:t>
      </w:r>
      <w:proofErr w:type="spellEnd"/>
      <w:r>
        <w:t xml:space="preserve">, A. and </w:t>
      </w:r>
      <w:proofErr w:type="spellStart"/>
      <w:r>
        <w:t>Kloetzer</w:t>
      </w:r>
      <w:proofErr w:type="spellEnd"/>
      <w:r>
        <w:t xml:space="preserve">, L. eds. </w:t>
      </w:r>
      <w:r>
        <w:rPr>
          <w:i/>
          <w:iCs/>
        </w:rPr>
        <w:t xml:space="preserve">Improving Interagency Collaboration, Innovation and Learning in Criminal Justice Systems: Supporting Offender Rehabilitation. </w:t>
      </w:r>
      <w:r>
        <w:t>Cham: Palgrave Macmillan, pp. 323-340.</w:t>
      </w:r>
    </w:p>
    <w:p w14:paraId="066CF49E" w14:textId="77777777" w:rsidR="00F2601C" w:rsidRDefault="00F2601C" w:rsidP="00F2601C"/>
    <w:p w14:paraId="1CF0FA50" w14:textId="77777777" w:rsidR="00F2601C" w:rsidRDefault="00F2601C" w:rsidP="00F2601C">
      <w:r>
        <w:t xml:space="preserve">Weisburd, D., Farrington, D.P. and Gill, C. 2017. What works in crime prevention and rehabilitation: An assessment of systematic reviews. </w:t>
      </w:r>
      <w:r>
        <w:rPr>
          <w:i/>
          <w:iCs/>
        </w:rPr>
        <w:t xml:space="preserve">Criminology and Public Policy </w:t>
      </w:r>
      <w:r>
        <w:t>16(2), pp. 415-449.</w:t>
      </w:r>
    </w:p>
    <w:p w14:paraId="63BF8948" w14:textId="77777777" w:rsidR="00F2601C" w:rsidRDefault="00F2601C" w:rsidP="00F2601C"/>
    <w:p w14:paraId="46026E2A" w14:textId="77777777" w:rsidR="00F2601C" w:rsidRDefault="00F2601C" w:rsidP="00F2601C">
      <w:r>
        <w:t xml:space="preserve">Welsh Government. 2022. Stronger, fairer, greener Wales: a plan for employability and skills. Available at: </w:t>
      </w:r>
      <w:hyperlink r:id="rId38" w:history="1">
        <w:r w:rsidRPr="007821C0">
          <w:rPr>
            <w:rStyle w:val="Hyperlink"/>
          </w:rPr>
          <w:t>https://www.gov.wales/sites/default/files/pdf-versions/2022/4/2/1649150638/stronger-fairer-greener-wales-a-plan-for-employability-and-skills-cabinet-paper.pdf</w:t>
        </w:r>
      </w:hyperlink>
      <w:r>
        <w:t xml:space="preserve"> [Accessed: 10/3/23].</w:t>
      </w:r>
    </w:p>
    <w:p w14:paraId="66492762" w14:textId="77777777" w:rsidR="00F2601C" w:rsidRDefault="00F2601C" w:rsidP="00F2601C"/>
    <w:p w14:paraId="53453DD0" w14:textId="77777777" w:rsidR="00F2601C" w:rsidRPr="00A57563" w:rsidRDefault="00F2601C" w:rsidP="002E06BD">
      <w:pPr>
        <w:rPr>
          <w:iCs/>
        </w:rPr>
      </w:pPr>
    </w:p>
    <w:p w14:paraId="514EE3D2" w14:textId="77777777" w:rsidR="002E06BD" w:rsidRPr="008D2CED" w:rsidRDefault="002E06BD" w:rsidP="003E4FFA"/>
    <w:p w14:paraId="6FFB9BDE" w14:textId="77777777" w:rsidR="003E4FFA" w:rsidRPr="00A0560C" w:rsidRDefault="003E4FFA" w:rsidP="003E4FFA">
      <w:pPr>
        <w:rPr>
          <w:rFonts w:cstheme="minorHAnsi"/>
          <w:color w:val="000000" w:themeColor="text1"/>
          <w:shd w:val="clear" w:color="auto" w:fill="FFFFFF"/>
        </w:rPr>
      </w:pPr>
    </w:p>
    <w:p w14:paraId="229783AB" w14:textId="77777777" w:rsidR="003E4FFA" w:rsidRDefault="003E4FFA" w:rsidP="003E4FFA">
      <w:pPr>
        <w:rPr>
          <w:rFonts w:cstheme="minorHAnsi"/>
          <w:color w:val="000000" w:themeColor="text1"/>
          <w:shd w:val="clear" w:color="auto" w:fill="FFFFFF"/>
        </w:rPr>
      </w:pPr>
    </w:p>
    <w:p w14:paraId="29A2FFE1" w14:textId="77777777" w:rsidR="003E4FFA" w:rsidRDefault="003E4FFA" w:rsidP="003E4FFA">
      <w:pPr>
        <w:rPr>
          <w:rFonts w:cstheme="minorHAnsi"/>
          <w:color w:val="000000" w:themeColor="text1"/>
          <w:shd w:val="clear" w:color="auto" w:fill="FFFFFF"/>
        </w:rPr>
      </w:pPr>
    </w:p>
    <w:p w14:paraId="52F1D047" w14:textId="77777777" w:rsidR="00B75396" w:rsidRDefault="00B75396"/>
    <w:sectPr w:rsidR="00B75396" w:rsidSect="00254776">
      <w:headerReference w:type="even" r:id="rId39"/>
      <w:headerReference w:type="default" r:id="rId40"/>
      <w:footerReference w:type="even" r:id="rId41"/>
      <w:footerReference w:type="default" r:id="rId42"/>
      <w:headerReference w:type="first" r:id="rId43"/>
      <w:footerReference w:type="first" r:id="rId4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A06279" w14:textId="77777777" w:rsidR="00DF47EA" w:rsidRDefault="00DF47EA" w:rsidP="00175CF8">
      <w:r>
        <w:separator/>
      </w:r>
    </w:p>
  </w:endnote>
  <w:endnote w:type="continuationSeparator" w:id="0">
    <w:p w14:paraId="1DB97E85" w14:textId="77777777" w:rsidR="00DF47EA" w:rsidRDefault="00DF47EA" w:rsidP="00175C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1687573"/>
      <w:docPartObj>
        <w:docPartGallery w:val="Page Numbers (Bottom of Page)"/>
        <w:docPartUnique/>
      </w:docPartObj>
    </w:sdtPr>
    <w:sdtEndPr>
      <w:rPr>
        <w:rStyle w:val="PageNumber"/>
      </w:rPr>
    </w:sdtEndPr>
    <w:sdtContent>
      <w:p w14:paraId="3F48E1EB" w14:textId="790DFA51" w:rsidR="00175CF8" w:rsidRDefault="00175CF8" w:rsidP="007821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9EE1CA" w14:textId="77777777" w:rsidR="00175CF8" w:rsidRDefault="00175CF8" w:rsidP="00175CF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8443648"/>
      <w:docPartObj>
        <w:docPartGallery w:val="Page Numbers (Bottom of Page)"/>
        <w:docPartUnique/>
      </w:docPartObj>
    </w:sdtPr>
    <w:sdtEndPr>
      <w:rPr>
        <w:rStyle w:val="PageNumber"/>
      </w:rPr>
    </w:sdtEndPr>
    <w:sdtContent>
      <w:p w14:paraId="0D072B3E" w14:textId="1FBF141D" w:rsidR="00175CF8" w:rsidRDefault="00175CF8" w:rsidP="007821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A4E58C" w14:textId="77777777" w:rsidR="00175CF8" w:rsidRDefault="00175CF8" w:rsidP="00175CF8">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583274" w14:textId="77777777" w:rsidR="006A4BD2" w:rsidRDefault="006A4B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C57AE" w14:textId="77777777" w:rsidR="00DF47EA" w:rsidRDefault="00DF47EA" w:rsidP="00175CF8">
      <w:r>
        <w:separator/>
      </w:r>
    </w:p>
  </w:footnote>
  <w:footnote w:type="continuationSeparator" w:id="0">
    <w:p w14:paraId="0FAEB0FF" w14:textId="77777777" w:rsidR="00DF47EA" w:rsidRDefault="00DF47EA" w:rsidP="00175C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6E974" w14:textId="77777777" w:rsidR="006A4BD2" w:rsidRDefault="006A4B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BFE37E" w14:textId="77777777" w:rsidR="006A4BD2" w:rsidRDefault="006A4BD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0135FA" w14:textId="77777777" w:rsidR="006A4BD2" w:rsidRDefault="006A4BD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FFA"/>
    <w:rsid w:val="00003F4C"/>
    <w:rsid w:val="00175CF8"/>
    <w:rsid w:val="001D1679"/>
    <w:rsid w:val="00254776"/>
    <w:rsid w:val="002B3EFA"/>
    <w:rsid w:val="002C3805"/>
    <w:rsid w:val="002E06BD"/>
    <w:rsid w:val="003E4FFA"/>
    <w:rsid w:val="006504EF"/>
    <w:rsid w:val="006A4BD2"/>
    <w:rsid w:val="0075106A"/>
    <w:rsid w:val="007C217F"/>
    <w:rsid w:val="00B75396"/>
    <w:rsid w:val="00C24FC3"/>
    <w:rsid w:val="00DF47EA"/>
    <w:rsid w:val="00F260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AAB165"/>
  <w15:chartTrackingRefBased/>
  <w15:docId w15:val="{B75A3572-3B59-0244-BAAA-4AB3832EB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4FF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4FFA"/>
    <w:rPr>
      <w:color w:val="0563C1" w:themeColor="hyperlink"/>
      <w:u w:val="single"/>
    </w:rPr>
  </w:style>
  <w:style w:type="paragraph" w:styleId="NormalWeb">
    <w:name w:val="Normal (Web)"/>
    <w:basedOn w:val="Normal"/>
    <w:uiPriority w:val="99"/>
    <w:unhideWhenUsed/>
    <w:rsid w:val="006504EF"/>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175CF8"/>
    <w:pPr>
      <w:tabs>
        <w:tab w:val="center" w:pos="4680"/>
        <w:tab w:val="right" w:pos="9360"/>
      </w:tabs>
    </w:pPr>
  </w:style>
  <w:style w:type="character" w:customStyle="1" w:styleId="FooterChar">
    <w:name w:val="Footer Char"/>
    <w:basedOn w:val="DefaultParagraphFont"/>
    <w:link w:val="Footer"/>
    <w:uiPriority w:val="99"/>
    <w:rsid w:val="00175CF8"/>
  </w:style>
  <w:style w:type="character" w:styleId="PageNumber">
    <w:name w:val="page number"/>
    <w:basedOn w:val="DefaultParagraphFont"/>
    <w:uiPriority w:val="99"/>
    <w:semiHidden/>
    <w:unhideWhenUsed/>
    <w:rsid w:val="00175CF8"/>
  </w:style>
  <w:style w:type="paragraph" w:styleId="Header">
    <w:name w:val="header"/>
    <w:basedOn w:val="Normal"/>
    <w:link w:val="HeaderChar"/>
    <w:uiPriority w:val="99"/>
    <w:unhideWhenUsed/>
    <w:rsid w:val="006A4BD2"/>
    <w:pPr>
      <w:tabs>
        <w:tab w:val="center" w:pos="4513"/>
        <w:tab w:val="right" w:pos="9026"/>
      </w:tabs>
    </w:pPr>
  </w:style>
  <w:style w:type="character" w:customStyle="1" w:styleId="HeaderChar">
    <w:name w:val="Header Char"/>
    <w:basedOn w:val="DefaultParagraphFont"/>
    <w:link w:val="Header"/>
    <w:uiPriority w:val="99"/>
    <w:rsid w:val="006A4B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117611/pace-code-a-2011.pdf" TargetMode="External"/><Relationship Id="rId18" Type="http://schemas.openxmlformats.org/officeDocument/2006/relationships/hyperlink" Target="https://archiveshub.jisc.ac.uk/search/archives/60bbc820-ba84-32cc-bfea-92eb25b48028?component=148be76c-8123-3e68-86fa-5ab179273d17" TargetMode="External"/><Relationship Id="rId26" Type="http://schemas.openxmlformats.org/officeDocument/2006/relationships/hyperlink" Target="https://www.theguardian.com/uk/2013/may/30/april-jones-murder-final-hours" TargetMode="External"/><Relationship Id="rId39" Type="http://schemas.openxmlformats.org/officeDocument/2006/relationships/header" Target="header1.xml"/><Relationship Id="rId21" Type="http://schemas.openxmlformats.org/officeDocument/2006/relationships/hyperlink" Target="https://www.college.police.uk/app/major-investigation-and-public-protection/investigating-child-abuse-and-safeguarding-children/managing-complex-child-abuse-investigations" TargetMode="External"/><Relationship Id="rId34" Type="http://schemas.openxmlformats.org/officeDocument/2006/relationships/hyperlink" Target="https://youth.gov/youth-topics/juvenile-justice/prevention-and-early-intervention" TargetMode="External"/><Relationship Id="rId42"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oxfordbibliographies.com/display/document/obo-9780195396607/obo-9780195396607-0186.xml" TargetMode="External"/><Relationship Id="rId29" Type="http://schemas.openxmlformats.org/officeDocument/2006/relationships/hyperlink" Target="https://www.legislation.gov.uk/ukpga/1998/37/part/III/crossheading/youth-justic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ssets.college.police.uk/s3fs-public/2021-02/code_of_ethics.pdf" TargetMode="External"/><Relationship Id="rId24" Type="http://schemas.openxmlformats.org/officeDocument/2006/relationships/hyperlink" Target="https://www.college.police.uk/app/investigation/investigative-strategies/communications-strategy" TargetMode="External"/><Relationship Id="rId32" Type="http://schemas.openxmlformats.org/officeDocument/2006/relationships/hyperlink" Target="https://www.gov.uk/government/publications/preventing-offending-and-re-offending-by-children/collaborative-approaches-to-preventing-offending-and-re-offending-by-children-capricorn-summary" TargetMode="External"/><Relationship Id="rId37" Type="http://schemas.openxmlformats.org/officeDocument/2006/relationships/hyperlink" Target="https://lordslibrary.parliament.uk/crime-and-rehabilitation-an-overview/" TargetMode="External"/><Relationship Id="rId40" Type="http://schemas.openxmlformats.org/officeDocument/2006/relationships/header" Target="header2.xm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policeconduct.gov.uk/who-we-are/accountability-and-performance/our-policies" TargetMode="External"/><Relationship Id="rId23" Type="http://schemas.openxmlformats.org/officeDocument/2006/relationships/hyperlink" Target="https://www.college.police.uk/app/critical-incident-management/introduction-and-types-critical-incidents" TargetMode="External"/><Relationship Id="rId28" Type="http://schemas.openxmlformats.org/officeDocument/2006/relationships/hyperlink" Target="https://www.college.police.uk/guidance/drug-crimes-evidence-briefing/prevention-and-early-intervention" TargetMode="External"/><Relationship Id="rId36" Type="http://schemas.openxmlformats.org/officeDocument/2006/relationships/hyperlink" Target="https://hansard.parliament.uk/Commons/2000-07-27/debates/7e516720-ec9d-44cb-9c3d-d240c8292baa/CrimeReductionPartnerships" TargetMode="External"/><Relationship Id="rId10" Type="http://schemas.openxmlformats.org/officeDocument/2006/relationships/hyperlink" Target="https://eprints.lse.ac.uk/112889/1/politicsandpolicy_sarah_everard.pdf" TargetMode="External"/><Relationship Id="rId19" Type="http://schemas.openxmlformats.org/officeDocument/2006/relationships/hyperlink" Target="https://www.bbc.co.uk/news/uk-wales-19800140" TargetMode="External"/><Relationship Id="rId31" Type="http://schemas.openxmlformats.org/officeDocument/2006/relationships/hyperlink" Target="https://democracy.npt.gov.uk/documents/s72714/Final%20Version%20NPT%20Youth%20Justice%20Service%20Annual%20Youth%20Justice%20plan%202021-%202022%20-%20APPENDIX%201.pdf" TargetMode="External"/><Relationship Id="rId44" Type="http://schemas.openxmlformats.org/officeDocument/2006/relationships/footer" Target="footer3.xml"/><Relationship Id="rId4" Type="http://schemas.openxmlformats.org/officeDocument/2006/relationships/styles" Target="styles.xml"/><Relationship Id="rId9" Type="http://schemas.openxmlformats.org/officeDocument/2006/relationships/hyperlink" Target="https://blogs.canterbury.ac.uk/expertcomment/untrustworthy-organisations-implications-of-the-sarah-everard-murder-case/" TargetMode="External"/><Relationship Id="rId14" Type="http://schemas.openxmlformats.org/officeDocument/2006/relationships/hyperlink" Target="https://www.gov.uk/guidance/police-and-criminal-evidence-act-1984-pace-codes-of-practice" TargetMode="External"/><Relationship Id="rId22" Type="http://schemas.openxmlformats.org/officeDocument/2006/relationships/hyperlink" Target="https://www.college.police.uk/app/major-investigation-and-public-protection/managing-sexual-offenders-and-violent-offenders/managing-public-protection-information" TargetMode="External"/><Relationship Id="rId27" Type="http://schemas.openxmlformats.org/officeDocument/2006/relationships/hyperlink" Target="http://policeauthority.org/metropolitan/committees/x-cop/2008/080605/08/index.html" TargetMode="External"/><Relationship Id="rId30" Type="http://schemas.openxmlformats.org/officeDocument/2006/relationships/hyperlink" Target="https://democracy.npt.gov.uk/documents/s56270/NPT%20YJEIS%20Youth%20Justice%20Plan%202019-2020%2017102019%20Social%20Care%20Health%20and%20Wellbeing%20Cabinet%20Board.pdf" TargetMode="External"/><Relationship Id="rId35" Type="http://schemas.openxmlformats.org/officeDocument/2006/relationships/hyperlink" Target="http://www.prisonreformtrust.org.uk/wp-content/uploads/old_files/Documents/leadingchangereissuecomp.pdf" TargetMode="External"/><Relationship Id="rId43" Type="http://schemas.openxmlformats.org/officeDocument/2006/relationships/header" Target="header3.xml"/><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hyperlink" Target="https://www.cps.gov.uk/legal-guidance/bail" TargetMode="External"/><Relationship Id="rId17" Type="http://schemas.openxmlformats.org/officeDocument/2006/relationships/hyperlink" Target="https://archiveshub.jisc.ac.uk/search/archives/60bbc820-ba84-32cc-bfea-92eb25b48028?component=fbe3b34b-f226-3abf-b5b1-e81bde8005e2" TargetMode="External"/><Relationship Id="rId25" Type="http://schemas.openxmlformats.org/officeDocument/2006/relationships/hyperlink" Target="https://www.college.police.uk/career-learning/learning/courses/pip-level-3-core-learning-major-crime-investigation-module" TargetMode="External"/><Relationship Id="rId33" Type="http://schemas.openxmlformats.org/officeDocument/2006/relationships/hyperlink" Target="https://assets.publishing.service.gov.uk/government/uploads/system/uploads/attachment_data/file/1131414/Youth_Justice_Statistics_2021-22.pdf" TargetMode="External"/><Relationship Id="rId38" Type="http://schemas.openxmlformats.org/officeDocument/2006/relationships/hyperlink" Target="https://www.gov.wales/sites/default/files/pdf-versions/2022/4/2/1649150638/stronger-fairer-greener-wales-a-plan-for-employability-and-skills-cabinet-paper.pdf" TargetMode="External"/><Relationship Id="rId46" Type="http://schemas.openxmlformats.org/officeDocument/2006/relationships/theme" Target="theme/theme1.xml"/><Relationship Id="rId20" Type="http://schemas.openxmlformats.org/officeDocument/2006/relationships/hyperlink" Target="https://www.bbc.co.uk/news/av/uk-19825626" TargetMode="External"/><Relationship Id="rId4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50708C79C7EBA4DA0A6F3AD6D7A23D8" ma:contentTypeVersion="9" ma:contentTypeDescription="Create a new document." ma:contentTypeScope="" ma:versionID="fe32021b89c7037275daebc141e283b3">
  <xsd:schema xmlns:xsd="http://www.w3.org/2001/XMLSchema" xmlns:xs="http://www.w3.org/2001/XMLSchema" xmlns:p="http://schemas.microsoft.com/office/2006/metadata/properties" xmlns:ns3="bb952b6d-4825-4d68-9c8d-2e5a5257cdbf" targetNamespace="http://schemas.microsoft.com/office/2006/metadata/properties" ma:root="true" ma:fieldsID="943fe0a73345d186079a6b68d3bc00fc" ns3:_="">
    <xsd:import namespace="bb952b6d-4825-4d68-9c8d-2e5a5257cdb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b952b6d-4825-4d68-9c8d-2e5a5257cdb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C633FCD-5F94-4C85-9953-8F345DDC254F}">
  <ds:schemaRefs>
    <ds:schemaRef ds:uri="http://schemas.microsoft.com/sharepoint/v3/contenttype/forms"/>
  </ds:schemaRefs>
</ds:datastoreItem>
</file>

<file path=customXml/itemProps2.xml><?xml version="1.0" encoding="utf-8"?>
<ds:datastoreItem xmlns:ds="http://schemas.openxmlformats.org/officeDocument/2006/customXml" ds:itemID="{F34D2FCB-2D2D-4C3A-B386-C25C40BBC0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b952b6d-4825-4d68-9c8d-2e5a5257cd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CF2295-EACF-4AF6-AA45-7F0E4323419B}">
  <ds:schemaRefs>
    <ds:schemaRef ds:uri="http://purl.org/dc/terms/"/>
    <ds:schemaRef ds:uri="http://purl.org/dc/dcmitype/"/>
    <ds:schemaRef ds:uri="http://schemas.openxmlformats.org/package/2006/metadata/core-properties"/>
    <ds:schemaRef ds:uri="http://purl.org/dc/elements/1.1/"/>
    <ds:schemaRef ds:uri="http://schemas.microsoft.com/office/2006/documentManagement/types"/>
    <ds:schemaRef ds:uri="http://schemas.microsoft.com/office/2006/metadata/properties"/>
    <ds:schemaRef ds:uri="http://schemas.microsoft.com/office/infopath/2007/PartnerControls"/>
    <ds:schemaRef ds:uri="bb952b6d-4825-4d68-9c8d-2e5a5257cdbf"/>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6445</Words>
  <Characters>36742</Characters>
  <Application>Microsoft Office Word</Application>
  <DocSecurity>0</DocSecurity>
  <Lines>306</Lines>
  <Paragraphs>86</Paragraphs>
  <ScaleCrop>false</ScaleCrop>
  <Company/>
  <LinksUpToDate>false</LinksUpToDate>
  <CharactersWithSpaces>43101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Cornelius, Asha</dc:creator>
  <cp:keywords/>
  <dc:description/>
  <cp:lastModifiedBy>Benson-Davison,Stephen swp56761</cp:lastModifiedBy>
  <cp:revision>3</cp:revision>
  <dcterms:created xsi:type="dcterms:W3CDTF">2023-04-04T14:10:00Z</dcterms:created>
  <dcterms:modified xsi:type="dcterms:W3CDTF">2023-04-06T09:48:00Z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2023-04-04T14:10:34Z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9aceae6f-895a-4654-abf8-7f37e227b1d5</vt:lpwstr>
  </property>
  <property fmtid="{D5CDD505-2E9C-101B-9397-08002B2CF9AE}" pid="8" name="MSIP_Label_66cf8fe5-b7b7-4df7-b38d-1c61ac2f6639_ContentBits">
    <vt:lpwstr>0</vt:lpwstr>
  </property>
  <property fmtid="{D5CDD505-2E9C-101B-9397-08002B2CF9AE}" pid="9" name="ContentTypeId">
    <vt:lpwstr>0x010100550708C79C7EBA4DA0A6F3AD6D7A23D8</vt:lpwstr>
  </property>
</Properties>
</file>