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09BF" w:rsidRPr="002D3A57" w:rsidRDefault="00117969">
      <w:pPr>
        <w:rPr>
          <w:rFonts w:cstheme="minorHAnsi"/>
          <w:u w:val="single"/>
        </w:rPr>
      </w:pPr>
      <w:r w:rsidRPr="002D3A57">
        <w:rPr>
          <w:rFonts w:cstheme="minorHAnsi"/>
          <w:u w:val="single"/>
        </w:rPr>
        <w:t>Ancient representations of India often include large numbers of monstrous and fantastical creatures. With reference to one ancient source, what impact does this have on the representation of the country?</w:t>
      </w:r>
    </w:p>
    <w:p w:rsidR="00521EE4" w:rsidRPr="002D3A57" w:rsidRDefault="00521EE4">
      <w:pPr>
        <w:rPr>
          <w:rFonts w:cstheme="minorHAnsi"/>
          <w:u w:val="single"/>
        </w:rPr>
      </w:pPr>
    </w:p>
    <w:p w:rsidR="008B545F" w:rsidRPr="002D3A57" w:rsidRDefault="008B545F" w:rsidP="000848D6">
      <w:pPr>
        <w:spacing w:line="480" w:lineRule="auto"/>
        <w:rPr>
          <w:rFonts w:cstheme="minorHAnsi"/>
        </w:rPr>
      </w:pPr>
      <w:r w:rsidRPr="002D3A57">
        <w:rPr>
          <w:rFonts w:cstheme="minorHAnsi"/>
        </w:rPr>
        <w:t xml:space="preserve">There are many times throughout history where there has been rumours of far-away lands that are exotic and wonderful. Lands being full of monsters and strangeness, with backwards traditions. These lands often lay just out of reach for the person who believes in such tales. A place where one could, if they truly desired, access and experience themselves but was generally thought to be done so with great difficulty. This meaning that the person who believed in such wondrous lands and frightful monsters, had no actual way of proving the non-existence of </w:t>
      </w:r>
      <w:r w:rsidR="00235A46" w:rsidRPr="002D3A57">
        <w:rPr>
          <w:rFonts w:cstheme="minorHAnsi"/>
        </w:rPr>
        <w:t>such</w:t>
      </w:r>
      <w:r w:rsidRPr="002D3A57">
        <w:rPr>
          <w:rFonts w:cstheme="minorHAnsi"/>
        </w:rPr>
        <w:t>.</w:t>
      </w:r>
      <w:r w:rsidR="00235A46" w:rsidRPr="002D3A57">
        <w:rPr>
          <w:rFonts w:cstheme="minorHAnsi"/>
        </w:rPr>
        <w:t xml:space="preserve"> </w:t>
      </w:r>
    </w:p>
    <w:p w:rsidR="004F4514" w:rsidRPr="002D3A57" w:rsidRDefault="00235A46" w:rsidP="000848D6">
      <w:pPr>
        <w:spacing w:line="480" w:lineRule="auto"/>
        <w:rPr>
          <w:rFonts w:cstheme="minorHAnsi"/>
        </w:rPr>
      </w:pPr>
      <w:r w:rsidRPr="002D3A57">
        <w:rPr>
          <w:rFonts w:cstheme="minorHAnsi"/>
        </w:rPr>
        <w:t>This can be seen, for one example, on the Roman perception of Britannia and the mystical druids and tribes. However, another prominent example is the perception of India from the western ancient world.</w:t>
      </w:r>
      <w:r w:rsidR="00952175" w:rsidRPr="002D3A57">
        <w:rPr>
          <w:rFonts w:cstheme="minorHAnsi"/>
        </w:rPr>
        <w:t xml:space="preserve"> There are numerous accounts of monsters and fantastical creatures being from India that are recorded by ancient writers. Historians</w:t>
      </w:r>
      <w:r w:rsidRPr="002D3A57">
        <w:rPr>
          <w:rFonts w:cstheme="minorHAnsi"/>
        </w:rPr>
        <w:t xml:space="preserve"> </w:t>
      </w:r>
      <w:r w:rsidR="00952175" w:rsidRPr="002D3A57">
        <w:rPr>
          <w:rFonts w:cstheme="minorHAnsi"/>
        </w:rPr>
        <w:t xml:space="preserve">such as Herodotus, give such accounts of monsters in his </w:t>
      </w:r>
      <w:r w:rsidR="00952175" w:rsidRPr="002D3A57">
        <w:rPr>
          <w:rFonts w:cstheme="minorHAnsi"/>
          <w:i/>
        </w:rPr>
        <w:t>Histories</w:t>
      </w:r>
      <w:r w:rsidR="00952175" w:rsidRPr="002D3A57">
        <w:rPr>
          <w:rFonts w:cstheme="minorHAnsi"/>
        </w:rPr>
        <w:t xml:space="preserve">, something that many modern scholars have used to discount Herodotus credibility. To follow this, Philostratus, in his </w:t>
      </w:r>
      <w:r w:rsidR="00952175" w:rsidRPr="002D3A57">
        <w:rPr>
          <w:rFonts w:cstheme="minorHAnsi"/>
          <w:i/>
        </w:rPr>
        <w:t>Life of Apollonius of Tyana</w:t>
      </w:r>
      <w:r w:rsidR="00952175" w:rsidRPr="002D3A57">
        <w:rPr>
          <w:rFonts w:cstheme="minorHAnsi"/>
        </w:rPr>
        <w:t xml:space="preserve">, also gives records of monsters, as does the surviving accounts of Ctesias. However few ancient writes give so many accounts of monstrous beings as </w:t>
      </w:r>
      <w:r w:rsidR="000848D6" w:rsidRPr="002D3A57">
        <w:rPr>
          <w:rFonts w:cstheme="minorHAnsi"/>
        </w:rPr>
        <w:t xml:space="preserve">Megasthenes does. Although there are only fragments of Megasthenes </w:t>
      </w:r>
      <w:r w:rsidR="000848D6" w:rsidRPr="002D3A57">
        <w:rPr>
          <w:rFonts w:cstheme="minorHAnsi"/>
          <w:i/>
        </w:rPr>
        <w:t>Indika</w:t>
      </w:r>
      <w:r w:rsidR="000848D6" w:rsidRPr="002D3A57">
        <w:rPr>
          <w:rFonts w:cstheme="minorHAnsi"/>
        </w:rPr>
        <w:t>, there a several passages that mention the monstrous beings of India</w:t>
      </w:r>
      <w:r w:rsidR="00A75234">
        <w:rPr>
          <w:rFonts w:cstheme="minorHAnsi"/>
        </w:rPr>
        <w:t xml:space="preserve"> most notably Fragments XXIX and XXXB</w:t>
      </w:r>
      <w:r w:rsidR="000848D6" w:rsidRPr="002D3A57">
        <w:rPr>
          <w:rFonts w:cstheme="minorHAnsi"/>
        </w:rPr>
        <w:t xml:space="preserve">. Megasthenes being the ambassador for Seleucus of </w:t>
      </w:r>
      <w:r w:rsidR="004F4514" w:rsidRPr="002D3A57">
        <w:rPr>
          <w:rFonts w:cstheme="minorHAnsi"/>
        </w:rPr>
        <w:t>the Seleucid Empire to Chandragupta, founder of the Maurya Empire of India, travelled many times into India</w:t>
      </w:r>
      <w:r w:rsidR="00AA77A2" w:rsidRPr="002D3A57">
        <w:rPr>
          <w:rFonts w:cstheme="minorHAnsi"/>
        </w:rPr>
        <w:t xml:space="preserve"> during the 3</w:t>
      </w:r>
      <w:r w:rsidR="00AA77A2" w:rsidRPr="002D3A57">
        <w:rPr>
          <w:rFonts w:cstheme="minorHAnsi"/>
          <w:vertAlign w:val="superscript"/>
        </w:rPr>
        <w:t>rd</w:t>
      </w:r>
      <w:r w:rsidR="00AA77A2" w:rsidRPr="002D3A57">
        <w:rPr>
          <w:rFonts w:cstheme="minorHAnsi"/>
        </w:rPr>
        <w:t xml:space="preserve"> century BC</w:t>
      </w:r>
      <w:r w:rsidR="00AA77A2" w:rsidRPr="002D3A57">
        <w:rPr>
          <w:rStyle w:val="FootnoteReference"/>
          <w:rFonts w:cstheme="minorHAnsi"/>
        </w:rPr>
        <w:footnoteReference w:id="1"/>
      </w:r>
      <w:r w:rsidR="004F4514" w:rsidRPr="002D3A57">
        <w:rPr>
          <w:rFonts w:cstheme="minorHAnsi"/>
        </w:rPr>
        <w:t xml:space="preserve">. Megasthenes is one of the earliest accounts of India </w:t>
      </w:r>
      <w:r w:rsidR="007106F6" w:rsidRPr="002D3A57">
        <w:rPr>
          <w:rFonts w:cstheme="minorHAnsi"/>
        </w:rPr>
        <w:t>in which the writer had physically visited the country.</w:t>
      </w:r>
    </w:p>
    <w:p w:rsidR="004F4514" w:rsidRPr="002D3A57" w:rsidRDefault="004F4514" w:rsidP="000848D6">
      <w:pPr>
        <w:spacing w:line="480" w:lineRule="auto"/>
        <w:rPr>
          <w:rFonts w:cstheme="minorHAnsi"/>
        </w:rPr>
      </w:pPr>
      <w:r w:rsidRPr="002D3A57">
        <w:rPr>
          <w:rFonts w:cstheme="minorHAnsi"/>
        </w:rPr>
        <w:t>It is from Megasthenes that the first reports of monstrous</w:t>
      </w:r>
      <w:r w:rsidR="00AA77A2" w:rsidRPr="002D3A57">
        <w:rPr>
          <w:rFonts w:cstheme="minorHAnsi"/>
        </w:rPr>
        <w:t xml:space="preserve"> beings is first heard, with mentions to numerous different monsters and species that would give a representation of the country. </w:t>
      </w:r>
      <w:r w:rsidR="00AA77A2" w:rsidRPr="002D3A57">
        <w:rPr>
          <w:rFonts w:cstheme="minorHAnsi"/>
        </w:rPr>
        <w:lastRenderedPageBreak/>
        <w:t xml:space="preserve">Megasthenes monsters range from somewhat believable, albeit at a little stretch of imagination, to completely and wholly different and rather unbelievable. Ones such examples is the mention of the </w:t>
      </w:r>
      <w:r w:rsidR="00A75234" w:rsidRPr="002D3A57">
        <w:rPr>
          <w:rFonts w:cstheme="minorHAnsi"/>
        </w:rPr>
        <w:t>Okupedes</w:t>
      </w:r>
      <w:r w:rsidR="00A75234">
        <w:rPr>
          <w:rFonts w:cstheme="minorHAnsi"/>
        </w:rPr>
        <w:t>,</w:t>
      </w:r>
      <w:r w:rsidR="00AA77A2" w:rsidRPr="002D3A57">
        <w:rPr>
          <w:rFonts w:cstheme="minorHAnsi"/>
          <w:i/>
        </w:rPr>
        <w:t xml:space="preserve"> </w:t>
      </w:r>
      <w:r w:rsidR="00AA77A2" w:rsidRPr="002D3A57">
        <w:rPr>
          <w:rFonts w:cstheme="minorHAnsi"/>
        </w:rPr>
        <w:t>men who were said to run as fast as a horse</w:t>
      </w:r>
      <w:r w:rsidR="00AA77A2" w:rsidRPr="002D3A57">
        <w:rPr>
          <w:rStyle w:val="FootnoteReference"/>
          <w:rFonts w:cstheme="minorHAnsi"/>
          <w:i/>
        </w:rPr>
        <w:footnoteReference w:id="2"/>
      </w:r>
      <w:r w:rsidR="00AA77A2" w:rsidRPr="002D3A57">
        <w:rPr>
          <w:rFonts w:cstheme="minorHAnsi"/>
        </w:rPr>
        <w:t>.</w:t>
      </w:r>
      <w:r w:rsidR="003B64F8" w:rsidRPr="002D3A57">
        <w:rPr>
          <w:rFonts w:cstheme="minorHAnsi"/>
        </w:rPr>
        <w:t xml:space="preserve"> This can be interpreted as exaggeration by Megasthenes, and that he only meant to imply that some men were able to run faster than others.</w:t>
      </w:r>
      <w:r w:rsidR="00330C68" w:rsidRPr="002D3A57">
        <w:rPr>
          <w:rFonts w:cstheme="minorHAnsi"/>
        </w:rPr>
        <w:t xml:space="preserve"> An ancient reader of Megasthenes could likely take this as the meaning of the Okupedes</w:t>
      </w:r>
      <w:r w:rsidR="00330C68" w:rsidRPr="002D3A57">
        <w:rPr>
          <w:rFonts w:cstheme="minorHAnsi"/>
          <w:i/>
        </w:rPr>
        <w:t xml:space="preserve">, </w:t>
      </w:r>
      <w:r w:rsidR="00330C68" w:rsidRPr="002D3A57">
        <w:rPr>
          <w:rFonts w:cstheme="minorHAnsi"/>
        </w:rPr>
        <w:t xml:space="preserve">therefore only giving the impression that the men from India were not monsters as such but rather just ordinary men who could run fast. The total impact that this would have of the representation of India would be relatively little to the educated reader. </w:t>
      </w:r>
    </w:p>
    <w:p w:rsidR="00AB2AEF" w:rsidRPr="002D3A57" w:rsidRDefault="00DA01FC" w:rsidP="000848D6">
      <w:pPr>
        <w:spacing w:line="480" w:lineRule="auto"/>
        <w:rPr>
          <w:rFonts w:cstheme="minorHAnsi"/>
        </w:rPr>
      </w:pPr>
      <w:r w:rsidRPr="002D3A57">
        <w:rPr>
          <w:rFonts w:cstheme="minorHAnsi"/>
        </w:rPr>
        <w:t>However from there onwards, Megasthenes reports get decisively more u</w:t>
      </w:r>
      <w:r w:rsidR="00AB2AEF" w:rsidRPr="002D3A57">
        <w:rPr>
          <w:rFonts w:cstheme="minorHAnsi"/>
        </w:rPr>
        <w:t>nusual and descriptive. Megasthenes</w:t>
      </w:r>
      <w:r w:rsidRPr="002D3A57">
        <w:rPr>
          <w:rFonts w:cstheme="minorHAnsi"/>
        </w:rPr>
        <w:t xml:space="preserve"> reports of </w:t>
      </w:r>
      <w:r w:rsidR="00AB2AEF" w:rsidRPr="002D3A57">
        <w:rPr>
          <w:rFonts w:cstheme="minorHAnsi"/>
        </w:rPr>
        <w:t>Enotokoitai and Monommatoi, with the former having their ears reaching down to their feet and being able to sleep in them</w:t>
      </w:r>
      <w:r w:rsidR="00AB2AEF" w:rsidRPr="002D3A57">
        <w:rPr>
          <w:rStyle w:val="FootnoteReference"/>
          <w:rFonts w:cstheme="minorHAnsi"/>
        </w:rPr>
        <w:footnoteReference w:id="3"/>
      </w:r>
      <w:r w:rsidR="00AB2AEF" w:rsidRPr="002D3A57">
        <w:rPr>
          <w:rFonts w:cstheme="minorHAnsi"/>
        </w:rPr>
        <w:t>. The latter being described as one eyed and shaggy breasted</w:t>
      </w:r>
      <w:r w:rsidR="00AB2AEF" w:rsidRPr="002D3A57">
        <w:rPr>
          <w:rStyle w:val="FootnoteReference"/>
          <w:rFonts w:cstheme="minorHAnsi"/>
        </w:rPr>
        <w:footnoteReference w:id="4"/>
      </w:r>
      <w:r w:rsidR="00AB2AEF" w:rsidRPr="002D3A57">
        <w:rPr>
          <w:rFonts w:cstheme="minorHAnsi"/>
        </w:rPr>
        <w:t xml:space="preserve">. These descriptions are increasingly more unusual, with the Enotokoitai being described as big eared that can be taken as an over-exaggeration, with the sleeping in them being added as a lie to make them seem more unusual. Megasthenes may have exaggerated in an attempt to create more interest </w:t>
      </w:r>
      <w:r w:rsidR="00594174" w:rsidRPr="002D3A57">
        <w:rPr>
          <w:rFonts w:cstheme="minorHAnsi"/>
        </w:rPr>
        <w:t xml:space="preserve">in India. </w:t>
      </w:r>
      <w:r w:rsidR="00AB2AEF" w:rsidRPr="002D3A57">
        <w:rPr>
          <w:rFonts w:cstheme="minorHAnsi"/>
        </w:rPr>
        <w:t>Although it should be taken into consideration that Megasthenes may have been going of tales and descriptions that he was given during his travels of India</w:t>
      </w:r>
      <w:r w:rsidR="00966CF5">
        <w:rPr>
          <w:rFonts w:cstheme="minorHAnsi"/>
        </w:rPr>
        <w:t>. It is written that he is only told of some of these</w:t>
      </w:r>
      <w:r w:rsidR="0025721F">
        <w:rPr>
          <w:rFonts w:cstheme="minorHAnsi"/>
        </w:rPr>
        <w:t xml:space="preserve"> monstrosities by p</w:t>
      </w:r>
      <w:r w:rsidR="000C4AE4">
        <w:rPr>
          <w:rFonts w:cstheme="minorHAnsi"/>
        </w:rPr>
        <w:t xml:space="preserve">hilosophers. It is likely that these philosophers may have doubted their existence and had only been telling Megasthenes as he was interested. Yet likewise it may have been to impress the Greek politician of how the Indian people would have to live amidst such creatures. It is also completely possible that the philosophers truly believed that such monsters existed. </w:t>
      </w:r>
    </w:p>
    <w:p w:rsidR="00594174" w:rsidRPr="002D3A57" w:rsidRDefault="00594174" w:rsidP="000848D6">
      <w:pPr>
        <w:spacing w:line="480" w:lineRule="auto"/>
        <w:rPr>
          <w:rFonts w:cstheme="minorHAnsi"/>
        </w:rPr>
      </w:pPr>
      <w:r w:rsidRPr="002D3A57">
        <w:rPr>
          <w:rFonts w:cstheme="minorHAnsi"/>
        </w:rPr>
        <w:t xml:space="preserve">The mention of the Monommatoi are more akin to tradition Greek monsters. The one eye is very much like the Cyclopes, and the mention of shaggy breasts could be in relation to Satyrs. Because of </w:t>
      </w:r>
      <w:r w:rsidRPr="002D3A57">
        <w:rPr>
          <w:rFonts w:cstheme="minorHAnsi"/>
        </w:rPr>
        <w:lastRenderedPageBreak/>
        <w:t>this it would seem that the Monommatoi would be much easier for traditional Greek people to believe in. If the belief of the Cyclopes was there already in Greek mythology, than it would not be too much of a stretch of imagination for Greeks to see the similarities of it compared to the Monommatio, making it much more believable</w:t>
      </w:r>
      <w:r w:rsidR="00152416" w:rsidRPr="002D3A57">
        <w:rPr>
          <w:rFonts w:cstheme="minorHAnsi"/>
        </w:rPr>
        <w:t xml:space="preserve">. </w:t>
      </w:r>
      <w:r w:rsidRPr="002D3A57">
        <w:rPr>
          <w:rFonts w:cstheme="minorHAnsi"/>
        </w:rPr>
        <w:t xml:space="preserve">This would give India the representation </w:t>
      </w:r>
      <w:r w:rsidR="00152416" w:rsidRPr="002D3A57">
        <w:rPr>
          <w:rFonts w:cstheme="minorHAnsi"/>
        </w:rPr>
        <w:t>of it being a land that is much more believable, as the closeness of the Monommatio to their own Greek mythology would make it more conceivable.</w:t>
      </w:r>
    </w:p>
    <w:p w:rsidR="00F3736D" w:rsidRPr="002D3A57" w:rsidRDefault="008C1461" w:rsidP="006F4FF3">
      <w:pPr>
        <w:spacing w:line="480" w:lineRule="auto"/>
      </w:pPr>
      <w:r w:rsidRPr="002D3A57">
        <w:rPr>
          <w:rFonts w:cstheme="minorHAnsi"/>
        </w:rPr>
        <w:t>Megasthenes also mentions the tribes of the Nulo Mountain</w:t>
      </w:r>
      <w:r w:rsidRPr="002D3A57">
        <w:rPr>
          <w:rStyle w:val="FootnoteReference"/>
          <w:rFonts w:cstheme="minorHAnsi"/>
        </w:rPr>
        <w:footnoteReference w:id="5"/>
      </w:r>
      <w:r w:rsidRPr="002D3A57">
        <w:rPr>
          <w:rFonts w:cstheme="minorHAnsi"/>
        </w:rPr>
        <w:t>. In this he describes the people to look have dog-shaped heads, being armed with claws and clothed in skins, in which they c</w:t>
      </w:r>
      <w:r w:rsidR="00616FA3" w:rsidRPr="002D3A57">
        <w:rPr>
          <w:rFonts w:cstheme="minorHAnsi"/>
        </w:rPr>
        <w:t>ommunicate with barks and grins</w:t>
      </w:r>
      <w:r w:rsidR="007533F2" w:rsidRPr="002D3A57">
        <w:rPr>
          <w:rStyle w:val="FootnoteReference"/>
          <w:rFonts w:cstheme="minorHAnsi"/>
        </w:rPr>
        <w:footnoteReference w:id="6"/>
      </w:r>
      <w:r w:rsidR="00616FA3" w:rsidRPr="002D3A57">
        <w:rPr>
          <w:rFonts w:cstheme="minorHAnsi"/>
        </w:rPr>
        <w:t>.</w:t>
      </w:r>
      <w:r w:rsidR="00EF271D" w:rsidRPr="002D3A57">
        <w:rPr>
          <w:rFonts w:cstheme="minorHAnsi"/>
        </w:rPr>
        <w:t xml:space="preserve"> These dog headed men give of the impression of savagery and terror, which would instil fear into those who hear about them. In turn this would contribute the savagery and mystery of the country, helping those who hear of such mountainous people to believe in the wild and odd world of India.</w:t>
      </w:r>
      <w:r w:rsidR="007106F6" w:rsidRPr="002D3A57">
        <w:rPr>
          <w:rFonts w:cstheme="minorHAnsi"/>
        </w:rPr>
        <w:t xml:space="preserve"> These dog-headed people are also mention by Herodotus in his </w:t>
      </w:r>
      <w:r w:rsidR="007106F6" w:rsidRPr="002D3A57">
        <w:rPr>
          <w:rFonts w:cstheme="minorHAnsi"/>
          <w:i/>
        </w:rPr>
        <w:t>Histories</w:t>
      </w:r>
      <w:r w:rsidR="00593CCD" w:rsidRPr="002D3A57">
        <w:rPr>
          <w:rFonts w:cstheme="minorHAnsi"/>
          <w:i/>
        </w:rPr>
        <w:t>,</w:t>
      </w:r>
      <w:r w:rsidR="007106F6" w:rsidRPr="002D3A57">
        <w:t xml:space="preserve"> </w:t>
      </w:r>
      <w:r w:rsidR="00593CCD" w:rsidRPr="002D3A57">
        <w:t>much earlier than Megasthenes</w:t>
      </w:r>
      <w:r w:rsidR="00593CCD" w:rsidRPr="002D3A57">
        <w:rPr>
          <w:rStyle w:val="FootnoteReference"/>
        </w:rPr>
        <w:footnoteReference w:id="7"/>
      </w:r>
      <w:r w:rsidR="00593CCD" w:rsidRPr="002D3A57">
        <w:t xml:space="preserve">. </w:t>
      </w:r>
      <w:r w:rsidR="00F3736D" w:rsidRPr="002D3A57">
        <w:t xml:space="preserve">The dog-headed people are also mentioned by Ctesias’ </w:t>
      </w:r>
      <w:r w:rsidR="00F3736D" w:rsidRPr="002D3A57">
        <w:rPr>
          <w:i/>
        </w:rPr>
        <w:t>Indica</w:t>
      </w:r>
      <w:r w:rsidR="00F3736D" w:rsidRPr="002D3A57">
        <w:t xml:space="preserve"> in great detail. Here Ctesias also mentions them to speak no language but to bark, wear skins as clothes and to have long nails</w:t>
      </w:r>
      <w:r w:rsidR="00F3736D" w:rsidRPr="002D3A57">
        <w:rPr>
          <w:rStyle w:val="FootnoteReference"/>
        </w:rPr>
        <w:footnoteReference w:id="8"/>
      </w:r>
      <w:r w:rsidR="00F3736D" w:rsidRPr="002D3A57">
        <w:t xml:space="preserve"> that can be attributed to the claws that Megasthenes writes off.</w:t>
      </w:r>
    </w:p>
    <w:p w:rsidR="002D3A57" w:rsidRPr="002D3A57" w:rsidRDefault="002D3A57" w:rsidP="006F4FF3">
      <w:pPr>
        <w:spacing w:line="480" w:lineRule="auto"/>
      </w:pPr>
      <w:r w:rsidRPr="002D3A57">
        <w:t>However to contrast Megasthenes , Ctesias writes that these dog-headed men are able to understand the Indian language, however not being able to converse but only make hand signals and bark in response</w:t>
      </w:r>
      <w:r>
        <w:rPr>
          <w:rStyle w:val="FootnoteReference"/>
        </w:rPr>
        <w:footnoteReference w:id="9"/>
      </w:r>
      <w:r w:rsidRPr="002D3A57">
        <w:t>. Ctesias reports them to be extremely just and that Indians call them Calystrii, which in Greek is Cynocephali.</w:t>
      </w:r>
      <w:r w:rsidRPr="002D3A57">
        <w:rPr>
          <w:rStyle w:val="FootnoteReference"/>
        </w:rPr>
        <w:footnoteReference w:id="10"/>
      </w:r>
    </w:p>
    <w:p w:rsidR="006F4FF3" w:rsidRPr="002D3A57" w:rsidRDefault="00593CCD" w:rsidP="006F4FF3">
      <w:pPr>
        <w:spacing w:line="480" w:lineRule="auto"/>
      </w:pPr>
      <w:r w:rsidRPr="002D3A57">
        <w:t xml:space="preserve">Perhaps because of the reports of these dog-headed people were mention at least </w:t>
      </w:r>
      <w:r w:rsidR="002D3A57">
        <w:t xml:space="preserve">thrice </w:t>
      </w:r>
      <w:r w:rsidRPr="002D3A57">
        <w:t>by well-known historians of the ancient world, that it gave them more legitimacy</w:t>
      </w:r>
      <w:r w:rsidR="00DA2622" w:rsidRPr="002D3A57">
        <w:t xml:space="preserve"> during the time.</w:t>
      </w:r>
      <w:r w:rsidR="002D3A57">
        <w:t xml:space="preserve"> The </w:t>
      </w:r>
      <w:r w:rsidR="002D3A57">
        <w:lastRenderedPageBreak/>
        <w:t>reports of three men who were reputed to be historians and scholars would surely make for a more believable experience. By all three scholars reporting these</w:t>
      </w:r>
      <w:r w:rsidR="00DA2622" w:rsidRPr="002D3A57">
        <w:t xml:space="preserve"> </w:t>
      </w:r>
      <w:r w:rsidR="002D3A57">
        <w:t>monsters it is m</w:t>
      </w:r>
      <w:r w:rsidR="00DA2622" w:rsidRPr="002D3A57">
        <w:t>aking the belief of the existence of these monsters more believable</w:t>
      </w:r>
      <w:r w:rsidR="0085083B" w:rsidRPr="002D3A57">
        <w:t>, therefore creating a greater representation of India as a wondrous and savage filled land, full of monsters and creatures.</w:t>
      </w:r>
    </w:p>
    <w:p w:rsidR="006F4FF3" w:rsidRPr="002D3A57" w:rsidRDefault="006F4FF3" w:rsidP="006F4FF3">
      <w:pPr>
        <w:spacing w:line="480" w:lineRule="auto"/>
        <w:rPr>
          <w:rFonts w:cstheme="minorHAnsi"/>
        </w:rPr>
      </w:pPr>
      <w:r w:rsidRPr="002D3A57">
        <w:rPr>
          <w:rFonts w:cstheme="minorHAnsi"/>
        </w:rPr>
        <w:t>Another contributing monster to the image of India being an exotic and mystical place is the mention of the “wild men”. The wild men are not given an exact name but only referred to as just wild men, however they are described as being equally, if not more so, monstrous than the Monommatoi</w:t>
      </w:r>
      <w:r w:rsidRPr="002D3A57">
        <w:rPr>
          <w:rStyle w:val="FootnoteReference"/>
          <w:rFonts w:cstheme="minorHAnsi"/>
        </w:rPr>
        <w:footnoteReference w:id="11"/>
      </w:r>
      <w:r w:rsidRPr="002D3A57">
        <w:rPr>
          <w:rFonts w:cstheme="minorHAnsi"/>
        </w:rPr>
        <w:t>. The wild men are described as having backwards feet, with some having no mouths and survived by smelling the flavours of roasted flesh and the fragrance of flowers and fruit</w:t>
      </w:r>
      <w:r w:rsidR="00804300">
        <w:rPr>
          <w:rFonts w:cstheme="minorHAnsi"/>
        </w:rPr>
        <w:t>, and lived at the source of the Ganges</w:t>
      </w:r>
      <w:r w:rsidR="00F3736D" w:rsidRPr="002D3A57">
        <w:rPr>
          <w:rStyle w:val="FootnoteReference"/>
          <w:rFonts w:cstheme="minorHAnsi"/>
        </w:rPr>
        <w:footnoteReference w:id="12"/>
      </w:r>
      <w:r w:rsidRPr="002D3A57">
        <w:rPr>
          <w:rFonts w:cstheme="minorHAnsi"/>
        </w:rPr>
        <w:t>. It is unclear if the roasted flesh that is mention means that of an animal</w:t>
      </w:r>
      <w:r w:rsidR="005B1CCB" w:rsidRPr="002D3A57">
        <w:rPr>
          <w:rFonts w:cstheme="minorHAnsi"/>
        </w:rPr>
        <w:t xml:space="preserve"> or that of a human. If the latter was the one that was taken as to be true than it would only serve to increase the fear and horror of the wild men and India.</w:t>
      </w:r>
    </w:p>
    <w:p w:rsidR="00522D2C" w:rsidRDefault="006F4FF3" w:rsidP="006F4FF3">
      <w:pPr>
        <w:spacing w:line="480" w:lineRule="auto"/>
        <w:rPr>
          <w:rFonts w:cstheme="minorHAnsi"/>
        </w:rPr>
      </w:pPr>
      <w:r w:rsidRPr="002D3A57">
        <w:rPr>
          <w:rFonts w:cstheme="minorHAnsi"/>
        </w:rPr>
        <w:t>Megasthenes mentions that these wild men were not able to be brought back to Sandrakottus, another name for Chandragupta, as they refused to eat and would die</w:t>
      </w:r>
      <w:r w:rsidRPr="002D3A57">
        <w:rPr>
          <w:rStyle w:val="FootnoteReference"/>
          <w:rFonts w:cstheme="minorHAnsi"/>
        </w:rPr>
        <w:footnoteReference w:id="13"/>
      </w:r>
      <w:r w:rsidRPr="002D3A57">
        <w:rPr>
          <w:rFonts w:cstheme="minorHAnsi"/>
        </w:rPr>
        <w:t>.</w:t>
      </w:r>
      <w:r w:rsidR="00804300">
        <w:rPr>
          <w:rFonts w:cstheme="minorHAnsi"/>
        </w:rPr>
        <w:t xml:space="preserve"> Or that they would smell an evil smell and become distressed</w:t>
      </w:r>
      <w:r w:rsidR="00804300">
        <w:rPr>
          <w:rStyle w:val="FootnoteReference"/>
          <w:rFonts w:cstheme="minorHAnsi"/>
        </w:rPr>
        <w:footnoteReference w:id="14"/>
      </w:r>
      <w:r w:rsidR="00804300">
        <w:rPr>
          <w:rFonts w:cstheme="minorHAnsi"/>
        </w:rPr>
        <w:t>.</w:t>
      </w:r>
      <w:r w:rsidRPr="002D3A57">
        <w:rPr>
          <w:rFonts w:cstheme="minorHAnsi"/>
        </w:rPr>
        <w:t xml:space="preserve"> This in turn questions the credibility of such</w:t>
      </w:r>
      <w:r w:rsidR="00966CF5">
        <w:rPr>
          <w:rFonts w:cstheme="minorHAnsi"/>
        </w:rPr>
        <w:t xml:space="preserve"> a people’s existence as them not being able to stay at the royal court for all to see is rather convenient. </w:t>
      </w:r>
      <w:r w:rsidR="00804300">
        <w:rPr>
          <w:rFonts w:cstheme="minorHAnsi"/>
        </w:rPr>
        <w:t>Megasthenes mentions that because of their avoidance of evil smelling fragrances they were difficulty to keep in a camp</w:t>
      </w:r>
      <w:r w:rsidR="00804300">
        <w:rPr>
          <w:rStyle w:val="FootnoteReference"/>
          <w:rFonts w:cstheme="minorHAnsi"/>
        </w:rPr>
        <w:footnoteReference w:id="15"/>
      </w:r>
      <w:r w:rsidR="00804300">
        <w:rPr>
          <w:rFonts w:cstheme="minorHAnsi"/>
        </w:rPr>
        <w:t>.</w:t>
      </w:r>
    </w:p>
    <w:p w:rsidR="00804300" w:rsidRDefault="00804300" w:rsidP="006F4FF3">
      <w:pPr>
        <w:spacing w:line="480" w:lineRule="auto"/>
        <w:rPr>
          <w:rFonts w:cstheme="minorHAnsi"/>
        </w:rPr>
      </w:pPr>
      <w:r>
        <w:rPr>
          <w:rFonts w:cstheme="minorHAnsi"/>
        </w:rPr>
        <w:t>However in contradiction to that. Megasthenes mentions that some were brought to the court, and had no mouths</w:t>
      </w:r>
      <w:r>
        <w:rPr>
          <w:rStyle w:val="FootnoteReference"/>
          <w:rFonts w:cstheme="minorHAnsi"/>
        </w:rPr>
        <w:footnoteReference w:id="16"/>
      </w:r>
      <w:r>
        <w:rPr>
          <w:rFonts w:cstheme="minorHAnsi"/>
        </w:rPr>
        <w:t>. In this they are said to have been tame</w:t>
      </w:r>
      <w:r>
        <w:rPr>
          <w:rStyle w:val="FootnoteReference"/>
          <w:rFonts w:cstheme="minorHAnsi"/>
        </w:rPr>
        <w:footnoteReference w:id="17"/>
      </w:r>
      <w:r>
        <w:rPr>
          <w:rFonts w:cstheme="minorHAnsi"/>
        </w:rPr>
        <w:t>.</w:t>
      </w:r>
      <w:r w:rsidR="0073342A">
        <w:rPr>
          <w:rFonts w:cstheme="minorHAnsi"/>
        </w:rPr>
        <w:t xml:space="preserve"> Perhaps this is meant to indicate a different tribe or group of wild men, and that some were more compliant than others.</w:t>
      </w:r>
      <w:r w:rsidR="00522518">
        <w:rPr>
          <w:rFonts w:cstheme="minorHAnsi"/>
        </w:rPr>
        <w:t xml:space="preserve"> </w:t>
      </w:r>
      <w:r w:rsidR="007A3956">
        <w:rPr>
          <w:rFonts w:cstheme="minorHAnsi"/>
        </w:rPr>
        <w:t>It</w:t>
      </w:r>
      <w:r w:rsidR="00522518">
        <w:rPr>
          <w:rFonts w:cstheme="minorHAnsi"/>
        </w:rPr>
        <w:t xml:space="preserve"> would seem </w:t>
      </w:r>
      <w:r w:rsidR="00522518">
        <w:rPr>
          <w:rFonts w:cstheme="minorHAnsi"/>
        </w:rPr>
        <w:lastRenderedPageBreak/>
        <w:t>to be unclear. However if these wild men were present at court this would only further multiply the idea that India was an exotic and weird lands, full of monsters and creature of a terrifying nature.</w:t>
      </w:r>
    </w:p>
    <w:p w:rsidR="007A3956" w:rsidRDefault="007A3956" w:rsidP="006F4FF3">
      <w:pPr>
        <w:spacing w:line="480" w:lineRule="auto"/>
        <w:rPr>
          <w:rFonts w:cstheme="minorHAnsi"/>
        </w:rPr>
      </w:pPr>
      <w:r>
        <w:rPr>
          <w:rFonts w:cstheme="minorHAnsi"/>
        </w:rPr>
        <w:t xml:space="preserve">Another such Monster that would help represent India as a barbaric and wild land is the Amuktreres. The description of these is very much like that of the Wild men. Them being described by Megasthenes as people with no nostrils, that eat anything but with a </w:t>
      </w:r>
      <w:r w:rsidR="006855A9">
        <w:rPr>
          <w:rFonts w:cstheme="minorHAnsi"/>
        </w:rPr>
        <w:t>taste for raw meat</w:t>
      </w:r>
      <w:r w:rsidR="006855A9">
        <w:rPr>
          <w:rStyle w:val="FootnoteReference"/>
          <w:rFonts w:cstheme="minorHAnsi"/>
        </w:rPr>
        <w:footnoteReference w:id="18"/>
      </w:r>
      <w:r w:rsidR="006855A9">
        <w:rPr>
          <w:rFonts w:cstheme="minorHAnsi"/>
        </w:rPr>
        <w:t xml:space="preserve">. They are described as being short </w:t>
      </w:r>
      <w:r w:rsidR="008F353F">
        <w:rPr>
          <w:rFonts w:cstheme="minorHAnsi"/>
        </w:rPr>
        <w:t>lived</w:t>
      </w:r>
      <w:r w:rsidR="006855A9">
        <w:rPr>
          <w:rFonts w:cstheme="minorHAnsi"/>
        </w:rPr>
        <w:t>, dying before they reach old age and having their upper part of the mouth protruding the bottom part, in an extreme overbite</w:t>
      </w:r>
      <w:r w:rsidR="008F353F">
        <w:rPr>
          <w:rStyle w:val="FootnoteReference"/>
          <w:rFonts w:cstheme="minorHAnsi"/>
        </w:rPr>
        <w:footnoteReference w:id="19"/>
      </w:r>
      <w:r w:rsidR="006855A9">
        <w:rPr>
          <w:rFonts w:cstheme="minorHAnsi"/>
        </w:rPr>
        <w:t xml:space="preserve">. </w:t>
      </w:r>
      <w:r w:rsidR="00607FCE">
        <w:rPr>
          <w:rFonts w:cstheme="minorHAnsi"/>
        </w:rPr>
        <w:t xml:space="preserve"> As before mentioned these are much like the wild men in description, suggesting more of an image of a deformed human than of a traditional Greek mythological </w:t>
      </w:r>
      <w:r w:rsidR="00B5099B">
        <w:rPr>
          <w:rFonts w:cstheme="minorHAnsi"/>
        </w:rPr>
        <w:t>creature that</w:t>
      </w:r>
      <w:r w:rsidR="00607FCE">
        <w:rPr>
          <w:rFonts w:cstheme="minorHAnsi"/>
        </w:rPr>
        <w:t xml:space="preserve"> is often made of animal parts.</w:t>
      </w:r>
      <w:r w:rsidR="00B5099B">
        <w:rPr>
          <w:rFonts w:cstheme="minorHAnsi"/>
        </w:rPr>
        <w:t xml:space="preserve"> However the image of deformed humans as monsters is no less frightening that off the traditional monsters. The superstitious may have found their appearance or description as fighting and believed them to be evil. This could lead to the representation of India as being evil and dark, with terrifying monsters. A place that lay just out of reach to the ordinary person </w:t>
      </w:r>
      <w:r w:rsidR="00254EA8">
        <w:rPr>
          <w:rFonts w:cstheme="minorHAnsi"/>
        </w:rPr>
        <w:t xml:space="preserve">and is a place they would not want to go to. </w:t>
      </w:r>
    </w:p>
    <w:p w:rsidR="00E421B7" w:rsidRDefault="00170870" w:rsidP="006F4FF3">
      <w:pPr>
        <w:spacing w:line="480" w:lineRule="auto"/>
        <w:rPr>
          <w:rFonts w:cstheme="minorHAnsi"/>
        </w:rPr>
      </w:pPr>
      <w:r>
        <w:rPr>
          <w:rFonts w:cstheme="minorHAnsi"/>
        </w:rPr>
        <w:t xml:space="preserve">Another example, but from another sauce is the mention of pigmies by Philostratus in his </w:t>
      </w:r>
      <w:r>
        <w:rPr>
          <w:rFonts w:cstheme="minorHAnsi"/>
          <w:i/>
        </w:rPr>
        <w:t>Life of Apollonius of Tyana</w:t>
      </w:r>
      <w:r>
        <w:rPr>
          <w:rFonts w:cstheme="minorHAnsi"/>
        </w:rPr>
        <w:t xml:space="preserve">.  Philostratus mentions that the Pigmies lived underground and lay on the other </w:t>
      </w:r>
      <w:r w:rsidR="00821982">
        <w:rPr>
          <w:rFonts w:cstheme="minorHAnsi"/>
        </w:rPr>
        <w:t>side of the Gang</w:t>
      </w:r>
      <w:r>
        <w:rPr>
          <w:rFonts w:cstheme="minorHAnsi"/>
        </w:rPr>
        <w:t>es</w:t>
      </w:r>
      <w:r>
        <w:rPr>
          <w:rStyle w:val="FootnoteReference"/>
          <w:rFonts w:cstheme="minorHAnsi"/>
        </w:rPr>
        <w:footnoteReference w:id="20"/>
      </w:r>
      <w:r w:rsidR="00821982">
        <w:rPr>
          <w:rFonts w:cstheme="minorHAnsi"/>
        </w:rPr>
        <w:t>. However this in itself is not that peculiar, there are numerous reports of people living underground throughout history. The very fact that they were pigmies would be beneficial to living underground due to their short stature.</w:t>
      </w:r>
      <w:r w:rsidR="009A75E2">
        <w:rPr>
          <w:rFonts w:cstheme="minorHAnsi"/>
        </w:rPr>
        <w:t xml:space="preserve"> A pigmy person being that of small stature and short height.</w:t>
      </w:r>
      <w:r w:rsidR="00821982">
        <w:rPr>
          <w:rFonts w:cstheme="minorHAnsi"/>
        </w:rPr>
        <w:t xml:space="preserve">  </w:t>
      </w:r>
      <w:r w:rsidR="009A75E2">
        <w:rPr>
          <w:rFonts w:cstheme="minorHAnsi"/>
        </w:rPr>
        <w:t xml:space="preserve">As this does not directly give of an impression to help the image of India being represented as a horrifying and mystical place full of monstrous. It is what Philostratus writes next that is </w:t>
      </w:r>
      <w:r w:rsidR="00E421B7">
        <w:rPr>
          <w:rFonts w:cstheme="minorHAnsi"/>
        </w:rPr>
        <w:t xml:space="preserve">of more importance. It is here that Philostratus </w:t>
      </w:r>
      <w:r w:rsidR="00E662E8">
        <w:rPr>
          <w:rFonts w:cstheme="minorHAnsi"/>
        </w:rPr>
        <w:t>mentions</w:t>
      </w:r>
      <w:r w:rsidR="00E421B7">
        <w:rPr>
          <w:rFonts w:cstheme="minorHAnsi"/>
        </w:rPr>
        <w:t xml:space="preserve"> that the shadow footed men and</w:t>
      </w:r>
      <w:r w:rsidR="00E662E8">
        <w:rPr>
          <w:rFonts w:cstheme="minorHAnsi"/>
        </w:rPr>
        <w:t>/or the men with long heads do not exist in India at all, as well as not on the earth at all</w:t>
      </w:r>
      <w:r w:rsidR="00CC3716">
        <w:rPr>
          <w:rStyle w:val="FootnoteReference"/>
          <w:rFonts w:cstheme="minorHAnsi"/>
        </w:rPr>
        <w:footnoteReference w:id="21"/>
      </w:r>
      <w:r w:rsidR="00E662E8">
        <w:rPr>
          <w:rFonts w:cstheme="minorHAnsi"/>
        </w:rPr>
        <w:t>.</w:t>
      </w:r>
      <w:r w:rsidR="00CC3716">
        <w:rPr>
          <w:rFonts w:cstheme="minorHAnsi"/>
        </w:rPr>
        <w:t xml:space="preserve"> Philostratus mentions that </w:t>
      </w:r>
      <w:r w:rsidR="00CC3716">
        <w:rPr>
          <w:rFonts w:cstheme="minorHAnsi"/>
        </w:rPr>
        <w:lastRenderedPageBreak/>
        <w:t>any other described monsters are poetical fancies</w:t>
      </w:r>
      <w:r w:rsidR="00CC3716">
        <w:rPr>
          <w:rStyle w:val="FootnoteReference"/>
          <w:rFonts w:cstheme="minorHAnsi"/>
        </w:rPr>
        <w:footnoteReference w:id="22"/>
      </w:r>
      <w:r w:rsidR="00CC3716">
        <w:rPr>
          <w:rFonts w:cstheme="minorHAnsi"/>
        </w:rPr>
        <w:t>.</w:t>
      </w:r>
      <w:r w:rsidR="003920FD">
        <w:rPr>
          <w:rFonts w:cstheme="minorHAnsi"/>
        </w:rPr>
        <w:t xml:space="preserve"> This is in a response to the writings of Scylax of Caryanda, who was a Greek explorer from the Hellenistic period</w:t>
      </w:r>
      <w:r w:rsidR="003920FD">
        <w:rPr>
          <w:rStyle w:val="FootnoteReference"/>
          <w:rFonts w:cstheme="minorHAnsi"/>
        </w:rPr>
        <w:footnoteReference w:id="23"/>
      </w:r>
      <w:r w:rsidR="00E84961">
        <w:rPr>
          <w:rFonts w:cstheme="minorHAnsi"/>
        </w:rPr>
        <w:t xml:space="preserve">. Scylax’s works have been unfortunately lost, and all that remains in what can be perceived from other writers. However it is agreeable to presume from Philostratus reaction </w:t>
      </w:r>
      <w:r w:rsidR="00AB13C1">
        <w:rPr>
          <w:rFonts w:cstheme="minorHAnsi"/>
        </w:rPr>
        <w:t>from</w:t>
      </w:r>
      <w:r w:rsidR="00E84961">
        <w:rPr>
          <w:rFonts w:cstheme="minorHAnsi"/>
        </w:rPr>
        <w:t xml:space="preserve"> mention of long headed people</w:t>
      </w:r>
      <w:r w:rsidR="00AB13C1">
        <w:rPr>
          <w:rFonts w:cstheme="minorHAnsi"/>
        </w:rPr>
        <w:t>, that Scylax brought back with him reports and a documents of monsters and creature from India</w:t>
      </w:r>
      <w:r w:rsidR="00E84961">
        <w:rPr>
          <w:rFonts w:cstheme="minorHAnsi"/>
        </w:rPr>
        <w:t>.</w:t>
      </w:r>
      <w:r w:rsidR="00CF09BF">
        <w:rPr>
          <w:rFonts w:cstheme="minorHAnsi"/>
        </w:rPr>
        <w:t xml:space="preserve"> This would have meant from a very early on there would have been a representation of India as an unexplored (by western civilisations), wild land full of danger and monsters. </w:t>
      </w:r>
    </w:p>
    <w:p w:rsidR="00CF09BF" w:rsidRDefault="00CF09BF" w:rsidP="00770367">
      <w:pPr>
        <w:spacing w:line="480" w:lineRule="auto"/>
        <w:rPr>
          <w:rFonts w:cstheme="minorHAnsi"/>
        </w:rPr>
      </w:pPr>
      <w:r>
        <w:rPr>
          <w:rFonts w:cstheme="minorHAnsi"/>
        </w:rPr>
        <w:t>The conclusive opinion from the before mentioned historians, writers and explores all add to the idea and mythos of India being represented as an unexplored, untamed, dangerous and wild land. A land that is full of M</w:t>
      </w:r>
      <w:r w:rsidR="0037739E">
        <w:rPr>
          <w:rFonts w:cstheme="minorHAnsi"/>
        </w:rPr>
        <w:t xml:space="preserve">onsters such as the Monommatoi, Entokoitai and Wild Men. </w:t>
      </w:r>
      <w:r w:rsidR="008A3246">
        <w:rPr>
          <w:rFonts w:cstheme="minorHAnsi"/>
        </w:rPr>
        <w:t xml:space="preserve">Although some of these accounts from Megasthenes can be seen as over exaggerated </w:t>
      </w:r>
      <w:r w:rsidR="00BB31F0">
        <w:rPr>
          <w:rFonts w:cstheme="minorHAnsi"/>
        </w:rPr>
        <w:t>accounts</w:t>
      </w:r>
      <w:r w:rsidR="008A3246">
        <w:rPr>
          <w:rFonts w:cstheme="minorHAnsi"/>
        </w:rPr>
        <w:t xml:space="preserve"> of peoples features, such as having big ears, or being able to run </w:t>
      </w:r>
      <w:r w:rsidR="00BB31F0">
        <w:rPr>
          <w:rFonts w:cstheme="minorHAnsi"/>
        </w:rPr>
        <w:t>faster</w:t>
      </w:r>
      <w:r w:rsidR="008A3246">
        <w:rPr>
          <w:rFonts w:cstheme="minorHAnsi"/>
        </w:rPr>
        <w:t xml:space="preserve"> that a </w:t>
      </w:r>
      <w:r w:rsidR="00BB31F0">
        <w:rPr>
          <w:rFonts w:cstheme="minorHAnsi"/>
        </w:rPr>
        <w:t>horse. However they would still contribute to the idea that India was different. The wild men seem to fall in between the over exaggeration and the Monommatoi. The</w:t>
      </w:r>
      <w:r w:rsidR="0037739E">
        <w:rPr>
          <w:rFonts w:cstheme="minorHAnsi"/>
        </w:rPr>
        <w:t xml:space="preserve"> accounts and descriptions of such monsters by Megasthenes is in great detail, that helps provoke the imagination and expand the representation of India as being a wild and mystical land. </w:t>
      </w:r>
      <w:r w:rsidR="008A3246">
        <w:rPr>
          <w:rFonts w:cstheme="minorHAnsi"/>
        </w:rPr>
        <w:t>The fact that there are three separate accounts of the dog-headed people from Herodotus, Ctesias and Megasthenes would have helped legitimise people’s beliefs in them existing. Although it is likely that they worked off each other’s work.</w:t>
      </w:r>
      <w:r w:rsidR="003D69F7">
        <w:rPr>
          <w:rFonts w:cstheme="minorHAnsi"/>
        </w:rPr>
        <w:t xml:space="preserve"> The only relevant account of a historian from the ancient world to discredit the monsters of India was that of Philostratus. His description of Pigmies is completely visible and he discredits the monsters from Scylax exploration as “poetic fancies</w:t>
      </w:r>
      <w:r w:rsidR="003D69F7">
        <w:rPr>
          <w:rStyle w:val="FootnoteReference"/>
          <w:rFonts w:cstheme="minorHAnsi"/>
        </w:rPr>
        <w:footnoteReference w:id="24"/>
      </w:r>
      <w:r w:rsidR="003D69F7">
        <w:rPr>
          <w:rFonts w:cstheme="minorHAnsi"/>
        </w:rPr>
        <w:t>”.  Overall though it would seem that the Greek sources from the time helped complete a representation of India being a wild, dangerous land full of creatures and monsters, that was surely believed by the ordinary citizens of the western civilisations that had contact with India.</w:t>
      </w:r>
    </w:p>
    <w:p w:rsidR="00330EAC" w:rsidRDefault="00330EAC" w:rsidP="00330EAC">
      <w:pPr>
        <w:spacing w:line="480" w:lineRule="auto"/>
        <w:rPr>
          <w:rFonts w:cstheme="minorHAnsi"/>
        </w:rPr>
      </w:pPr>
    </w:p>
    <w:p w:rsidR="00330EAC" w:rsidRPr="00330EAC" w:rsidRDefault="00330EAC" w:rsidP="00330EAC">
      <w:pPr>
        <w:spacing w:line="480" w:lineRule="auto"/>
        <w:rPr>
          <w:rFonts w:cstheme="minorHAnsi"/>
          <w:u w:val="single"/>
        </w:rPr>
      </w:pPr>
      <w:r w:rsidRPr="00330EAC">
        <w:rPr>
          <w:rFonts w:cstheme="minorHAnsi"/>
          <w:u w:val="single"/>
        </w:rPr>
        <w:t>Bibliography</w:t>
      </w:r>
    </w:p>
    <w:p w:rsidR="00770367" w:rsidRDefault="00770367" w:rsidP="00770367">
      <w:pPr>
        <w:spacing w:line="480" w:lineRule="auto"/>
        <w:rPr>
          <w:rFonts w:cstheme="minorHAnsi"/>
        </w:rPr>
      </w:pPr>
    </w:p>
    <w:p w:rsidR="00770367" w:rsidRPr="00330EAC" w:rsidRDefault="00330EAC" w:rsidP="00770367">
      <w:pPr>
        <w:spacing w:line="480" w:lineRule="auto"/>
        <w:rPr>
          <w:rFonts w:cstheme="minorHAnsi"/>
          <w:u w:val="single"/>
        </w:rPr>
      </w:pPr>
      <w:r w:rsidRPr="00330EAC">
        <w:rPr>
          <w:rFonts w:cstheme="minorHAnsi"/>
          <w:u w:val="single"/>
        </w:rPr>
        <w:t>Ancient</w:t>
      </w:r>
    </w:p>
    <w:p w:rsidR="00330EAC" w:rsidRPr="00330EAC" w:rsidRDefault="00330EAC" w:rsidP="00330EAC">
      <w:pPr>
        <w:pStyle w:val="ListParagraph"/>
        <w:numPr>
          <w:ilvl w:val="0"/>
          <w:numId w:val="2"/>
        </w:numPr>
        <w:tabs>
          <w:tab w:val="right" w:pos="9026"/>
        </w:tabs>
        <w:spacing w:line="480" w:lineRule="auto"/>
        <w:ind w:left="714" w:hanging="357"/>
        <w:rPr>
          <w:rFonts w:ascii="Arial" w:hAnsi="Arial" w:cs="Arial"/>
          <w:i/>
          <w:sz w:val="20"/>
          <w:szCs w:val="20"/>
          <w:shd w:val="clear" w:color="auto" w:fill="FFFFFF"/>
        </w:rPr>
      </w:pPr>
      <w:r w:rsidRPr="00330EAC">
        <w:rPr>
          <w:rFonts w:ascii="Arial" w:hAnsi="Arial" w:cs="Arial"/>
          <w:i/>
          <w:sz w:val="20"/>
          <w:szCs w:val="20"/>
          <w:shd w:val="clear" w:color="auto" w:fill="FFFFFF"/>
        </w:rPr>
        <w:t>Perseus.tufts.edu. (2018). </w:t>
      </w:r>
      <w:r w:rsidRPr="00330EAC">
        <w:rPr>
          <w:rFonts w:ascii="Arial" w:hAnsi="Arial" w:cs="Arial"/>
          <w:i/>
          <w:iCs/>
          <w:sz w:val="20"/>
          <w:szCs w:val="20"/>
          <w:shd w:val="clear" w:color="auto" w:fill="FFFFFF"/>
        </w:rPr>
        <w:t xml:space="preserve">Strabo, </w:t>
      </w:r>
      <w:proofErr w:type="spellStart"/>
      <w:r w:rsidRPr="00330EAC">
        <w:rPr>
          <w:rFonts w:ascii="Arial" w:hAnsi="Arial" w:cs="Arial"/>
          <w:i/>
          <w:iCs/>
          <w:sz w:val="20"/>
          <w:szCs w:val="20"/>
          <w:shd w:val="clear" w:color="auto" w:fill="FFFFFF"/>
        </w:rPr>
        <w:t>Geography</w:t>
      </w:r>
      <w:proofErr w:type="gramStart"/>
      <w:r w:rsidRPr="00330EAC">
        <w:rPr>
          <w:rFonts w:ascii="Arial" w:hAnsi="Arial" w:cs="Arial"/>
          <w:i/>
          <w:iCs/>
          <w:sz w:val="20"/>
          <w:szCs w:val="20"/>
          <w:shd w:val="clear" w:color="auto" w:fill="FFFFFF"/>
        </w:rPr>
        <w:t>,BOOK</w:t>
      </w:r>
      <w:proofErr w:type="spellEnd"/>
      <w:proofErr w:type="gramEnd"/>
      <w:r w:rsidRPr="00330EAC">
        <w:rPr>
          <w:rFonts w:ascii="Arial" w:hAnsi="Arial" w:cs="Arial"/>
          <w:i/>
          <w:iCs/>
          <w:sz w:val="20"/>
          <w:szCs w:val="20"/>
          <w:shd w:val="clear" w:color="auto" w:fill="FFFFFF"/>
        </w:rPr>
        <w:t xml:space="preserve"> XV.</w:t>
      </w:r>
      <w:r w:rsidRPr="00330EAC">
        <w:rPr>
          <w:rFonts w:ascii="Arial" w:hAnsi="Arial" w:cs="Arial"/>
          <w:i/>
          <w:sz w:val="20"/>
          <w:szCs w:val="20"/>
          <w:shd w:val="clear" w:color="auto" w:fill="FFFFFF"/>
        </w:rPr>
        <w:t>. [online] Available at: http://www.perseus.tufts.edu/hopper/text?doc=Perseus%3Atext%3A1999.01.0239%3Abook%3D15 [Accessed 19 Jan. 2018].</w:t>
      </w:r>
    </w:p>
    <w:p w:rsidR="00330EAC" w:rsidRPr="00330EAC" w:rsidRDefault="00330EAC" w:rsidP="00330EAC">
      <w:pPr>
        <w:pStyle w:val="ListParagraph"/>
        <w:numPr>
          <w:ilvl w:val="0"/>
          <w:numId w:val="2"/>
        </w:numPr>
        <w:tabs>
          <w:tab w:val="right" w:pos="9026"/>
        </w:tabs>
        <w:spacing w:line="480" w:lineRule="auto"/>
        <w:ind w:left="714" w:hanging="357"/>
        <w:rPr>
          <w:rFonts w:ascii="Arial" w:hAnsi="Arial" w:cs="Arial"/>
          <w:i/>
          <w:sz w:val="20"/>
          <w:szCs w:val="20"/>
          <w:shd w:val="clear" w:color="auto" w:fill="FFFFFF"/>
        </w:rPr>
      </w:pPr>
      <w:r w:rsidRPr="00330EAC">
        <w:rPr>
          <w:rFonts w:ascii="Arial" w:hAnsi="Arial" w:cs="Arial"/>
          <w:i/>
          <w:sz w:val="20"/>
          <w:szCs w:val="20"/>
          <w:shd w:val="clear" w:color="auto" w:fill="FFFFFF"/>
        </w:rPr>
        <w:t>Livius.org. (2018). </w:t>
      </w:r>
      <w:r w:rsidRPr="00330EAC">
        <w:rPr>
          <w:rFonts w:ascii="Arial" w:hAnsi="Arial" w:cs="Arial"/>
          <w:i/>
          <w:iCs/>
          <w:sz w:val="20"/>
          <w:szCs w:val="20"/>
          <w:shd w:val="clear" w:color="auto" w:fill="FFFFFF"/>
        </w:rPr>
        <w:t xml:space="preserve">Philostratus, Life of Apollonius 3.46-50 - </w:t>
      </w:r>
      <w:proofErr w:type="spellStart"/>
      <w:r w:rsidRPr="00330EAC">
        <w:rPr>
          <w:rFonts w:ascii="Arial" w:hAnsi="Arial" w:cs="Arial"/>
          <w:i/>
          <w:iCs/>
          <w:sz w:val="20"/>
          <w:szCs w:val="20"/>
          <w:shd w:val="clear" w:color="auto" w:fill="FFFFFF"/>
        </w:rPr>
        <w:t>Livius</w:t>
      </w:r>
      <w:proofErr w:type="spellEnd"/>
      <w:r w:rsidRPr="00330EAC">
        <w:rPr>
          <w:rFonts w:ascii="Arial" w:hAnsi="Arial" w:cs="Arial"/>
          <w:i/>
          <w:sz w:val="20"/>
          <w:szCs w:val="20"/>
          <w:shd w:val="clear" w:color="auto" w:fill="FFFFFF"/>
        </w:rPr>
        <w:t>. [online] Available at: http://www.livius.org/sources/content/philostratus-life-of-apollonius/philostratus-life-of-apollonius-3.46</w:t>
      </w:r>
      <w:bookmarkStart w:id="0" w:name="_GoBack"/>
      <w:bookmarkEnd w:id="0"/>
      <w:r w:rsidRPr="00330EAC">
        <w:rPr>
          <w:rFonts w:ascii="Arial" w:hAnsi="Arial" w:cs="Arial"/>
          <w:i/>
          <w:sz w:val="20"/>
          <w:szCs w:val="20"/>
          <w:shd w:val="clear" w:color="auto" w:fill="FFFFFF"/>
        </w:rPr>
        <w:t>-50/#3.47 [Accessed 19 Jan. 2018].</w:t>
      </w:r>
    </w:p>
    <w:p w:rsidR="00330EAC" w:rsidRDefault="00330EAC" w:rsidP="00330EAC">
      <w:pPr>
        <w:pStyle w:val="ListParagraph"/>
        <w:numPr>
          <w:ilvl w:val="0"/>
          <w:numId w:val="2"/>
        </w:numPr>
        <w:tabs>
          <w:tab w:val="right" w:pos="9026"/>
        </w:tabs>
        <w:spacing w:line="480" w:lineRule="auto"/>
        <w:ind w:left="714" w:hanging="357"/>
        <w:rPr>
          <w:rFonts w:ascii="Arial" w:hAnsi="Arial" w:cs="Arial"/>
          <w:i/>
          <w:sz w:val="20"/>
          <w:szCs w:val="20"/>
          <w:shd w:val="clear" w:color="auto" w:fill="FFFFFF"/>
        </w:rPr>
      </w:pPr>
      <w:r w:rsidRPr="00330EAC">
        <w:rPr>
          <w:rFonts w:ascii="Arial" w:hAnsi="Arial" w:cs="Arial"/>
          <w:i/>
          <w:sz w:val="20"/>
          <w:szCs w:val="20"/>
          <w:shd w:val="clear" w:color="auto" w:fill="FFFFFF"/>
        </w:rPr>
        <w:t>Livius.org. (2018). </w:t>
      </w:r>
      <w:r w:rsidRPr="00330EAC">
        <w:rPr>
          <w:rFonts w:ascii="Arial" w:hAnsi="Arial" w:cs="Arial"/>
          <w:i/>
          <w:iCs/>
          <w:sz w:val="20"/>
          <w:szCs w:val="20"/>
          <w:shd w:val="clear" w:color="auto" w:fill="FFFFFF"/>
        </w:rPr>
        <w:t xml:space="preserve">Photius' Excerpt of Ctesias' Indica - </w:t>
      </w:r>
      <w:proofErr w:type="spellStart"/>
      <w:r w:rsidRPr="00330EAC">
        <w:rPr>
          <w:rFonts w:ascii="Arial" w:hAnsi="Arial" w:cs="Arial"/>
          <w:i/>
          <w:iCs/>
          <w:sz w:val="20"/>
          <w:szCs w:val="20"/>
          <w:shd w:val="clear" w:color="auto" w:fill="FFFFFF"/>
        </w:rPr>
        <w:t>Livius</w:t>
      </w:r>
      <w:proofErr w:type="spellEnd"/>
      <w:r w:rsidRPr="00330EAC">
        <w:rPr>
          <w:rFonts w:ascii="Arial" w:hAnsi="Arial" w:cs="Arial"/>
          <w:i/>
          <w:sz w:val="20"/>
          <w:szCs w:val="20"/>
          <w:shd w:val="clear" w:color="auto" w:fill="FFFFFF"/>
        </w:rPr>
        <w:t>. [online] Available at: http://www.livius.org/sources/content/ctesias-overview-of-the-works/photius-excerpt-of-ctesias-indica/ [Accessed 19 Jan. 2018].</w:t>
      </w:r>
    </w:p>
    <w:p w:rsidR="00330EAC" w:rsidRPr="00330EAC" w:rsidRDefault="00330EAC" w:rsidP="00330EAC">
      <w:pPr>
        <w:tabs>
          <w:tab w:val="right" w:pos="9026"/>
        </w:tabs>
        <w:spacing w:line="480" w:lineRule="auto"/>
        <w:rPr>
          <w:rFonts w:ascii="Arial" w:hAnsi="Arial" w:cs="Arial"/>
          <w:sz w:val="20"/>
          <w:szCs w:val="20"/>
          <w:u w:val="single"/>
          <w:shd w:val="clear" w:color="auto" w:fill="FFFFFF"/>
        </w:rPr>
      </w:pPr>
      <w:r w:rsidRPr="00330EAC">
        <w:rPr>
          <w:rFonts w:ascii="Arial" w:hAnsi="Arial" w:cs="Arial"/>
          <w:sz w:val="20"/>
          <w:szCs w:val="20"/>
          <w:u w:val="single"/>
          <w:shd w:val="clear" w:color="auto" w:fill="FFFFFF"/>
        </w:rPr>
        <w:t>Modern</w:t>
      </w:r>
    </w:p>
    <w:p w:rsidR="00770367" w:rsidRPr="00330EAC" w:rsidRDefault="00770367" w:rsidP="00330EAC">
      <w:pPr>
        <w:pStyle w:val="ListParagraph"/>
        <w:numPr>
          <w:ilvl w:val="0"/>
          <w:numId w:val="2"/>
        </w:numPr>
        <w:tabs>
          <w:tab w:val="right" w:pos="9026"/>
        </w:tabs>
        <w:spacing w:line="480" w:lineRule="auto"/>
        <w:ind w:left="714" w:hanging="357"/>
        <w:rPr>
          <w:rFonts w:ascii="Arial" w:hAnsi="Arial" w:cs="Arial"/>
          <w:i/>
          <w:sz w:val="20"/>
          <w:szCs w:val="20"/>
          <w:shd w:val="clear" w:color="auto" w:fill="FFFFFF"/>
        </w:rPr>
      </w:pPr>
      <w:r w:rsidRPr="00330EAC">
        <w:rPr>
          <w:rFonts w:ascii="Arial" w:hAnsi="Arial" w:cs="Arial"/>
          <w:i/>
          <w:sz w:val="20"/>
          <w:szCs w:val="20"/>
          <w:shd w:val="clear" w:color="auto" w:fill="FFFFFF"/>
        </w:rPr>
        <w:t>Parker, G. (2012). </w:t>
      </w:r>
      <w:r w:rsidRPr="00330EAC">
        <w:rPr>
          <w:rFonts w:ascii="Arial" w:hAnsi="Arial" w:cs="Arial"/>
          <w:i/>
          <w:iCs/>
          <w:sz w:val="20"/>
          <w:szCs w:val="20"/>
          <w:shd w:val="clear" w:color="auto" w:fill="FFFFFF"/>
        </w:rPr>
        <w:t>The making of Roman India</w:t>
      </w:r>
      <w:r w:rsidRPr="00330EAC">
        <w:rPr>
          <w:rFonts w:ascii="Arial" w:hAnsi="Arial" w:cs="Arial"/>
          <w:i/>
          <w:sz w:val="20"/>
          <w:szCs w:val="20"/>
          <w:shd w:val="clear" w:color="auto" w:fill="FFFFFF"/>
        </w:rPr>
        <w:t>. Cambridge [etc.]: Cambridge University Press.</w:t>
      </w:r>
      <w:r w:rsidR="005F5F8C" w:rsidRPr="00330EAC">
        <w:rPr>
          <w:rFonts w:ascii="Arial" w:hAnsi="Arial" w:cs="Arial"/>
          <w:i/>
          <w:sz w:val="20"/>
          <w:szCs w:val="20"/>
          <w:shd w:val="clear" w:color="auto" w:fill="FFFFFF"/>
        </w:rPr>
        <w:tab/>
      </w:r>
    </w:p>
    <w:p w:rsidR="00330EAC" w:rsidRPr="00330EAC" w:rsidRDefault="00330EAC" w:rsidP="00330EAC">
      <w:pPr>
        <w:pStyle w:val="ListParagraph"/>
        <w:numPr>
          <w:ilvl w:val="0"/>
          <w:numId w:val="2"/>
        </w:numPr>
        <w:tabs>
          <w:tab w:val="right" w:pos="9026"/>
        </w:tabs>
        <w:spacing w:line="480" w:lineRule="auto"/>
        <w:ind w:left="714" w:hanging="357"/>
        <w:rPr>
          <w:rFonts w:ascii="Arial" w:hAnsi="Arial" w:cs="Arial"/>
          <w:i/>
          <w:sz w:val="20"/>
          <w:szCs w:val="20"/>
          <w:shd w:val="clear" w:color="auto" w:fill="FFFFFF"/>
        </w:rPr>
      </w:pPr>
      <w:proofErr w:type="spellStart"/>
      <w:r w:rsidRPr="00330EAC">
        <w:rPr>
          <w:rFonts w:ascii="Arial" w:hAnsi="Arial" w:cs="Arial"/>
          <w:i/>
          <w:sz w:val="20"/>
          <w:szCs w:val="20"/>
          <w:shd w:val="clear" w:color="auto" w:fill="FFFFFF"/>
        </w:rPr>
        <w:t>Taddei</w:t>
      </w:r>
      <w:proofErr w:type="spellEnd"/>
      <w:r w:rsidRPr="00330EAC">
        <w:rPr>
          <w:rFonts w:ascii="Arial" w:hAnsi="Arial" w:cs="Arial"/>
          <w:i/>
          <w:sz w:val="20"/>
          <w:szCs w:val="20"/>
          <w:shd w:val="clear" w:color="auto" w:fill="FFFFFF"/>
        </w:rPr>
        <w:t>, M. (1977). </w:t>
      </w:r>
      <w:r w:rsidRPr="00330EAC">
        <w:rPr>
          <w:rFonts w:ascii="Arial" w:hAnsi="Arial" w:cs="Arial"/>
          <w:i/>
          <w:iCs/>
          <w:sz w:val="20"/>
          <w:szCs w:val="20"/>
          <w:shd w:val="clear" w:color="auto" w:fill="FFFFFF"/>
        </w:rPr>
        <w:t>India</w:t>
      </w:r>
      <w:r w:rsidRPr="00330EAC">
        <w:rPr>
          <w:rFonts w:ascii="Arial" w:hAnsi="Arial" w:cs="Arial"/>
          <w:i/>
          <w:sz w:val="20"/>
          <w:szCs w:val="20"/>
          <w:shd w:val="clear" w:color="auto" w:fill="FFFFFF"/>
        </w:rPr>
        <w:t>. London: Reader's Digest Association.</w:t>
      </w:r>
    </w:p>
    <w:p w:rsidR="005F5F8C" w:rsidRPr="00330EAC" w:rsidRDefault="005F5F8C" w:rsidP="00770367">
      <w:pPr>
        <w:spacing w:line="480" w:lineRule="auto"/>
        <w:rPr>
          <w:rFonts w:cstheme="minorHAnsi"/>
          <w:i/>
        </w:rPr>
      </w:pPr>
    </w:p>
    <w:p w:rsidR="00770367" w:rsidRPr="002D3A57" w:rsidRDefault="00770367" w:rsidP="00770367">
      <w:pPr>
        <w:spacing w:line="480" w:lineRule="auto"/>
        <w:rPr>
          <w:rFonts w:cstheme="minorHAnsi"/>
        </w:rPr>
      </w:pPr>
    </w:p>
    <w:sectPr w:rsidR="00770367" w:rsidRPr="002D3A5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2DF" w:rsidRDefault="00A822DF" w:rsidP="00521EE4">
      <w:pPr>
        <w:spacing w:after="0" w:line="240" w:lineRule="auto"/>
      </w:pPr>
      <w:r>
        <w:separator/>
      </w:r>
    </w:p>
  </w:endnote>
  <w:endnote w:type="continuationSeparator" w:id="0">
    <w:p w:rsidR="00A822DF" w:rsidRDefault="00A822DF" w:rsidP="00521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2DF" w:rsidRDefault="00A822DF" w:rsidP="00521EE4">
      <w:pPr>
        <w:spacing w:after="0" w:line="240" w:lineRule="auto"/>
      </w:pPr>
      <w:r>
        <w:separator/>
      </w:r>
    </w:p>
  </w:footnote>
  <w:footnote w:type="continuationSeparator" w:id="0">
    <w:p w:rsidR="00A822DF" w:rsidRDefault="00A822DF" w:rsidP="00521EE4">
      <w:pPr>
        <w:spacing w:after="0" w:line="240" w:lineRule="auto"/>
      </w:pPr>
      <w:r>
        <w:continuationSeparator/>
      </w:r>
    </w:p>
  </w:footnote>
  <w:footnote w:id="1">
    <w:p w:rsidR="00CF09BF" w:rsidRDefault="00CF09BF">
      <w:pPr>
        <w:pStyle w:val="FootnoteText"/>
      </w:pPr>
      <w:r>
        <w:rPr>
          <w:rStyle w:val="FootnoteReference"/>
        </w:rPr>
        <w:footnoteRef/>
      </w:r>
      <w:r>
        <w:t xml:space="preserve"> Parker</w:t>
      </w:r>
      <w:r w:rsidR="00770367">
        <w:t>, 2012</w:t>
      </w:r>
      <w:r>
        <w:t>: 42</w:t>
      </w:r>
    </w:p>
  </w:footnote>
  <w:footnote w:id="2">
    <w:p w:rsidR="00CF09BF" w:rsidRDefault="00CF09BF">
      <w:pPr>
        <w:pStyle w:val="FootnoteText"/>
      </w:pPr>
      <w:r>
        <w:rPr>
          <w:rStyle w:val="FootnoteReference"/>
        </w:rPr>
        <w:footnoteRef/>
      </w:r>
      <w:r>
        <w:t xml:space="preserve"> </w:t>
      </w:r>
      <w:r w:rsidR="00770367">
        <w:t>Strab</w:t>
      </w:r>
      <w:r w:rsidR="00A75234">
        <w:t>. 15: 57</w:t>
      </w:r>
    </w:p>
  </w:footnote>
  <w:footnote w:id="3">
    <w:p w:rsidR="00CF09BF" w:rsidRDefault="00CF09BF">
      <w:pPr>
        <w:pStyle w:val="FootnoteText"/>
      </w:pPr>
      <w:r>
        <w:rPr>
          <w:rStyle w:val="FootnoteReference"/>
        </w:rPr>
        <w:footnoteRef/>
      </w:r>
      <w:r>
        <w:t xml:space="preserve"> </w:t>
      </w:r>
      <w:r w:rsidR="00A75234">
        <w:t>Strab. 15: 57</w:t>
      </w:r>
    </w:p>
  </w:footnote>
  <w:footnote w:id="4">
    <w:p w:rsidR="00CF09BF" w:rsidRDefault="00CF09BF">
      <w:pPr>
        <w:pStyle w:val="FootnoteText"/>
      </w:pPr>
      <w:r>
        <w:rPr>
          <w:rStyle w:val="FootnoteReference"/>
        </w:rPr>
        <w:footnoteRef/>
      </w:r>
      <w:r w:rsidR="00A75234">
        <w:t xml:space="preserve"> </w:t>
      </w:r>
      <w:r w:rsidR="00A75234">
        <w:t>Strab. 15: 57</w:t>
      </w:r>
    </w:p>
  </w:footnote>
  <w:footnote w:id="5">
    <w:p w:rsidR="00CF09BF" w:rsidRDefault="00CF09BF">
      <w:pPr>
        <w:pStyle w:val="FootnoteText"/>
      </w:pPr>
      <w:r>
        <w:rPr>
          <w:rStyle w:val="FootnoteReference"/>
        </w:rPr>
        <w:footnoteRef/>
      </w:r>
      <w:r>
        <w:t xml:space="preserve"> Fr.XXX.B, Solin. 52. 26-80.</w:t>
      </w:r>
    </w:p>
  </w:footnote>
  <w:footnote w:id="6">
    <w:p w:rsidR="00CF09BF" w:rsidRDefault="00CF09BF">
      <w:pPr>
        <w:pStyle w:val="FootnoteText"/>
      </w:pPr>
      <w:r>
        <w:rPr>
          <w:rStyle w:val="FootnoteReference"/>
        </w:rPr>
        <w:footnoteRef/>
      </w:r>
      <w:r>
        <w:t xml:space="preserve"> Fr.XXX.B, Solin. 52. 26-80.</w:t>
      </w:r>
    </w:p>
  </w:footnote>
  <w:footnote w:id="7">
    <w:p w:rsidR="00CF09BF" w:rsidRDefault="00CF09BF">
      <w:pPr>
        <w:pStyle w:val="FootnoteText"/>
      </w:pPr>
      <w:r>
        <w:rPr>
          <w:rStyle w:val="FootnoteReference"/>
        </w:rPr>
        <w:footnoteRef/>
      </w:r>
      <w:r>
        <w:t xml:space="preserve"> Hdt. 4.191</w:t>
      </w:r>
    </w:p>
  </w:footnote>
  <w:footnote w:id="8">
    <w:p w:rsidR="00CF09BF" w:rsidRDefault="00CF09BF">
      <w:pPr>
        <w:pStyle w:val="FootnoteText"/>
      </w:pPr>
      <w:r>
        <w:rPr>
          <w:rStyle w:val="FootnoteReference"/>
        </w:rPr>
        <w:footnoteRef/>
      </w:r>
      <w:r>
        <w:t xml:space="preserve"> Ctesias 57, Photius excerpt</w:t>
      </w:r>
    </w:p>
  </w:footnote>
  <w:footnote w:id="9">
    <w:p w:rsidR="00CF09BF" w:rsidRDefault="00CF09BF">
      <w:pPr>
        <w:pStyle w:val="FootnoteText"/>
      </w:pPr>
      <w:r>
        <w:rPr>
          <w:rStyle w:val="FootnoteReference"/>
        </w:rPr>
        <w:footnoteRef/>
      </w:r>
      <w:r>
        <w:t xml:space="preserve"> Ctesias 57, Photius excerpt</w:t>
      </w:r>
    </w:p>
  </w:footnote>
  <w:footnote w:id="10">
    <w:p w:rsidR="00CF09BF" w:rsidRDefault="00CF09BF">
      <w:pPr>
        <w:pStyle w:val="FootnoteText"/>
      </w:pPr>
      <w:r>
        <w:rPr>
          <w:rStyle w:val="FootnoteReference"/>
        </w:rPr>
        <w:footnoteRef/>
      </w:r>
      <w:r>
        <w:t xml:space="preserve"> Ctesias 57, Photius excerpt</w:t>
      </w:r>
    </w:p>
  </w:footnote>
  <w:footnote w:id="11">
    <w:p w:rsidR="00CF09BF" w:rsidRDefault="00CF09BF">
      <w:pPr>
        <w:pStyle w:val="FootnoteText"/>
      </w:pPr>
      <w:r>
        <w:rPr>
          <w:rStyle w:val="FootnoteReference"/>
        </w:rPr>
        <w:footnoteRef/>
      </w:r>
      <w:r>
        <w:t xml:space="preserve"> </w:t>
      </w:r>
      <w:r w:rsidR="00A75234">
        <w:t>Strab. 15: 57</w:t>
      </w:r>
    </w:p>
  </w:footnote>
  <w:footnote w:id="12">
    <w:p w:rsidR="00CF09BF" w:rsidRDefault="00CF09BF">
      <w:pPr>
        <w:pStyle w:val="FootnoteText"/>
      </w:pPr>
      <w:r>
        <w:rPr>
          <w:rStyle w:val="FootnoteReference"/>
        </w:rPr>
        <w:footnoteRef/>
      </w:r>
      <w:r>
        <w:t xml:space="preserve"> </w:t>
      </w:r>
      <w:r w:rsidR="00A75234">
        <w:t>Strab. 15: 57</w:t>
      </w:r>
    </w:p>
  </w:footnote>
  <w:footnote w:id="13">
    <w:p w:rsidR="00CF09BF" w:rsidRDefault="00CF09BF">
      <w:pPr>
        <w:pStyle w:val="FootnoteText"/>
      </w:pPr>
      <w:r>
        <w:rPr>
          <w:rStyle w:val="FootnoteReference"/>
        </w:rPr>
        <w:footnoteRef/>
      </w:r>
      <w:r w:rsidR="00A75234">
        <w:t xml:space="preserve"> </w:t>
      </w:r>
      <w:r w:rsidR="00A75234">
        <w:t>Strab. 15: 57</w:t>
      </w:r>
    </w:p>
  </w:footnote>
  <w:footnote w:id="14">
    <w:p w:rsidR="00CF09BF" w:rsidRDefault="00CF09BF">
      <w:pPr>
        <w:pStyle w:val="FootnoteText"/>
      </w:pPr>
      <w:r>
        <w:rPr>
          <w:rStyle w:val="FootnoteReference"/>
        </w:rPr>
        <w:footnoteRef/>
      </w:r>
      <w:r w:rsidR="00A75234">
        <w:t xml:space="preserve"> </w:t>
      </w:r>
      <w:r w:rsidR="00A75234">
        <w:t>Strab. 15: 57</w:t>
      </w:r>
    </w:p>
  </w:footnote>
  <w:footnote w:id="15">
    <w:p w:rsidR="00CF09BF" w:rsidRDefault="00CF09BF">
      <w:pPr>
        <w:pStyle w:val="FootnoteText"/>
      </w:pPr>
      <w:r>
        <w:rPr>
          <w:rStyle w:val="FootnoteReference"/>
        </w:rPr>
        <w:footnoteRef/>
      </w:r>
      <w:r>
        <w:t xml:space="preserve"> </w:t>
      </w:r>
      <w:r w:rsidR="00A75234">
        <w:t>Strab. 15: 57</w:t>
      </w:r>
    </w:p>
  </w:footnote>
  <w:footnote w:id="16">
    <w:p w:rsidR="00CF09BF" w:rsidRDefault="00CF09BF">
      <w:pPr>
        <w:pStyle w:val="FootnoteText"/>
      </w:pPr>
      <w:r>
        <w:rPr>
          <w:rStyle w:val="FootnoteReference"/>
        </w:rPr>
        <w:footnoteRef/>
      </w:r>
      <w:r w:rsidR="00A75234">
        <w:t xml:space="preserve"> </w:t>
      </w:r>
      <w:r w:rsidR="00A75234">
        <w:t>Strab. 15: 57</w:t>
      </w:r>
    </w:p>
  </w:footnote>
  <w:footnote w:id="17">
    <w:p w:rsidR="00CF09BF" w:rsidRDefault="00CF09BF">
      <w:pPr>
        <w:pStyle w:val="FootnoteText"/>
      </w:pPr>
      <w:r>
        <w:rPr>
          <w:rStyle w:val="FootnoteReference"/>
        </w:rPr>
        <w:footnoteRef/>
      </w:r>
      <w:r>
        <w:t xml:space="preserve"> </w:t>
      </w:r>
      <w:r w:rsidR="00A75234">
        <w:t>Strab. 15: 57</w:t>
      </w:r>
    </w:p>
  </w:footnote>
  <w:footnote w:id="18">
    <w:p w:rsidR="00CF09BF" w:rsidRDefault="00CF09BF">
      <w:pPr>
        <w:pStyle w:val="FootnoteText"/>
      </w:pPr>
      <w:r>
        <w:rPr>
          <w:rStyle w:val="FootnoteReference"/>
        </w:rPr>
        <w:footnoteRef/>
      </w:r>
      <w:r w:rsidR="00A75234">
        <w:t xml:space="preserve"> </w:t>
      </w:r>
      <w:r w:rsidR="00A75234">
        <w:t>Strab. 15: 57</w:t>
      </w:r>
    </w:p>
  </w:footnote>
  <w:footnote w:id="19">
    <w:p w:rsidR="00CF09BF" w:rsidRDefault="00CF09BF">
      <w:pPr>
        <w:pStyle w:val="FootnoteText"/>
      </w:pPr>
      <w:r>
        <w:rPr>
          <w:rStyle w:val="FootnoteReference"/>
        </w:rPr>
        <w:footnoteRef/>
      </w:r>
      <w:r>
        <w:t xml:space="preserve"> </w:t>
      </w:r>
      <w:r w:rsidR="00A75234">
        <w:t>Strab. 15: 57</w:t>
      </w:r>
    </w:p>
  </w:footnote>
  <w:footnote w:id="20">
    <w:p w:rsidR="00CF09BF" w:rsidRPr="00170870" w:rsidRDefault="00CF09BF">
      <w:pPr>
        <w:pStyle w:val="FootnoteText"/>
        <w:rPr>
          <w:i/>
        </w:rPr>
      </w:pPr>
      <w:r>
        <w:rPr>
          <w:rStyle w:val="FootnoteReference"/>
        </w:rPr>
        <w:footnoteRef/>
      </w:r>
      <w:r>
        <w:t xml:space="preserve"> Philostratus </w:t>
      </w:r>
      <w:r>
        <w:rPr>
          <w:i/>
        </w:rPr>
        <w:t xml:space="preserve">Life of Apollonius of Tyana </w:t>
      </w:r>
      <w:r w:rsidRPr="00170870">
        <w:t>3.47</w:t>
      </w:r>
      <w:r>
        <w:rPr>
          <w:i/>
        </w:rPr>
        <w:t xml:space="preserve"> </w:t>
      </w:r>
    </w:p>
  </w:footnote>
  <w:footnote w:id="21">
    <w:p w:rsidR="00CF09BF" w:rsidRDefault="00CF09BF" w:rsidP="00CC3716">
      <w:pPr>
        <w:pStyle w:val="FootnoteText"/>
      </w:pPr>
      <w:r>
        <w:rPr>
          <w:rStyle w:val="FootnoteReference"/>
        </w:rPr>
        <w:footnoteRef/>
      </w:r>
      <w:r>
        <w:t xml:space="preserve"> Philostratus </w:t>
      </w:r>
      <w:r>
        <w:rPr>
          <w:i/>
        </w:rPr>
        <w:t xml:space="preserve">Life of Apollonius of Tyana </w:t>
      </w:r>
      <w:r w:rsidRPr="00170870">
        <w:t>3.47</w:t>
      </w:r>
    </w:p>
  </w:footnote>
  <w:footnote w:id="22">
    <w:p w:rsidR="00CF09BF" w:rsidRDefault="00CF09BF" w:rsidP="00CC3716">
      <w:pPr>
        <w:pStyle w:val="FootnoteText"/>
      </w:pPr>
      <w:r>
        <w:rPr>
          <w:rStyle w:val="FootnoteReference"/>
        </w:rPr>
        <w:footnoteRef/>
      </w:r>
      <w:r>
        <w:t xml:space="preserve"> Philostratus </w:t>
      </w:r>
      <w:r>
        <w:rPr>
          <w:i/>
        </w:rPr>
        <w:t xml:space="preserve">Life of Apollonius of Tyana </w:t>
      </w:r>
      <w:r w:rsidRPr="00170870">
        <w:t>3.47</w:t>
      </w:r>
    </w:p>
  </w:footnote>
  <w:footnote w:id="23">
    <w:p w:rsidR="00CF09BF" w:rsidRDefault="00CF09BF">
      <w:pPr>
        <w:pStyle w:val="FootnoteText"/>
      </w:pPr>
      <w:r>
        <w:rPr>
          <w:rStyle w:val="FootnoteReference"/>
        </w:rPr>
        <w:footnoteRef/>
      </w:r>
      <w:r>
        <w:t xml:space="preserve"> Parker</w:t>
      </w:r>
      <w:r w:rsidR="00770367">
        <w:t>, 2012</w:t>
      </w:r>
      <w:r>
        <w:t>: 14</w:t>
      </w:r>
    </w:p>
  </w:footnote>
  <w:footnote w:id="24">
    <w:p w:rsidR="003D69F7" w:rsidRDefault="003D69F7">
      <w:pPr>
        <w:pStyle w:val="FootnoteText"/>
      </w:pPr>
      <w:r>
        <w:rPr>
          <w:rStyle w:val="FootnoteReference"/>
        </w:rPr>
        <w:footnoteRef/>
      </w:r>
      <w:r>
        <w:t xml:space="preserve"> </w:t>
      </w:r>
      <w:r w:rsidR="00E2721D">
        <w:t xml:space="preserve">Philostratus </w:t>
      </w:r>
      <w:r w:rsidR="00E2721D">
        <w:rPr>
          <w:i/>
        </w:rPr>
        <w:t xml:space="preserve">Life of Apollonius of Tyana </w:t>
      </w:r>
      <w:r w:rsidR="00E2721D" w:rsidRPr="00170870">
        <w:t>3.47</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09BF" w:rsidRDefault="00CF09BF">
    <w:pPr>
      <w:pStyle w:val="Header"/>
    </w:pPr>
    <w:r>
      <w:t>Joe Harvey</w:t>
    </w:r>
  </w:p>
  <w:p w:rsidR="00CF09BF" w:rsidRDefault="00CF09BF">
    <w:pPr>
      <w:pStyle w:val="Header"/>
    </w:pPr>
    <w:r>
      <w:t>1501402</w:t>
    </w:r>
  </w:p>
  <w:p w:rsidR="00CF09BF" w:rsidRDefault="00CF0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B5216"/>
    <w:multiLevelType w:val="hybridMultilevel"/>
    <w:tmpl w:val="C2AE0E1A"/>
    <w:lvl w:ilvl="0" w:tplc="EAD806CA">
      <w:start w:val="1"/>
      <w:numFmt w:val="bullet"/>
      <w:lvlText w:val="-"/>
      <w:lvlJc w:val="left"/>
      <w:pPr>
        <w:ind w:left="720" w:hanging="360"/>
      </w:pPr>
      <w:rPr>
        <w:rFonts w:ascii="Arial" w:eastAsiaTheme="minorHAnsi" w:hAnsi="Arial" w:cs="Arial" w:hint="default"/>
        <w:color w:val="66666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05E43"/>
    <w:multiLevelType w:val="hybridMultilevel"/>
    <w:tmpl w:val="99606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969"/>
    <w:rsid w:val="00040EB9"/>
    <w:rsid w:val="000848D6"/>
    <w:rsid w:val="000C4AE4"/>
    <w:rsid w:val="00117969"/>
    <w:rsid w:val="00152416"/>
    <w:rsid w:val="00170870"/>
    <w:rsid w:val="00235A46"/>
    <w:rsid w:val="00254EA8"/>
    <w:rsid w:val="0025721F"/>
    <w:rsid w:val="002D3A57"/>
    <w:rsid w:val="003250D9"/>
    <w:rsid w:val="00330C68"/>
    <w:rsid w:val="00330EAC"/>
    <w:rsid w:val="0037739E"/>
    <w:rsid w:val="003920FD"/>
    <w:rsid w:val="003B64F8"/>
    <w:rsid w:val="003D69F7"/>
    <w:rsid w:val="00474E05"/>
    <w:rsid w:val="004F4514"/>
    <w:rsid w:val="00521EE4"/>
    <w:rsid w:val="00522518"/>
    <w:rsid w:val="00522D2C"/>
    <w:rsid w:val="00593CCD"/>
    <w:rsid w:val="00594174"/>
    <w:rsid w:val="005B1CCB"/>
    <w:rsid w:val="005F5F8C"/>
    <w:rsid w:val="00607FCE"/>
    <w:rsid w:val="00616FA3"/>
    <w:rsid w:val="006855A9"/>
    <w:rsid w:val="006F4FF3"/>
    <w:rsid w:val="007106F6"/>
    <w:rsid w:val="0073342A"/>
    <w:rsid w:val="007533F2"/>
    <w:rsid w:val="00770367"/>
    <w:rsid w:val="007A3956"/>
    <w:rsid w:val="007B1892"/>
    <w:rsid w:val="00804300"/>
    <w:rsid w:val="00821982"/>
    <w:rsid w:val="0085083B"/>
    <w:rsid w:val="008A3246"/>
    <w:rsid w:val="008B545F"/>
    <w:rsid w:val="008C1461"/>
    <w:rsid w:val="008F353F"/>
    <w:rsid w:val="009258A0"/>
    <w:rsid w:val="00952175"/>
    <w:rsid w:val="00966CF5"/>
    <w:rsid w:val="009A75E2"/>
    <w:rsid w:val="00A75234"/>
    <w:rsid w:val="00A822DF"/>
    <w:rsid w:val="00AA77A2"/>
    <w:rsid w:val="00AB13C1"/>
    <w:rsid w:val="00AB2AEF"/>
    <w:rsid w:val="00B5099B"/>
    <w:rsid w:val="00BB1538"/>
    <w:rsid w:val="00BB31F0"/>
    <w:rsid w:val="00CC3716"/>
    <w:rsid w:val="00CF09BF"/>
    <w:rsid w:val="00D134D1"/>
    <w:rsid w:val="00DA01FC"/>
    <w:rsid w:val="00DA2622"/>
    <w:rsid w:val="00E02931"/>
    <w:rsid w:val="00E2721D"/>
    <w:rsid w:val="00E421B7"/>
    <w:rsid w:val="00E662E8"/>
    <w:rsid w:val="00E827B6"/>
    <w:rsid w:val="00E84961"/>
    <w:rsid w:val="00EA3A4A"/>
    <w:rsid w:val="00EB3CC4"/>
    <w:rsid w:val="00EF271D"/>
    <w:rsid w:val="00F16643"/>
    <w:rsid w:val="00F37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80D6"/>
  <w15:chartTrackingRefBased/>
  <w15:docId w15:val="{9B91D3B6-5C2E-4E5D-ADAF-591600692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E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EE4"/>
  </w:style>
  <w:style w:type="paragraph" w:styleId="Footer">
    <w:name w:val="footer"/>
    <w:basedOn w:val="Normal"/>
    <w:link w:val="FooterChar"/>
    <w:uiPriority w:val="99"/>
    <w:unhideWhenUsed/>
    <w:rsid w:val="00521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EE4"/>
  </w:style>
  <w:style w:type="paragraph" w:styleId="ListParagraph">
    <w:name w:val="List Paragraph"/>
    <w:basedOn w:val="Normal"/>
    <w:uiPriority w:val="34"/>
    <w:qFormat/>
    <w:rsid w:val="00474E05"/>
    <w:pPr>
      <w:ind w:left="720"/>
      <w:contextualSpacing/>
    </w:pPr>
  </w:style>
  <w:style w:type="paragraph" w:styleId="FootnoteText">
    <w:name w:val="footnote text"/>
    <w:basedOn w:val="Normal"/>
    <w:link w:val="FootnoteTextChar"/>
    <w:uiPriority w:val="99"/>
    <w:semiHidden/>
    <w:unhideWhenUsed/>
    <w:rsid w:val="00AA77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77A2"/>
    <w:rPr>
      <w:sz w:val="20"/>
      <w:szCs w:val="20"/>
    </w:rPr>
  </w:style>
  <w:style w:type="character" w:styleId="FootnoteReference">
    <w:name w:val="footnote reference"/>
    <w:basedOn w:val="DefaultParagraphFont"/>
    <w:uiPriority w:val="99"/>
    <w:semiHidden/>
    <w:unhideWhenUsed/>
    <w:rsid w:val="00AA77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7</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Harvey (1501402)</dc:creator>
  <cp:keywords/>
  <dc:description/>
  <cp:lastModifiedBy>Joseph Harvey (1501402)</cp:lastModifiedBy>
  <cp:revision>49</cp:revision>
  <dcterms:created xsi:type="dcterms:W3CDTF">2018-01-19T09:36:00Z</dcterms:created>
  <dcterms:modified xsi:type="dcterms:W3CDTF">2018-01-19T15:12:00Z</dcterms:modified>
</cp:coreProperties>
</file>