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header1.xml" ContentType="application/vnd.openxmlformats-officedocument.wordprocessingml.header+xml"/>
  <Override PartName="/word/numbering.xml" ContentType="application/vnd.openxmlformats-officedocument.wordprocessingml.numbering+xml"/>
  <Override PartName="/word/footer2.xml" ContentType="application/vnd.openxmlformats-officedocument.wordprocessingml.footer+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lineRule="auto" w:line="360"/>
        <w:jc w:val="center"/>
        <w:rPr>
          <w:b/>
          <w:bCs/>
          <w:sz w:val="32"/>
          <w:szCs w:val="32"/>
        </w:rPr>
      </w:pPr>
      <w:r>
        <w:rPr>
          <w:b/>
          <w:bCs/>
          <w:noProof/>
          <w:sz w:val="32"/>
          <w:szCs w:val="32"/>
        </w:rPr>
        <w:drawing>
          <wp:inline distL="0" distT="0" distB="0" distR="0">
            <wp:extent cx="2619375" cy="1152525"/>
            <wp:effectExtent l="0" t="0" r="0" b="0"/>
            <wp:docPr id="1026"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2" cstate="print"/>
                    <a:srcRect l="0" t="0" r="0" b="0"/>
                    <a:stretch/>
                  </pic:blipFill>
                  <pic:spPr>
                    <a:xfrm rot="0">
                      <a:off x="0" y="0"/>
                      <a:ext cx="2619375" cy="1152525"/>
                    </a:xfrm>
                    <a:prstGeom prst="rect"/>
                    <a:ln cmpd="sng" cap="flat" w="9525">
                      <a:solidFill>
                        <a:srgbClr val="000000"/>
                      </a:solidFill>
                      <a:prstDash val="solid"/>
                      <a:round/>
                      <a:headEnd/>
                      <a:tailEnd/>
                    </a:ln>
                  </pic:spPr>
                </pic:pic>
              </a:graphicData>
            </a:graphic>
          </wp:inline>
        </w:drawing>
      </w:r>
    </w:p>
    <w:p>
      <w:pPr>
        <w:pStyle w:val="style0"/>
        <w:spacing w:lineRule="auto" w:line="360"/>
        <w:jc w:val="center"/>
        <w:rPr>
          <w:b/>
          <w:bCs/>
          <w:sz w:val="32"/>
          <w:szCs w:val="32"/>
        </w:rPr>
      </w:pPr>
      <w:r>
        <w:rPr>
          <w:b/>
          <w:bCs/>
          <w:sz w:val="32"/>
          <w:szCs w:val="32"/>
        </w:rPr>
        <w:t>Integrated Human Capital Blueprint</w:t>
      </w:r>
    </w:p>
    <w:p>
      <w:pPr>
        <w:pStyle w:val="style0"/>
        <w:spacing w:lineRule="auto" w:line="360"/>
        <w:jc w:val="center"/>
        <w:rPr>
          <w:b/>
          <w:bCs/>
          <w:sz w:val="32"/>
          <w:szCs w:val="32"/>
        </w:rPr>
      </w:pPr>
    </w:p>
    <w:p>
      <w:pPr>
        <w:pStyle w:val="style0"/>
        <w:spacing w:lineRule="auto" w:line="360"/>
        <w:jc w:val="center"/>
        <w:rPr>
          <w:b/>
          <w:bCs/>
          <w:sz w:val="32"/>
          <w:szCs w:val="32"/>
        </w:rPr>
      </w:pPr>
      <w:r>
        <w:rPr>
          <w:b/>
          <w:bCs/>
          <w:sz w:val="32"/>
          <w:szCs w:val="32"/>
        </w:rPr>
        <w:t xml:space="preserve">Program:Master of business administration </w:t>
      </w:r>
    </w:p>
    <w:p>
      <w:pPr>
        <w:pStyle w:val="style0"/>
        <w:spacing w:lineRule="auto" w:line="360"/>
        <w:jc w:val="center"/>
        <w:rPr>
          <w:b/>
          <w:bCs/>
          <w:sz w:val="32"/>
          <w:szCs w:val="32"/>
        </w:rPr>
      </w:pPr>
    </w:p>
    <w:p>
      <w:pPr>
        <w:pStyle w:val="style0"/>
        <w:spacing w:lineRule="auto" w:line="360"/>
        <w:jc w:val="center"/>
        <w:rPr>
          <w:b/>
          <w:bCs/>
          <w:sz w:val="32"/>
          <w:szCs w:val="32"/>
        </w:rPr>
      </w:pPr>
      <w:r>
        <w:rPr>
          <w:b/>
          <w:bCs/>
          <w:sz w:val="32"/>
          <w:szCs w:val="32"/>
        </w:rPr>
        <w:t>Module name and code: Human capital management (LCMB7023)</w:t>
      </w:r>
    </w:p>
    <w:p>
      <w:pPr>
        <w:pStyle w:val="style0"/>
        <w:spacing w:lineRule="auto" w:line="360"/>
        <w:jc w:val="center"/>
        <w:rPr>
          <w:b/>
          <w:bCs/>
          <w:sz w:val="32"/>
          <w:szCs w:val="32"/>
        </w:rPr>
      </w:pPr>
      <w:r>
        <w:rPr>
          <w:b/>
          <w:bCs/>
          <w:sz w:val="32"/>
          <w:szCs w:val="32"/>
        </w:rPr>
        <w:t xml:space="preserve"> </w:t>
      </w:r>
    </w:p>
    <w:p>
      <w:pPr>
        <w:pStyle w:val="style0"/>
        <w:spacing w:lineRule="auto" w:line="360"/>
        <w:jc w:val="center"/>
        <w:rPr>
          <w:b/>
          <w:bCs/>
          <w:sz w:val="32"/>
          <w:szCs w:val="32"/>
        </w:rPr>
      </w:pPr>
      <w:r>
        <w:rPr>
          <w:b/>
          <w:bCs/>
          <w:sz w:val="32"/>
          <w:szCs w:val="32"/>
        </w:rPr>
        <w:t>Assessment Title-component1: individual report- HR Strategy Based on option 2: Building a culture of Innovation &amp; Future Work Practices</w:t>
      </w:r>
    </w:p>
    <w:p>
      <w:pPr>
        <w:pStyle w:val="style0"/>
        <w:spacing w:lineRule="auto" w:line="360"/>
        <w:jc w:val="center"/>
        <w:rPr>
          <w:b/>
          <w:bCs/>
          <w:sz w:val="32"/>
          <w:szCs w:val="32"/>
        </w:rPr>
      </w:pPr>
    </w:p>
    <w:p>
      <w:pPr>
        <w:pStyle w:val="style0"/>
        <w:spacing w:lineRule="auto" w:line="360"/>
        <w:jc w:val="center"/>
        <w:rPr>
          <w:b/>
          <w:bCs/>
          <w:sz w:val="32"/>
          <w:szCs w:val="32"/>
        </w:rPr>
      </w:pPr>
      <w:r>
        <w:rPr>
          <w:b/>
          <w:bCs/>
          <w:sz w:val="32"/>
          <w:szCs w:val="32"/>
        </w:rPr>
        <w:t>Lecturer Name:Gladius Kulothungan,Ejike Udeogu</w:t>
      </w:r>
    </w:p>
    <w:p>
      <w:pPr>
        <w:pStyle w:val="style0"/>
        <w:spacing w:lineRule="auto" w:line="360"/>
        <w:jc w:val="center"/>
        <w:rPr>
          <w:b/>
          <w:bCs/>
          <w:sz w:val="32"/>
          <w:szCs w:val="32"/>
        </w:rPr>
      </w:pPr>
      <w:r>
        <w:rPr>
          <w:b/>
          <w:bCs/>
          <w:sz w:val="32"/>
          <w:szCs w:val="32"/>
        </w:rPr>
        <w:t>Student Name:Sajil Salimbhai Vahora</w:t>
      </w:r>
    </w:p>
    <w:p>
      <w:pPr>
        <w:pStyle w:val="style0"/>
        <w:spacing w:lineRule="auto" w:line="360"/>
        <w:jc w:val="center"/>
        <w:rPr>
          <w:b/>
          <w:bCs/>
          <w:sz w:val="32"/>
          <w:szCs w:val="32"/>
        </w:rPr>
      </w:pPr>
      <w:r>
        <w:rPr>
          <w:b/>
          <w:bCs/>
          <w:sz w:val="32"/>
          <w:szCs w:val="32"/>
        </w:rPr>
        <w:t>Student ID:2532951</w:t>
      </w:r>
    </w:p>
    <w:p>
      <w:pPr>
        <w:pStyle w:val="style0"/>
        <w:spacing w:lineRule="auto" w:line="360"/>
        <w:jc w:val="center"/>
        <w:rPr>
          <w:b/>
          <w:bCs/>
          <w:sz w:val="32"/>
          <w:szCs w:val="32"/>
        </w:rPr>
      </w:pPr>
      <w:r>
        <w:rPr>
          <w:b/>
          <w:bCs/>
          <w:sz w:val="32"/>
          <w:szCs w:val="32"/>
        </w:rPr>
        <w:t>Word count:2502</w:t>
      </w:r>
    </w:p>
    <w:p>
      <w:pPr>
        <w:pStyle w:val="style0"/>
        <w:spacing w:lineRule="auto" w:line="360"/>
        <w:jc w:val="center"/>
        <w:rPr>
          <w:b/>
          <w:bCs/>
          <w:sz w:val="32"/>
          <w:szCs w:val="32"/>
        </w:rPr>
      </w:pPr>
      <w:r>
        <w:rPr>
          <w:b/>
          <w:bCs/>
          <w:sz w:val="32"/>
          <w:szCs w:val="32"/>
        </w:rPr>
        <w:t>Date of Submission:19/03/2026</w:t>
      </w:r>
    </w:p>
    <w:p>
      <w:pPr>
        <w:pStyle w:val="style0"/>
        <w:spacing w:lineRule="auto" w:line="360"/>
        <w:jc w:val="center"/>
        <w:rPr>
          <w:b/>
          <w:bCs/>
          <w:sz w:val="32"/>
          <w:szCs w:val="32"/>
        </w:rPr>
      </w:pPr>
      <w:r>
        <w:br w:type="page"/>
      </w:r>
    </w:p>
    <w:p>
      <w:pPr>
        <w:pStyle w:val="style0"/>
        <w:spacing w:lineRule="auto" w:line="360"/>
        <w:jc w:val="center"/>
        <w:rPr>
          <w:b/>
          <w:bCs/>
        </w:rPr>
      </w:pPr>
      <w:r>
        <w:rPr>
          <w:b/>
          <w:bCs/>
        </w:rPr>
        <w:t>Table of Content</w:t>
      </w:r>
    </w:p>
    <w:p>
      <w:pPr>
        <w:pStyle w:val="style19"/>
        <w:tabs>
          <w:tab w:val="right" w:leader="none" w:pos="9019"/>
        </w:tabs>
        <w:spacing w:lineRule="auto" w:line="360"/>
        <w:rPr>
          <w:noProof/>
        </w:rPr>
      </w:pPr>
      <w:r>
        <w:rPr/>
        <w:fldChar w:fldCharType="begin"/>
      </w:r>
      <w:r>
        <w:instrText xml:space="preserve"> TOC \h \u \z \t "Heading 1,1,Heading 2,2,Heading 3,3,Heading 4,4,Heading 5,5,Heading 6,6,"</w:instrText>
      </w:r>
      <w:r>
        <w:rPr/>
        <w:fldChar w:fldCharType="separate"/>
      </w:r>
      <w:r>
        <w:rPr/>
        <w:fldChar w:fldCharType="begin"/>
      </w:r>
      <w:r>
        <w:instrText xml:space="preserve"> HYPERLINK \l "_Toc224806517" </w:instrText>
      </w:r>
      <w:r>
        <w:rPr/>
        <w:fldChar w:fldCharType="separate"/>
      </w:r>
      <w:r>
        <w:rPr>
          <w:rStyle w:val="style85"/>
          <w:noProof/>
        </w:rPr>
        <w:t>1. Introduction</w:t>
      </w:r>
      <w:r>
        <w:rPr>
          <w:noProof/>
          <w:webHidden/>
        </w:rPr>
        <w:tab/>
      </w:r>
      <w:r>
        <w:rPr>
          <w:noProof/>
          <w:webHidden/>
        </w:rPr>
        <w:fldChar w:fldCharType="begin"/>
      </w:r>
      <w:r>
        <w:rPr>
          <w:noProof/>
          <w:webHidden/>
        </w:rPr>
        <w:instrText xml:space="preserve"> PAGEREF _Toc224806517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none" w:pos="9019"/>
        </w:tabs>
        <w:spacing w:lineRule="auto" w:line="360"/>
        <w:rPr>
          <w:noProof/>
        </w:rPr>
      </w:pPr>
      <w:r>
        <w:rPr/>
        <w:fldChar w:fldCharType="begin"/>
      </w:r>
      <w:r>
        <w:instrText xml:space="preserve"> HYPERLINK \l "_Toc224806518" </w:instrText>
      </w:r>
      <w:r>
        <w:rPr/>
        <w:fldChar w:fldCharType="separate"/>
      </w:r>
      <w:r>
        <w:rPr>
          <w:rStyle w:val="style85"/>
          <w:noProof/>
        </w:rPr>
        <w:t>2. PART 1: Building a Culture of Innovation &amp; Future Work Practices</w:t>
      </w:r>
      <w:r>
        <w:rPr>
          <w:noProof/>
          <w:webHidden/>
        </w:rPr>
        <w:tab/>
      </w:r>
      <w:r>
        <w:rPr>
          <w:noProof/>
          <w:webHidden/>
        </w:rPr>
        <w:fldChar w:fldCharType="begin"/>
      </w:r>
      <w:r>
        <w:rPr>
          <w:noProof/>
          <w:webHidden/>
        </w:rPr>
        <w:instrText xml:space="preserve"> PAGEREF _Toc224806518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none" w:pos="9019"/>
        </w:tabs>
        <w:spacing w:lineRule="auto" w:line="360"/>
        <w:rPr>
          <w:noProof/>
        </w:rPr>
      </w:pPr>
      <w:r>
        <w:rPr/>
        <w:fldChar w:fldCharType="begin"/>
      </w:r>
      <w:r>
        <w:instrText xml:space="preserve"> HYPERLINK \l "_Toc224806519" </w:instrText>
      </w:r>
      <w:r>
        <w:rPr/>
        <w:fldChar w:fldCharType="separate"/>
      </w:r>
      <w:r>
        <w:rPr>
          <w:rStyle w:val="style85"/>
          <w:noProof/>
        </w:rPr>
        <w:t>2.1 The Culture and Work practices dominating Tech Companies</w:t>
      </w:r>
      <w:r>
        <w:rPr>
          <w:noProof/>
          <w:webHidden/>
        </w:rPr>
        <w:tab/>
      </w:r>
      <w:r>
        <w:rPr>
          <w:noProof/>
          <w:webHidden/>
        </w:rPr>
        <w:fldChar w:fldCharType="begin"/>
      </w:r>
      <w:r>
        <w:rPr>
          <w:noProof/>
          <w:webHidden/>
        </w:rPr>
        <w:instrText xml:space="preserve"> PAGEREF _Toc224806519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none" w:pos="9019"/>
        </w:tabs>
        <w:spacing w:lineRule="auto" w:line="360"/>
        <w:rPr>
          <w:noProof/>
        </w:rPr>
      </w:pPr>
      <w:r>
        <w:rPr/>
        <w:fldChar w:fldCharType="begin"/>
      </w:r>
      <w:r>
        <w:instrText xml:space="preserve"> HYPERLINK \l "_Toc224806520" </w:instrText>
      </w:r>
      <w:r>
        <w:rPr/>
        <w:fldChar w:fldCharType="separate"/>
      </w:r>
      <w:r>
        <w:rPr>
          <w:rStyle w:val="style85"/>
          <w:noProof/>
        </w:rPr>
        <w:t>2.2. Cultural and Structural Innovative Initiatives</w:t>
      </w:r>
      <w:r>
        <w:rPr>
          <w:noProof/>
          <w:webHidden/>
        </w:rPr>
        <w:tab/>
      </w:r>
      <w:r>
        <w:rPr>
          <w:noProof/>
          <w:webHidden/>
        </w:rPr>
        <w:fldChar w:fldCharType="begin"/>
      </w:r>
      <w:r>
        <w:rPr>
          <w:noProof/>
          <w:webHidden/>
        </w:rPr>
        <w:instrText xml:space="preserve"> PAGEREF _Toc224806520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none" w:pos="9019"/>
        </w:tabs>
        <w:spacing w:lineRule="auto" w:line="360"/>
        <w:rPr>
          <w:noProof/>
        </w:rPr>
      </w:pPr>
      <w:r>
        <w:rPr/>
        <w:fldChar w:fldCharType="begin"/>
      </w:r>
      <w:r>
        <w:instrText xml:space="preserve"> HYPERLINK \l "_Toc224806521" </w:instrText>
      </w:r>
      <w:r>
        <w:rPr/>
        <w:fldChar w:fldCharType="separate"/>
      </w:r>
      <w:r>
        <w:rPr>
          <w:rStyle w:val="style85"/>
          <w:noProof/>
        </w:rPr>
        <w:t>2.3 Future of Work Model</w:t>
      </w:r>
      <w:r>
        <w:rPr>
          <w:noProof/>
          <w:webHidden/>
        </w:rPr>
        <w:tab/>
      </w:r>
      <w:r>
        <w:rPr>
          <w:noProof/>
          <w:webHidden/>
        </w:rPr>
        <w:fldChar w:fldCharType="begin"/>
      </w:r>
      <w:r>
        <w:rPr>
          <w:noProof/>
          <w:webHidden/>
        </w:rPr>
        <w:instrText xml:space="preserve"> PAGEREF _Toc224806521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none" w:pos="9019"/>
        </w:tabs>
        <w:spacing w:lineRule="auto" w:line="360"/>
        <w:rPr>
          <w:noProof/>
        </w:rPr>
      </w:pPr>
      <w:r>
        <w:rPr/>
        <w:fldChar w:fldCharType="begin"/>
      </w:r>
      <w:r>
        <w:instrText xml:space="preserve"> HYPERLINK \l "_Toc224806522" </w:instrText>
      </w:r>
      <w:r>
        <w:rPr/>
        <w:fldChar w:fldCharType="separate"/>
      </w:r>
      <w:r>
        <w:rPr>
          <w:rStyle w:val="style85"/>
          <w:noProof/>
        </w:rPr>
        <w:t>2.4 Motivation and Performance Results</w:t>
      </w:r>
      <w:r>
        <w:rPr>
          <w:noProof/>
          <w:webHidden/>
        </w:rPr>
        <w:tab/>
      </w:r>
      <w:r>
        <w:rPr>
          <w:noProof/>
          <w:webHidden/>
        </w:rPr>
        <w:fldChar w:fldCharType="begin"/>
      </w:r>
      <w:r>
        <w:rPr>
          <w:noProof/>
          <w:webHidden/>
        </w:rPr>
        <w:instrText xml:space="preserve"> PAGEREF _Toc224806522 \h </w:instrText>
      </w:r>
      <w:r>
        <w:rPr>
          <w:noProof/>
          <w:webHidden/>
        </w:rPr>
        <w:fldChar w:fldCharType="separate"/>
      </w:r>
      <w:r>
        <w:rPr>
          <w:noProof/>
          <w:webHidden/>
        </w:rPr>
        <w:t>7</w:t>
      </w:r>
      <w:r>
        <w:rPr>
          <w:noProof/>
          <w:webHidden/>
        </w:rPr>
        <w:fldChar w:fldCharType="end"/>
      </w:r>
      <w:r>
        <w:rPr/>
        <w:fldChar w:fldCharType="end"/>
      </w:r>
    </w:p>
    <w:p>
      <w:pPr>
        <w:pStyle w:val="style19"/>
        <w:tabs>
          <w:tab w:val="right" w:leader="none" w:pos="9019"/>
        </w:tabs>
        <w:spacing w:lineRule="auto" w:line="360"/>
        <w:rPr>
          <w:noProof/>
        </w:rPr>
      </w:pPr>
      <w:r>
        <w:rPr/>
        <w:fldChar w:fldCharType="begin"/>
      </w:r>
      <w:r>
        <w:instrText xml:space="preserve"> HYPERLINK \l "_Toc224806523" </w:instrText>
      </w:r>
      <w:r>
        <w:rPr/>
        <w:fldChar w:fldCharType="separate"/>
      </w:r>
      <w:r>
        <w:rPr>
          <w:rStyle w:val="style85"/>
          <w:noProof/>
        </w:rPr>
        <w:t>3. PART 2: Reflective Section</w:t>
      </w:r>
      <w:r>
        <w:rPr>
          <w:noProof/>
          <w:webHidden/>
        </w:rPr>
        <w:tab/>
      </w:r>
      <w:r>
        <w:rPr>
          <w:noProof/>
          <w:webHidden/>
        </w:rPr>
        <w:fldChar w:fldCharType="begin"/>
      </w:r>
      <w:r>
        <w:rPr>
          <w:noProof/>
          <w:webHidden/>
        </w:rPr>
        <w:instrText xml:space="preserve"> PAGEREF _Toc224806523 \h </w:instrText>
      </w:r>
      <w:r>
        <w:rPr>
          <w:noProof/>
          <w:webHidden/>
        </w:rPr>
        <w:fldChar w:fldCharType="separate"/>
      </w:r>
      <w:r>
        <w:rPr>
          <w:noProof/>
          <w:webHidden/>
        </w:rPr>
        <w:t>8</w:t>
      </w:r>
      <w:r>
        <w:rPr>
          <w:noProof/>
          <w:webHidden/>
        </w:rPr>
        <w:fldChar w:fldCharType="end"/>
      </w:r>
      <w:r>
        <w:rPr/>
        <w:fldChar w:fldCharType="end"/>
      </w:r>
    </w:p>
    <w:p>
      <w:pPr>
        <w:pStyle w:val="style20"/>
        <w:tabs>
          <w:tab w:val="right" w:leader="none" w:pos="9019"/>
        </w:tabs>
        <w:spacing w:lineRule="auto" w:line="360"/>
        <w:rPr>
          <w:noProof/>
        </w:rPr>
      </w:pPr>
      <w:r>
        <w:rPr/>
        <w:fldChar w:fldCharType="begin"/>
      </w:r>
      <w:r>
        <w:instrText xml:space="preserve"> HYPERLINK \l "_Toc224806524" </w:instrText>
      </w:r>
      <w:r>
        <w:rPr/>
        <w:fldChar w:fldCharType="separate"/>
      </w:r>
      <w:r>
        <w:rPr>
          <w:rStyle w:val="style85"/>
          <w:noProof/>
        </w:rPr>
        <w:t>3.1 Reflective Learning Gibbs Reflective Cycle</w:t>
      </w:r>
      <w:r>
        <w:rPr>
          <w:noProof/>
          <w:webHidden/>
        </w:rPr>
        <w:tab/>
      </w:r>
      <w:r>
        <w:rPr>
          <w:noProof/>
          <w:webHidden/>
        </w:rPr>
        <w:fldChar w:fldCharType="begin"/>
      </w:r>
      <w:r>
        <w:rPr>
          <w:noProof/>
          <w:webHidden/>
        </w:rPr>
        <w:instrText xml:space="preserve"> PAGEREF _Toc224806524 \h </w:instrText>
      </w:r>
      <w:r>
        <w:rPr>
          <w:noProof/>
          <w:webHidden/>
        </w:rPr>
        <w:fldChar w:fldCharType="separate"/>
      </w:r>
      <w:r>
        <w:rPr>
          <w:noProof/>
          <w:webHidden/>
        </w:rPr>
        <w:t>8</w:t>
      </w:r>
      <w:r>
        <w:rPr>
          <w:noProof/>
          <w:webHidden/>
        </w:rPr>
        <w:fldChar w:fldCharType="end"/>
      </w:r>
      <w:r>
        <w:rPr/>
        <w:fldChar w:fldCharType="end"/>
      </w:r>
    </w:p>
    <w:p>
      <w:pPr>
        <w:pStyle w:val="style20"/>
        <w:tabs>
          <w:tab w:val="right" w:leader="none" w:pos="9019"/>
        </w:tabs>
        <w:spacing w:lineRule="auto" w:line="360"/>
        <w:rPr>
          <w:noProof/>
        </w:rPr>
      </w:pPr>
      <w:r>
        <w:rPr/>
        <w:fldChar w:fldCharType="begin"/>
      </w:r>
      <w:r>
        <w:instrText xml:space="preserve"> HYPERLINK \l "_Toc224806525" </w:instrText>
      </w:r>
      <w:r>
        <w:rPr/>
        <w:fldChar w:fldCharType="separate"/>
      </w:r>
      <w:r>
        <w:rPr>
          <w:rStyle w:val="style85"/>
          <w:noProof/>
        </w:rPr>
        <w:t>3.2 AI and Future Future Careers Relevance</w:t>
      </w:r>
      <w:r>
        <w:rPr>
          <w:noProof/>
          <w:webHidden/>
        </w:rPr>
        <w:tab/>
      </w:r>
      <w:r>
        <w:rPr>
          <w:noProof/>
          <w:webHidden/>
        </w:rPr>
        <w:fldChar w:fldCharType="begin"/>
      </w:r>
      <w:r>
        <w:rPr>
          <w:noProof/>
          <w:webHidden/>
        </w:rPr>
        <w:instrText xml:space="preserve"> PAGEREF _Toc224806525 \h </w:instrText>
      </w:r>
      <w:r>
        <w:rPr>
          <w:noProof/>
          <w:webHidden/>
        </w:rPr>
        <w:fldChar w:fldCharType="separate"/>
      </w:r>
      <w:r>
        <w:rPr>
          <w:noProof/>
          <w:webHidden/>
        </w:rPr>
        <w:t>10</w:t>
      </w:r>
      <w:r>
        <w:rPr>
          <w:noProof/>
          <w:webHidden/>
        </w:rPr>
        <w:fldChar w:fldCharType="end"/>
      </w:r>
      <w:r>
        <w:rPr/>
        <w:fldChar w:fldCharType="end"/>
      </w:r>
    </w:p>
    <w:p>
      <w:pPr>
        <w:pStyle w:val="style19"/>
        <w:tabs>
          <w:tab w:val="right" w:leader="none" w:pos="9019"/>
        </w:tabs>
        <w:spacing w:lineRule="auto" w:line="360"/>
        <w:rPr>
          <w:noProof/>
        </w:rPr>
      </w:pPr>
      <w:r>
        <w:rPr/>
        <w:fldChar w:fldCharType="begin"/>
      </w:r>
      <w:r>
        <w:instrText xml:space="preserve"> HYPERLINK \l "_Toc224806526" </w:instrText>
      </w:r>
      <w:r>
        <w:rPr/>
        <w:fldChar w:fldCharType="separate"/>
      </w:r>
      <w:r>
        <w:rPr>
          <w:rStyle w:val="style85"/>
          <w:noProof/>
        </w:rPr>
        <w:t>4. Conclusion</w:t>
      </w:r>
      <w:r>
        <w:rPr>
          <w:noProof/>
          <w:webHidden/>
        </w:rPr>
        <w:tab/>
      </w:r>
      <w:r>
        <w:rPr>
          <w:noProof/>
          <w:webHidden/>
        </w:rPr>
        <w:fldChar w:fldCharType="begin"/>
      </w:r>
      <w:r>
        <w:rPr>
          <w:noProof/>
          <w:webHidden/>
        </w:rPr>
        <w:instrText xml:space="preserve"> PAGEREF _Toc224806526 \h </w:instrText>
      </w:r>
      <w:r>
        <w:rPr>
          <w:noProof/>
          <w:webHidden/>
        </w:rPr>
        <w:fldChar w:fldCharType="separate"/>
      </w:r>
      <w:r>
        <w:rPr>
          <w:noProof/>
          <w:webHidden/>
        </w:rPr>
        <w:t>11</w:t>
      </w:r>
      <w:r>
        <w:rPr>
          <w:noProof/>
          <w:webHidden/>
        </w:rPr>
        <w:fldChar w:fldCharType="end"/>
      </w:r>
      <w:r>
        <w:rPr/>
        <w:fldChar w:fldCharType="end"/>
      </w:r>
    </w:p>
    <w:p>
      <w:pPr>
        <w:pStyle w:val="style19"/>
        <w:tabs>
          <w:tab w:val="right" w:leader="none" w:pos="9019"/>
        </w:tabs>
        <w:spacing w:lineRule="auto" w:line="360"/>
        <w:rPr>
          <w:noProof/>
        </w:rPr>
      </w:pPr>
      <w:r>
        <w:rPr/>
        <w:fldChar w:fldCharType="begin"/>
      </w:r>
      <w:r>
        <w:instrText xml:space="preserve"> HYPERLINK \l "_Toc224806527"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_Toc224806527 \h </w:instrText>
      </w:r>
      <w:r>
        <w:rPr>
          <w:noProof/>
          <w:webHidden/>
        </w:rPr>
        <w:fldChar w:fldCharType="separate"/>
      </w:r>
      <w:r>
        <w:rPr>
          <w:noProof/>
          <w:webHidden/>
        </w:rPr>
        <w:t>13</w:t>
      </w:r>
      <w:r>
        <w:rPr>
          <w:noProof/>
          <w:webHidden/>
        </w:rPr>
        <w:fldChar w:fldCharType="end"/>
      </w:r>
      <w:r>
        <w:rPr/>
        <w:fldChar w:fldCharType="end"/>
      </w:r>
    </w:p>
    <w:p>
      <w:pPr>
        <w:pStyle w:val="style0"/>
        <w:widowControl w:val="false"/>
        <w:tabs>
          <w:tab w:val="right" w:leader="none" w:pos="12000"/>
        </w:tabs>
        <w:spacing w:before="60" w:lineRule="auto" w:line="360"/>
        <w:jc w:val="left"/>
        <w:rPr>
          <w:b/>
          <w:bCs/>
          <w:color w:val="000000"/>
        </w:rPr>
      </w:pPr>
      <w:r>
        <w:rPr/>
        <w:fldChar w:fldCharType="end"/>
      </w:r>
    </w:p>
    <w:p>
      <w:pPr>
        <w:pStyle w:val="style0"/>
        <w:spacing w:lineRule="auto" w:line="360"/>
        <w:jc w:val="center"/>
        <w:rPr>
          <w:b/>
          <w:bCs/>
        </w:rPr>
      </w:pPr>
    </w:p>
    <w:bookmarkStart w:id="0" w:name="_4st34qs0wwwg" w:colFirst="0" w:colLast="0"/>
    <w:bookmarkEnd w:id="0"/>
    <w:p>
      <w:pPr>
        <w:pStyle w:val="style1"/>
        <w:spacing w:lineRule="auto" w:line="360"/>
        <w:rPr/>
      </w:pPr>
      <w:r>
        <w:br w:type="page"/>
      </w:r>
      <w:bookmarkStart w:id="1" w:name="_Toc224806517"/>
      <w:r>
        <w:t>1. Introduction</w:t>
      </w:r>
      <w:bookmarkEnd w:id="1"/>
      <w:r>
        <w:t xml:space="preserve"> </w:t>
      </w:r>
    </w:p>
    <w:p>
      <w:pPr>
        <w:pStyle w:val="style0"/>
        <w:spacing w:lineRule="auto" w:line="360"/>
        <w:rPr/>
      </w:pPr>
      <w:r>
        <w:t xml:space="preserve">The </w:t>
      </w:r>
      <w:r>
        <w:t>fast-expanding</w:t>
      </w:r>
      <w:r>
        <w:t xml:space="preserve"> technology company Aether Innovations is currently dealing with serious issues like slow growth, increasing personnel turnover, and diminishing client satisfaction. These problems show that in order to improve organisational performance, human capital activities must be strategically realigned. The goal of this report is to create an integrated HR strategy that emphasises integrating future work practices and cultivating an innovative culture. It offers workable ideas to boost employee engagement, innovation, and overall organizational effectiveness while critically </w:t>
      </w:r>
      <w:r>
        <w:t>analysing</w:t>
      </w:r>
      <w:r>
        <w:t xml:space="preserve"> current industry trends.</w:t>
      </w:r>
    </w:p>
    <w:bookmarkStart w:id="2" w:name="_Toc224806518"/>
    <w:p>
      <w:pPr>
        <w:pStyle w:val="style1"/>
        <w:spacing w:lineRule="auto" w:line="360"/>
        <w:rPr/>
      </w:pPr>
      <w:r>
        <w:t>2. PART 1: Building a Culture of Innovation &amp; Future Work Practices</w:t>
      </w:r>
      <w:bookmarkEnd w:id="2"/>
    </w:p>
    <w:bookmarkStart w:id="3" w:name="_Toc224806519"/>
    <w:p>
      <w:pPr>
        <w:pStyle w:val="style2"/>
        <w:spacing w:lineRule="auto" w:line="360"/>
        <w:rPr>
          <w:sz w:val="24"/>
          <w:szCs w:val="24"/>
        </w:rPr>
      </w:pPr>
      <w:r>
        <w:t>2.1 The Culture and Work practices dominating Tech Companies</w:t>
      </w:r>
      <w:bookmarkEnd w:id="3"/>
    </w:p>
    <w:p>
      <w:pPr>
        <w:pStyle w:val="style0"/>
        <w:spacing w:lineRule="auto" w:line="360"/>
        <w:rPr/>
      </w:pPr>
      <w:r>
        <w:t xml:space="preserve">The technological industry is broadly regarded as a field of innovation which is rapidly changing, digital and knowledge-based on work. The top organisations, Google and Amazon, have brought in best practices of flexible workplace, autonomy, and an environment of innovation (Olaniyi </w:t>
      </w:r>
      <w:r>
        <w:rPr>
          <w:i/>
          <w:iCs/>
        </w:rPr>
        <w:t>et al.</w:t>
      </w:r>
      <w:r>
        <w:t>, 2024). However, despite these accomplishments, the industry still has significant structural and cultural problems that remain.</w:t>
      </w:r>
    </w:p>
    <w:p>
      <w:pPr>
        <w:pStyle w:val="style0"/>
        <w:spacing w:lineRule="auto" w:line="360"/>
        <w:rPr/>
      </w:pPr>
      <w:r>
        <w:t>According to the latest news, employee burnout and engagement deficit has been increasing in the tech sector. In the case of workers, approximately 77 % of the workers have said that they experience burnout in their current occupation (Deloitte, 2025). The technology workers have not been an exception as they have to also withstand the work demands as well as performance expectations. Further, only 23 percent in the world are engaged at work, which greatly diverges the gap between what organisations expect and how their staff employees work (Gallup, Inc., 2021).</w:t>
      </w:r>
    </w:p>
    <w:p>
      <w:pPr>
        <w:pStyle w:val="style0"/>
        <w:spacing w:lineRule="auto" w:line="360"/>
        <w:jc w:val="center"/>
        <w:rPr/>
      </w:pPr>
      <w:r>
        <w:rPr>
          <w:noProof/>
        </w:rPr>
        <w:drawing>
          <wp:inline distL="0" distT="0" distB="0" distR="0">
            <wp:extent cx="4567238" cy="3239552"/>
            <wp:effectExtent l="25400" t="25400" r="25400" b="25400"/>
            <wp:docPr id="1027"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3" cstate="print"/>
                    <a:srcRect l="0" t="0" r="0" b="0"/>
                    <a:stretch/>
                  </pic:blipFill>
                  <pic:spPr>
                    <a:xfrm rot="0">
                      <a:off x="0" y="0"/>
                      <a:ext cx="4567238" cy="3239552"/>
                    </a:xfrm>
                    <a:prstGeom prst="rect"/>
                    <a:ln cmpd="sng" cap="flat" w="25400">
                      <a:solidFill>
                        <a:srgbClr val="000000"/>
                      </a:solidFill>
                      <a:prstDash val="solid"/>
                      <a:round/>
                      <a:headEnd/>
                      <a:tailEnd/>
                    </a:ln>
                  </pic:spPr>
                </pic:pic>
              </a:graphicData>
            </a:graphic>
          </wp:inline>
        </w:drawing>
      </w:r>
    </w:p>
    <w:p>
      <w:pPr>
        <w:pStyle w:val="style0"/>
        <w:spacing w:lineRule="auto" w:line="360"/>
        <w:jc w:val="center"/>
        <w:rPr>
          <w:b/>
          <w:bCs/>
          <w:i/>
          <w:iCs/>
        </w:rPr>
      </w:pPr>
      <w:r>
        <w:rPr>
          <w:b/>
          <w:bCs/>
          <w:i/>
          <w:iCs/>
        </w:rPr>
        <w:t>Figure 1: Employee engagement</w:t>
      </w:r>
    </w:p>
    <w:p>
      <w:pPr>
        <w:pStyle w:val="style0"/>
        <w:spacing w:lineRule="auto" w:line="360"/>
        <w:jc w:val="center"/>
        <w:rPr>
          <w:b/>
          <w:bCs/>
          <w:i/>
          <w:iCs/>
        </w:rPr>
      </w:pPr>
      <w:r>
        <w:rPr>
          <w:b/>
          <w:bCs/>
          <w:i/>
          <w:iCs/>
        </w:rPr>
        <w:t>Source: (Gallup, Inc., 2021)</w:t>
      </w:r>
    </w:p>
    <w:p>
      <w:pPr>
        <w:pStyle w:val="style0"/>
        <w:spacing w:lineRule="auto" w:line="360"/>
        <w:rPr/>
      </w:pPr>
      <w:r>
        <w:t xml:space="preserve">Many technology firms active in the framework of powerful departmentalisation that prevents the cross-functional cooperation still characterize the industry. This divide restricts the knowledge sharing and reduces the possibility of being innovative. Regarding </w:t>
      </w:r>
      <w:r>
        <w:rPr>
          <w:b/>
          <w:bCs/>
          <w:i/>
          <w:iCs/>
        </w:rPr>
        <w:t>Resource-Based View (RBV)</w:t>
      </w:r>
      <w:r>
        <w:t>, organisations fail to utilise their intangible resources, in terms of human capital and integration of knowledge (Kero and Bogale, 2023).</w:t>
      </w:r>
    </w:p>
    <w:p>
      <w:pPr>
        <w:pStyle w:val="style0"/>
        <w:spacing w:lineRule="auto" w:line="360"/>
        <w:rPr/>
      </w:pPr>
      <w:r>
        <w:t xml:space="preserve">Additionally, although the tech companies are focused on innovation, their culture is inclined to revert to the culture of short-term performance and output-based culture (Zhang </w:t>
      </w:r>
      <w:r>
        <w:rPr>
          <w:i/>
          <w:iCs/>
        </w:rPr>
        <w:t>et al.</w:t>
      </w:r>
      <w:r>
        <w:t>, 2023). This places a contradiction whereby the workers are expected to be creative but they are constrained by time demands and by those environments that involve risks. Such issues may be observed as high turnover of employees and lower customer satisfaction in the case of Aether Innovations. This means that the existing culture may not be able to engage the employees and support long-term innovations sufficiently. This therefore requires a re-strategizing and more of an integrated culture and a culture that is focused on innovation.</w:t>
      </w:r>
    </w:p>
    <w:bookmarkStart w:id="4" w:name="_Toc224806520"/>
    <w:p>
      <w:pPr>
        <w:pStyle w:val="style2"/>
        <w:spacing w:lineRule="auto" w:line="360"/>
        <w:rPr>
          <w:sz w:val="24"/>
          <w:szCs w:val="24"/>
        </w:rPr>
      </w:pPr>
      <w:r>
        <w:t>2.2. Cultural and Structural Innovative Initiatives</w:t>
      </w:r>
      <w:bookmarkEnd w:id="4"/>
    </w:p>
    <w:p>
      <w:pPr>
        <w:pStyle w:val="style0"/>
        <w:spacing w:lineRule="auto" w:line="360"/>
        <w:rPr/>
      </w:pPr>
      <w:r>
        <w:t>To transform Aether innovations into an innovation-oriented organisation, one will have to implement particular cultural and structural programs that will help to increase the levels of creativity, cooperation, and lifelong learning.</w:t>
      </w:r>
    </w:p>
    <w:p>
      <w:pPr>
        <w:pStyle w:val="style0"/>
        <w:spacing w:lineRule="auto" w:line="360"/>
        <w:rPr>
          <w:b/>
          <w:bCs/>
          <w:i/>
          <w:iCs/>
        </w:rPr>
      </w:pPr>
      <w:r>
        <w:rPr>
          <w:b/>
          <w:bCs/>
          <w:i/>
          <w:iCs/>
        </w:rPr>
        <w:t>Innovation Sprints</w:t>
      </w:r>
    </w:p>
    <w:p>
      <w:pPr>
        <w:pStyle w:val="style0"/>
        <w:spacing w:lineRule="auto" w:line="360"/>
        <w:rPr/>
      </w:pPr>
      <w:r>
        <w:t xml:space="preserve">The innovation sprints are short and intense periods, when cross-functional teams can collaborate and frantically find solutions or develop novel ideas (Attah </w:t>
      </w:r>
      <w:r>
        <w:rPr>
          <w:i/>
          <w:iCs/>
        </w:rPr>
        <w:t>et al.</w:t>
      </w:r>
      <w:r>
        <w:t xml:space="preserve">, 2024). This solution has been implemented in successful organizations such as Google through its design sprint program. It has been identified that agile innovation practices can make product development 40 % faster (Gabriel </w:t>
      </w:r>
      <w:r>
        <w:rPr>
          <w:i/>
          <w:iCs/>
        </w:rPr>
        <w:t>et al.</w:t>
      </w:r>
      <w:r>
        <w:t>, 2021).</w:t>
      </w:r>
    </w:p>
    <w:p>
      <w:pPr>
        <w:pStyle w:val="style0"/>
        <w:spacing w:lineRule="auto" w:line="360"/>
        <w:rPr/>
      </w:pPr>
      <w:r>
        <w:t xml:space="preserve">In theory, innovation sprints are aligned with the </w:t>
      </w:r>
      <w:r>
        <w:rPr>
          <w:b/>
          <w:bCs/>
          <w:i/>
          <w:iCs/>
        </w:rPr>
        <w:t>Componential Theory of Creativity</w:t>
      </w:r>
      <w:r>
        <w:t xml:space="preserve"> coined by Amabile that emphasizes on the role of intrinsic motivation and a positive atmosphere (Adil and Hamid, 2019). Aether can establish a creative thinking and innovation culture through facilitating employees to experiment and risk.</w:t>
      </w:r>
    </w:p>
    <w:p>
      <w:pPr>
        <w:pStyle w:val="style0"/>
        <w:spacing w:lineRule="auto" w:line="360"/>
        <w:jc w:val="center"/>
        <w:rPr/>
      </w:pPr>
      <w:r>
        <w:rPr>
          <w:noProof/>
        </w:rPr>
        <w:drawing>
          <wp:inline distL="0" distT="0" distB="0" distR="0">
            <wp:extent cx="3405188" cy="2534093"/>
            <wp:effectExtent l="25400" t="25400" r="25400" b="25400"/>
            <wp:docPr id="1028" name="image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4" cstate="print"/>
                    <a:srcRect l="0" t="0" r="0" b="0"/>
                    <a:stretch/>
                  </pic:blipFill>
                  <pic:spPr>
                    <a:xfrm rot="0">
                      <a:off x="0" y="0"/>
                      <a:ext cx="3405188" cy="2534093"/>
                    </a:xfrm>
                    <a:prstGeom prst="rect"/>
                    <a:ln cmpd="sng" cap="flat" w="25400">
                      <a:solidFill>
                        <a:srgbClr val="000000"/>
                      </a:solidFill>
                      <a:prstDash val="solid"/>
                      <a:round/>
                      <a:headEnd/>
                      <a:tailEnd/>
                    </a:ln>
                  </pic:spPr>
                </pic:pic>
              </a:graphicData>
            </a:graphic>
          </wp:inline>
        </w:drawing>
      </w:r>
    </w:p>
    <w:p>
      <w:pPr>
        <w:pStyle w:val="style0"/>
        <w:spacing w:lineRule="auto" w:line="360"/>
        <w:jc w:val="center"/>
        <w:rPr>
          <w:b/>
          <w:bCs/>
          <w:i/>
          <w:iCs/>
        </w:rPr>
      </w:pPr>
      <w:r>
        <w:rPr>
          <w:b/>
          <w:bCs/>
          <w:i/>
          <w:iCs/>
        </w:rPr>
        <w:t>Figure 2:  Componential Theory of Creativity</w:t>
      </w:r>
    </w:p>
    <w:p>
      <w:pPr>
        <w:pStyle w:val="style0"/>
        <w:spacing w:lineRule="auto" w:line="360"/>
        <w:jc w:val="center"/>
        <w:rPr>
          <w:b/>
          <w:bCs/>
          <w:i/>
          <w:iCs/>
        </w:rPr>
      </w:pPr>
      <w:r>
        <w:rPr>
          <w:b/>
          <w:bCs/>
          <w:i/>
          <w:iCs/>
        </w:rPr>
        <w:t>Source: (Adil and Hamid, 2019)</w:t>
      </w:r>
    </w:p>
    <w:p>
      <w:pPr>
        <w:pStyle w:val="style0"/>
        <w:spacing w:lineRule="auto" w:line="360"/>
        <w:rPr>
          <w:b/>
          <w:bCs/>
          <w:i/>
          <w:iCs/>
        </w:rPr>
      </w:pPr>
      <w:r>
        <w:rPr>
          <w:b/>
          <w:bCs/>
          <w:i/>
          <w:iCs/>
        </w:rPr>
        <w:t>Intrapreneurship Programs</w:t>
      </w:r>
    </w:p>
    <w:p>
      <w:pPr>
        <w:pStyle w:val="style0"/>
        <w:spacing w:lineRule="auto" w:line="360"/>
        <w:rPr/>
      </w:pPr>
      <w:r>
        <w:t>Intrapreneurship allows the employees to be the entrepreneurs of the organisation through new ideas, products or processes (Perlines, Montes and Tejero, 2022). It is stated that the higher level of engagement and retention of employees in the organisations that have integrated intrapreneurship is statistically higher. Organisations with a high culture of innovation experience a greater retention rate of employees (PWC, 2026). This is more so the case with Aether Innovations whose high turnover is a significant issue.</w:t>
      </w:r>
    </w:p>
    <w:p>
      <w:pPr>
        <w:pStyle w:val="style0"/>
        <w:spacing w:lineRule="auto" w:line="360"/>
        <w:rPr/>
      </w:pPr>
      <w:r>
        <w:t>Self-Determination Theory would aid intrapreneurship as autonomy, competence, and relatedness are motivation factors. Aether can make the engagement and the performance more significant since it will offer the employees the ownership of the work.</w:t>
      </w:r>
    </w:p>
    <w:p>
      <w:pPr>
        <w:pStyle w:val="style0"/>
        <w:spacing w:lineRule="auto" w:line="360"/>
        <w:rPr/>
      </w:pPr>
      <w:r>
        <w:rPr>
          <w:b/>
          <w:bCs/>
          <w:i/>
          <w:iCs/>
        </w:rPr>
        <w:t>Cross-Functional Teams</w:t>
      </w:r>
    </w:p>
    <w:p>
      <w:pPr>
        <w:pStyle w:val="style0"/>
        <w:spacing w:lineRule="auto" w:line="360"/>
        <w:rPr/>
      </w:pPr>
      <w:r>
        <w:t>Cross functional teams are highly essential in breaking down the organisational silos and encouraging teamwork (Mohammed, 2020). Different teams combine various opinions and more innovations in solutions are accomplished.  It was established that organisations with diverse workforce are 45 times more likely to record market growth (Rafaqat et al., 2022).</w:t>
      </w:r>
    </w:p>
    <w:p>
      <w:pPr>
        <w:pStyle w:val="style0"/>
        <w:spacing w:lineRule="auto" w:line="360"/>
        <w:rPr/>
      </w:pPr>
      <w:r>
        <w:t>The good interpersonal network within organisations in the social capital theory results in knowledge sharing and innovation. In the Aether scenario, communication should be improved using cross-functional teams that will result in accelerating the decision-making process and the establishment of a culture of collaboration.</w:t>
      </w:r>
    </w:p>
    <w:p>
      <w:pPr>
        <w:pStyle w:val="style0"/>
        <w:spacing w:lineRule="auto" w:line="360"/>
        <w:rPr>
          <w:b/>
          <w:bCs/>
          <w:i/>
          <w:iCs/>
        </w:rPr>
      </w:pPr>
      <w:r>
        <w:rPr>
          <w:b/>
          <w:bCs/>
          <w:i/>
          <w:iCs/>
        </w:rPr>
        <w:t>Agile Organisational Structure</w:t>
      </w:r>
    </w:p>
    <w:p>
      <w:pPr>
        <w:pStyle w:val="style0"/>
        <w:spacing w:lineRule="auto" w:line="360"/>
        <w:rPr/>
      </w:pPr>
      <w:r>
        <w:t>The structure in the organisation is decentralised and flexible with fast decision-making. This plan will make organisations sensitive to the market shifts and requirements. 94% of organisations which practice agile document their greater customer satisfaction and functioning performance (Celestin et al., 2024).</w:t>
      </w:r>
    </w:p>
    <w:p>
      <w:pPr>
        <w:pStyle w:val="style0"/>
        <w:spacing w:lineRule="auto" w:line="360"/>
        <w:rPr/>
      </w:pPr>
      <w:r>
        <w:t>In conclusion, all these initiatives constitute an environment that supports innovation, motivation of employees and organisational performance.</w:t>
      </w:r>
    </w:p>
    <w:bookmarkStart w:id="5" w:name="_Toc224806521"/>
    <w:p>
      <w:pPr>
        <w:pStyle w:val="style2"/>
        <w:spacing w:lineRule="auto" w:line="360"/>
        <w:rPr>
          <w:sz w:val="24"/>
          <w:szCs w:val="24"/>
        </w:rPr>
      </w:pPr>
      <w:r>
        <w:t>2.3 Future of Work Model</w:t>
      </w:r>
      <w:bookmarkEnd w:id="5"/>
    </w:p>
    <w:p>
      <w:pPr>
        <w:pStyle w:val="style0"/>
        <w:spacing w:lineRule="auto" w:line="360"/>
        <w:rPr/>
      </w:pPr>
      <w:r>
        <w:t>The future of work is growing to be more flexible, more digital and more employee-centric. The hybrid nature of work is required in Aether Innovations case to be competitive and hire the best employees.</w:t>
      </w:r>
    </w:p>
    <w:p>
      <w:pPr>
        <w:pStyle w:val="style0"/>
        <w:spacing w:lineRule="auto" w:line="360"/>
        <w:rPr/>
      </w:pPr>
      <w:r>
        <w:rPr>
          <w:b/>
          <w:bCs/>
          <w:i/>
          <w:iCs/>
        </w:rPr>
        <w:t>Hybrid Work Model</w:t>
      </w:r>
    </w:p>
    <w:p>
      <w:pPr>
        <w:pStyle w:val="style0"/>
        <w:spacing w:lineRule="auto" w:line="360"/>
        <w:rPr/>
      </w:pPr>
      <w:r>
        <w:t xml:space="preserve">A </w:t>
      </w:r>
      <w:r>
        <w:rPr>
          <w:b/>
          <w:bCs/>
          <w:i/>
          <w:iCs/>
        </w:rPr>
        <w:t xml:space="preserve">hybrid work system </w:t>
      </w:r>
      <w:r>
        <w:t>entails a blend of work either format remotely or on-site and offers an employee more flexibility. According to a Gartner survey of firm executives from the departments of HR, Legal and Compliance, Finance, and Real Estate, 82% of them plan to allow employees to work remotely occasionally as they return to the office (BizTechReports, 2020).</w:t>
      </w:r>
    </w:p>
    <w:p>
      <w:pPr>
        <w:pStyle w:val="style0"/>
        <w:spacing w:lineRule="auto" w:line="360"/>
        <w:rPr/>
      </w:pPr>
      <w:r>
        <w:t>However, hybrid work also has some challenges like communication issues and the lack of cohesion within the team. To ensure that these issues are curtailed, organisations should embrace good communication and clear policies.</w:t>
      </w:r>
    </w:p>
    <w:p>
      <w:pPr>
        <w:pStyle w:val="style0"/>
        <w:spacing w:lineRule="auto" w:line="360"/>
        <w:rPr/>
      </w:pPr>
      <w:r>
        <w:rPr>
          <w:noProof/>
        </w:rPr>
        <w:drawing>
          <wp:inline distL="0" distT="0" distB="0" distR="0">
            <wp:extent cx="5731200" cy="3632200"/>
            <wp:effectExtent l="25400" t="25400" r="25400" b="25400"/>
            <wp:docPr id="1029" name="image4.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5" cstate="print"/>
                    <a:srcRect l="0" t="0" r="0" b="0"/>
                    <a:stretch/>
                  </pic:blipFill>
                  <pic:spPr>
                    <a:xfrm rot="0">
                      <a:off x="0" y="0"/>
                      <a:ext cx="5731200" cy="3632200"/>
                    </a:xfrm>
                    <a:prstGeom prst="rect"/>
                    <a:ln cmpd="sng" cap="flat" w="25400">
                      <a:solidFill>
                        <a:srgbClr val="000000"/>
                      </a:solidFill>
                      <a:prstDash val="solid"/>
                      <a:round/>
                      <a:headEnd/>
                      <a:tailEnd/>
                    </a:ln>
                  </pic:spPr>
                </pic:pic>
              </a:graphicData>
            </a:graphic>
          </wp:inline>
        </w:drawing>
      </w:r>
    </w:p>
    <w:p>
      <w:pPr>
        <w:pStyle w:val="style0"/>
        <w:spacing w:lineRule="auto" w:line="360"/>
        <w:jc w:val="center"/>
        <w:rPr>
          <w:b/>
          <w:bCs/>
          <w:i/>
          <w:iCs/>
        </w:rPr>
      </w:pPr>
      <w:r>
        <w:rPr>
          <w:b/>
          <w:bCs/>
          <w:i/>
          <w:iCs/>
        </w:rPr>
        <w:t>Figure 3: hybrid work system</w:t>
      </w:r>
    </w:p>
    <w:p>
      <w:pPr>
        <w:pStyle w:val="style0"/>
        <w:spacing w:lineRule="auto" w:line="360"/>
        <w:jc w:val="center"/>
        <w:rPr>
          <w:b/>
          <w:bCs/>
          <w:i/>
          <w:iCs/>
        </w:rPr>
      </w:pPr>
      <w:r>
        <w:rPr>
          <w:b/>
          <w:bCs/>
          <w:i/>
          <w:iCs/>
        </w:rPr>
        <w:t>Source: (Spitzhirn et al., 2022)</w:t>
      </w:r>
    </w:p>
    <w:p>
      <w:pPr>
        <w:pStyle w:val="style0"/>
        <w:spacing w:lineRule="auto" w:line="360"/>
        <w:rPr/>
      </w:pPr>
      <w:r>
        <w:rPr>
          <w:b/>
          <w:bCs/>
          <w:i/>
          <w:iCs/>
        </w:rPr>
        <w:t>Digital Collaboration Tools</w:t>
      </w:r>
    </w:p>
    <w:p>
      <w:pPr>
        <w:pStyle w:val="style0"/>
        <w:spacing w:lineRule="auto" w:line="360"/>
        <w:rPr/>
      </w:pPr>
      <w:r>
        <w:t xml:space="preserve">The use of such technology as Microsoft Teams and Slack is helpful in supporting remote </w:t>
      </w:r>
      <w:r>
        <w:t>labour</w:t>
      </w:r>
      <w:r>
        <w:t>. Distributed teams have an easy workflow because such platforms allow real-time communication, project management, and knowledge exchange.</w:t>
      </w:r>
    </w:p>
    <w:p>
      <w:pPr>
        <w:pStyle w:val="style0"/>
        <w:spacing w:lineRule="auto" w:line="360"/>
        <w:rPr/>
      </w:pPr>
      <w:r>
        <w:rPr>
          <w:b/>
          <w:bCs/>
          <w:i/>
          <w:iCs/>
        </w:rPr>
        <w:t>Flexible Work Policies</w:t>
      </w:r>
    </w:p>
    <w:p>
      <w:pPr>
        <w:pStyle w:val="style0"/>
        <w:spacing w:lineRule="auto" w:line="360"/>
        <w:rPr/>
      </w:pPr>
      <w:r>
        <w:t>The ability of working under flexible working hours as well as performance based on results is critical to employee engagement. According to the report published by CIPD (2023), flexible working would boost employee satisfaction by 24% and turnover intentions by 20%.</w:t>
      </w:r>
    </w:p>
    <w:p>
      <w:pPr>
        <w:pStyle w:val="style0"/>
        <w:spacing w:lineRule="auto" w:line="360"/>
        <w:rPr/>
      </w:pPr>
      <w:r>
        <w:rPr>
          <w:b/>
          <w:bCs/>
          <w:i/>
          <w:iCs/>
        </w:rPr>
        <w:t>Critical Evaluation</w:t>
      </w:r>
    </w:p>
    <w:p>
      <w:pPr>
        <w:pStyle w:val="style0"/>
        <w:spacing w:lineRule="auto" w:line="360"/>
        <w:rPr/>
      </w:pPr>
      <w:r>
        <w:t>Despite the fact that the advantages of hybrid work are rather numerous, a person should know about potential drawbacks. There is the likelihood of social isolation and unhealthy organisational commitment brought about by telecommuting. Therefore, Aether will have to concentrate on instating certain measures that will guarantee their everyday interaction with the staff, leadership support, and programs of well-being to avoid disengagement.</w:t>
      </w:r>
    </w:p>
    <w:bookmarkStart w:id="6" w:name="_Toc224806522"/>
    <w:p>
      <w:pPr>
        <w:pStyle w:val="style2"/>
        <w:spacing w:lineRule="auto" w:line="360"/>
        <w:rPr>
          <w:sz w:val="24"/>
          <w:szCs w:val="24"/>
        </w:rPr>
      </w:pPr>
      <w:r>
        <w:t>2.4 Motivation and Performance Results</w:t>
      </w:r>
      <w:bookmarkEnd w:id="6"/>
    </w:p>
    <w:p>
      <w:pPr>
        <w:pStyle w:val="style0"/>
        <w:spacing w:lineRule="auto" w:line="360"/>
        <w:rPr/>
      </w:pPr>
      <w:r>
        <w:t xml:space="preserve">The introduction of </w:t>
      </w:r>
      <w:r>
        <w:t>innovation-based</w:t>
      </w:r>
      <w:r>
        <w:t xml:space="preserve"> programs and work flexibility will undoubtedly affect the motivation of the employees and organisational performance at Aether Innovations.</w:t>
      </w:r>
    </w:p>
    <w:p>
      <w:pPr>
        <w:pStyle w:val="style0"/>
        <w:spacing w:lineRule="auto" w:line="360"/>
        <w:rPr/>
      </w:pPr>
      <w:r>
        <w:t xml:space="preserve">The </w:t>
      </w:r>
      <w:r>
        <w:rPr>
          <w:b/>
          <w:bCs/>
          <w:i/>
          <w:iCs/>
        </w:rPr>
        <w:t>Self-Determination Theory</w:t>
      </w:r>
      <w:r>
        <w:t xml:space="preserve"> is a theory that suggests that employees get motivated when their needs are met in the spheres of autonomy, competence, and relatedness (Legault, 2017). The programs are known as innovation sprints and intrapreneurship programs, which are proposed to lead to autonomy, and cross-functional teams strengthen relationships between people, respectively. In addition, the opportunities of continuous learning also improve the competence of the employees.</w:t>
      </w:r>
    </w:p>
    <w:p>
      <w:pPr>
        <w:pStyle w:val="style0"/>
        <w:spacing w:lineRule="auto" w:line="360"/>
        <w:rPr/>
      </w:pPr>
      <w:r>
        <w:t>Job Demand-Resources (JD-R) model also offers an explanation that provided that the resources are adequate in form of support, flexibility, and development prospects, the extent of job stress may be diminished and the engagement boosted. Highly engaged teams are 21% more profitable and 17% more productive, which confirms the direct relationship between employee engagement and organisational performance (Sorenson, 2023).</w:t>
      </w:r>
    </w:p>
    <w:p>
      <w:pPr>
        <w:pStyle w:val="style0"/>
        <w:spacing w:lineRule="auto" w:line="360"/>
        <w:rPr/>
      </w:pPr>
      <w:r>
        <w:t>Employee engagement in the case of Aether innovations is among the most crucial factors of reducing employee turnover, and enhancing customer satisfaction. The motivated employees are more innovative and generate quality work and are in good terms with the customers.</w:t>
      </w:r>
    </w:p>
    <w:p>
      <w:pPr>
        <w:pStyle w:val="style0"/>
        <w:spacing w:lineRule="auto" w:line="360"/>
        <w:rPr/>
      </w:pPr>
    </w:p>
    <w:p>
      <w:pPr>
        <w:pStyle w:val="style0"/>
        <w:spacing w:lineRule="auto" w:line="360"/>
        <w:rPr/>
      </w:pPr>
      <w:r>
        <w:t>In conclusion, it can be observed that the suggested HR strategy provides a long-standing guideline that would align motivation of the employees with organisational goals in the long run resulting in success in the long run.</w:t>
      </w:r>
    </w:p>
    <w:bookmarkStart w:id="7" w:name="_Toc224806523"/>
    <w:p>
      <w:pPr>
        <w:pStyle w:val="style1"/>
        <w:spacing w:lineRule="auto" w:line="360"/>
        <w:rPr/>
      </w:pPr>
      <w:r>
        <w:t>3. PART 2: Reflective Section</w:t>
      </w:r>
      <w:bookmarkEnd w:id="7"/>
    </w:p>
    <w:bookmarkStart w:id="8" w:name="_Toc224806524"/>
    <w:p>
      <w:pPr>
        <w:pStyle w:val="style2"/>
        <w:spacing w:lineRule="auto" w:line="360"/>
        <w:rPr/>
      </w:pPr>
      <w:r>
        <w:t>3.1 Reflective Learning Gibbs Reflective Cycle</w:t>
      </w:r>
      <w:bookmarkEnd w:id="8"/>
    </w:p>
    <w:p>
      <w:pPr>
        <w:pStyle w:val="style0"/>
        <w:spacing w:lineRule="auto" w:line="360"/>
        <w:rPr/>
      </w:pPr>
      <w:r>
        <w:rPr>
          <w:b/>
          <w:bCs/>
          <w:i/>
          <w:iCs/>
        </w:rPr>
        <w:t>Description</w:t>
      </w:r>
    </w:p>
    <w:p>
      <w:pPr>
        <w:pStyle w:val="style0"/>
        <w:spacing w:lineRule="auto" w:line="360"/>
        <w:rPr/>
      </w:pPr>
      <w:r>
        <w:t>Throughout the Human Capital Management module, I have acquired the general concept of the role of strategic HR practices in organisational performance and more so in the competitive and innovation domain. One of the most crucial areas was engaged in the module, namely: employee engagement, organisational culture, performance management and talent development (Colomer et al., 2020). It also emphasised on the necessity to align the HR strategies and the business goals as a means of creating sustainable competitive advantage.</w:t>
      </w:r>
    </w:p>
    <w:p>
      <w:pPr>
        <w:pStyle w:val="style0"/>
        <w:spacing w:lineRule="auto" w:line="360"/>
        <w:rPr/>
      </w:pPr>
      <w:r>
        <w:t xml:space="preserve">The other learning activity that was considered most significant was the </w:t>
      </w:r>
      <w:r>
        <w:t>real-life</w:t>
      </w:r>
      <w:r>
        <w:t xml:space="preserve"> organisational issues analysis and application of theoretical models to provide viable solutions. One of them includes the Self-Determination Theory and the Job Demands-Resources (JD-R) model that provided helpful information on the issue of employee motivation and well-being. These theories proved useful particularly on how organisations can cope with such issues as high turnover and low engagement.</w:t>
      </w:r>
    </w:p>
    <w:p>
      <w:pPr>
        <w:pStyle w:val="style0"/>
        <w:spacing w:lineRule="auto" w:line="360"/>
        <w:rPr/>
      </w:pPr>
      <w:r>
        <w:rPr>
          <w:b/>
          <w:bCs/>
          <w:i/>
          <w:iCs/>
        </w:rPr>
        <w:t>Feelings</w:t>
      </w:r>
    </w:p>
    <w:p>
      <w:pPr>
        <w:pStyle w:val="style0"/>
        <w:spacing w:lineRule="auto" w:line="360"/>
        <w:rPr/>
      </w:pPr>
      <w:r>
        <w:t>At the beginning of the module, I was shocked to realize the number of complexities of theories of HR and how to apply them in practice. The great variety of models and frameworks initially made the differentiation between the most relevant approach in this or that situation more complex. However, I felt more confident as I went through the module.</w:t>
      </w:r>
    </w:p>
    <w:p>
      <w:pPr>
        <w:pStyle w:val="style0"/>
        <w:spacing w:lineRule="auto" w:line="360"/>
        <w:rPr/>
      </w:pPr>
      <w:r>
        <w:t>The practical examples and case studies enabled me to correlate the theoretical knowledge with the real organisational problems (Wei, 2024). I was also interested in the topic of innovation and organisational culture in particular, as it touched upon the issue of HR role in the creativity and change process. This gave me more reason to study more on the topic and apply it to my study.</w:t>
      </w:r>
    </w:p>
    <w:p>
      <w:pPr>
        <w:pStyle w:val="style0"/>
        <w:spacing w:lineRule="auto" w:line="360"/>
        <w:rPr/>
      </w:pPr>
      <w:r>
        <w:rPr>
          <w:b/>
          <w:bCs/>
          <w:i/>
          <w:iCs/>
        </w:rPr>
        <w:t>Evaluation</w:t>
      </w:r>
    </w:p>
    <w:p>
      <w:pPr>
        <w:pStyle w:val="style0"/>
        <w:spacing w:lineRule="auto" w:line="360"/>
        <w:rPr/>
      </w:pPr>
      <w:r>
        <w:t>Overall, I have been able to use the module to enhance my academic knowledge and my practical knowledge on Human Capital Management. The module involved integration of theory and practice, which was one of the strengths. The approach enabled me to critically evaluate the different strategies used by HR and understand their role in influencing the performance of organisations (Marchi and Paganotti, 2025).</w:t>
      </w:r>
    </w:p>
    <w:p>
      <w:pPr>
        <w:pStyle w:val="style0"/>
        <w:spacing w:lineRule="auto" w:line="360"/>
        <w:rPr/>
      </w:pPr>
      <w:r>
        <w:t>However, the other negative aspect of my learning experience was that it was not closely connected to practical exposure to the HR systems within organisations and their tools. Even though theoretical knowledge is mandatory, practical application is also important in the establishment of professional competence. Even though that is the case, this gap was partially covered with help of the usage of case studies, which provided real-world context.</w:t>
      </w:r>
    </w:p>
    <w:p>
      <w:pPr>
        <w:pStyle w:val="style0"/>
        <w:spacing w:lineRule="auto" w:line="360"/>
        <w:rPr/>
      </w:pPr>
      <w:r>
        <w:rPr>
          <w:b/>
          <w:bCs/>
          <w:i/>
          <w:iCs/>
        </w:rPr>
        <w:t>Analysis</w:t>
      </w:r>
    </w:p>
    <w:p>
      <w:pPr>
        <w:pStyle w:val="style0"/>
        <w:spacing w:lineRule="auto" w:line="360"/>
        <w:rPr/>
      </w:pPr>
      <w:r>
        <w:t>The module has made me improve on critical analysis of HR practices and their impacts on organisational outcomes. To bring out this point, I have come to know that the employees are not only motivated using monetary rewards but also using intrinsic rewards such as: autonomy, recognition and personal development.</w:t>
      </w:r>
    </w:p>
    <w:p>
      <w:pPr>
        <w:pStyle w:val="style0"/>
        <w:spacing w:lineRule="auto" w:line="360"/>
        <w:rPr/>
      </w:pPr>
      <w:r>
        <w:t>The Self-Determination Theory was applied to demonstrate the importance of the ability to provide the work environment which will satisfy the psychological needs of the employees. Similarly, the JD-R model revealed that job demand under the balanced mechanism with job resources has the potential to enhance employee engagement and minimal levels of burnout (Li, Chen and Yuan, 2025). Moreover, I also gained a greater understanding of how organisational culture may be applied to facilitate innovation. A positive and friendly culture will assist the workers in sharing ideas, risk, and working as a team. This has provided a strong role for HR in the development of the organisational culture and the long-term success.</w:t>
      </w:r>
    </w:p>
    <w:p>
      <w:pPr>
        <w:pStyle w:val="style0"/>
        <w:spacing w:lineRule="auto" w:line="360"/>
        <w:rPr/>
      </w:pPr>
      <w:r>
        <w:rPr>
          <w:b/>
          <w:bCs/>
          <w:i/>
          <w:iCs/>
        </w:rPr>
        <w:t>Conclusion</w:t>
      </w:r>
    </w:p>
    <w:p>
      <w:pPr>
        <w:pStyle w:val="style0"/>
        <w:spacing w:lineRule="auto" w:line="360"/>
        <w:rPr/>
      </w:pPr>
      <w:r>
        <w:t>In conclusion, the Human Capital Management module has imparted to me some information worthy of knowing and expertise necessary in a profession in the field of HR and business management. It has enhanced my critical thinking skills, analytical skills and expertise on strategic HR practices.</w:t>
      </w:r>
    </w:p>
    <w:p>
      <w:pPr>
        <w:pStyle w:val="style0"/>
        <w:spacing w:lineRule="auto" w:line="360"/>
        <w:rPr/>
      </w:pPr>
      <w:r>
        <w:t xml:space="preserve">The module has also enabled me to realize that I should be a </w:t>
      </w:r>
      <w:r>
        <w:t>lifelong</w:t>
      </w:r>
      <w:r>
        <w:t xml:space="preserve"> learner and flexible to an environment that is being transformed at a very rapid pace in business. Because of the increasing popularity of innovation and employee engagement among organisations, theoretical and practical skills should be offered to the HR professionals to address the new challenges.</w:t>
      </w:r>
    </w:p>
    <w:p>
      <w:pPr>
        <w:pStyle w:val="style0"/>
        <w:spacing w:lineRule="auto" w:line="360"/>
        <w:rPr/>
      </w:pPr>
      <w:r>
        <w:rPr>
          <w:b/>
          <w:bCs/>
          <w:i/>
          <w:iCs/>
        </w:rPr>
        <w:t>Action Plan</w:t>
      </w:r>
    </w:p>
    <w:p>
      <w:pPr>
        <w:pStyle w:val="style0"/>
        <w:spacing w:lineRule="auto" w:line="360"/>
        <w:rPr/>
      </w:pPr>
      <w:r>
        <w:t>Based on the experience of my learning, I have concluded that there are various methods of how I can develop in the future:</w:t>
      </w:r>
    </w:p>
    <w:p>
      <w:pPr>
        <w:pStyle w:val="style0"/>
        <w:spacing w:lineRule="auto" w:line="360"/>
        <w:rPr/>
      </w:pPr>
      <w:r>
        <w:rPr>
          <w:b/>
          <w:bCs/>
          <w:i/>
          <w:iCs/>
        </w:rPr>
        <w:t>HR Analytics Skills:</w:t>
      </w:r>
      <w:r>
        <w:t xml:space="preserve"> I will develop the skills of data-driven tools to make HR decisions.</w:t>
      </w:r>
    </w:p>
    <w:p>
      <w:pPr>
        <w:pStyle w:val="style0"/>
        <w:spacing w:lineRule="auto" w:line="360"/>
        <w:rPr/>
      </w:pPr>
      <w:r>
        <w:t>Building Leadership and Communication: These are needed in running of teams and an organisational change.</w:t>
      </w:r>
    </w:p>
    <w:p>
      <w:pPr>
        <w:pStyle w:val="style0"/>
        <w:spacing w:lineRule="auto" w:line="360"/>
        <w:rPr/>
      </w:pPr>
      <w:r>
        <w:rPr>
          <w:b/>
          <w:bCs/>
          <w:i/>
          <w:iCs/>
        </w:rPr>
        <w:t>Continuous Education:</w:t>
      </w:r>
      <w:r>
        <w:t xml:space="preserve"> I will continue to follow the recent trends in HR and particularly in such areas as digital change and employee experience.</w:t>
      </w:r>
    </w:p>
    <w:p>
      <w:pPr>
        <w:pStyle w:val="style0"/>
        <w:spacing w:lineRule="auto" w:line="360"/>
        <w:rPr/>
      </w:pPr>
      <w:r>
        <w:rPr>
          <w:b/>
          <w:bCs/>
          <w:i/>
          <w:iCs/>
        </w:rPr>
        <w:t xml:space="preserve">Practical Exposure: </w:t>
      </w:r>
      <w:r>
        <w:t>I would also prefer to have hands-on experience and as well, I would like to apply the theory knowledge acquired in real-life experiences through working on it during an internship or a project.</w:t>
      </w:r>
    </w:p>
    <w:p>
      <w:pPr>
        <w:pStyle w:val="style0"/>
        <w:spacing w:lineRule="auto" w:line="360"/>
        <w:rPr/>
      </w:pPr>
      <w:r>
        <w:t>The action plan of this kind will help me to build a good base in my future career and further professional development.</w:t>
      </w:r>
    </w:p>
    <w:bookmarkStart w:id="9" w:name="_Toc224806525"/>
    <w:p>
      <w:pPr>
        <w:pStyle w:val="style2"/>
        <w:spacing w:lineRule="auto" w:line="360"/>
        <w:rPr>
          <w:sz w:val="24"/>
          <w:szCs w:val="24"/>
        </w:rPr>
      </w:pPr>
      <w:r>
        <w:t>3.2 AI and Future Careers Relevance</w:t>
      </w:r>
      <w:bookmarkEnd w:id="9"/>
      <w:r>
        <w:t xml:space="preserve"> </w:t>
      </w:r>
    </w:p>
    <w:p>
      <w:pPr>
        <w:pStyle w:val="style0"/>
        <w:spacing w:lineRule="auto" w:line="360"/>
        <w:rPr/>
      </w:pPr>
      <w:r>
        <w:t>The maturity of Artificial Intelligence (AI) is changing the concept of work in the industry including Human Resource Management. The growing advancement of AI technologies to automate such mundane processes as recruitment screening, performance assessment, and employee engagement analysis is also present (Kassa and Worku, 2025). This has increased efficiency and accuracy in the HR processes by a great deal.</w:t>
      </w:r>
    </w:p>
    <w:p>
      <w:pPr>
        <w:pStyle w:val="style0"/>
        <w:spacing w:lineRule="auto" w:line="360"/>
        <w:rPr/>
      </w:pPr>
      <w:r>
        <w:t xml:space="preserve">However, other concerns that individuals fear with the further introduction of AI are employment displacement and the irrelevance of human roles (Nigar et al., 2025). Whereas AI can do data-driven and repetitive tasks, it cannot imitate human traits that incorporate emotional intelligence, creativity and making moral decisions. These competencies are still necessary in </w:t>
      </w:r>
      <w:r>
        <w:t>HR particularly in the areas of leadership, conflict management and organisational development.</w:t>
      </w:r>
    </w:p>
    <w:p>
      <w:pPr>
        <w:pStyle w:val="style0"/>
        <w:spacing w:lineRule="auto" w:line="360"/>
        <w:rPr/>
      </w:pPr>
      <w:r>
        <w:t>In my future as an HR practitioner, I will use AI as an assistant rather than treat it as a substitute. As an example, the data of employees can be analysed and trends can be identified with the assistance of AI and then make more informed decisions. In the meantime, I will focus on developing distinctively human advantages that will be included in value addition over and above the automation.</w:t>
      </w:r>
    </w:p>
    <w:bookmarkStart w:id="10" w:name="_Toc224806526"/>
    <w:p>
      <w:pPr>
        <w:pStyle w:val="style1"/>
        <w:spacing w:lineRule="auto" w:line="360"/>
        <w:rPr/>
      </w:pPr>
      <w:r>
        <w:t>4. Conclusion</w:t>
      </w:r>
      <w:bookmarkEnd w:id="10"/>
    </w:p>
    <w:p>
      <w:pPr>
        <w:pStyle w:val="style0"/>
        <w:spacing w:lineRule="auto" w:line="360"/>
        <w:rPr/>
      </w:pPr>
      <w:r>
        <w:t>In conclusion, addressing the issues Aether Innovations faces requires cultivating an innovative culture and implementing forward-thinking work methods. The suggested HR tactics, such as innovation-driven projects and hybrid work arrangements, can greatly raise employee satisfaction, lower attrition, and boost productivity. Long-term sustainability is also ensured by coordinating human capital strategies with organizational objectives. All things considered, fostering innovation and gaining a competitive edge in the technology industry depend heavily on an integrated and strategic approach to human resource management.</w:t>
      </w:r>
    </w:p>
    <w:bookmarkStart w:id="11" w:name="_iypyc0vht27t" w:colFirst="0" w:colLast="0"/>
    <w:bookmarkEnd w:id="11"/>
    <w:p>
      <w:pPr>
        <w:pStyle w:val="style1"/>
        <w:spacing w:lineRule="auto" w:line="360"/>
        <w:rPr/>
      </w:pPr>
      <w:r>
        <w:br w:type="page"/>
      </w:r>
      <w:bookmarkStart w:id="12" w:name="_5d49emfaiqt7" w:colFirst="0" w:colLast="0"/>
      <w:bookmarkStart w:id="13" w:name="_Toc224806527"/>
      <w:bookmarkEnd w:id="12"/>
      <w:r>
        <w:t>References</w:t>
      </w:r>
      <w:bookmarkEnd w:id="13"/>
      <w:r>
        <w:t xml:space="preserve"> </w:t>
      </w:r>
    </w:p>
    <w:p>
      <w:pPr>
        <w:pStyle w:val="style0"/>
        <w:spacing w:lineRule="auto" w:line="360"/>
        <w:rPr/>
      </w:pPr>
      <w:r>
        <w:t xml:space="preserve">Adil, M.S. and Hamid, K.B.A. (2019) 'The Relationships between Leader Creativity Expectations, Intrinsic Motivation, and Creative Performance,' </w:t>
      </w:r>
      <w:r>
        <w:rPr>
          <w:i/>
          <w:iCs/>
        </w:rPr>
        <w:t>SEISENSE Journal of Management</w:t>
      </w:r>
      <w:r>
        <w:t>, 2(2), pp. 58–68. https://doi.org/10.33215/sjom.v2i2.123.</w:t>
      </w:r>
    </w:p>
    <w:p>
      <w:pPr>
        <w:pStyle w:val="style0"/>
        <w:spacing w:lineRule="auto" w:line="360"/>
        <w:rPr/>
      </w:pPr>
      <w:r>
        <w:t xml:space="preserve">Attah, R.U. </w:t>
      </w:r>
      <w:r>
        <w:rPr>
          <w:i/>
          <w:iCs/>
        </w:rPr>
        <w:t>et al.</w:t>
      </w:r>
      <w:r>
        <w:t xml:space="preserve"> (2024) 'Cross-functional team dynamics in technology management: a comprehensive review of efficiency and innovation enhancement,' </w:t>
      </w:r>
      <w:r>
        <w:rPr>
          <w:i/>
          <w:iCs/>
        </w:rPr>
        <w:t>Engineering Science &amp; Technology Journal</w:t>
      </w:r>
      <w:r>
        <w:t>, 5(12), pp. 3248–3265. https://doi.org/10.51594/estj.v5i12.1756.</w:t>
      </w:r>
    </w:p>
    <w:p>
      <w:pPr>
        <w:pStyle w:val="style0"/>
        <w:spacing w:after="240" w:lineRule="auto" w:line="360"/>
        <w:rPr/>
      </w:pPr>
      <w:r>
        <w:t xml:space="preserve">BizTechReports (2020). </w:t>
      </w:r>
      <w:r>
        <w:rPr>
          <w:i/>
          <w:iCs/>
        </w:rPr>
        <w:t>BizTechReports</w:t>
      </w:r>
      <w:r>
        <w:t>. [online] BizTechReports. Available at: https://www.biztechreports.com/news-archive/2020/7/15/h8syj6j64q7f02casxat183gj6axcz [Accessed 19 Mar. 2026].</w:t>
      </w:r>
    </w:p>
    <w:p>
      <w:pPr>
        <w:pStyle w:val="style0"/>
        <w:spacing w:after="240" w:lineRule="auto" w:line="360"/>
        <w:rPr/>
      </w:pPr>
      <w:r>
        <w:t xml:space="preserve">Celestin, M., Sujatha, S., Kumar, A.D. and Vasuki, M. (2024). THE RISE OF AGILE METHODOLOGIES IN MANAGING COMPLEX BUSINESS PROJECTS: ENHANCING EFFICIENCY,... </w:t>
      </w:r>
      <w:r>
        <w:rPr>
          <w:i/>
          <w:iCs/>
        </w:rPr>
        <w:t>ResearchGate</w:t>
      </w:r>
      <w:r>
        <w:t>, [online] 9(2), pp.69–77. doi:https://doi.org/10.5281/zenodo.13871832.</w:t>
      </w:r>
    </w:p>
    <w:p>
      <w:pPr>
        <w:pStyle w:val="style0"/>
        <w:spacing w:after="240" w:lineRule="auto" w:line="360"/>
        <w:rPr/>
      </w:pPr>
      <w:r>
        <w:t xml:space="preserve">CIPD (2023). </w:t>
      </w:r>
      <w:r>
        <w:rPr>
          <w:i/>
          <w:iCs/>
        </w:rPr>
        <w:t>Flexible and hybrid working practices in 2023</w:t>
      </w:r>
      <w:r>
        <w:t>. [online] Available at: https://www.cipd.org/globalassets/media/knowledge/knowledge-hub/reports/2023-pdfs/2023-flexible-hybrid-working-practices-report-8392.pdf [Accessed 19 Mar. 2026].</w:t>
      </w:r>
    </w:p>
    <w:p>
      <w:pPr>
        <w:pStyle w:val="style0"/>
        <w:spacing w:after="240" w:lineRule="auto" w:line="360"/>
        <w:rPr/>
      </w:pPr>
      <w:r>
        <w:t xml:space="preserve">Colomer, J., Serra, T., Cañabate, D. and Bubnys, R. (2020). Reflective Learning in Higher Education: Active Methodologies for Transformative Practices. </w:t>
      </w:r>
      <w:r>
        <w:rPr>
          <w:i/>
          <w:iCs/>
        </w:rPr>
        <w:t>Sustainability</w:t>
      </w:r>
      <w:r>
        <w:t>, [online] 12(9), p.3827. Available at: https://www.mdpi.com/2071-1050/12/9/3827.</w:t>
      </w:r>
    </w:p>
    <w:p>
      <w:pPr>
        <w:pStyle w:val="style0"/>
        <w:spacing w:lineRule="auto" w:line="360"/>
        <w:rPr/>
      </w:pPr>
      <w:r>
        <w:t xml:space="preserve">Gabriel, S. </w:t>
      </w:r>
      <w:r>
        <w:rPr>
          <w:i/>
          <w:iCs/>
        </w:rPr>
        <w:t>et al.</w:t>
      </w:r>
      <w:r>
        <w:t xml:space="preserve"> (2021) 'Integration of agile practices in the product development process of intelligent technical systems,' </w:t>
      </w:r>
      <w:r>
        <w:rPr>
          <w:i/>
          <w:iCs/>
        </w:rPr>
        <w:t>Procedia CIRP</w:t>
      </w:r>
      <w:r>
        <w:t>, 100, pp. 427–432. https://doi.org/10.1016/j.procir.2021.05.099.</w:t>
      </w:r>
    </w:p>
    <w:p>
      <w:pPr>
        <w:pStyle w:val="style0"/>
        <w:spacing w:lineRule="auto" w:line="360"/>
        <w:rPr/>
      </w:pPr>
      <w:r>
        <w:t xml:space="preserve">Gallup, Inc. (2021) </w:t>
      </w:r>
      <w:r>
        <w:rPr>
          <w:i/>
          <w:iCs/>
        </w:rPr>
        <w:t>State of the Global Workplace Report</w:t>
      </w:r>
      <w:r>
        <w:t xml:space="preserve">, </w:t>
      </w:r>
      <w:r>
        <w:rPr>
          <w:i/>
          <w:iCs/>
        </w:rPr>
        <w:t>Gallup.com</w:t>
      </w:r>
      <w:r>
        <w:t>. https://www.gallup.com/workplace/349484/state-of-the-global-workplace.aspx.</w:t>
      </w:r>
    </w:p>
    <w:p>
      <w:pPr>
        <w:pStyle w:val="style0"/>
        <w:spacing w:lineRule="auto" w:line="360"/>
        <w:rPr/>
      </w:pPr>
      <w:r>
        <w:t xml:space="preserve">Hernández-Perlines, F., Ariza-Montes, A. and Blanco-González-Tejero, C. (2022) 'Intrapreneurship research: A comprehensive literature review,' </w:t>
      </w:r>
      <w:r>
        <w:rPr>
          <w:i/>
          <w:iCs/>
        </w:rPr>
        <w:t>Journal of Business Research</w:t>
      </w:r>
      <w:r>
        <w:t>, 153, pp. 428–444. https://doi.org/10.1016/j.jbusres.2022.08.015.</w:t>
      </w:r>
    </w:p>
    <w:p>
      <w:pPr>
        <w:pStyle w:val="style0"/>
        <w:spacing w:after="240" w:lineRule="auto" w:line="360"/>
        <w:rPr/>
      </w:pPr>
      <w:r>
        <w:t xml:space="preserve">Kassa, B.Y. and Worku, E.K. (2025). The Impact of Artificial Intelligence on Organizational Performance: The Mediating Role of Employee Productivity. </w:t>
      </w:r>
      <w:r>
        <w:rPr>
          <w:i/>
          <w:iCs/>
        </w:rPr>
        <w:t xml:space="preserve">Journal of Open Innovation: </w:t>
      </w:r>
      <w:r>
        <w:rPr>
          <w:i/>
          <w:iCs/>
        </w:rPr>
        <w:t>Technology, Market, and Complexity</w:t>
      </w:r>
      <w:r>
        <w:t>, 11(1), p.100474. doi:https://doi.org/10.1016/j.joitmc.2025.100474.</w:t>
      </w:r>
    </w:p>
    <w:p>
      <w:pPr>
        <w:pStyle w:val="style0"/>
        <w:spacing w:lineRule="auto" w:line="360"/>
        <w:rPr/>
      </w:pPr>
      <w:r>
        <w:t xml:space="preserve">Kero, C.A. and Bogale, A.T. (2023) 'A systematic review of Resource-Based view and dynamic capabilities of firms and future research avenues,' </w:t>
      </w:r>
      <w:r>
        <w:rPr>
          <w:i/>
          <w:iCs/>
        </w:rPr>
        <w:t>International Journal of Sustainable Development and Planning</w:t>
      </w:r>
      <w:r>
        <w:t>, 18(10), pp. 3137–3154. https://doi.org/10.18280/ijsdp.181016.</w:t>
      </w:r>
    </w:p>
    <w:p>
      <w:pPr>
        <w:pStyle w:val="style0"/>
        <w:spacing w:after="240" w:lineRule="auto" w:line="360"/>
        <w:rPr/>
      </w:pPr>
      <w:r>
        <w:t xml:space="preserve">Legault, L. (2017). Self-Determination Theory. </w:t>
      </w:r>
      <w:r>
        <w:rPr>
          <w:i/>
          <w:iCs/>
        </w:rPr>
        <w:t>Encyclopedia of Personality and Individual Differences</w:t>
      </w:r>
      <w:r>
        <w:t>, [online] 1(1), pp.1–9. doi:https://doi.org/10.1007/978-3-319-28099-8_1162-1.</w:t>
      </w:r>
    </w:p>
    <w:p>
      <w:pPr>
        <w:pStyle w:val="style0"/>
        <w:spacing w:after="240" w:lineRule="auto" w:line="360"/>
        <w:rPr/>
      </w:pPr>
      <w:r>
        <w:t xml:space="preserve">Li, Y., Chen, C. and Yuan, Y. (2025). Evolving the job demands-resources framework to JD-R 3.0: The impact of after-hours connectivity and organizational support on employee psychological distress. </w:t>
      </w:r>
      <w:r>
        <w:rPr>
          <w:i/>
          <w:iCs/>
        </w:rPr>
        <w:t>Acta Psychologica</w:t>
      </w:r>
      <w:r>
        <w:t>, 253, p.104710. doi:https://doi.org/10.1016/j.actpsy.2025.104710.</w:t>
      </w:r>
    </w:p>
    <w:p>
      <w:pPr>
        <w:pStyle w:val="style0"/>
        <w:spacing w:after="240" w:lineRule="auto" w:line="360"/>
        <w:rPr/>
      </w:pPr>
      <w:r>
        <w:t xml:space="preserve">Marchi, A.J. and Paganotti, L. (2025). Reflective Learning as a Pathway to Professional Self-Actualization in Simulation-Based Learning: A Qualitative Case Study. </w:t>
      </w:r>
      <w:r>
        <w:rPr>
          <w:i/>
          <w:iCs/>
        </w:rPr>
        <w:t>Simulation in Healthcare: The Journal of the Society for Simulation in Healthcare</w:t>
      </w:r>
      <w:r>
        <w:t>. [online] doi:https://doi.org/10.1097/sih.0000000000000852.</w:t>
      </w:r>
    </w:p>
    <w:p>
      <w:pPr>
        <w:pStyle w:val="style0"/>
        <w:spacing w:after="240" w:lineRule="auto" w:line="360"/>
        <w:rPr/>
      </w:pPr>
      <w:r>
        <w:t>Mohammed (2020). LEVERAGING CROSS-FUNCTIONAL COLLABORATION TO ENHANCE ORGANIZATIONAL AGILITY. doi:https://doi.org/10.25215/8198391754.32.</w:t>
      </w:r>
    </w:p>
    <w:p>
      <w:pPr>
        <w:pStyle w:val="style0"/>
        <w:spacing w:after="240" w:lineRule="auto" w:line="360"/>
        <w:rPr/>
      </w:pPr>
      <w:r>
        <w:t xml:space="preserve">Nigar, M., Juli, J.F., Golder, U., Alam, M.J. and Hossain, M.K. (2025). Artificial intelligence and technological unemployment: Understanding trends, technology’s adverse roles, and current mitigation guidelines. </w:t>
      </w:r>
      <w:r>
        <w:rPr>
          <w:i/>
          <w:iCs/>
        </w:rPr>
        <w:t>Journal of Open Innovation: Technology, Market, and Complexity</w:t>
      </w:r>
      <w:r>
        <w:t>, [online] p.100607. doi:https://doi.org/10.1016/j.joitmc.2025.100607.</w:t>
      </w:r>
    </w:p>
    <w:p>
      <w:pPr>
        <w:pStyle w:val="style0"/>
        <w:spacing w:lineRule="auto" w:line="360"/>
        <w:rPr/>
      </w:pPr>
      <w:r>
        <w:t xml:space="preserve">Olaniyi, O.O. </w:t>
      </w:r>
      <w:r>
        <w:rPr>
          <w:i/>
          <w:iCs/>
        </w:rPr>
        <w:t>et al.</w:t>
      </w:r>
      <w:r>
        <w:t xml:space="preserve"> (2024) 'Digital Collaborative Tools, Strategic Communication, and Social Capital: Unveiling the impact of digital transformation on organizational dynamics,' </w:t>
      </w:r>
      <w:r>
        <w:rPr>
          <w:i/>
          <w:iCs/>
        </w:rPr>
        <w:t>Asian Journal of Research in Computer Science</w:t>
      </w:r>
      <w:r>
        <w:t>, 17(5), pp. 140–156. https://doi.org/10.9734/ajrcos/2024/v17i5444.</w:t>
      </w:r>
    </w:p>
    <w:p>
      <w:pPr>
        <w:pStyle w:val="style0"/>
        <w:spacing w:lineRule="auto" w:line="360"/>
        <w:rPr/>
      </w:pPr>
      <w:r>
        <w:t xml:space="preserve">PWC (2026) </w:t>
      </w:r>
      <w:r>
        <w:rPr>
          <w:i/>
          <w:iCs/>
        </w:rPr>
        <w:t>PWC HCE Survey report</w:t>
      </w:r>
      <w:r>
        <w:t>. https://www.pwc.in/press-releases/pwc-hce-survey.html.</w:t>
      </w:r>
    </w:p>
    <w:p>
      <w:pPr>
        <w:pStyle w:val="style0"/>
        <w:spacing w:after="240" w:lineRule="auto" w:line="360"/>
        <w:rPr/>
      </w:pPr>
      <w:r>
        <w:t xml:space="preserve">Rafaqat, S., Rafaqat, S., Rafaqat, S. and Rafaqat, D. (2022). The impact of workforce diversity on organizational performance: A review. </w:t>
      </w:r>
      <w:r>
        <w:rPr>
          <w:i/>
          <w:iCs/>
        </w:rPr>
        <w:t>Journal of Economics and Behavioral Studies</w:t>
      </w:r>
      <w:r>
        <w:t>, 14(2), pp.39–50. doi:https://doi.org/10.22610/jebs.v14i2(j).3301.</w:t>
      </w:r>
    </w:p>
    <w:p>
      <w:pPr>
        <w:pStyle w:val="style0"/>
        <w:spacing w:after="240" w:lineRule="auto" w:line="360"/>
        <w:rPr/>
      </w:pPr>
      <w:r>
        <w:t xml:space="preserve">Sorenson, S. (2023). </w:t>
      </w:r>
      <w:r>
        <w:rPr>
          <w:i/>
          <w:iCs/>
        </w:rPr>
        <w:t>How Employee Engagement Drives Growth</w:t>
      </w:r>
      <w:r>
        <w:t>. [online] Gallup. Available at: https://www.gallup.com/workplace/236927/employee-engagement-drives-growth.aspx.</w:t>
      </w:r>
    </w:p>
    <w:p>
      <w:pPr>
        <w:pStyle w:val="style0"/>
        <w:spacing w:after="240" w:lineRule="auto" w:line="360"/>
        <w:rPr/>
      </w:pPr>
      <w:r>
        <w:t xml:space="preserve">Spitzhirn, M., Benter, M., Heindl, C., Scheder, N., Reisinger, G., Strohmeier, F. and Behrendt, W. (2022). Hybrid work systems—platform-based work planning—designing productive and human-centered work processes. </w:t>
      </w:r>
      <w:r>
        <w:rPr>
          <w:i/>
          <w:iCs/>
        </w:rPr>
        <w:t>Zeitschrift für Arbeitswissenschaft</w:t>
      </w:r>
      <w:r>
        <w:t>, 76(4), pp.489–509. doi:https://doi.org/10.1007/s41449-022-00342-6.</w:t>
      </w:r>
    </w:p>
    <w:p>
      <w:pPr>
        <w:pStyle w:val="style0"/>
        <w:spacing w:after="240" w:lineRule="auto" w:line="360"/>
        <w:rPr/>
      </w:pPr>
      <w:r>
        <w:t xml:space="preserve">Wei, J. (2024). Reflective learning: a new leadership development framework driving engineering innovation. </w:t>
      </w:r>
      <w:r>
        <w:rPr>
          <w:i/>
          <w:iCs/>
        </w:rPr>
        <w:t>Reflective practice</w:t>
      </w:r>
      <w:r>
        <w:t>, [online] 25(3), pp.352–377. doi:https://doi.org/10.1080/14623943.2024.2320141.</w:t>
      </w:r>
    </w:p>
    <w:p>
      <w:pPr>
        <w:pStyle w:val="style0"/>
        <w:spacing w:lineRule="auto" w:line="360"/>
        <w:rPr/>
      </w:pPr>
      <w:r>
        <w:rPr>
          <w:i/>
          <w:iCs/>
        </w:rPr>
        <w:t>Who We are | Deloitte</w:t>
      </w:r>
      <w:r>
        <w:t xml:space="preserve"> (2025). https://www.deloitte.com/us/en/about.html.</w:t>
      </w:r>
    </w:p>
    <w:p>
      <w:pPr>
        <w:pStyle w:val="style0"/>
        <w:spacing w:lineRule="auto" w:line="360"/>
        <w:rPr/>
      </w:pPr>
      <w:r>
        <w:t xml:space="preserve">Zhang, W. </w:t>
      </w:r>
      <w:r>
        <w:rPr>
          <w:i/>
          <w:iCs/>
        </w:rPr>
        <w:t>et al.</w:t>
      </w:r>
      <w:r>
        <w:t xml:space="preserve"> (2023) 'Understanding how organizational culture affects innovation Performance: A Management Context Perspective,' </w:t>
      </w:r>
      <w:r>
        <w:rPr>
          <w:i/>
          <w:iCs/>
        </w:rPr>
        <w:t>Sustainability</w:t>
      </w:r>
      <w:r>
        <w:t xml:space="preserve">, 15(8), p. 6644. </w:t>
      </w:r>
      <w:r>
        <w:rPr/>
        <w:fldChar w:fldCharType="begin"/>
      </w:r>
      <w:r>
        <w:instrText xml:space="preserve"> HYPERLINK "https://doi.org/10.3390/su15086644" </w:instrText>
      </w:r>
      <w:r>
        <w:rPr/>
        <w:fldChar w:fldCharType="separate"/>
      </w:r>
      <w:r>
        <w:rPr>
          <w:color w:val="1155cc"/>
          <w:u w:val="single"/>
        </w:rPr>
        <w:t>https://doi.org/10.3390/su15086644</w:t>
      </w:r>
      <w:r>
        <w:rPr/>
        <w:fldChar w:fldCharType="end"/>
      </w:r>
      <w:r>
        <w:t>.</w:t>
      </w:r>
    </w:p>
    <w:sectPr>
      <w:headerReference w:type="default" r:id="rId6"/>
      <w:footerReference w:type="default" r:id="rId7"/>
      <w:pgSz w:w="11909" w:h="16834" w:orient="portrait"/>
      <w:pgMar w:top="1440" w:right="1440" w:bottom="1440" w:left="1440" w:header="720" w:footer="720" w:gutter="0"/>
      <w:pgBorders w:zOrder="front" w:display="allPages" w:offsetFrom="page">
        <w:top w:val="thinThickSmallGap" w:sz="24" w:space="24" w:color="auto"/>
        <w:left w:val="thinThickSmallGap" w:sz="24" w:space="24" w:color="auto"/>
        <w:bottom w:val="thinThickSmallGap" w:sz="24" w:space="24" w:color="auto"/>
        <w:right w:val="thinThickSmallGap" w:sz="24" w:space="24" w:color="auto"/>
      </w:pgBorders>
      <w:pgNumType w:start="0"/>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libri">
    <w:altName w:val="Calibri"/>
    <w:panose1 w:val="020f0502020002030204"/>
    <w:charset w:val="00"/>
    <w:family w:val="swiss"/>
    <w:pitch w:val="variable"/>
    <w:sig w:usb0="E4002EFF" w:usb1="C200247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s>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jc w:val="right"/>
      <w:rPr/>
    </w:pPr>
    <w:r>
      <w:rPr/>
      <w:fldChar w:fldCharType="begin"/>
    </w:r>
    <w:r>
      <w:instrText>PAGE</w:instrText>
    </w:r>
    <w:r>
      <w:rPr/>
      <w:fldChar w:fldCharType="separate"/>
    </w:r>
    <w:r>
      <w:rPr>
        <w:noProof/>
      </w:rPr>
      <w:t>1</w:t>
    </w:r>
    <w:r>
      <w:rPr/>
      <w:fldChar w:fldCharType="end"/>
    </w: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90"/>
  <w:embedTrueTypeFonts/>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sz w:val="24"/>
        <w:szCs w:val="24"/>
        <w:lang w:val="en-GB" w:bidi="ar-SA" w:eastAsia="en-IN"/>
      </w:rPr>
    </w:rPrDefault>
    <w:pPrDefault>
      <w:pPr>
        <w:spacing w:lineRule="auto" w:line="276"/>
        <w:jc w:val="both"/>
      </w:pPr>
    </w:pPrDefault>
  </w:docDefaults>
  <w:style w:type="paragraph" w:default="1" w:styleId="style0">
    <w:name w:val="Normal"/>
    <w:next w:val="style0"/>
    <w:qFormat/>
    <w:pPr/>
  </w:style>
  <w:style w:type="paragraph" w:styleId="style1">
    <w:name w:val="heading 1"/>
    <w:basedOn w:val="style0"/>
    <w:next w:val="style0"/>
    <w:qFormat/>
    <w:uiPriority w:val="9"/>
    <w:pPr>
      <w:keepNext/>
      <w:keepLines/>
      <w:outlineLvl w:val="0"/>
    </w:pPr>
    <w:rPr>
      <w:b/>
      <w:bCs/>
      <w:sz w:val="28"/>
      <w:szCs w:val="28"/>
    </w:rPr>
  </w:style>
  <w:style w:type="paragraph" w:styleId="style2">
    <w:name w:val="heading 2"/>
    <w:basedOn w:val="style0"/>
    <w:next w:val="style0"/>
    <w:qFormat/>
    <w:uiPriority w:val="9"/>
    <w:pPr>
      <w:keepNext/>
      <w:keepLines/>
      <w:outlineLvl w:val="1"/>
    </w:pPr>
    <w:rPr>
      <w:b/>
      <w:bCs/>
      <w:i/>
      <w:iCs/>
      <w:sz w:val="26"/>
      <w:szCs w:val="26"/>
    </w:rPr>
  </w:style>
  <w:style w:type="paragraph" w:styleId="style3">
    <w:name w:val="heading 3"/>
    <w:basedOn w:val="style0"/>
    <w:next w:val="style0"/>
    <w:qFormat/>
    <w:uiPriority w:val="9"/>
    <w:pPr>
      <w:keepNext/>
      <w:keepLines/>
      <w:spacing w:before="320" w:after="80"/>
      <w:outlineLvl w:val="2"/>
    </w:pPr>
    <w:rPr>
      <w:color w:val="434343"/>
      <w:sz w:val="28"/>
      <w:szCs w:val="28"/>
    </w:rPr>
  </w:style>
  <w:style w:type="paragraph" w:styleId="style4">
    <w:name w:val="heading 4"/>
    <w:basedOn w:val="style0"/>
    <w:next w:val="style0"/>
    <w:qFormat/>
    <w:uiPriority w:val="9"/>
    <w:pPr>
      <w:keepNext/>
      <w:keepLines/>
      <w:spacing w:before="280" w:after="80"/>
      <w:outlineLvl w:val="3"/>
    </w:pPr>
    <w:rPr>
      <w:color w:val="666666"/>
    </w:rPr>
  </w:style>
  <w:style w:type="paragraph" w:styleId="style5">
    <w:name w:val="heading 5"/>
    <w:basedOn w:val="style0"/>
    <w:next w:val="style0"/>
    <w:qFormat/>
    <w:uiPriority w:val="9"/>
    <w:pPr>
      <w:keepNext/>
      <w:keepLines/>
      <w:spacing w:before="240" w:after="80"/>
      <w:outlineLvl w:val="4"/>
    </w:pPr>
    <w:rPr>
      <w:color w:val="666666"/>
      <w:sz w:val="22"/>
      <w:szCs w:val="22"/>
    </w:rPr>
  </w:style>
  <w:style w:type="paragraph" w:styleId="style6">
    <w:name w:val="heading 6"/>
    <w:basedOn w:val="style0"/>
    <w:next w:val="style0"/>
    <w:qFormat/>
    <w:uiPriority w:val="9"/>
    <w:pPr>
      <w:keepNext/>
      <w:keepLines/>
      <w:spacing w:before="240" w:after="80"/>
      <w:outlineLvl w:val="5"/>
    </w:pPr>
    <w:rPr>
      <w:i/>
      <w:iCs/>
      <w:color w:val="666666"/>
      <w:sz w:val="22"/>
      <w:szCs w:val="22"/>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table" w:customStyle="1" w:styleId="style4097">
    <w:name w:val="TableNormal"/>
    <w:next w:val="style4097"/>
    <w:pPr/>
    <w:rPr/>
    <w:tblPr>
      <w:tblCellMar>
        <w:top w:w="100" w:type="dxa"/>
        <w:left w:w="100" w:type="dxa"/>
        <w:bottom w:w="100" w:type="dxa"/>
        <w:right w:w="100" w:type="dxa"/>
      </w:tblCellMar>
    </w:tblPr>
    <w:tcPr>
      <w:tcBorders/>
    </w:tcPr>
  </w:style>
  <w:style w:type="paragraph" w:styleId="style62">
    <w:name w:val="Title"/>
    <w:basedOn w:val="style0"/>
    <w:next w:val="style0"/>
    <w:qFormat/>
    <w:uiPriority w:val="10"/>
    <w:pPr>
      <w:keepNext/>
      <w:keepLines/>
      <w:spacing w:after="60"/>
    </w:pPr>
    <w:rPr>
      <w:sz w:val="52"/>
      <w:szCs w:val="52"/>
    </w:rPr>
  </w:style>
  <w:style w:type="paragraph" w:styleId="style74">
    <w:name w:val="Subtitle"/>
    <w:basedOn w:val="style0"/>
    <w:next w:val="style0"/>
    <w:qFormat/>
    <w:uiPriority w:val="11"/>
    <w:pPr>
      <w:keepNext/>
      <w:keepLines/>
      <w:spacing w:after="320"/>
    </w:pPr>
    <w:rPr>
      <w:rFonts w:ascii="Arial" w:cs="Arial" w:eastAsia="Arial" w:hAnsi="Arial"/>
      <w:color w:val="666666"/>
      <w:sz w:val="30"/>
      <w:szCs w:val="30"/>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0000ff"/>
      <w:u w:val="single"/>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11" Type="http://schemas.openxmlformats.org/officeDocument/2006/relationships/theme" Target="theme/theme1.xml"/><Relationship Id="rId10" Type="http://schemas.openxmlformats.org/officeDocument/2006/relationships/settings" Target="settings.xml"/><Relationship Id="rId9" Type="http://schemas.openxmlformats.org/officeDocument/2006/relationships/fontTable" Target="fontTable.xml"/><Relationship Id="rId5" Type="http://schemas.openxmlformats.org/officeDocument/2006/relationships/image" Target="media/image4.png"/><Relationship Id="rId6" Type="http://schemas.openxmlformats.org/officeDocument/2006/relationships/header" Target="header1.xml"/><Relationship Id="rId7" Type="http://schemas.openxmlformats.org/officeDocument/2006/relationships/footer" Target="footer2.xml"/><Relationship Id="rId8"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Words>3163</Words>
  <Pages>1</Pages>
  <Characters>19945</Characters>
  <Application>WPS Office</Application>
  <DocSecurity>0</DocSecurity>
  <Paragraphs>139</Paragraphs>
  <ScaleCrop>false</ScaleCrop>
  <LinksUpToDate>false</LinksUpToDate>
  <CharactersWithSpaces>22980</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2026-03-19T04:23:00Z</dcterms:created>
  <dc:creator>WPS Office</dc:creator>
  <lastModifiedBy>Redmi Note 8 Pro</lastModifiedBy>
  <dcterms:modified xsi:type="dcterms:W3CDTF">2026-03-19T14:52:35Z</dcterms:modified>
  <revision>3</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1017242d-8a18-42b8-ae3f-fd9a067b5c23</vt:lpwstr>
  </property>
  <property fmtid="{D5CDD505-2E9C-101B-9397-08002B2CF9AE}" pid="3" name="ICV">
    <vt:lpwstr>21eef75b64d24e5eb3da6d8a6e7cf9d7</vt:lpwstr>
  </property>
</Properties>
</file>