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014BD" w14:textId="77777777" w:rsidR="003457EB" w:rsidRPr="0027092B" w:rsidRDefault="003457EB" w:rsidP="0027092B">
      <w:pPr>
        <w:spacing w:line="480" w:lineRule="auto"/>
        <w:jc w:val="center"/>
        <w:rPr>
          <w:rFonts w:ascii="Times New Roman" w:hAnsi="Times New Roman"/>
          <w:b/>
          <w:bCs/>
          <w:sz w:val="24"/>
          <w:szCs w:val="24"/>
        </w:rPr>
      </w:pPr>
      <w:r w:rsidRPr="008C4DA4">
        <w:rPr>
          <w:rFonts w:ascii="Times New Roman" w:hAnsi="Times New Roman"/>
          <w:b/>
          <w:bCs/>
          <w:sz w:val="24"/>
          <w:szCs w:val="24"/>
        </w:rPr>
        <w:t>Impact of the tax system on self-employment in the British Construction Industry</w:t>
      </w:r>
    </w:p>
    <w:p w14:paraId="4E7879F1" w14:textId="77777777" w:rsidR="00057967" w:rsidRPr="008C4DA4" w:rsidRDefault="00057967" w:rsidP="008C4DA4">
      <w:pPr>
        <w:spacing w:line="480" w:lineRule="auto"/>
        <w:jc w:val="center"/>
        <w:rPr>
          <w:rFonts w:ascii="Times New Roman" w:hAnsi="Times New Roman"/>
          <w:sz w:val="24"/>
          <w:szCs w:val="24"/>
        </w:rPr>
      </w:pPr>
      <w:r w:rsidRPr="008C4DA4">
        <w:rPr>
          <w:rFonts w:ascii="Times New Roman" w:hAnsi="Times New Roman"/>
          <w:b/>
          <w:bCs/>
          <w:sz w:val="24"/>
          <w:szCs w:val="24"/>
        </w:rPr>
        <w:t>Introduction</w:t>
      </w:r>
    </w:p>
    <w:p w14:paraId="7EEADFE0"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British construction industry extensively relies on skilled labor from sub-contractors in the Self- employed market. Accordingly, the growth in self-employment from the 1970s to the mid-90s was attributed to a favorable tax framework that exhibited higher economies of scale for self-employment and the use of sub-contractors (Briscoe, Dainty, and Millet, 2000). Currently, employers have consistently blurred the line between self-employment and employment to manipulate the existing tax system to minimize NIC and income tax deductions (Seely, 2019). Despite the introduction of the Construction Industry Scheme (CIS) to enforce tax compliance among self-employed operatives and subcontractors, false “self-employment” has been one of the major impacts of the tax system on self-employment in the construction industry. However, further recommendations have been provided by the OTS for the government to standardize the legal definition of employment status as a way of fostering tax compliance. </w:t>
      </w:r>
    </w:p>
    <w:p w14:paraId="139B7F9A"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Therefore, despite analyzing historical self-employment trends in the British construction industry, financial factors like taxation that influenced such trends are also analyzed in this paper. Apart from highlighting the role of intermediaries that have influenced tax avoidance, the paper also outlines the blurred distinction between self-employment and direct employment. Besides outlining how the blurred distinction has influenced false “self-employment” and manipulation of the tax system. After illustrating the strengths and weaknesses of the CIS in effecting tax compliance, the analysis concluded by evaluating the counterargument against self-employment in the construction industry. Ultimately, the paper contributes to the understanding of why self-employment is preferred not only by workers but also employers in the construction industry. </w:t>
      </w:r>
    </w:p>
    <w:p w14:paraId="4F7AE7B9"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lastRenderedPageBreak/>
        <w:t>Employed and Self-employed Operatives</w:t>
      </w:r>
    </w:p>
    <w:p w14:paraId="39188790"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decision as to whether someone is employed or unemployed is important in terms of both taxation and individual employment law rights. The distinction between self-employment and employment is outlined under Income Tax (Earnings &amp; Pensions) Act (ITEPA) 200 and national insurance contribution (NIC). Under (ITEPA) 200, employment comprises any form of employment under a contract of service, contract of apprenticeship, or employment under the crown (Seely, 2019). On the other hand, the national insurance contribution (NIC) section (2) (1) of the social security contribution and benefits act (SSCB) 1992 also provides the distinction between self-employed operatives and employed operatives (House of Commons Library, 2019). Whereas an employed operative is a person who is gainfully employed in Britain either under a contract of services or office with general earnings, Self-employed operatives represent a person who is gainfully employed in Great Britain otherwise than in the terms of an employed operative (Seely, 2019). </w:t>
      </w:r>
    </w:p>
    <w:p w14:paraId="7D15739A"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However, the determination of employment status is mostly a choice. Despite this distinction, an employment status report published by the Office for tax simplification (OTS) established that “the classification of an individual status for either tax or employment rights is a choice” (HM Government, 2018). The incentive to categorize employees as self-employed and the complexity of determining the employment status was determined in January 2017 tribunal case. In this case, a haulage company providing services to a construction company claimed its drivers were not employees but direct contractors. Despite the application of various tests by the tribunal to the facts of the case, the indicia of employment or unemployment did point to a consistent and precise direction (Practical Law Tax, 2017). </w:t>
      </w:r>
    </w:p>
    <w:p w14:paraId="3B00E869"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lastRenderedPageBreak/>
        <w:t>In the tribunal, various factors and test rules were applied in support of employment and self-employment. Evidence supporting self-employment included drivers who operated without supervision and exhibited a limited ability to replace other drivers in their place (Practical Law Tax, 2017). In support of employment, there was also inadequate evidence the drivers were operating the business on their account (Practical Law Tax, 2017). Prescriptive rules for the performance of deliveries also showed that the driver was directly employed. </w:t>
      </w:r>
    </w:p>
    <w:p w14:paraId="2CE0DB96"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Nevertheless, various attempts have also been made in the further debate between employment status and tax. The debate mainly revolved around two major aspects. The NIC tax difference between employed and self-employed operatives. The existence of such tax differential causes pressure on the employment status, especially from those who desire to gain an advantage and manage the risk of using either employed or self-employed operatives (Seely, 2019; pg. 37). Secondly since the distinction line between employment and self-employment is blurred in influences uncertainty and invites attempts from intermediaries and employers to manipulate rules to avoid taxes.  </w:t>
      </w:r>
    </w:p>
    <w:p w14:paraId="4954E25B"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officer of tax simplification (OTS) made 28 recommendations related to administration, legal definition, and tax incidence. Regarding the legal definition of employment status, OTS recommended that the government should determine employment status by setting a “de Minimis” amount of payment or contract period whereby the employee is classified as self-employed (Seely, 2019; pg. 38). Secondly, development of a statutory employment test. In the recommendations, the OTS report also acknowledged that the government requires a joint review between HMRC, HMT, DWP, and BIS to develop the basic code of principles that define employment status (BEIS/HMT/HMRC, 2018). Prudently, if progress is to be made in fostering NIC and income tax compliance, solving the employment status issue is the primary step. </w:t>
      </w:r>
    </w:p>
    <w:p w14:paraId="587CA73B"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lastRenderedPageBreak/>
        <w:t>“False” Self-employment </w:t>
      </w:r>
    </w:p>
    <w:p w14:paraId="41286B09"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Employers tend to exploit uncertainties over the unemployment status by disguising their employees as self-employed. HM Treasury (2014) also explains that false self-employment occurs when the fundamental nature of the relationship between the employee and employer but employment, however, the engagement is reported as self-employment. The primary driver of false “self-employment” is the tax differences in reporting employees as self-employed or employed operatives (Seely, 2019). HM Treasury. (2014) also acknowledges incentive for disguising employees as self-employed is mostly to reduce the tax and NIC deduction from income. For instance, the NIC deductions are made on direct employees but not on self-employed operatives. The amount of deductions paid to NIC by self-employed operatives is also lower than by employed operatives. Notably, self-employed operators pay 20% through the construction industry. Self-employment tax deductions are also made on profits and the rules on what is to be deducted from gross income are also accommodative compared to the income of direct employers (Seely, 2019). Due to such differences, both employers and employees exhibit the financial incentive to attempt false “self-employment”. </w:t>
      </w:r>
    </w:p>
    <w:p w14:paraId="469F01A0"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Self-employed workers pay lower National Insurance contributions. Furthermore, they are taxed on profit rather than income. Therefore, self-employed operatives who operate under false declaration not only lead to unfair competitive advantage but also revenue losses in unpaid taxes (Eurofound, 2013). A government consultation in 2009, showed that the value lost in revenue amounted to 350 million GBP due to false declaration of self-employment in the Construction Industry (Eurofound, 2013). House of Commons Library (2021) shows that the clarification of employees as self-employed may help employers avoid national insurance contributions whereas individual employees can also accumulate tax savings. Despite savings, </w:t>
      </w:r>
      <w:r w:rsidRPr="008C4DA4">
        <w:rPr>
          <w:rFonts w:ascii="Times New Roman" w:hAnsi="Times New Roman"/>
          <w:sz w:val="24"/>
          <w:szCs w:val="24"/>
        </w:rPr>
        <w:lastRenderedPageBreak/>
        <w:t>self-employment arrangements might deprive self-employed operatives of benefits like sick pay.   </w:t>
      </w:r>
    </w:p>
    <w:p w14:paraId="5D0E2A4B"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t>Intermediaries </w:t>
      </w:r>
    </w:p>
    <w:p w14:paraId="037970EB"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existing tax policies have also affected self-employment in the construction industry by fostering the role of intermediaries who exploit self-employment tax rules. Besides disguising the nature and scope of workers they allocate to different employers, they also share most of the financial benefits related to the avoidance of NIC reimbursements with an employer often with no financial benefits for the individual self-employed operative (House of Commons Library, 20221). Following consultations that were summarized in the 2014 budget, the coalition government outlined various steps meant to address the intermediary exploitations related to tax avoidance by either being based offshore or disguising employment as self-employment (HM Treasury, 2014). </w:t>
      </w:r>
    </w:p>
    <w:p w14:paraId="64ED8989" w14:textId="77777777" w:rsidR="00ED5DA4" w:rsidRPr="008C4DA4" w:rsidRDefault="00ED5DA4" w:rsidP="00ED5DA4">
      <w:pPr>
        <w:spacing w:line="480" w:lineRule="auto"/>
        <w:ind w:firstLine="720"/>
        <w:rPr>
          <w:rFonts w:ascii="Times New Roman" w:hAnsi="Times New Roman"/>
          <w:sz w:val="24"/>
          <w:szCs w:val="24"/>
        </w:rPr>
      </w:pPr>
    </w:p>
    <w:p w14:paraId="07C24662"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t>Outlook of Self-employment in the British construction Industry </w:t>
      </w:r>
    </w:p>
    <w:p w14:paraId="4312C982"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Various reasons explain why self-employed operatives gain a financial upper hand over directly employed operatives in the British construction industry. Primarily, through the evasion of taxes and National insurance contributions (Briscoe, Dainty, and Millet, 2000; pg. 602). As early as the 60s, factors like redundancy payment legislations and selective employment tax also influenced a spike in self-employment. Besides, taxation, other factors also influenced widespread self-employment in the industry. For instance, the Phelps-Brown Report (1968) concluded that self-employed workers displayed high productivity and hence influenced better </w:t>
      </w:r>
      <w:r w:rsidRPr="008C4DA4">
        <w:rPr>
          <w:rFonts w:ascii="Times New Roman" w:hAnsi="Times New Roman"/>
          <w:sz w:val="24"/>
          <w:szCs w:val="24"/>
        </w:rPr>
        <w:lastRenderedPageBreak/>
        <w:t>employment conditions for employees and employers (Briscoe, Dainty, &amp; Millett, 1999; pg. 212). </w:t>
      </w:r>
    </w:p>
    <w:p w14:paraId="42C96B00"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1971 Finance act introduced the 714 certificate scheme further fostered self-employment in the construction industry. Under the 714 certificate scheme, self-employed operatives and subcontracting companies receive a certificate that ensures no income tax income is deducted at the point of payment under easily satisfiable criteria (Briscoe, Dainty, &amp; Millett, 1999; pg. 212). In place of income tax, an annual assessment tax was introduced on profits accrued after the deduction of expenses. Self-employment operatives who did not qualify under the 714 certificate scheme were registered under the SC60 scheme. In the SC60 scheme, income tax was deducted from the payment of labor whereas final tax appraisals were declared at the end of the tax year (Briscoe, Dainty, &amp; Millett, 1999; pg. 212). The 1982 employment act also outlawed contracts specifically requiring the use of unionized workers. Such factors fostered spikes in self-employment. </w:t>
      </w:r>
    </w:p>
    <w:p w14:paraId="441AB29F"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sz w:val="24"/>
          <w:szCs w:val="24"/>
        </w:rPr>
        <w:t>The outcome is represented in the table below which shows how self-employment in the construction industry outgrew other economic sectors between 1981 and 1990. </w:t>
      </w:r>
    </w:p>
    <w:p w14:paraId="4F434C83" w14:textId="0E93663E" w:rsidR="00ED5DA4" w:rsidRPr="008C4DA4" w:rsidRDefault="000E1487" w:rsidP="00ED5DA4">
      <w:pPr>
        <w:spacing w:line="480" w:lineRule="auto"/>
        <w:rPr>
          <w:rFonts w:ascii="Times New Roman" w:hAnsi="Times New Roman"/>
          <w:sz w:val="24"/>
          <w:szCs w:val="24"/>
        </w:rPr>
      </w:pPr>
      <w:r w:rsidRPr="008C4DA4">
        <w:rPr>
          <w:rFonts w:ascii="Times New Roman" w:hAnsi="Times New Roman"/>
          <w:noProof/>
          <w:sz w:val="24"/>
          <w:szCs w:val="24"/>
        </w:rPr>
        <w:drawing>
          <wp:inline distT="0" distB="0" distL="0" distR="0" wp14:anchorId="4B234114" wp14:editId="5F6DB3B1">
            <wp:extent cx="5943600" cy="24384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438400"/>
                    </a:xfrm>
                    <a:prstGeom prst="rect">
                      <a:avLst/>
                    </a:prstGeom>
                    <a:noFill/>
                    <a:ln>
                      <a:noFill/>
                    </a:ln>
                  </pic:spPr>
                </pic:pic>
              </a:graphicData>
            </a:graphic>
          </wp:inline>
        </w:drawing>
      </w:r>
    </w:p>
    <w:p w14:paraId="63DB13C1"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lastRenderedPageBreak/>
        <w:t>Reasons for the reliance on self-employment in the British Construction industry </w:t>
      </w:r>
    </w:p>
    <w:p w14:paraId="6691CEF8"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There are various for reliance on self-employment in the industry. The primary reason is the financial benefits derived from a self-employed workforce over direct employment. According to the estimations of Evans and Lewis (1989), overall savings from self-employment ranges between 20% and 30% of the wage bill. The use of self-employed operatives also relieves employers of NIC contributions (12% of the wage bill) among other costs affiliated with administrative costs of facilitating PAYE deductions, holiday and sick pay, overtime rates, and bonuses (Briscoe, Dainty, &amp; Millett, 1999; pg. 214). The potential costs of training direct employees are also avoided under the self-employment arrangement. </w:t>
      </w:r>
    </w:p>
    <w:p w14:paraId="02BDE39A"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benefits are not only limited to financial gains but also workforce flexibility. Self-employed resources allow flexibility, especially under fluctuating workloads. Self-employed operatives are flexible to the workload because they are not protected from redundancy, unfair dismissal, and limited responsibilities from the contractor (Briscoe, Dainty, &amp; Millett, 1999; pg. 214). Despite a percentage of self-employed operatives being members of trade unions, their working conditions and employment benefits are mostly negotiated outside the union’s collective agreement. </w:t>
      </w:r>
    </w:p>
    <w:p w14:paraId="49D146D0"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t>Construction Industry Scheme </w:t>
      </w:r>
      <w:r w:rsidR="00ED5DA4" w:rsidRPr="008C4DA4">
        <w:rPr>
          <w:rFonts w:ascii="Times New Roman" w:hAnsi="Times New Roman"/>
          <w:b/>
          <w:bCs/>
          <w:sz w:val="24"/>
          <w:szCs w:val="24"/>
        </w:rPr>
        <w:t>(CIS)</w:t>
      </w:r>
    </w:p>
    <w:p w14:paraId="7C96786C"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The construction industry scheme (CIS) was established in 2005 to enhance tax compliance among self-employed workers in the Construction industry. Statistics from the HM revenue and customs (HMRC) showed that 1.12 million construction workers or 49% of all construction personnel in the UK were paid under the CIS program in 2017/18 (Authority of the House of Commons, 2017). The number has increased by 18% since 2018. The program </w:t>
      </w:r>
      <w:r w:rsidRPr="008C4DA4">
        <w:rPr>
          <w:rFonts w:ascii="Times New Roman" w:hAnsi="Times New Roman"/>
          <w:sz w:val="24"/>
          <w:szCs w:val="24"/>
        </w:rPr>
        <w:lastRenderedPageBreak/>
        <w:t>involves holding a percentage of the payments made to subcontractors. The percentages withheld are paid to the HMRC as reimbursement for the subcontractors’ tax and National insurance contributions (Employment Status report, 2015).  </w:t>
      </w:r>
    </w:p>
    <w:p w14:paraId="3396B66E"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Feedback from the industry has been effective in improving compliance. However, CIS does not effectively address issues of undeclared work in the construction industry like the bogus declaration of self-employment status (Eurofound, 2013). The CIS also seeks to alleviate the administrative burden between contractors and subcontractors for upholding the appropriate tax levels. The burden is alleviated by introducing online tax reforms and pre-filled tax reforms for contractors and subcontractors in the construction industry (Eurofound, 2013).</w:t>
      </w:r>
    </w:p>
    <w:p w14:paraId="37E162B8"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After the implementation of CIS, both efficiencies, in terms of objective achievement, and obstacles have been identified. Notably, in a study commissioned by HMRC in 2010, 81% of the participants agreed that the CIS effectively ensured tax compliance in the construction industry (HM Treasury, 2009). Whereas 79% of the respondents agreed that CIS assured that self-employed workers in the industry complied with tax obligations, 65% acknowledged that the updated version of CIS (2007) is simpler to administer (HM Treasury, 2009). Nevertheless, the report also acknowledged limitations like the inability to address false declarations of self-employment. In the report, there was also speculation that CIS reduces trust between state revenue agencies and the construction sector. Notably, 51% of the respondents interviewed acknowledged that the very existence of CIS is a sign of distrust between the construction industry and HMRC (HM Treasury, 2009).</w:t>
      </w:r>
    </w:p>
    <w:p w14:paraId="5C94EEA1"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Various lessons were learned from the limitations of the CIS determined through the 2009 HMRC evaluation. For instance, from 1st April 2009, HMRC acquired enhanced powers to ensure that tax has been calculated, declared, and claimed across capital gain tax, income tax, </w:t>
      </w:r>
      <w:r w:rsidRPr="008C4DA4">
        <w:rPr>
          <w:rFonts w:ascii="Times New Roman" w:hAnsi="Times New Roman"/>
          <w:sz w:val="24"/>
          <w:szCs w:val="24"/>
        </w:rPr>
        <w:lastRenderedPageBreak/>
        <w:t>cooperation tax, CIS, VAT, and PAYE (HM Treasury, 2009). Such enhanced measures promote extra deterrence against undeclared work in the construction industry hence complementing CIS in promoting tax compliance. </w:t>
      </w:r>
    </w:p>
    <w:p w14:paraId="589382C2"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t>The counterargument for self-employment </w:t>
      </w:r>
    </w:p>
    <w:p w14:paraId="2E0C3860"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Besides the financial gains and flexibility affiliated with self-employment, Briscoe, Dainty, &amp; Millett, 1999; pg. 218) identifies some of the gains affiliated with </w:t>
      </w:r>
      <w:r w:rsidR="00ED5DA4" w:rsidRPr="008C4DA4">
        <w:rPr>
          <w:rFonts w:ascii="Times New Roman" w:hAnsi="Times New Roman"/>
          <w:sz w:val="24"/>
          <w:szCs w:val="24"/>
        </w:rPr>
        <w:t xml:space="preserve">using </w:t>
      </w:r>
      <w:r w:rsidRPr="008C4DA4">
        <w:rPr>
          <w:rFonts w:ascii="Times New Roman" w:hAnsi="Times New Roman"/>
          <w:sz w:val="24"/>
          <w:szCs w:val="24"/>
        </w:rPr>
        <w:t>direct employment in the British construction industry. One of the major gains is related to the improvement of quality. Notably, Briscoe, Dainty, &amp; Millett (1999; pg. 218) acknowledges that there is better control of quality when using direct labor compared to subcontractors. On the other hand, quality control is hard to achieve whereby the workload is distributed among small firms staffed by self-employed operatives. </w:t>
      </w:r>
    </w:p>
    <w:p w14:paraId="25DB83EF"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The construction sector is characterized by relatively low productivity which is manifested through project and budget writers. Self-employed workers are affiliated with higher productivity per hour as a result of the time-related systems of compensation. Nevertheless, such high productivity is diluted by high material wastage and poor work coordination. Therefore, the use of direct labor is more likely to increase productivity in the industry by fostering investment in plant and machinery to minimize material wastage and enhance work coordination (Harvey &amp; Behling, 2008). Notably, smaller firms with self-employed operatives exhibit a limited financial capacity to invest in the required machinery and construction equipment. </w:t>
      </w:r>
    </w:p>
    <w:p w14:paraId="71611F1E"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 xml:space="preserve">Self-employment in the construction industry is also affiliated with substandard levels of training which also affect quality and productivity. The incentive for employees to train employees will be mainly derived from the transition of employees to direct employment. </w:t>
      </w:r>
      <w:r w:rsidRPr="008C4DA4">
        <w:rPr>
          <w:rFonts w:ascii="Times New Roman" w:hAnsi="Times New Roman"/>
          <w:sz w:val="24"/>
          <w:szCs w:val="24"/>
        </w:rPr>
        <w:lastRenderedPageBreak/>
        <w:t>Golzen (1997) demonstrates how the SC60 scheme fosters casualization which has greatly contributed to de-skilling in the British construction industry. Transitioning to direct labor does not necessarily guarantee improvement in the skills of construction workers. However, if the transition provides a long-term employment structure, increased levels of investment in human resources is expected since the return on Investment (ROI) will incentivize employers (HM Government, 2018). Such long-term arrangements also enhance industrial relations whereas also reducing the high labor turnover currently experienced in the construction industry. </w:t>
      </w:r>
    </w:p>
    <w:p w14:paraId="35F3C40D" w14:textId="77777777" w:rsidR="00057967" w:rsidRPr="008C4DA4" w:rsidRDefault="00057967" w:rsidP="00ED5DA4">
      <w:pPr>
        <w:spacing w:line="480" w:lineRule="auto"/>
        <w:rPr>
          <w:rFonts w:ascii="Times New Roman" w:hAnsi="Times New Roman"/>
          <w:sz w:val="24"/>
          <w:szCs w:val="24"/>
        </w:rPr>
      </w:pPr>
      <w:r w:rsidRPr="008C4DA4">
        <w:rPr>
          <w:rFonts w:ascii="Times New Roman" w:hAnsi="Times New Roman"/>
          <w:b/>
          <w:bCs/>
          <w:sz w:val="24"/>
          <w:szCs w:val="24"/>
        </w:rPr>
        <w:t>Conclusion </w:t>
      </w:r>
    </w:p>
    <w:p w14:paraId="63B4EDD4" w14:textId="77777777" w:rsidR="00057967" w:rsidRPr="008C4DA4" w:rsidRDefault="00057967" w:rsidP="00ED5DA4">
      <w:pPr>
        <w:spacing w:line="480" w:lineRule="auto"/>
        <w:ind w:firstLine="720"/>
        <w:rPr>
          <w:rFonts w:ascii="Times New Roman" w:hAnsi="Times New Roman"/>
          <w:sz w:val="24"/>
          <w:szCs w:val="24"/>
        </w:rPr>
      </w:pPr>
      <w:r w:rsidRPr="008C4DA4">
        <w:rPr>
          <w:rFonts w:ascii="Times New Roman" w:hAnsi="Times New Roman"/>
          <w:sz w:val="24"/>
          <w:szCs w:val="24"/>
        </w:rPr>
        <w:t>It is prudent that the tax system has promoted false “self-employment” and tax avoidance through the manipulation of income tax and NIC deductions. The complication of false “self-employment” particularly emerges from the inadequacy of existing employment tests to precisely determine and legally define employment status. Ultimately, the OTS has recommended standardization of the legal definition of employment status as the primary step in enhancing income tax and NIC contributions. It is also evident that the CIS has promoted tax obligations but has not effectively addressed false “self-employment” in the construction industry. </w:t>
      </w:r>
    </w:p>
    <w:p w14:paraId="2F14C651" w14:textId="77777777" w:rsidR="00ED5DA4" w:rsidRPr="008C4DA4" w:rsidRDefault="00ED5DA4" w:rsidP="00ED5DA4">
      <w:pPr>
        <w:spacing w:line="480" w:lineRule="auto"/>
        <w:jc w:val="center"/>
        <w:rPr>
          <w:rFonts w:ascii="Times New Roman" w:hAnsi="Times New Roman"/>
          <w:b/>
          <w:sz w:val="24"/>
          <w:szCs w:val="24"/>
        </w:rPr>
      </w:pPr>
    </w:p>
    <w:p w14:paraId="4B08E545" w14:textId="77777777" w:rsidR="00ED5DA4" w:rsidRPr="008C4DA4" w:rsidRDefault="00ED5DA4" w:rsidP="00ED5DA4">
      <w:pPr>
        <w:spacing w:line="480" w:lineRule="auto"/>
        <w:jc w:val="center"/>
        <w:rPr>
          <w:rFonts w:ascii="Times New Roman" w:hAnsi="Times New Roman"/>
          <w:b/>
          <w:sz w:val="24"/>
          <w:szCs w:val="24"/>
        </w:rPr>
      </w:pPr>
    </w:p>
    <w:p w14:paraId="2F506BB9" w14:textId="77777777" w:rsidR="00ED5DA4" w:rsidRPr="008C4DA4" w:rsidRDefault="00ED5DA4" w:rsidP="00ED5DA4">
      <w:pPr>
        <w:spacing w:line="480" w:lineRule="auto"/>
        <w:jc w:val="center"/>
        <w:rPr>
          <w:rFonts w:ascii="Times New Roman" w:hAnsi="Times New Roman"/>
          <w:b/>
          <w:sz w:val="24"/>
          <w:szCs w:val="24"/>
        </w:rPr>
      </w:pPr>
    </w:p>
    <w:p w14:paraId="3B416203" w14:textId="77777777" w:rsidR="00ED5DA4" w:rsidRPr="008C4DA4" w:rsidRDefault="00ED5DA4" w:rsidP="008C4DA4">
      <w:pPr>
        <w:spacing w:line="480" w:lineRule="auto"/>
        <w:rPr>
          <w:rFonts w:ascii="Times New Roman" w:hAnsi="Times New Roman"/>
          <w:b/>
          <w:sz w:val="24"/>
          <w:szCs w:val="24"/>
        </w:rPr>
      </w:pPr>
    </w:p>
    <w:p w14:paraId="5659E3B5" w14:textId="77777777" w:rsidR="00ED5DA4" w:rsidRPr="008C4DA4" w:rsidRDefault="00ED5DA4" w:rsidP="00ED5DA4">
      <w:pPr>
        <w:spacing w:line="480" w:lineRule="auto"/>
        <w:jc w:val="center"/>
        <w:rPr>
          <w:rFonts w:ascii="Times New Roman" w:hAnsi="Times New Roman"/>
          <w:b/>
          <w:sz w:val="24"/>
          <w:szCs w:val="24"/>
        </w:rPr>
      </w:pPr>
    </w:p>
    <w:p w14:paraId="51816FB1" w14:textId="77777777" w:rsidR="00ED5DA4" w:rsidRPr="008C4DA4" w:rsidRDefault="00ED5DA4" w:rsidP="00ED5DA4">
      <w:pPr>
        <w:spacing w:line="480" w:lineRule="auto"/>
        <w:jc w:val="center"/>
        <w:rPr>
          <w:rFonts w:ascii="Times New Roman" w:hAnsi="Times New Roman"/>
          <w:b/>
          <w:sz w:val="24"/>
          <w:szCs w:val="24"/>
        </w:rPr>
      </w:pPr>
      <w:r w:rsidRPr="008C4DA4">
        <w:rPr>
          <w:rFonts w:ascii="Times New Roman" w:hAnsi="Times New Roman"/>
          <w:b/>
          <w:sz w:val="24"/>
          <w:szCs w:val="24"/>
        </w:rPr>
        <w:lastRenderedPageBreak/>
        <w:t>References</w:t>
      </w:r>
    </w:p>
    <w:p w14:paraId="6DA6CA71"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 xml:space="preserve">Authority of the House of Commons (2017). Self-employment and the gig economy. Thirteenth Report of Session 2016–17. Accessed from: </w:t>
      </w:r>
      <w:hyperlink r:id="rId7" w:history="1">
        <w:r w:rsidRPr="008C4DA4">
          <w:rPr>
            <w:rStyle w:val="Hyperlink"/>
            <w:rFonts w:ascii="Times New Roman" w:hAnsi="Times New Roman"/>
            <w:sz w:val="24"/>
            <w:szCs w:val="24"/>
          </w:rPr>
          <w:t>https://publications.parliament.uk/pa/cm201617/cmselect/cmworpen/847/847.pdf</w:t>
        </w:r>
      </w:hyperlink>
      <w:r w:rsidRPr="008C4DA4">
        <w:rPr>
          <w:rFonts w:ascii="Times New Roman" w:hAnsi="Times New Roman"/>
          <w:sz w:val="24"/>
          <w:szCs w:val="24"/>
        </w:rPr>
        <w:t xml:space="preserve">  </w:t>
      </w:r>
    </w:p>
    <w:p w14:paraId="32B13588"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BEIS/HMT/HMRC, (2018) Employment status consultation, February 2018 para 5.3</w:t>
      </w:r>
    </w:p>
    <w:p w14:paraId="535F6C36"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Briscoe, G., Dainty, A., &amp; Millett, S. (1999, September). The likely impact of the tax system on self-employment in the British construction industry. In Proceedings of the 15th Annual ARCOM Conference, Liverpool John Moores University, UK (Vol. 15, pp. 211-220).</w:t>
      </w:r>
    </w:p>
    <w:p w14:paraId="0EC72A3D"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Briscoe, G., Dainty, A., &amp; Millett, S. (2000). The impact of the tax system on self‐employment in the British construction industry. International Journal of Manpower, 21(8), 596-614.</w:t>
      </w:r>
    </w:p>
    <w:p w14:paraId="09AC18BE"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Budget. (2010). The 2010 Budget report simply stated that the Government “remained committed to addressing this problem” (Budget 2010, HC 451, and March 2010 para 5.94). Details of the consultation are collated on the National Archives site.</w:t>
      </w:r>
    </w:p>
    <w:p w14:paraId="2A3DD571" w14:textId="77777777" w:rsidR="00ED5DA4" w:rsidRPr="008C4DA4" w:rsidRDefault="00ED5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Employment Status report, March 2015 para 2.53, para 2.23-4</w:t>
      </w:r>
    </w:p>
    <w:p w14:paraId="21320E2B"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 xml:space="preserve">Eurofound. (2013). Construction Industry Scheme, UK. Accessed from: </w:t>
      </w:r>
      <w:hyperlink r:id="rId8" w:history="1">
        <w:r w:rsidRPr="008C4DA4">
          <w:rPr>
            <w:rStyle w:val="Hyperlink"/>
            <w:rFonts w:ascii="Times New Roman" w:hAnsi="Times New Roman"/>
            <w:sz w:val="24"/>
            <w:szCs w:val="24"/>
          </w:rPr>
          <w:t>https://www.eurofound.europa.eu/data/tackling-undeclared-work-in-europe/database/construction-industry-scheme-uk</w:t>
        </w:r>
      </w:hyperlink>
      <w:r w:rsidRPr="008C4DA4">
        <w:rPr>
          <w:rFonts w:ascii="Times New Roman" w:hAnsi="Times New Roman"/>
          <w:sz w:val="24"/>
          <w:szCs w:val="24"/>
        </w:rPr>
        <w:t xml:space="preserve"> </w:t>
      </w:r>
    </w:p>
    <w:p w14:paraId="1856515A"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Evans, S. and Lewis, R. (1989) De-structuring and de-regulation in the construction industry In: Tailby, S. and Whitstone, C. (eds). Manufacturing change: industrial relations and restructuring. Oxford: Blackwell.</w:t>
      </w:r>
    </w:p>
    <w:p w14:paraId="427BB958"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lastRenderedPageBreak/>
        <w:t>Harvey, M &amp; Behling, F. (2008). The evasion economy: false self-employment in the UK Construction industry, UCATT May 2008</w:t>
      </w:r>
    </w:p>
    <w:p w14:paraId="1F824208"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HM Government. (2018). Good Work Plan, December 2018 pp25-9</w:t>
      </w:r>
    </w:p>
    <w:p w14:paraId="632BF74F"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HM Treasury. (2009). false self-employment in construction: taxation of workers.</w:t>
      </w:r>
    </w:p>
    <w:p w14:paraId="28BB79B4"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 xml:space="preserve">HM Treasury. (2014). </w:t>
      </w:r>
      <w:hyperlink r:id="rId9" w:history="1">
        <w:r w:rsidRPr="008C4DA4">
          <w:rPr>
            <w:rStyle w:val="Emphasis"/>
            <w:rFonts w:ascii="Times New Roman" w:hAnsi="Times New Roman"/>
            <w:color w:val="0000FF"/>
            <w:sz w:val="24"/>
            <w:szCs w:val="24"/>
            <w:u w:val="single"/>
          </w:rPr>
          <w:t>Overview of tax legislation &amp; rates</w:t>
        </w:r>
      </w:hyperlink>
      <w:r w:rsidRPr="008C4DA4">
        <w:rPr>
          <w:rFonts w:ascii="Times New Roman" w:hAnsi="Times New Roman"/>
          <w:sz w:val="24"/>
          <w:szCs w:val="24"/>
        </w:rPr>
        <w:t xml:space="preserve">, March 2014 para 1.55-6. Provision to this effect was made by ss16-18 &amp; s20 of </w:t>
      </w:r>
      <w:r w:rsidRPr="008C4DA4">
        <w:rPr>
          <w:rStyle w:val="Emphasis"/>
          <w:rFonts w:ascii="Times New Roman" w:hAnsi="Times New Roman"/>
          <w:sz w:val="24"/>
          <w:szCs w:val="24"/>
        </w:rPr>
        <w:t>FA2014</w:t>
      </w:r>
      <w:r w:rsidRPr="008C4DA4">
        <w:rPr>
          <w:rFonts w:ascii="Times New Roman" w:hAnsi="Times New Roman"/>
          <w:sz w:val="24"/>
          <w:szCs w:val="24"/>
        </w:rPr>
        <w:t>. It was estimated these changes would raise £80m, and £445m, in 2014/15, respectively (</w:t>
      </w:r>
      <w:r w:rsidRPr="008C4DA4">
        <w:rPr>
          <w:rStyle w:val="Emphasis"/>
          <w:rFonts w:ascii="Times New Roman" w:hAnsi="Times New Roman"/>
          <w:sz w:val="24"/>
          <w:szCs w:val="24"/>
        </w:rPr>
        <w:t>Budget 2014</w:t>
      </w:r>
      <w:r w:rsidRPr="008C4DA4">
        <w:rPr>
          <w:rFonts w:ascii="Times New Roman" w:hAnsi="Times New Roman"/>
          <w:sz w:val="24"/>
          <w:szCs w:val="24"/>
        </w:rPr>
        <w:t>, HC1104, March 2014 pp58-9 – Table 2.2 items s &amp; bb)</w:t>
      </w:r>
    </w:p>
    <w:p w14:paraId="3B38A65D"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 xml:space="preserve">House of Commons Library. (2021). Personal service companies &amp; IR35. Accessed from: </w:t>
      </w:r>
      <w:hyperlink r:id="rId10" w:history="1">
        <w:r w:rsidRPr="008C4DA4">
          <w:rPr>
            <w:rStyle w:val="Hyperlink"/>
            <w:rFonts w:ascii="Times New Roman" w:hAnsi="Times New Roman"/>
            <w:sz w:val="24"/>
            <w:szCs w:val="24"/>
          </w:rPr>
          <w:t>https://commonslibrary.parliament.uk/research-briefings/sn05976/</w:t>
        </w:r>
      </w:hyperlink>
      <w:r w:rsidRPr="008C4DA4">
        <w:rPr>
          <w:rFonts w:ascii="Times New Roman" w:hAnsi="Times New Roman"/>
          <w:sz w:val="24"/>
          <w:szCs w:val="24"/>
        </w:rPr>
        <w:t xml:space="preserve"> </w:t>
      </w:r>
    </w:p>
    <w:p w14:paraId="07530B91" w14:textId="77777777" w:rsidR="008C4DA4" w:rsidRPr="008C4DA4" w:rsidRDefault="008C4DA4" w:rsidP="00ED5DA4">
      <w:pPr>
        <w:spacing w:line="480" w:lineRule="auto"/>
        <w:ind w:left="720" w:hanging="720"/>
        <w:rPr>
          <w:rFonts w:ascii="Times New Roman" w:hAnsi="Times New Roman"/>
          <w:sz w:val="24"/>
          <w:szCs w:val="24"/>
        </w:rPr>
      </w:pPr>
      <w:r w:rsidRPr="008C4DA4">
        <w:rPr>
          <w:rFonts w:ascii="Times New Roman" w:hAnsi="Times New Roman"/>
          <w:sz w:val="24"/>
          <w:szCs w:val="24"/>
        </w:rPr>
        <w:t>Practical Law Tax, 11 January 2017. First-tier Tribunal holds that haulage drivers are employees”,</w:t>
      </w:r>
    </w:p>
    <w:p w14:paraId="17EF5B9F" w14:textId="77777777" w:rsidR="008C4DA4" w:rsidRPr="008C4DA4" w:rsidRDefault="008C4DA4" w:rsidP="00ED5DA4">
      <w:pPr>
        <w:spacing w:line="480" w:lineRule="auto"/>
        <w:ind w:left="720" w:hanging="720"/>
        <w:rPr>
          <w:rStyle w:val="markedcontent"/>
          <w:rFonts w:ascii="Times New Roman" w:hAnsi="Times New Roman"/>
          <w:sz w:val="24"/>
          <w:szCs w:val="24"/>
        </w:rPr>
      </w:pPr>
      <w:r w:rsidRPr="008C4DA4">
        <w:rPr>
          <w:rFonts w:ascii="Times New Roman" w:hAnsi="Times New Roman"/>
          <w:sz w:val="24"/>
          <w:szCs w:val="24"/>
        </w:rPr>
        <w:t xml:space="preserve">Seely, A. (2019) Self-employment in the construction industry. House of Commons Library. Accessed from: </w:t>
      </w:r>
      <w:hyperlink r:id="rId11" w:history="1">
        <w:r w:rsidRPr="008C4DA4">
          <w:rPr>
            <w:rStyle w:val="Hyperlink"/>
            <w:rFonts w:ascii="Times New Roman" w:hAnsi="Times New Roman"/>
            <w:sz w:val="24"/>
            <w:szCs w:val="24"/>
          </w:rPr>
          <w:t>https://commonslibrary.parliament.uk/research-briefings/sn00196/</w:t>
        </w:r>
      </w:hyperlink>
      <w:r w:rsidRPr="008C4DA4">
        <w:rPr>
          <w:rFonts w:ascii="Times New Roman" w:hAnsi="Times New Roman"/>
          <w:sz w:val="24"/>
          <w:szCs w:val="24"/>
        </w:rPr>
        <w:t xml:space="preserve"> </w:t>
      </w:r>
      <w:r w:rsidRPr="008C4DA4">
        <w:rPr>
          <w:rFonts w:ascii="Times New Roman" w:hAnsi="Times New Roman"/>
          <w:sz w:val="24"/>
          <w:szCs w:val="24"/>
        </w:rPr>
        <w:br/>
        <w:t xml:space="preserve">Golzen, G. (1997) Guide to self-employment: </w:t>
      </w:r>
      <w:r w:rsidRPr="008C4DA4">
        <w:rPr>
          <w:rStyle w:val="markedcontent"/>
          <w:rFonts w:ascii="Times New Roman" w:hAnsi="Times New Roman"/>
          <w:sz w:val="24"/>
          <w:szCs w:val="24"/>
        </w:rPr>
        <w:t>HM Treasury. (2014). Overview of tax legislation &amp; rates, March 2014 para 1.55-6. Provision to this effect was made</w:t>
      </w:r>
      <w:r w:rsidRPr="008C4DA4">
        <w:rPr>
          <w:rFonts w:ascii="Times New Roman" w:hAnsi="Times New Roman"/>
          <w:sz w:val="24"/>
          <w:szCs w:val="24"/>
        </w:rPr>
        <w:t xml:space="preserve"> </w:t>
      </w:r>
      <w:r w:rsidRPr="008C4DA4">
        <w:rPr>
          <w:rStyle w:val="markedcontent"/>
          <w:rFonts w:ascii="Times New Roman" w:hAnsi="Times New Roman"/>
          <w:sz w:val="24"/>
          <w:szCs w:val="24"/>
        </w:rPr>
        <w:t>by ss16-18 &amp; s20 of</w:t>
      </w:r>
      <w:r w:rsidRPr="008C4DA4">
        <w:rPr>
          <w:rFonts w:ascii="Times New Roman" w:hAnsi="Times New Roman"/>
          <w:sz w:val="24"/>
          <w:szCs w:val="24"/>
        </w:rPr>
        <w:t xml:space="preserve"> </w:t>
      </w:r>
      <w:r w:rsidRPr="008C4DA4">
        <w:rPr>
          <w:rStyle w:val="markedcontent"/>
          <w:rFonts w:ascii="Times New Roman" w:hAnsi="Times New Roman"/>
          <w:sz w:val="24"/>
          <w:szCs w:val="24"/>
        </w:rPr>
        <w:t>FA2014. It was estimated these changes would raise £80m, and £445m, in 2014/15,</w:t>
      </w:r>
      <w:r w:rsidRPr="008C4DA4">
        <w:rPr>
          <w:rFonts w:ascii="Times New Roman" w:hAnsi="Times New Roman"/>
          <w:sz w:val="24"/>
          <w:szCs w:val="24"/>
        </w:rPr>
        <w:t xml:space="preserve"> </w:t>
      </w:r>
      <w:r w:rsidRPr="008C4DA4">
        <w:rPr>
          <w:rStyle w:val="markedcontent"/>
          <w:rFonts w:ascii="Times New Roman" w:hAnsi="Times New Roman"/>
          <w:sz w:val="24"/>
          <w:szCs w:val="24"/>
        </w:rPr>
        <w:t>respectively (Budget 2014, HC1104, March 2014 pp58-9 – Table 2.2 items s &amp; bb)</w:t>
      </w:r>
    </w:p>
    <w:p w14:paraId="549AA11A" w14:textId="77777777" w:rsidR="001871B9" w:rsidRPr="008C4DA4" w:rsidRDefault="001871B9" w:rsidP="00ED5DA4">
      <w:pPr>
        <w:spacing w:line="480" w:lineRule="auto"/>
        <w:rPr>
          <w:rFonts w:ascii="Times New Roman" w:hAnsi="Times New Roman"/>
          <w:sz w:val="24"/>
          <w:szCs w:val="24"/>
        </w:rPr>
      </w:pPr>
    </w:p>
    <w:sectPr w:rsidR="001871B9" w:rsidRPr="008C4DA4">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37E9F" w14:textId="77777777" w:rsidR="001E0AF1" w:rsidRDefault="001E0AF1" w:rsidP="00ED5DA4">
      <w:pPr>
        <w:spacing w:after="0" w:line="240" w:lineRule="auto"/>
      </w:pPr>
      <w:r>
        <w:separator/>
      </w:r>
    </w:p>
  </w:endnote>
  <w:endnote w:type="continuationSeparator" w:id="0">
    <w:p w14:paraId="494BE382" w14:textId="77777777" w:rsidR="001E0AF1" w:rsidRDefault="001E0AF1" w:rsidP="00ED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9E570" w14:textId="77777777" w:rsidR="001E0AF1" w:rsidRDefault="001E0AF1" w:rsidP="00ED5DA4">
      <w:pPr>
        <w:spacing w:after="0" w:line="240" w:lineRule="auto"/>
      </w:pPr>
      <w:r>
        <w:separator/>
      </w:r>
    </w:p>
  </w:footnote>
  <w:footnote w:type="continuationSeparator" w:id="0">
    <w:p w14:paraId="10442F1E" w14:textId="77777777" w:rsidR="001E0AF1" w:rsidRDefault="001E0AF1" w:rsidP="00ED5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43AD2" w14:textId="77777777" w:rsidR="00ED5DA4" w:rsidRDefault="00ED5DA4">
    <w:pPr>
      <w:pStyle w:val="Header"/>
    </w:pPr>
    <w:r>
      <w:tab/>
    </w:r>
    <w:r>
      <w:tab/>
    </w:r>
    <w:r>
      <w:fldChar w:fldCharType="begin"/>
    </w:r>
    <w:r>
      <w:instrText xml:space="preserve"> PAGE   \* MERGEFORMAT </w:instrText>
    </w:r>
    <w:r>
      <w:fldChar w:fldCharType="separate"/>
    </w:r>
    <w:r w:rsidR="00EB5D20">
      <w:rPr>
        <w:noProof/>
      </w:rPr>
      <w:t>14</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9C2"/>
    <w:rsid w:val="000407BB"/>
    <w:rsid w:val="00057967"/>
    <w:rsid w:val="00076255"/>
    <w:rsid w:val="000A464A"/>
    <w:rsid w:val="000B71BE"/>
    <w:rsid w:val="000D1109"/>
    <w:rsid w:val="000D7326"/>
    <w:rsid w:val="000E1487"/>
    <w:rsid w:val="000F04A4"/>
    <w:rsid w:val="000F0C53"/>
    <w:rsid w:val="000F418C"/>
    <w:rsid w:val="00104696"/>
    <w:rsid w:val="001243C9"/>
    <w:rsid w:val="00126B38"/>
    <w:rsid w:val="00127E25"/>
    <w:rsid w:val="001327F7"/>
    <w:rsid w:val="001461FF"/>
    <w:rsid w:val="0016020E"/>
    <w:rsid w:val="001871B9"/>
    <w:rsid w:val="00195D9C"/>
    <w:rsid w:val="00196FD6"/>
    <w:rsid w:val="001A06A9"/>
    <w:rsid w:val="001A311E"/>
    <w:rsid w:val="001D5AD9"/>
    <w:rsid w:val="001E0AF1"/>
    <w:rsid w:val="00260457"/>
    <w:rsid w:val="0027092B"/>
    <w:rsid w:val="002B3223"/>
    <w:rsid w:val="00311CAF"/>
    <w:rsid w:val="00315BC1"/>
    <w:rsid w:val="003457EB"/>
    <w:rsid w:val="003644FF"/>
    <w:rsid w:val="003906B0"/>
    <w:rsid w:val="003C3519"/>
    <w:rsid w:val="003D3DB4"/>
    <w:rsid w:val="00427B3E"/>
    <w:rsid w:val="0043275C"/>
    <w:rsid w:val="004333DB"/>
    <w:rsid w:val="004C6CBF"/>
    <w:rsid w:val="004D6713"/>
    <w:rsid w:val="004D7867"/>
    <w:rsid w:val="004E4517"/>
    <w:rsid w:val="004F169A"/>
    <w:rsid w:val="005C6F84"/>
    <w:rsid w:val="005C7FA1"/>
    <w:rsid w:val="005F28F9"/>
    <w:rsid w:val="005F2FE0"/>
    <w:rsid w:val="006078AA"/>
    <w:rsid w:val="00644C97"/>
    <w:rsid w:val="00666783"/>
    <w:rsid w:val="00666E87"/>
    <w:rsid w:val="0067217F"/>
    <w:rsid w:val="0068712C"/>
    <w:rsid w:val="00697780"/>
    <w:rsid w:val="006B4D43"/>
    <w:rsid w:val="006C6D7C"/>
    <w:rsid w:val="006E6E04"/>
    <w:rsid w:val="006F47E1"/>
    <w:rsid w:val="007056C6"/>
    <w:rsid w:val="00720DA3"/>
    <w:rsid w:val="00766158"/>
    <w:rsid w:val="00786019"/>
    <w:rsid w:val="00793381"/>
    <w:rsid w:val="007B3A8B"/>
    <w:rsid w:val="007D0153"/>
    <w:rsid w:val="008329C2"/>
    <w:rsid w:val="00846ED9"/>
    <w:rsid w:val="00890B4F"/>
    <w:rsid w:val="008A0350"/>
    <w:rsid w:val="008A698E"/>
    <w:rsid w:val="008B2FD8"/>
    <w:rsid w:val="008C4B86"/>
    <w:rsid w:val="008C4DA4"/>
    <w:rsid w:val="008E48D1"/>
    <w:rsid w:val="008E6320"/>
    <w:rsid w:val="00944811"/>
    <w:rsid w:val="00984F33"/>
    <w:rsid w:val="00995C69"/>
    <w:rsid w:val="009B5389"/>
    <w:rsid w:val="009E1799"/>
    <w:rsid w:val="00A2288B"/>
    <w:rsid w:val="00A27B6B"/>
    <w:rsid w:val="00A30137"/>
    <w:rsid w:val="00A9738F"/>
    <w:rsid w:val="00AE6A61"/>
    <w:rsid w:val="00AF584F"/>
    <w:rsid w:val="00B33BDC"/>
    <w:rsid w:val="00B34B19"/>
    <w:rsid w:val="00B91B55"/>
    <w:rsid w:val="00BC7C84"/>
    <w:rsid w:val="00BD069D"/>
    <w:rsid w:val="00BE216A"/>
    <w:rsid w:val="00C303B1"/>
    <w:rsid w:val="00C36830"/>
    <w:rsid w:val="00C46399"/>
    <w:rsid w:val="00C56CAB"/>
    <w:rsid w:val="00C92DDD"/>
    <w:rsid w:val="00C9403C"/>
    <w:rsid w:val="00CC324B"/>
    <w:rsid w:val="00CD3D1F"/>
    <w:rsid w:val="00CD6C53"/>
    <w:rsid w:val="00D03C92"/>
    <w:rsid w:val="00D3196E"/>
    <w:rsid w:val="00D331F4"/>
    <w:rsid w:val="00D56817"/>
    <w:rsid w:val="00D64741"/>
    <w:rsid w:val="00D660FD"/>
    <w:rsid w:val="00D67E49"/>
    <w:rsid w:val="00D7048B"/>
    <w:rsid w:val="00DD7032"/>
    <w:rsid w:val="00E210BC"/>
    <w:rsid w:val="00E25E2B"/>
    <w:rsid w:val="00E42168"/>
    <w:rsid w:val="00E453FC"/>
    <w:rsid w:val="00E50976"/>
    <w:rsid w:val="00E557DF"/>
    <w:rsid w:val="00E62FA9"/>
    <w:rsid w:val="00EB5D20"/>
    <w:rsid w:val="00ED21FE"/>
    <w:rsid w:val="00ED5DA4"/>
    <w:rsid w:val="00F128A1"/>
    <w:rsid w:val="00F2020A"/>
    <w:rsid w:val="00F23048"/>
    <w:rsid w:val="00F843AA"/>
    <w:rsid w:val="00F970D9"/>
    <w:rsid w:val="00FB47B4"/>
    <w:rsid w:val="00FC1C66"/>
    <w:rsid w:val="00FC3D63"/>
    <w:rsid w:val="00FF3D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6C87D"/>
  <w15:chartTrackingRefBased/>
  <w15:docId w15:val="{2638491B-5ED7-4C25-BE6F-3946221A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C303B1"/>
  </w:style>
  <w:style w:type="paragraph" w:styleId="Header">
    <w:name w:val="header"/>
    <w:basedOn w:val="Normal"/>
    <w:link w:val="HeaderChar"/>
    <w:uiPriority w:val="99"/>
    <w:unhideWhenUsed/>
    <w:rsid w:val="00ED5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DA4"/>
  </w:style>
  <w:style w:type="paragraph" w:styleId="Footer">
    <w:name w:val="footer"/>
    <w:basedOn w:val="Normal"/>
    <w:link w:val="FooterChar"/>
    <w:uiPriority w:val="99"/>
    <w:unhideWhenUsed/>
    <w:rsid w:val="00ED5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DA4"/>
  </w:style>
  <w:style w:type="character" w:styleId="Hyperlink">
    <w:name w:val="Hyperlink"/>
    <w:uiPriority w:val="99"/>
    <w:unhideWhenUsed/>
    <w:rsid w:val="00ED5DA4"/>
    <w:rPr>
      <w:color w:val="0563C1"/>
      <w:u w:val="single"/>
    </w:rPr>
  </w:style>
  <w:style w:type="character" w:styleId="Emphasis">
    <w:name w:val="Emphasis"/>
    <w:uiPriority w:val="20"/>
    <w:qFormat/>
    <w:rsid w:val="00ED5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93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found.europa.eu/data/tackling-undeclared-work-in-europe/database/construction-industry-scheme-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ublications.parliament.uk/pa/cm201617/cmselect/cmworpen/847/847.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ommonslibrary.parliament.uk/research-briefings/sn00196/" TargetMode="External"/><Relationship Id="rId5" Type="http://schemas.openxmlformats.org/officeDocument/2006/relationships/endnotes" Target="endnotes.xml"/><Relationship Id="rId10" Type="http://schemas.openxmlformats.org/officeDocument/2006/relationships/hyperlink" Target="https://commonslibrary.parliament.uk/research-briefings/sn05976/" TargetMode="External"/><Relationship Id="rId4" Type="http://schemas.openxmlformats.org/officeDocument/2006/relationships/footnotes" Target="footnotes.xml"/><Relationship Id="rId9" Type="http://schemas.openxmlformats.org/officeDocument/2006/relationships/hyperlink" Target="http://webarchive.nationalarchives.gov.uk/20170425163119/https:/www.gov.uk/government/uploads/system/uploads/attachment_data/file/294190/OOTLAR_19_March_2014__1_.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3126</Words>
  <Characters>17822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20907</CharactersWithSpaces>
  <SharedDoc>false</SharedDoc>
  <HLinks>
    <vt:vector size="30" baseType="variant">
      <vt:variant>
        <vt:i4>1441820</vt:i4>
      </vt:variant>
      <vt:variant>
        <vt:i4>12</vt:i4>
      </vt:variant>
      <vt:variant>
        <vt:i4>0</vt:i4>
      </vt:variant>
      <vt:variant>
        <vt:i4>5</vt:i4>
      </vt:variant>
      <vt:variant>
        <vt:lpwstr>https://commonslibrary.parliament.uk/research-briefings/sn00196/</vt:lpwstr>
      </vt:variant>
      <vt:variant>
        <vt:lpwstr/>
      </vt:variant>
      <vt:variant>
        <vt:i4>1900564</vt:i4>
      </vt:variant>
      <vt:variant>
        <vt:i4>9</vt:i4>
      </vt:variant>
      <vt:variant>
        <vt:i4>0</vt:i4>
      </vt:variant>
      <vt:variant>
        <vt:i4>5</vt:i4>
      </vt:variant>
      <vt:variant>
        <vt:lpwstr>https://commonslibrary.parliament.uk/research-briefings/sn05976/</vt:lpwstr>
      </vt:variant>
      <vt:variant>
        <vt:lpwstr/>
      </vt:variant>
      <vt:variant>
        <vt:i4>2228237</vt:i4>
      </vt:variant>
      <vt:variant>
        <vt:i4>6</vt:i4>
      </vt:variant>
      <vt:variant>
        <vt:i4>0</vt:i4>
      </vt:variant>
      <vt:variant>
        <vt:i4>5</vt:i4>
      </vt:variant>
      <vt:variant>
        <vt:lpwstr>http://webarchive.nationalarchives.gov.uk/20170425163119/https:/www.gov.uk/government/uploads/system/uploads/attachment_data/file/294190/OOTLAR_19_March_2014__1_.pdf</vt:lpwstr>
      </vt:variant>
      <vt:variant>
        <vt:lpwstr/>
      </vt:variant>
      <vt:variant>
        <vt:i4>1245264</vt:i4>
      </vt:variant>
      <vt:variant>
        <vt:i4>3</vt:i4>
      </vt:variant>
      <vt:variant>
        <vt:i4>0</vt:i4>
      </vt:variant>
      <vt:variant>
        <vt:i4>5</vt:i4>
      </vt:variant>
      <vt:variant>
        <vt:lpwstr>https://www.eurofound.europa.eu/data/tackling-undeclared-work-in-europe/database/construction-industry-scheme-uk</vt:lpwstr>
      </vt:variant>
      <vt:variant>
        <vt:lpwstr/>
      </vt:variant>
      <vt:variant>
        <vt:i4>1507355</vt:i4>
      </vt:variant>
      <vt:variant>
        <vt:i4>0</vt:i4>
      </vt:variant>
      <vt:variant>
        <vt:i4>0</vt:i4>
      </vt:variant>
      <vt:variant>
        <vt:i4>5</vt:i4>
      </vt:variant>
      <vt:variant>
        <vt:lpwstr>https://publications.parliament.uk/pa/cm201617/cmselect/cmworpen/847/847.pdf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Mohamad Masri (2110728)</cp:lastModifiedBy>
  <cp:revision>2</cp:revision>
  <dcterms:created xsi:type="dcterms:W3CDTF">2023-03-30T20:02:00Z</dcterms:created>
  <dcterms:modified xsi:type="dcterms:W3CDTF">2023-03-30T20:02:00Z</dcterms:modified>
</cp:coreProperties>
</file>