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D1747" w14:textId="54DF1795" w:rsidR="00577DEE" w:rsidRDefault="00577DEE" w:rsidP="00577DEE">
      <w:pPr>
        <w:tabs>
          <w:tab w:val="left" w:pos="6312"/>
        </w:tabs>
        <w:spacing w:line="360" w:lineRule="auto"/>
        <w:rPr>
          <w:rFonts w:ascii="Arial" w:hAnsi="Arial" w:cs="Arial"/>
          <w:sz w:val="24"/>
          <w:szCs w:val="24"/>
        </w:rPr>
      </w:pPr>
      <w:r>
        <w:rPr>
          <w:rFonts w:ascii="Arial" w:hAnsi="Arial" w:cs="Arial"/>
          <w:sz w:val="24"/>
          <w:szCs w:val="24"/>
        </w:rPr>
        <w:t>Banafshe Barzegarsaadi</w:t>
      </w:r>
      <w:r>
        <w:rPr>
          <w:rFonts w:ascii="Arial" w:hAnsi="Arial" w:cs="Arial"/>
          <w:sz w:val="24"/>
          <w:szCs w:val="24"/>
        </w:rPr>
        <w:tab/>
        <w:t>Student ID: 2215168</w:t>
      </w:r>
    </w:p>
    <w:p w14:paraId="73D3E358" w14:textId="4BE11849" w:rsidR="00577DEE" w:rsidRDefault="00577DEE" w:rsidP="009B41B8">
      <w:pPr>
        <w:spacing w:line="360" w:lineRule="auto"/>
        <w:rPr>
          <w:rFonts w:ascii="Arial" w:hAnsi="Arial" w:cs="Arial"/>
          <w:sz w:val="24"/>
          <w:szCs w:val="24"/>
        </w:rPr>
      </w:pPr>
      <w:r>
        <w:rPr>
          <w:rFonts w:ascii="Arial" w:hAnsi="Arial" w:cs="Arial"/>
          <w:sz w:val="24"/>
          <w:szCs w:val="24"/>
        </w:rPr>
        <w:t>Criminal law assignment 2</w:t>
      </w:r>
    </w:p>
    <w:p w14:paraId="156D9252" w14:textId="77777777" w:rsidR="00577DEE" w:rsidRDefault="00577DEE" w:rsidP="009B41B8">
      <w:pPr>
        <w:spacing w:line="360" w:lineRule="auto"/>
        <w:rPr>
          <w:rFonts w:ascii="Arial" w:hAnsi="Arial" w:cs="Arial"/>
          <w:sz w:val="24"/>
          <w:szCs w:val="24"/>
        </w:rPr>
      </w:pPr>
    </w:p>
    <w:p w14:paraId="0F29ED6B" w14:textId="3002BB30" w:rsidR="0030762B" w:rsidRDefault="0030762B" w:rsidP="009B41B8">
      <w:pPr>
        <w:spacing w:line="360" w:lineRule="auto"/>
        <w:rPr>
          <w:rFonts w:ascii="Arial" w:hAnsi="Arial" w:cs="Arial"/>
          <w:sz w:val="24"/>
          <w:szCs w:val="24"/>
        </w:rPr>
      </w:pPr>
      <w:r>
        <w:rPr>
          <w:rFonts w:ascii="Arial" w:hAnsi="Arial" w:cs="Arial"/>
          <w:sz w:val="24"/>
          <w:szCs w:val="24"/>
        </w:rPr>
        <w:t>A)</w:t>
      </w:r>
    </w:p>
    <w:p w14:paraId="34195BF2" w14:textId="40DD91AA" w:rsidR="003C04CD" w:rsidRDefault="00BD2851" w:rsidP="009B41B8">
      <w:pPr>
        <w:spacing w:line="360" w:lineRule="auto"/>
        <w:rPr>
          <w:rFonts w:ascii="Arial" w:hAnsi="Arial" w:cs="Arial"/>
          <w:sz w:val="24"/>
          <w:szCs w:val="24"/>
        </w:rPr>
      </w:pPr>
      <w:r w:rsidRPr="00BD2851">
        <w:rPr>
          <w:rFonts w:ascii="Arial" w:hAnsi="Arial" w:cs="Arial"/>
          <w:sz w:val="24"/>
          <w:szCs w:val="24"/>
        </w:rPr>
        <w:t>Based on scenario I will warn Hadley what crimes he might be legally liable for.</w:t>
      </w:r>
      <w:r>
        <w:rPr>
          <w:rFonts w:ascii="Arial" w:hAnsi="Arial" w:cs="Arial"/>
          <w:sz w:val="24"/>
          <w:szCs w:val="24"/>
        </w:rPr>
        <w:t xml:space="preserve"> </w:t>
      </w:r>
      <w:r w:rsidR="001606D7">
        <w:rPr>
          <w:rFonts w:ascii="Arial" w:hAnsi="Arial" w:cs="Arial"/>
          <w:sz w:val="24"/>
          <w:szCs w:val="24"/>
        </w:rPr>
        <w:t xml:space="preserve">The first crime </w:t>
      </w:r>
      <w:r w:rsidR="004A0BC0">
        <w:rPr>
          <w:rFonts w:ascii="Arial" w:hAnsi="Arial" w:cs="Arial"/>
          <w:sz w:val="24"/>
          <w:szCs w:val="24"/>
        </w:rPr>
        <w:t xml:space="preserve">which related to the Hadley is burglary. Under section 9, The Theft Act 1968, </w:t>
      </w:r>
      <w:r w:rsidR="003C04CD" w:rsidRPr="003C04CD">
        <w:rPr>
          <w:rFonts w:ascii="Arial" w:hAnsi="Arial" w:cs="Arial"/>
          <w:sz w:val="24"/>
          <w:szCs w:val="24"/>
        </w:rPr>
        <w:t>(1)A person is guilty of burglary if</w:t>
      </w:r>
      <w:r w:rsidR="00F7009D">
        <w:rPr>
          <w:rFonts w:ascii="Arial" w:hAnsi="Arial" w:cs="Arial"/>
          <w:sz w:val="24"/>
          <w:szCs w:val="24"/>
        </w:rPr>
        <w:t>:</w:t>
      </w:r>
    </w:p>
    <w:p w14:paraId="4945C041" w14:textId="2F5F8883" w:rsidR="00F7009D" w:rsidRDefault="003C04CD" w:rsidP="009B41B8">
      <w:pPr>
        <w:spacing w:line="360" w:lineRule="auto"/>
        <w:rPr>
          <w:rFonts w:ascii="Arial" w:hAnsi="Arial" w:cs="Arial"/>
          <w:sz w:val="24"/>
          <w:szCs w:val="24"/>
        </w:rPr>
      </w:pPr>
      <w:r w:rsidRPr="003C04CD">
        <w:rPr>
          <w:rFonts w:ascii="Arial" w:hAnsi="Arial" w:cs="Arial"/>
          <w:sz w:val="24"/>
          <w:szCs w:val="24"/>
        </w:rPr>
        <w:t>(a)</w:t>
      </w:r>
      <w:r>
        <w:rPr>
          <w:rFonts w:ascii="Arial" w:hAnsi="Arial" w:cs="Arial"/>
          <w:sz w:val="24"/>
          <w:szCs w:val="24"/>
        </w:rPr>
        <w:t xml:space="preserve"> </w:t>
      </w:r>
      <w:r w:rsidR="00F7009D">
        <w:rPr>
          <w:rFonts w:ascii="Arial" w:hAnsi="Arial" w:cs="Arial"/>
          <w:sz w:val="24"/>
          <w:szCs w:val="24"/>
        </w:rPr>
        <w:t>Enters as a trespasser with the intention to steal, inflict GBH, do unlawful damage to the building or anything therein.</w:t>
      </w:r>
    </w:p>
    <w:p w14:paraId="53F3F371" w14:textId="7807F1B5" w:rsidR="000F3487" w:rsidRDefault="003C04CD" w:rsidP="009B41B8">
      <w:pPr>
        <w:spacing w:line="360" w:lineRule="auto"/>
        <w:rPr>
          <w:rFonts w:ascii="Arial" w:hAnsi="Arial" w:cs="Arial"/>
          <w:sz w:val="24"/>
          <w:szCs w:val="24"/>
        </w:rPr>
      </w:pPr>
      <w:r w:rsidRPr="003C04CD">
        <w:rPr>
          <w:rFonts w:ascii="Arial" w:hAnsi="Arial" w:cs="Arial"/>
          <w:sz w:val="24"/>
          <w:szCs w:val="24"/>
        </w:rPr>
        <w:t>(b)</w:t>
      </w:r>
      <w:r>
        <w:rPr>
          <w:rFonts w:ascii="Arial" w:hAnsi="Arial" w:cs="Arial"/>
          <w:sz w:val="24"/>
          <w:szCs w:val="24"/>
        </w:rPr>
        <w:t xml:space="preserve"> H</w:t>
      </w:r>
      <w:r w:rsidRPr="003C04CD">
        <w:rPr>
          <w:rFonts w:ascii="Arial" w:hAnsi="Arial" w:cs="Arial"/>
          <w:sz w:val="24"/>
          <w:szCs w:val="24"/>
        </w:rPr>
        <w:t xml:space="preserve">aving entered as a </w:t>
      </w:r>
      <w:r w:rsidR="001E3D13" w:rsidRPr="003C04CD">
        <w:rPr>
          <w:rFonts w:ascii="Arial" w:hAnsi="Arial" w:cs="Arial"/>
          <w:sz w:val="24"/>
          <w:szCs w:val="24"/>
        </w:rPr>
        <w:t xml:space="preserve">trespasser </w:t>
      </w:r>
      <w:r w:rsidR="001E3D13">
        <w:rPr>
          <w:rFonts w:ascii="Arial" w:hAnsi="Arial" w:cs="Arial"/>
          <w:sz w:val="24"/>
          <w:szCs w:val="24"/>
        </w:rPr>
        <w:t>D steal</w:t>
      </w:r>
      <w:r w:rsidR="00F7009D">
        <w:rPr>
          <w:rFonts w:ascii="Arial" w:hAnsi="Arial" w:cs="Arial"/>
          <w:sz w:val="24"/>
          <w:szCs w:val="24"/>
        </w:rPr>
        <w:t xml:space="preserve"> or attempt to steal or commit GBH or attempts to commit GBH on </w:t>
      </w:r>
      <w:r w:rsidRPr="003C04CD">
        <w:rPr>
          <w:rFonts w:ascii="Arial" w:hAnsi="Arial" w:cs="Arial"/>
          <w:sz w:val="24"/>
          <w:szCs w:val="24"/>
        </w:rPr>
        <w:t>any person therein any grievous bodily harm</w:t>
      </w:r>
      <w:r w:rsidR="00C36383">
        <w:rPr>
          <w:rFonts w:ascii="Arial" w:hAnsi="Arial" w:cs="Arial"/>
          <w:sz w:val="24"/>
          <w:szCs w:val="24"/>
        </w:rPr>
        <w:t xml:space="preserve"> (</w:t>
      </w:r>
      <w:r w:rsidR="00C36383" w:rsidRPr="00C36383">
        <w:rPr>
          <w:rFonts w:ascii="Arial" w:hAnsi="Arial" w:cs="Arial"/>
          <w:sz w:val="24"/>
          <w:szCs w:val="24"/>
        </w:rPr>
        <w:t>Theft Act 1968</w:t>
      </w:r>
      <w:r w:rsidR="00C36383">
        <w:rPr>
          <w:rFonts w:ascii="Arial" w:hAnsi="Arial" w:cs="Arial"/>
          <w:sz w:val="24"/>
          <w:szCs w:val="24"/>
        </w:rPr>
        <w:t>).</w:t>
      </w:r>
    </w:p>
    <w:p w14:paraId="4B665E49" w14:textId="77777777" w:rsidR="00397827" w:rsidRDefault="00C36383" w:rsidP="009B41B8">
      <w:pPr>
        <w:spacing w:line="360" w:lineRule="auto"/>
        <w:rPr>
          <w:rFonts w:ascii="Arial" w:hAnsi="Arial" w:cs="Arial"/>
          <w:sz w:val="24"/>
          <w:szCs w:val="24"/>
        </w:rPr>
      </w:pPr>
      <w:r>
        <w:rPr>
          <w:rFonts w:ascii="Arial" w:hAnsi="Arial" w:cs="Arial"/>
          <w:sz w:val="24"/>
          <w:szCs w:val="24"/>
        </w:rPr>
        <w:t>The maximum sentence for burglary of a dwelling is 14 years and for non-dwelling is 10 years.</w:t>
      </w:r>
    </w:p>
    <w:p w14:paraId="622D9A5A" w14:textId="77777777" w:rsidR="00397827" w:rsidRDefault="000629BB" w:rsidP="009B41B8">
      <w:pPr>
        <w:spacing w:line="360" w:lineRule="auto"/>
        <w:rPr>
          <w:rFonts w:ascii="Arial" w:hAnsi="Arial" w:cs="Arial"/>
          <w:sz w:val="24"/>
          <w:szCs w:val="24"/>
        </w:rPr>
      </w:pPr>
      <w:r>
        <w:rPr>
          <w:rFonts w:ascii="Arial" w:hAnsi="Arial" w:cs="Arial"/>
          <w:sz w:val="24"/>
          <w:szCs w:val="24"/>
        </w:rPr>
        <w:t xml:space="preserve"> There are three common elements for Actus Reus: </w:t>
      </w:r>
    </w:p>
    <w:p w14:paraId="085E9552" w14:textId="78D59F08" w:rsidR="00343238" w:rsidRDefault="000629BB" w:rsidP="009B41B8">
      <w:pPr>
        <w:spacing w:line="360" w:lineRule="auto"/>
        <w:rPr>
          <w:rFonts w:ascii="Arial" w:hAnsi="Arial" w:cs="Arial"/>
          <w:sz w:val="24"/>
          <w:szCs w:val="24"/>
        </w:rPr>
      </w:pPr>
      <w:r>
        <w:rPr>
          <w:rFonts w:ascii="Arial" w:hAnsi="Arial" w:cs="Arial"/>
          <w:sz w:val="24"/>
          <w:szCs w:val="24"/>
        </w:rPr>
        <w:t>firstly, the</w:t>
      </w:r>
      <w:r w:rsidR="00F46CA3">
        <w:rPr>
          <w:rFonts w:ascii="Arial" w:hAnsi="Arial" w:cs="Arial"/>
          <w:sz w:val="24"/>
          <w:szCs w:val="24"/>
        </w:rPr>
        <w:t>r</w:t>
      </w:r>
      <w:r>
        <w:rPr>
          <w:rFonts w:ascii="Arial" w:hAnsi="Arial" w:cs="Arial"/>
          <w:sz w:val="24"/>
          <w:szCs w:val="24"/>
        </w:rPr>
        <w:t>e must be an effective entry</w:t>
      </w:r>
      <w:r w:rsidR="00F46CA3">
        <w:rPr>
          <w:rFonts w:ascii="Arial" w:hAnsi="Arial" w:cs="Arial"/>
          <w:sz w:val="24"/>
          <w:szCs w:val="24"/>
        </w:rPr>
        <w:t>. Defendant</w:t>
      </w:r>
      <w:r w:rsidR="00F46CA3" w:rsidRPr="00F46CA3">
        <w:t xml:space="preserve"> </w:t>
      </w:r>
      <w:r w:rsidR="00F46CA3" w:rsidRPr="00F46CA3">
        <w:rPr>
          <w:rFonts w:ascii="Arial" w:hAnsi="Arial" w:cs="Arial"/>
          <w:sz w:val="24"/>
          <w:szCs w:val="24"/>
        </w:rPr>
        <w:t xml:space="preserve">must intend to enter and </w:t>
      </w:r>
      <w:r w:rsidR="00E002BE" w:rsidRPr="00F46CA3">
        <w:rPr>
          <w:rFonts w:ascii="Arial" w:hAnsi="Arial" w:cs="Arial"/>
          <w:sz w:val="24"/>
          <w:szCs w:val="24"/>
        </w:rPr>
        <w:t>do</w:t>
      </w:r>
      <w:r w:rsidR="00F46CA3" w:rsidRPr="00F46CA3">
        <w:rPr>
          <w:rFonts w:ascii="Arial" w:hAnsi="Arial" w:cs="Arial"/>
          <w:sz w:val="24"/>
          <w:szCs w:val="24"/>
        </w:rPr>
        <w:t xml:space="preserve"> the act of entering</w:t>
      </w:r>
      <w:r w:rsidR="00F46CA3">
        <w:rPr>
          <w:rFonts w:ascii="Arial" w:hAnsi="Arial" w:cs="Arial"/>
          <w:sz w:val="24"/>
          <w:szCs w:val="24"/>
        </w:rPr>
        <w:t xml:space="preserve">. This is shown in the case of </w:t>
      </w:r>
      <w:r w:rsidR="00F46CA3" w:rsidRPr="00E002BE">
        <w:rPr>
          <w:rFonts w:ascii="Arial" w:hAnsi="Arial" w:cs="Arial"/>
          <w:i/>
          <w:iCs/>
          <w:sz w:val="24"/>
          <w:szCs w:val="24"/>
        </w:rPr>
        <w:t>Ryan [1996]</w:t>
      </w:r>
      <w:r w:rsidR="00F46CA3">
        <w:rPr>
          <w:rFonts w:ascii="Arial" w:hAnsi="Arial" w:cs="Arial"/>
          <w:sz w:val="24"/>
          <w:szCs w:val="24"/>
        </w:rPr>
        <w:t>,</w:t>
      </w:r>
      <w:r w:rsidR="00E002BE" w:rsidRPr="00E002BE">
        <w:t xml:space="preserve"> </w:t>
      </w:r>
      <w:r w:rsidR="00E002BE" w:rsidRPr="00E002BE">
        <w:rPr>
          <w:rFonts w:ascii="Arial" w:hAnsi="Arial" w:cs="Arial"/>
          <w:sz w:val="24"/>
          <w:szCs w:val="24"/>
        </w:rPr>
        <w:t xml:space="preserve">The defendant was discovered stuck in the kitchen window of an old man's house. only his head and right arm were located inside the building. To get removed of him, the fire department had to be called. He challenged his burglary conviction on the basis that there hadn't been an </w:t>
      </w:r>
      <w:r w:rsidR="00D66AD6" w:rsidRPr="00E002BE">
        <w:rPr>
          <w:rFonts w:ascii="Arial" w:hAnsi="Arial" w:cs="Arial"/>
          <w:sz w:val="24"/>
          <w:szCs w:val="24"/>
        </w:rPr>
        <w:t>entry. The</w:t>
      </w:r>
      <w:r w:rsidR="00E002BE" w:rsidRPr="00E002BE">
        <w:rPr>
          <w:rFonts w:ascii="Arial" w:hAnsi="Arial" w:cs="Arial"/>
          <w:sz w:val="24"/>
          <w:szCs w:val="24"/>
        </w:rPr>
        <w:t xml:space="preserve"> judge upheld his conviction.</w:t>
      </w:r>
      <w:r w:rsidR="00D66AD6">
        <w:rPr>
          <w:rFonts w:ascii="Arial" w:hAnsi="Arial" w:cs="Arial"/>
          <w:sz w:val="24"/>
          <w:szCs w:val="24"/>
        </w:rPr>
        <w:t xml:space="preserve"> Other hand in the</w:t>
      </w:r>
      <w:r w:rsidR="00397827">
        <w:rPr>
          <w:rFonts w:ascii="Arial" w:hAnsi="Arial" w:cs="Arial"/>
          <w:sz w:val="24"/>
          <w:szCs w:val="24"/>
        </w:rPr>
        <w:t xml:space="preserve"> </w:t>
      </w:r>
      <w:r w:rsidR="00D66AD6">
        <w:rPr>
          <w:rFonts w:ascii="Arial" w:hAnsi="Arial" w:cs="Arial"/>
          <w:sz w:val="24"/>
          <w:szCs w:val="24"/>
        </w:rPr>
        <w:t xml:space="preserve">case </w:t>
      </w:r>
      <w:r w:rsidR="00D66AD6" w:rsidRPr="00D66AD6">
        <w:rPr>
          <w:rFonts w:ascii="Arial" w:hAnsi="Arial" w:cs="Arial"/>
          <w:i/>
          <w:iCs/>
          <w:sz w:val="24"/>
          <w:szCs w:val="24"/>
        </w:rPr>
        <w:t>Horncastle [2006]</w:t>
      </w:r>
      <w:r w:rsidR="00D66AD6">
        <w:rPr>
          <w:rFonts w:ascii="Arial" w:hAnsi="Arial" w:cs="Arial"/>
          <w:sz w:val="24"/>
          <w:szCs w:val="24"/>
        </w:rPr>
        <w:t xml:space="preserve"> </w:t>
      </w:r>
      <w:r w:rsidR="00397827" w:rsidRPr="00397827">
        <w:rPr>
          <w:rFonts w:ascii="Arial" w:hAnsi="Arial" w:cs="Arial"/>
          <w:sz w:val="24"/>
          <w:szCs w:val="24"/>
        </w:rPr>
        <w:t>He hung keys in the hallway using bamboo sticks with hooks. If the tool was used to commit the subsequent crime (stealing), this was an effective entry.</w:t>
      </w:r>
      <w:r w:rsidR="00397827">
        <w:rPr>
          <w:rFonts w:ascii="Arial" w:hAnsi="Arial" w:cs="Arial"/>
          <w:sz w:val="24"/>
          <w:szCs w:val="24"/>
        </w:rPr>
        <w:t xml:space="preserve"> In our case</w:t>
      </w:r>
      <w:r w:rsidR="00397827" w:rsidRPr="00397827">
        <w:rPr>
          <w:rFonts w:ascii="Arial" w:hAnsi="Arial" w:cs="Arial"/>
          <w:sz w:val="24"/>
          <w:szCs w:val="24"/>
        </w:rPr>
        <w:t xml:space="preserve"> </w:t>
      </w:r>
      <w:r w:rsidR="00397827">
        <w:rPr>
          <w:rFonts w:ascii="Arial" w:hAnsi="Arial" w:cs="Arial"/>
          <w:sz w:val="24"/>
          <w:szCs w:val="24"/>
        </w:rPr>
        <w:t>t</w:t>
      </w:r>
      <w:r w:rsidR="00397827" w:rsidRPr="00397827">
        <w:rPr>
          <w:rFonts w:ascii="Arial" w:hAnsi="Arial" w:cs="Arial"/>
          <w:sz w:val="24"/>
          <w:szCs w:val="24"/>
        </w:rPr>
        <w:t xml:space="preserve">o open the door, </w:t>
      </w:r>
      <w:r w:rsidR="00397827">
        <w:rPr>
          <w:rFonts w:ascii="Arial" w:hAnsi="Arial" w:cs="Arial"/>
          <w:sz w:val="24"/>
          <w:szCs w:val="24"/>
        </w:rPr>
        <w:t xml:space="preserve">Hadley </w:t>
      </w:r>
      <w:r w:rsidR="00397827" w:rsidRPr="00397827">
        <w:rPr>
          <w:rFonts w:ascii="Arial" w:hAnsi="Arial" w:cs="Arial"/>
          <w:sz w:val="24"/>
          <w:szCs w:val="24"/>
        </w:rPr>
        <w:t>inserted a piece of bamboo through the cat flap and hooked the keys from inside</w:t>
      </w:r>
      <w:r w:rsidR="00397827">
        <w:rPr>
          <w:rFonts w:ascii="Arial" w:hAnsi="Arial" w:cs="Arial"/>
          <w:sz w:val="24"/>
          <w:szCs w:val="24"/>
        </w:rPr>
        <w:t xml:space="preserve"> this is sufficient for ent</w:t>
      </w:r>
      <w:r w:rsidR="00CC2883">
        <w:rPr>
          <w:rFonts w:ascii="Arial" w:hAnsi="Arial" w:cs="Arial"/>
          <w:sz w:val="24"/>
          <w:szCs w:val="24"/>
        </w:rPr>
        <w:t>ry.</w:t>
      </w:r>
    </w:p>
    <w:p w14:paraId="3642ECBE" w14:textId="33D1B7EF" w:rsidR="00CC2883" w:rsidRDefault="00CC2883" w:rsidP="009B41B8">
      <w:pPr>
        <w:spacing w:line="360" w:lineRule="auto"/>
        <w:rPr>
          <w:rFonts w:ascii="Arial" w:hAnsi="Arial" w:cs="Arial"/>
          <w:sz w:val="24"/>
          <w:szCs w:val="24"/>
        </w:rPr>
      </w:pPr>
      <w:r>
        <w:rPr>
          <w:rFonts w:ascii="Arial" w:hAnsi="Arial" w:cs="Arial"/>
          <w:sz w:val="24"/>
          <w:szCs w:val="24"/>
        </w:rPr>
        <w:t>The next common element is trespasser:</w:t>
      </w:r>
      <w:r w:rsidRPr="00CC2883">
        <w:t xml:space="preserve"> </w:t>
      </w:r>
      <w:r w:rsidRPr="00CC2883">
        <w:rPr>
          <w:rFonts w:ascii="Arial" w:hAnsi="Arial" w:cs="Arial"/>
          <w:sz w:val="24"/>
          <w:szCs w:val="24"/>
        </w:rPr>
        <w:t>Trespassers are those who enter a building or specific areas of a building without authorization.</w:t>
      </w:r>
      <w:r w:rsidR="005A547F" w:rsidRPr="005A547F">
        <w:t xml:space="preserve"> </w:t>
      </w:r>
      <w:r w:rsidR="005A547F" w:rsidRPr="005A547F">
        <w:rPr>
          <w:rFonts w:ascii="Arial" w:hAnsi="Arial" w:cs="Arial"/>
          <w:sz w:val="24"/>
          <w:szCs w:val="24"/>
        </w:rPr>
        <w:t>D may intrude in one of two ways</w:t>
      </w:r>
      <w:r w:rsidR="005A547F">
        <w:rPr>
          <w:rFonts w:ascii="Arial" w:hAnsi="Arial" w:cs="Arial"/>
          <w:sz w:val="24"/>
          <w:szCs w:val="24"/>
        </w:rPr>
        <w:t xml:space="preserve">: </w:t>
      </w:r>
      <w:r w:rsidR="005A547F" w:rsidRPr="005A547F">
        <w:rPr>
          <w:rFonts w:ascii="Arial" w:hAnsi="Arial" w:cs="Arial"/>
          <w:sz w:val="24"/>
          <w:szCs w:val="24"/>
        </w:rPr>
        <w:t>No entry authorization was ever issued</w:t>
      </w:r>
      <w:r w:rsidR="005A547F">
        <w:rPr>
          <w:rFonts w:ascii="Arial" w:hAnsi="Arial" w:cs="Arial"/>
          <w:sz w:val="24"/>
          <w:szCs w:val="24"/>
        </w:rPr>
        <w:t>.</w:t>
      </w:r>
      <w:r w:rsidR="005A547F" w:rsidRPr="005A547F">
        <w:rPr>
          <w:rFonts w:ascii="Arial" w:hAnsi="Arial" w:cs="Arial"/>
          <w:sz w:val="24"/>
          <w:szCs w:val="24"/>
        </w:rPr>
        <w:t xml:space="preserve"> It was authorised to enter for a specific reason, but D went beyond it.</w:t>
      </w:r>
      <w:r w:rsidR="005A547F">
        <w:rPr>
          <w:rFonts w:ascii="Arial" w:hAnsi="Arial" w:cs="Arial"/>
          <w:sz w:val="24"/>
          <w:szCs w:val="24"/>
        </w:rPr>
        <w:t xml:space="preserve"> </w:t>
      </w:r>
      <w:r w:rsidR="00CA0C2A">
        <w:rPr>
          <w:rFonts w:ascii="Arial" w:hAnsi="Arial" w:cs="Arial"/>
          <w:sz w:val="24"/>
          <w:szCs w:val="24"/>
        </w:rPr>
        <w:t xml:space="preserve">In </w:t>
      </w:r>
      <w:r w:rsidR="00CA0C2A" w:rsidRPr="00CA0C2A">
        <w:rPr>
          <w:rFonts w:ascii="Arial" w:hAnsi="Arial" w:cs="Arial"/>
          <w:i/>
          <w:iCs/>
          <w:sz w:val="24"/>
          <w:szCs w:val="24"/>
        </w:rPr>
        <w:t>Jones and Smith [1976]</w:t>
      </w:r>
      <w:r w:rsidR="00CA0C2A">
        <w:rPr>
          <w:rFonts w:ascii="Arial" w:hAnsi="Arial" w:cs="Arial"/>
          <w:sz w:val="24"/>
          <w:szCs w:val="24"/>
        </w:rPr>
        <w:t xml:space="preserve"> </w:t>
      </w:r>
      <w:r w:rsidR="00CA0C2A" w:rsidRPr="00CA0C2A">
        <w:rPr>
          <w:rFonts w:ascii="Arial" w:hAnsi="Arial" w:cs="Arial"/>
          <w:sz w:val="24"/>
          <w:szCs w:val="24"/>
        </w:rPr>
        <w:t xml:space="preserve">Two televisions were taken by the two appellants when they broke into one of their parents' homes. </w:t>
      </w:r>
      <w:r w:rsidR="00CA0C2A" w:rsidRPr="00CA0C2A">
        <w:rPr>
          <w:rFonts w:ascii="Arial" w:hAnsi="Arial" w:cs="Arial"/>
          <w:sz w:val="24"/>
          <w:szCs w:val="24"/>
        </w:rPr>
        <w:lastRenderedPageBreak/>
        <w:t>The father testified that his son was authorised to be in his home. Held: By stealing, the defendants had violated their permission and were therefore trespassers.</w:t>
      </w:r>
      <w:r w:rsidR="00CA0C2A">
        <w:rPr>
          <w:rFonts w:ascii="Arial" w:hAnsi="Arial" w:cs="Arial"/>
          <w:sz w:val="24"/>
          <w:szCs w:val="24"/>
        </w:rPr>
        <w:t xml:space="preserve"> Hadley is a </w:t>
      </w:r>
      <w:r w:rsidR="001A3773">
        <w:rPr>
          <w:rFonts w:ascii="Arial" w:hAnsi="Arial" w:cs="Arial"/>
          <w:sz w:val="24"/>
          <w:szCs w:val="24"/>
        </w:rPr>
        <w:t>trespasser;</w:t>
      </w:r>
      <w:r w:rsidR="00CA0C2A">
        <w:rPr>
          <w:rFonts w:ascii="Arial" w:hAnsi="Arial" w:cs="Arial"/>
          <w:sz w:val="24"/>
          <w:szCs w:val="24"/>
        </w:rPr>
        <w:t xml:space="preserve"> he didn’t have the permission to enter the Ronan’s house.</w:t>
      </w:r>
    </w:p>
    <w:p w14:paraId="4E7D1C45" w14:textId="0C476ED1" w:rsidR="001A3773" w:rsidRDefault="001A3773" w:rsidP="009B41B8">
      <w:pPr>
        <w:spacing w:line="360" w:lineRule="auto"/>
        <w:rPr>
          <w:rFonts w:ascii="Arial" w:hAnsi="Arial" w:cs="Arial"/>
          <w:sz w:val="24"/>
          <w:szCs w:val="24"/>
        </w:rPr>
      </w:pPr>
      <w:r>
        <w:rPr>
          <w:rFonts w:ascii="Arial" w:hAnsi="Arial" w:cs="Arial"/>
          <w:sz w:val="24"/>
          <w:szCs w:val="24"/>
        </w:rPr>
        <w:t>Third comment element is building:</w:t>
      </w:r>
      <w:r w:rsidRPr="001A3773">
        <w:t xml:space="preserve"> </w:t>
      </w:r>
      <w:r w:rsidRPr="001A3773">
        <w:rPr>
          <w:rFonts w:ascii="Arial" w:hAnsi="Arial" w:cs="Arial"/>
          <w:sz w:val="24"/>
          <w:szCs w:val="24"/>
        </w:rPr>
        <w:t>A wooden construction will do to follow with Theft Act 1968</w:t>
      </w:r>
      <w:r>
        <w:rPr>
          <w:rFonts w:ascii="Arial" w:hAnsi="Arial" w:cs="Arial"/>
          <w:sz w:val="24"/>
          <w:szCs w:val="24"/>
        </w:rPr>
        <w:t xml:space="preserve"> </w:t>
      </w:r>
      <w:r w:rsidR="00204C4D">
        <w:rPr>
          <w:rFonts w:ascii="Arial" w:hAnsi="Arial" w:cs="Arial"/>
          <w:sz w:val="24"/>
          <w:szCs w:val="24"/>
        </w:rPr>
        <w:t>S (</w:t>
      </w:r>
      <w:r>
        <w:rPr>
          <w:rFonts w:ascii="Arial" w:hAnsi="Arial" w:cs="Arial"/>
          <w:sz w:val="24"/>
          <w:szCs w:val="24"/>
        </w:rPr>
        <w:t>9)4</w:t>
      </w:r>
      <w:r w:rsidRPr="001A3773">
        <w:rPr>
          <w:rFonts w:ascii="Arial" w:hAnsi="Arial" w:cs="Arial"/>
          <w:sz w:val="24"/>
          <w:szCs w:val="24"/>
        </w:rPr>
        <w:t>, which does not demand that buildings be made of brick or stone. Some permanence exists within a structure</w:t>
      </w:r>
      <w:r w:rsidR="00204C4D">
        <w:rPr>
          <w:rFonts w:ascii="Arial" w:hAnsi="Arial" w:cs="Arial"/>
          <w:sz w:val="24"/>
          <w:szCs w:val="24"/>
        </w:rPr>
        <w:t xml:space="preserve">. In </w:t>
      </w:r>
      <w:r w:rsidR="00204C4D" w:rsidRPr="00204C4D">
        <w:rPr>
          <w:rFonts w:ascii="Arial" w:hAnsi="Arial" w:cs="Arial"/>
          <w:i/>
          <w:iCs/>
          <w:sz w:val="24"/>
          <w:szCs w:val="24"/>
        </w:rPr>
        <w:t>Stevens v Gourley [1859]</w:t>
      </w:r>
      <w:r w:rsidR="00204C4D" w:rsidRPr="00204C4D">
        <w:t xml:space="preserve"> </w:t>
      </w:r>
      <w:r w:rsidR="00204C4D" w:rsidRPr="00204C4D">
        <w:rPr>
          <w:rFonts w:ascii="Arial" w:hAnsi="Arial" w:cs="Arial"/>
          <w:sz w:val="24"/>
          <w:szCs w:val="24"/>
        </w:rPr>
        <w:t>It is necessary for a building to be designed to be permanent, or at least to exist for a considerable time.</w:t>
      </w:r>
      <w:r w:rsidR="00BA0C18">
        <w:rPr>
          <w:rFonts w:ascii="Arial" w:hAnsi="Arial" w:cs="Arial"/>
          <w:sz w:val="24"/>
          <w:szCs w:val="24"/>
        </w:rPr>
        <w:t xml:space="preserve"> Hadley enters Ronan’s house which is classified as </w:t>
      </w:r>
      <w:r w:rsidR="00AD5E5B">
        <w:rPr>
          <w:rFonts w:ascii="Arial" w:hAnsi="Arial" w:cs="Arial"/>
          <w:sz w:val="24"/>
          <w:szCs w:val="24"/>
        </w:rPr>
        <w:t>building (</w:t>
      </w:r>
      <w:r w:rsidR="00BA0C18" w:rsidRPr="00BA0C18">
        <w:rPr>
          <w:rFonts w:ascii="Arial" w:hAnsi="Arial" w:cs="Arial"/>
          <w:sz w:val="24"/>
          <w:szCs w:val="24"/>
        </w:rPr>
        <w:t>Theft Act Offences</w:t>
      </w:r>
      <w:r w:rsidR="00BA0C18">
        <w:rPr>
          <w:rFonts w:ascii="Arial" w:hAnsi="Arial" w:cs="Arial"/>
          <w:sz w:val="24"/>
          <w:szCs w:val="24"/>
        </w:rPr>
        <w:t>).</w:t>
      </w:r>
    </w:p>
    <w:p w14:paraId="2B73085E" w14:textId="337D7069" w:rsidR="004233EB" w:rsidRDefault="004233EB" w:rsidP="009B41B8">
      <w:pPr>
        <w:spacing w:line="360" w:lineRule="auto"/>
        <w:rPr>
          <w:rFonts w:ascii="Arial" w:hAnsi="Arial" w:cs="Arial"/>
          <w:sz w:val="24"/>
          <w:szCs w:val="24"/>
        </w:rPr>
      </w:pPr>
      <w:r>
        <w:rPr>
          <w:rFonts w:ascii="Arial" w:hAnsi="Arial" w:cs="Arial"/>
          <w:sz w:val="24"/>
          <w:szCs w:val="24"/>
        </w:rPr>
        <w:t>Hadley</w:t>
      </w:r>
    </w:p>
    <w:p w14:paraId="4586D616" w14:textId="4132E777" w:rsidR="00AD5E5B" w:rsidRDefault="00AD5E5B" w:rsidP="009B41B8">
      <w:pPr>
        <w:spacing w:line="360" w:lineRule="auto"/>
        <w:rPr>
          <w:rFonts w:ascii="Arial" w:hAnsi="Arial" w:cs="Arial"/>
          <w:sz w:val="24"/>
          <w:szCs w:val="24"/>
        </w:rPr>
      </w:pPr>
      <w:r>
        <w:rPr>
          <w:rFonts w:ascii="Arial" w:hAnsi="Arial" w:cs="Arial"/>
          <w:sz w:val="24"/>
          <w:szCs w:val="24"/>
        </w:rPr>
        <w:t>Mens Rea: by the fact that Hadley has the knowledge that Ronan is not in his property it is likely that he had already formed the intention prior to entry, and he would be liable for S.9(1)(a). Hadley</w:t>
      </w:r>
      <w:r w:rsidR="003A6790">
        <w:rPr>
          <w:rFonts w:ascii="Arial" w:hAnsi="Arial" w:cs="Arial"/>
          <w:sz w:val="24"/>
          <w:szCs w:val="24"/>
        </w:rPr>
        <w:t xml:space="preserve"> was intent to steal Ronan’s Bucci </w:t>
      </w:r>
      <w:r w:rsidR="00577DEE">
        <w:rPr>
          <w:rFonts w:ascii="Arial" w:hAnsi="Arial" w:cs="Arial"/>
          <w:sz w:val="24"/>
          <w:szCs w:val="24"/>
        </w:rPr>
        <w:t>trainers,</w:t>
      </w:r>
      <w:r w:rsidR="003A6790">
        <w:rPr>
          <w:rFonts w:ascii="Arial" w:hAnsi="Arial" w:cs="Arial"/>
          <w:sz w:val="24"/>
          <w:szCs w:val="24"/>
        </w:rPr>
        <w:t xml:space="preserve"> but he steals</w:t>
      </w:r>
      <w:r>
        <w:rPr>
          <w:rFonts w:ascii="Arial" w:hAnsi="Arial" w:cs="Arial"/>
          <w:sz w:val="24"/>
          <w:szCs w:val="24"/>
        </w:rPr>
        <w:t xml:space="preserve"> Ronan’s </w:t>
      </w:r>
      <w:r w:rsidR="004233EB">
        <w:rPr>
          <w:rFonts w:ascii="Arial" w:hAnsi="Arial" w:cs="Arial"/>
          <w:sz w:val="24"/>
          <w:szCs w:val="24"/>
        </w:rPr>
        <w:t>K</w:t>
      </w:r>
      <w:r>
        <w:rPr>
          <w:rFonts w:ascii="Arial" w:hAnsi="Arial" w:cs="Arial"/>
          <w:sz w:val="24"/>
          <w:szCs w:val="24"/>
        </w:rPr>
        <w:t>o</w:t>
      </w:r>
      <w:r w:rsidR="003A6790">
        <w:rPr>
          <w:rFonts w:ascii="Arial" w:hAnsi="Arial" w:cs="Arial"/>
          <w:sz w:val="24"/>
          <w:szCs w:val="24"/>
        </w:rPr>
        <w:t>lex</w:t>
      </w:r>
      <w:r>
        <w:rPr>
          <w:rFonts w:ascii="Arial" w:hAnsi="Arial" w:cs="Arial"/>
          <w:sz w:val="24"/>
          <w:szCs w:val="24"/>
        </w:rPr>
        <w:t xml:space="preserve"> watch</w:t>
      </w:r>
      <w:r w:rsidR="003A6790">
        <w:rPr>
          <w:rFonts w:ascii="Arial" w:hAnsi="Arial" w:cs="Arial"/>
          <w:sz w:val="24"/>
          <w:szCs w:val="24"/>
        </w:rPr>
        <w:t xml:space="preserve"> instead</w:t>
      </w:r>
      <w:r w:rsidR="004233EB">
        <w:rPr>
          <w:rFonts w:ascii="Arial" w:hAnsi="Arial" w:cs="Arial"/>
          <w:sz w:val="24"/>
          <w:szCs w:val="24"/>
        </w:rPr>
        <w:t>.</w:t>
      </w:r>
    </w:p>
    <w:p w14:paraId="222E0950" w14:textId="77777777" w:rsidR="00F7009D" w:rsidRDefault="00F7009D" w:rsidP="009B41B8">
      <w:pPr>
        <w:spacing w:line="360" w:lineRule="auto"/>
        <w:rPr>
          <w:rFonts w:ascii="Arial" w:hAnsi="Arial" w:cs="Arial"/>
          <w:sz w:val="24"/>
          <w:szCs w:val="24"/>
        </w:rPr>
      </w:pPr>
    </w:p>
    <w:p w14:paraId="51C4D285" w14:textId="2425EC7F" w:rsidR="001E3D13" w:rsidRDefault="001E3D13" w:rsidP="009B41B8">
      <w:pPr>
        <w:spacing w:line="360" w:lineRule="auto"/>
        <w:rPr>
          <w:rFonts w:ascii="Arial" w:hAnsi="Arial" w:cs="Arial"/>
          <w:sz w:val="24"/>
          <w:szCs w:val="24"/>
        </w:rPr>
      </w:pPr>
      <w:r>
        <w:rPr>
          <w:rFonts w:ascii="Arial" w:hAnsi="Arial" w:cs="Arial"/>
          <w:sz w:val="24"/>
          <w:szCs w:val="24"/>
        </w:rPr>
        <w:t>Criminal Damage Act 1971 S1(1), basic offence:</w:t>
      </w:r>
      <w:r w:rsidRPr="001E3D13">
        <w:t xml:space="preserve"> </w:t>
      </w:r>
      <w:r w:rsidRPr="001E3D13">
        <w:rPr>
          <w:rFonts w:ascii="Arial" w:hAnsi="Arial" w:cs="Arial"/>
          <w:sz w:val="24"/>
          <w:szCs w:val="24"/>
        </w:rPr>
        <w:t>Anyone who intentionally damages or destroys another person's property without a reasonable excuse, with reckless disregard for the possibility that such property will be destroyed or harmed, is guilty of a crime</w:t>
      </w:r>
      <w:r>
        <w:rPr>
          <w:rFonts w:ascii="Arial" w:hAnsi="Arial" w:cs="Arial"/>
          <w:sz w:val="24"/>
          <w:szCs w:val="24"/>
        </w:rPr>
        <w:t xml:space="preserve"> (</w:t>
      </w:r>
      <w:r w:rsidRPr="001E3D13">
        <w:rPr>
          <w:rFonts w:ascii="Arial" w:hAnsi="Arial" w:cs="Arial"/>
          <w:sz w:val="24"/>
          <w:szCs w:val="24"/>
        </w:rPr>
        <w:t>Criminal Damage Act</w:t>
      </w:r>
      <w:r>
        <w:rPr>
          <w:rFonts w:ascii="Arial" w:hAnsi="Arial" w:cs="Arial"/>
          <w:sz w:val="24"/>
          <w:szCs w:val="24"/>
        </w:rPr>
        <w:t xml:space="preserve"> 1971).</w:t>
      </w:r>
      <w:r w:rsidR="006C62C4">
        <w:rPr>
          <w:rFonts w:ascii="Arial" w:hAnsi="Arial" w:cs="Arial"/>
          <w:sz w:val="24"/>
          <w:szCs w:val="24"/>
        </w:rPr>
        <w:t xml:space="preserve"> By splitting into the Actus reus in this case we find that Hadley while he jumped over the fence</w:t>
      </w:r>
      <w:r w:rsidR="00431928">
        <w:rPr>
          <w:rFonts w:ascii="Arial" w:hAnsi="Arial" w:cs="Arial"/>
          <w:sz w:val="24"/>
          <w:szCs w:val="24"/>
        </w:rPr>
        <w:t xml:space="preserve"> broke the wooden bench which is the tangible nature of property, and it was belong to Ronan and it is destroyed by Hadley. Mens rea </w:t>
      </w:r>
      <w:r w:rsidR="00431928" w:rsidRPr="00431928">
        <w:rPr>
          <w:rFonts w:ascii="Arial" w:hAnsi="Arial" w:cs="Arial"/>
          <w:sz w:val="24"/>
          <w:szCs w:val="24"/>
        </w:rPr>
        <w:t>is</w:t>
      </w:r>
      <w:r w:rsidR="00431928">
        <w:rPr>
          <w:rFonts w:ascii="Arial" w:hAnsi="Arial" w:cs="Arial"/>
          <w:sz w:val="24"/>
          <w:szCs w:val="24"/>
        </w:rPr>
        <w:t xml:space="preserve"> Hadley was</w:t>
      </w:r>
      <w:r w:rsidR="00431928" w:rsidRPr="00431928">
        <w:rPr>
          <w:rFonts w:ascii="Arial" w:hAnsi="Arial" w:cs="Arial"/>
          <w:sz w:val="24"/>
          <w:szCs w:val="24"/>
        </w:rPr>
        <w:t xml:space="preserve"> reckless to destroying or damaging the property</w:t>
      </w:r>
      <w:r w:rsidR="00431928">
        <w:rPr>
          <w:rFonts w:ascii="Arial" w:hAnsi="Arial" w:cs="Arial"/>
          <w:sz w:val="24"/>
          <w:szCs w:val="24"/>
        </w:rPr>
        <w:t xml:space="preserve"> (wooden bench) without any lawful excuse</w:t>
      </w:r>
      <w:r w:rsidR="00F612F1">
        <w:rPr>
          <w:rFonts w:ascii="Arial" w:hAnsi="Arial" w:cs="Arial"/>
          <w:sz w:val="24"/>
          <w:szCs w:val="24"/>
        </w:rPr>
        <w:t xml:space="preserve"> and will be charged for criminal damage</w:t>
      </w:r>
      <w:r w:rsidR="00431928">
        <w:rPr>
          <w:rFonts w:ascii="Arial" w:hAnsi="Arial" w:cs="Arial"/>
          <w:sz w:val="24"/>
          <w:szCs w:val="24"/>
        </w:rPr>
        <w:t>.</w:t>
      </w:r>
      <w:r w:rsidR="00492165">
        <w:rPr>
          <w:rFonts w:ascii="Arial" w:hAnsi="Arial" w:cs="Arial"/>
          <w:sz w:val="24"/>
          <w:szCs w:val="24"/>
        </w:rPr>
        <w:t xml:space="preserve"> In </w:t>
      </w:r>
      <w:r w:rsidR="00492165" w:rsidRPr="00E11C2A">
        <w:rPr>
          <w:rFonts w:ascii="Arial" w:hAnsi="Arial" w:cs="Arial"/>
          <w:i/>
          <w:iCs/>
          <w:sz w:val="24"/>
          <w:szCs w:val="24"/>
        </w:rPr>
        <w:t>Cox v Riley [1986]</w:t>
      </w:r>
      <w:r w:rsidR="00492165" w:rsidRPr="00492165">
        <w:rPr>
          <w:rFonts w:ascii="Arial" w:hAnsi="Arial" w:cs="Arial"/>
          <w:sz w:val="24"/>
          <w:szCs w:val="24"/>
        </w:rPr>
        <w:t xml:space="preserve"> </w:t>
      </w:r>
      <w:r w:rsidR="00E11C2A" w:rsidRPr="00E11C2A">
        <w:rPr>
          <w:rFonts w:ascii="Arial" w:hAnsi="Arial" w:cs="Arial"/>
          <w:sz w:val="24"/>
          <w:szCs w:val="24"/>
        </w:rPr>
        <w:t>where the defendant deleted a saw control programme off a card. Criminal damage was considered to have occurred when the card was damaged, rendering it unusable, rather than when the programme was erased.</w:t>
      </w:r>
      <w:r w:rsidR="00E11C2A">
        <w:rPr>
          <w:rFonts w:ascii="Arial" w:hAnsi="Arial" w:cs="Arial"/>
          <w:sz w:val="24"/>
          <w:szCs w:val="24"/>
        </w:rPr>
        <w:t xml:space="preserve"> The court decided that the printed card was property and tangible within s10(1) of the criminal damage act 1971.</w:t>
      </w:r>
    </w:p>
    <w:p w14:paraId="621DCF76" w14:textId="60FC70AB" w:rsidR="001E3D13" w:rsidRPr="00CA0C2A" w:rsidRDefault="0068224F" w:rsidP="009B41B8">
      <w:pPr>
        <w:spacing w:line="360" w:lineRule="auto"/>
        <w:rPr>
          <w:rFonts w:ascii="Arial" w:hAnsi="Arial" w:cs="Arial"/>
          <w:sz w:val="24"/>
          <w:szCs w:val="24"/>
        </w:rPr>
      </w:pPr>
      <w:r>
        <w:rPr>
          <w:rFonts w:ascii="Arial" w:hAnsi="Arial" w:cs="Arial"/>
          <w:sz w:val="24"/>
          <w:szCs w:val="24"/>
        </w:rPr>
        <w:t>Arson</w:t>
      </w:r>
      <w:r w:rsidR="00F612F1">
        <w:rPr>
          <w:rFonts w:ascii="Arial" w:hAnsi="Arial" w:cs="Arial"/>
          <w:sz w:val="24"/>
          <w:szCs w:val="24"/>
        </w:rPr>
        <w:t>:</w:t>
      </w:r>
      <w:r w:rsidR="009875E1" w:rsidRPr="009875E1">
        <w:t xml:space="preserve"> </w:t>
      </w:r>
      <w:r w:rsidR="009875E1">
        <w:rPr>
          <w:rFonts w:ascii="Arial" w:hAnsi="Arial" w:cs="Arial"/>
          <w:sz w:val="24"/>
          <w:szCs w:val="24"/>
        </w:rPr>
        <w:t>I</w:t>
      </w:r>
      <w:r w:rsidR="009875E1" w:rsidRPr="009875E1">
        <w:rPr>
          <w:rFonts w:ascii="Arial" w:hAnsi="Arial" w:cs="Arial"/>
          <w:sz w:val="24"/>
          <w:szCs w:val="24"/>
        </w:rPr>
        <w:t>s the appropriate charge for any violation of section</w:t>
      </w:r>
      <w:r w:rsidR="009875E1">
        <w:rPr>
          <w:rFonts w:ascii="Arial" w:hAnsi="Arial" w:cs="Arial"/>
          <w:sz w:val="24"/>
          <w:szCs w:val="24"/>
        </w:rPr>
        <w:t>1(3) of Criminal Damage Act 1971</w:t>
      </w:r>
      <w:r w:rsidR="009875E1" w:rsidRPr="009875E1">
        <w:rPr>
          <w:rFonts w:ascii="Arial" w:hAnsi="Arial" w:cs="Arial"/>
          <w:sz w:val="24"/>
          <w:szCs w:val="24"/>
        </w:rPr>
        <w:t xml:space="preserve"> that results in the destruction or damage of property by fire</w:t>
      </w:r>
      <w:r w:rsidR="009875E1">
        <w:rPr>
          <w:rFonts w:ascii="Arial" w:hAnsi="Arial" w:cs="Arial"/>
          <w:sz w:val="24"/>
          <w:szCs w:val="24"/>
        </w:rPr>
        <w:t xml:space="preserve">. Same as basic offence except that the damage or destruction must be caused </w:t>
      </w:r>
      <w:r w:rsidR="00CF6AA8">
        <w:rPr>
          <w:rFonts w:ascii="Arial" w:hAnsi="Arial" w:cs="Arial"/>
          <w:sz w:val="24"/>
          <w:szCs w:val="24"/>
        </w:rPr>
        <w:t xml:space="preserve">by fire (Actus reus), </w:t>
      </w:r>
      <w:r w:rsidR="00CF6AA8">
        <w:rPr>
          <w:rFonts w:ascii="Arial" w:hAnsi="Arial" w:cs="Arial"/>
          <w:sz w:val="24"/>
          <w:szCs w:val="24"/>
        </w:rPr>
        <w:lastRenderedPageBreak/>
        <w:t>intention or recklessness as to destruction by fire must be shown (mens rea). The test for recklessness is subjective.</w:t>
      </w:r>
      <w:r w:rsidR="00A03D44">
        <w:rPr>
          <w:rFonts w:ascii="Arial" w:hAnsi="Arial" w:cs="Arial"/>
          <w:sz w:val="24"/>
          <w:szCs w:val="24"/>
        </w:rPr>
        <w:t xml:space="preserve"> </w:t>
      </w:r>
      <w:r w:rsidR="00727F10">
        <w:rPr>
          <w:rFonts w:ascii="Arial" w:hAnsi="Arial" w:cs="Arial"/>
          <w:sz w:val="24"/>
          <w:szCs w:val="24"/>
        </w:rPr>
        <w:t xml:space="preserve">In the case of Miller [1983] D was a drunk </w:t>
      </w:r>
      <w:r w:rsidR="001F6986">
        <w:rPr>
          <w:rFonts w:ascii="Arial" w:hAnsi="Arial" w:cs="Arial"/>
          <w:sz w:val="24"/>
          <w:szCs w:val="24"/>
        </w:rPr>
        <w:t>homeless man</w:t>
      </w:r>
      <w:r w:rsidR="00727F10">
        <w:rPr>
          <w:rFonts w:ascii="Arial" w:hAnsi="Arial" w:cs="Arial"/>
          <w:sz w:val="24"/>
          <w:szCs w:val="24"/>
        </w:rPr>
        <w:t xml:space="preserve"> accidentally set fire on mattress where he was sleeping and </w:t>
      </w:r>
      <w:r w:rsidR="001F6986">
        <w:rPr>
          <w:rFonts w:ascii="Arial" w:hAnsi="Arial" w:cs="Arial"/>
          <w:sz w:val="24"/>
          <w:szCs w:val="24"/>
        </w:rPr>
        <w:t xml:space="preserve">instead of acting and turn it off, he moved to other room. D was charged guilty of arson under Criminal damage Act 1971. In Hadley case he intentionally poured aftershave in a bin and set a fire and did not act to turn it off. </w:t>
      </w:r>
      <w:r w:rsidR="003A6790">
        <w:rPr>
          <w:rFonts w:ascii="Arial" w:hAnsi="Arial" w:cs="Arial"/>
          <w:sz w:val="24"/>
          <w:szCs w:val="24"/>
        </w:rPr>
        <w:t>Therefore,</w:t>
      </w:r>
      <w:r w:rsidR="001F6986">
        <w:rPr>
          <w:rFonts w:ascii="Arial" w:hAnsi="Arial" w:cs="Arial"/>
          <w:sz w:val="24"/>
          <w:szCs w:val="24"/>
        </w:rPr>
        <w:t xml:space="preserve"> he </w:t>
      </w:r>
      <w:r w:rsidR="003A6790">
        <w:rPr>
          <w:rFonts w:ascii="Arial" w:hAnsi="Arial" w:cs="Arial"/>
          <w:sz w:val="24"/>
          <w:szCs w:val="24"/>
        </w:rPr>
        <w:t>assumed for causing damage to Ronan’s house purposely by setting a fire under the CDA1(3).</w:t>
      </w:r>
    </w:p>
    <w:p w14:paraId="5E62C485" w14:textId="57A68D8F" w:rsidR="0030762B" w:rsidRDefault="001F6986" w:rsidP="009B41B8">
      <w:pPr>
        <w:spacing w:line="360" w:lineRule="auto"/>
        <w:rPr>
          <w:rFonts w:ascii="Arial" w:hAnsi="Arial" w:cs="Arial"/>
          <w:sz w:val="24"/>
          <w:szCs w:val="24"/>
        </w:rPr>
      </w:pPr>
      <w:r w:rsidRPr="001F6986">
        <w:rPr>
          <w:rFonts w:ascii="Arial" w:hAnsi="Arial" w:cs="Arial"/>
          <w:sz w:val="24"/>
          <w:szCs w:val="24"/>
        </w:rPr>
        <w:t>Conclusion: assuming the court has agreed with all above he is liable for burglary</w:t>
      </w:r>
      <w:r w:rsidR="00A93926">
        <w:rPr>
          <w:rFonts w:ascii="Arial" w:hAnsi="Arial" w:cs="Arial"/>
          <w:sz w:val="24"/>
          <w:szCs w:val="24"/>
        </w:rPr>
        <w:t xml:space="preserve"> and force </w:t>
      </w:r>
      <w:r w:rsidR="00302153">
        <w:rPr>
          <w:rFonts w:ascii="Arial" w:hAnsi="Arial" w:cs="Arial"/>
          <w:sz w:val="24"/>
          <w:szCs w:val="24"/>
        </w:rPr>
        <w:t>entry</w:t>
      </w:r>
      <w:r w:rsidRPr="001F6986">
        <w:rPr>
          <w:rFonts w:ascii="Arial" w:hAnsi="Arial" w:cs="Arial"/>
          <w:sz w:val="24"/>
          <w:szCs w:val="24"/>
        </w:rPr>
        <w:t>. He trespasses to the building and broke garden bench, when he steals the watch, he intentionally makes a fire and commit arson.</w:t>
      </w:r>
    </w:p>
    <w:p w14:paraId="564B14C7" w14:textId="630E146C" w:rsidR="0030762B" w:rsidRDefault="0030762B" w:rsidP="009B41B8">
      <w:pPr>
        <w:spacing w:line="360" w:lineRule="auto"/>
        <w:rPr>
          <w:rFonts w:ascii="Arial" w:hAnsi="Arial" w:cs="Arial"/>
          <w:sz w:val="24"/>
          <w:szCs w:val="24"/>
        </w:rPr>
      </w:pPr>
      <w:r>
        <w:rPr>
          <w:rFonts w:ascii="Arial" w:hAnsi="Arial" w:cs="Arial"/>
          <w:sz w:val="24"/>
          <w:szCs w:val="24"/>
        </w:rPr>
        <w:t>B)</w:t>
      </w:r>
    </w:p>
    <w:p w14:paraId="2E3256D1" w14:textId="02B61F47" w:rsidR="0030762B" w:rsidRDefault="0030762B" w:rsidP="009B41B8">
      <w:pPr>
        <w:spacing w:line="360" w:lineRule="auto"/>
        <w:rPr>
          <w:rFonts w:ascii="Arial" w:hAnsi="Arial" w:cs="Arial"/>
          <w:sz w:val="24"/>
          <w:szCs w:val="24"/>
        </w:rPr>
      </w:pPr>
      <w:r>
        <w:rPr>
          <w:rFonts w:ascii="Arial" w:hAnsi="Arial" w:cs="Arial"/>
          <w:sz w:val="24"/>
          <w:szCs w:val="24"/>
        </w:rPr>
        <w:t>In this case Freya is committed an offence on Mike under</w:t>
      </w:r>
      <w:r w:rsidRPr="0030762B">
        <w:t xml:space="preserve"> </w:t>
      </w:r>
      <w:r w:rsidRPr="0030762B">
        <w:rPr>
          <w:rFonts w:ascii="Arial" w:hAnsi="Arial" w:cs="Arial"/>
          <w:sz w:val="24"/>
          <w:szCs w:val="24"/>
        </w:rPr>
        <w:t>Offences against the Person Act 1861</w:t>
      </w:r>
      <w:r>
        <w:rPr>
          <w:rFonts w:ascii="Arial" w:hAnsi="Arial" w:cs="Arial"/>
          <w:sz w:val="24"/>
          <w:szCs w:val="24"/>
        </w:rPr>
        <w:t xml:space="preserve"> S47, by punching on his face and causing him black eye.</w:t>
      </w:r>
      <w:r w:rsidRPr="0030762B">
        <w:t xml:space="preserve"> </w:t>
      </w:r>
      <w:r w:rsidRPr="0030762B">
        <w:rPr>
          <w:rFonts w:ascii="Arial" w:hAnsi="Arial" w:cs="Arial"/>
          <w:sz w:val="24"/>
          <w:szCs w:val="24"/>
        </w:rPr>
        <w:t>When someone assaults another individual and causes Actual Bodily Harm, they have committed the crime. It must be demonstrated that the bodily harm was "occasioned" or brought on by the assault (this includes "battery")</w:t>
      </w:r>
      <w:r>
        <w:rPr>
          <w:rFonts w:ascii="Arial" w:hAnsi="Arial" w:cs="Arial"/>
          <w:sz w:val="24"/>
          <w:szCs w:val="24"/>
        </w:rPr>
        <w:t>. (</w:t>
      </w:r>
      <w:bookmarkStart w:id="0" w:name="_Hlk123923631"/>
      <w:r w:rsidRPr="0030762B">
        <w:rPr>
          <w:rFonts w:ascii="Arial" w:hAnsi="Arial" w:cs="Arial"/>
          <w:sz w:val="24"/>
          <w:szCs w:val="24"/>
        </w:rPr>
        <w:t>Offences against the Person Act 1861</w:t>
      </w:r>
      <w:bookmarkEnd w:id="0"/>
      <w:r>
        <w:rPr>
          <w:rFonts w:ascii="Arial" w:hAnsi="Arial" w:cs="Arial"/>
          <w:sz w:val="24"/>
          <w:szCs w:val="24"/>
        </w:rPr>
        <w:t>).</w:t>
      </w:r>
      <w:r w:rsidR="000B63C8">
        <w:rPr>
          <w:rFonts w:ascii="Arial" w:hAnsi="Arial" w:cs="Arial"/>
          <w:sz w:val="24"/>
          <w:szCs w:val="24"/>
        </w:rPr>
        <w:t xml:space="preserve"> By looking into automatism and intoxication we will discuss if she is liable for defence on them</w:t>
      </w:r>
      <w:r w:rsidR="009B41B8">
        <w:rPr>
          <w:rFonts w:ascii="Arial" w:hAnsi="Arial" w:cs="Arial"/>
          <w:sz w:val="24"/>
          <w:szCs w:val="24"/>
        </w:rPr>
        <w:t xml:space="preserve"> (</w:t>
      </w:r>
      <w:r w:rsidR="009B41B8" w:rsidRPr="009B41B8">
        <w:rPr>
          <w:rFonts w:ascii="Arial" w:hAnsi="Arial" w:cs="Arial"/>
          <w:sz w:val="24"/>
          <w:szCs w:val="24"/>
        </w:rPr>
        <w:t>Intoxication</w:t>
      </w:r>
      <w:r w:rsidR="009B41B8">
        <w:rPr>
          <w:rFonts w:ascii="Arial" w:hAnsi="Arial" w:cs="Arial"/>
          <w:sz w:val="24"/>
          <w:szCs w:val="24"/>
        </w:rPr>
        <w:t>).</w:t>
      </w:r>
    </w:p>
    <w:p w14:paraId="59A3CE36" w14:textId="19A138B7" w:rsidR="00537FCE" w:rsidRDefault="00537FCE" w:rsidP="009B41B8">
      <w:pPr>
        <w:spacing w:line="360" w:lineRule="auto"/>
        <w:rPr>
          <w:rFonts w:ascii="Arial" w:hAnsi="Arial" w:cs="Arial"/>
          <w:sz w:val="24"/>
          <w:szCs w:val="24"/>
        </w:rPr>
      </w:pPr>
      <w:r>
        <w:rPr>
          <w:rFonts w:ascii="Arial" w:hAnsi="Arial" w:cs="Arial"/>
          <w:sz w:val="24"/>
          <w:szCs w:val="24"/>
        </w:rPr>
        <w:t>Intoxication</w:t>
      </w:r>
      <w:r w:rsidR="00271515">
        <w:rPr>
          <w:rFonts w:ascii="Arial" w:hAnsi="Arial" w:cs="Arial"/>
          <w:sz w:val="24"/>
          <w:szCs w:val="24"/>
        </w:rPr>
        <w:t xml:space="preserve"> is a general defence available where the defendant has taken drink or drugs and is incapable of forming the mens rea required for the crime. The court needs to know if the defendant is voluntarily or involuntarily intoxicated</w:t>
      </w:r>
      <w:r w:rsidR="00236D88">
        <w:rPr>
          <w:rFonts w:ascii="Arial" w:hAnsi="Arial" w:cs="Arial"/>
          <w:sz w:val="24"/>
          <w:szCs w:val="24"/>
        </w:rPr>
        <w:t xml:space="preserve"> and is the crime specific or basic intent crime?</w:t>
      </w:r>
      <w:r w:rsidR="009B41B8">
        <w:rPr>
          <w:rFonts w:ascii="Arial" w:hAnsi="Arial" w:cs="Arial"/>
          <w:sz w:val="24"/>
          <w:szCs w:val="24"/>
        </w:rPr>
        <w:t xml:space="preserve"> </w:t>
      </w:r>
      <w:r w:rsidR="00271515">
        <w:rPr>
          <w:rFonts w:ascii="Arial" w:hAnsi="Arial" w:cs="Arial"/>
          <w:sz w:val="24"/>
          <w:szCs w:val="24"/>
        </w:rPr>
        <w:t xml:space="preserve">Voluntary intoxication is where the defendant has chosen to consume alcohol or drugs in our case Freya has been voluntary intoxicated as she taken alcohol </w:t>
      </w:r>
      <w:r w:rsidR="00236D88">
        <w:rPr>
          <w:rFonts w:ascii="Arial" w:hAnsi="Arial" w:cs="Arial"/>
          <w:sz w:val="24"/>
          <w:szCs w:val="24"/>
        </w:rPr>
        <w:t xml:space="preserve">by herself and desire. </w:t>
      </w:r>
      <w:r w:rsidR="00BD7D7B">
        <w:rPr>
          <w:rFonts w:ascii="Arial" w:hAnsi="Arial" w:cs="Arial"/>
          <w:sz w:val="24"/>
          <w:szCs w:val="24"/>
        </w:rPr>
        <w:t>Specific intent crime is an offence where the mens rea is consistent with the intention such as murder and basic intent crime is a crime that the mens rea includes recklessness like assault</w:t>
      </w:r>
      <w:r w:rsidR="009B41B8">
        <w:rPr>
          <w:rFonts w:ascii="Arial" w:hAnsi="Arial" w:cs="Arial"/>
          <w:sz w:val="24"/>
          <w:szCs w:val="24"/>
        </w:rPr>
        <w:t xml:space="preserve">. In the case of </w:t>
      </w:r>
      <w:r w:rsidR="009B41B8" w:rsidRPr="009B41B8">
        <w:rPr>
          <w:rFonts w:ascii="Arial" w:hAnsi="Arial" w:cs="Arial"/>
          <w:sz w:val="24"/>
          <w:szCs w:val="24"/>
        </w:rPr>
        <w:t>Majewski [1977]</w:t>
      </w:r>
      <w:r w:rsidR="009B41B8" w:rsidRPr="009B41B8">
        <w:t xml:space="preserve"> </w:t>
      </w:r>
      <w:r w:rsidR="009B41B8" w:rsidRPr="009B41B8">
        <w:rPr>
          <w:rFonts w:ascii="Arial" w:hAnsi="Arial" w:cs="Arial"/>
          <w:sz w:val="24"/>
          <w:szCs w:val="24"/>
        </w:rPr>
        <w:t>D assaulted policemen while drunk.</w:t>
      </w:r>
      <w:r w:rsidR="009B41B8">
        <w:rPr>
          <w:rFonts w:ascii="Arial" w:hAnsi="Arial" w:cs="Arial"/>
          <w:sz w:val="24"/>
          <w:szCs w:val="24"/>
        </w:rPr>
        <w:t xml:space="preserve"> </w:t>
      </w:r>
      <w:r w:rsidR="009B41B8" w:rsidRPr="009B41B8">
        <w:rPr>
          <w:rFonts w:ascii="Arial" w:hAnsi="Arial" w:cs="Arial"/>
          <w:sz w:val="24"/>
          <w:szCs w:val="24"/>
        </w:rPr>
        <w:t>D</w:t>
      </w:r>
      <w:r w:rsidR="009B41B8">
        <w:rPr>
          <w:rFonts w:ascii="Arial" w:hAnsi="Arial" w:cs="Arial"/>
          <w:sz w:val="24"/>
          <w:szCs w:val="24"/>
        </w:rPr>
        <w:t xml:space="preserve"> </w:t>
      </w:r>
      <w:r w:rsidR="009B41B8" w:rsidRPr="009B41B8">
        <w:rPr>
          <w:rFonts w:ascii="Arial" w:hAnsi="Arial" w:cs="Arial"/>
          <w:sz w:val="24"/>
          <w:szCs w:val="24"/>
        </w:rPr>
        <w:t>was accused of assault resulting in actual bodily harm (s47 OAPA)</w:t>
      </w:r>
      <w:r w:rsidR="009B41B8">
        <w:rPr>
          <w:rFonts w:ascii="Arial" w:hAnsi="Arial" w:cs="Arial"/>
          <w:sz w:val="24"/>
          <w:szCs w:val="24"/>
        </w:rPr>
        <w:t xml:space="preserve">. </w:t>
      </w:r>
      <w:r w:rsidR="009B41B8" w:rsidRPr="009B41B8">
        <w:rPr>
          <w:rFonts w:ascii="Arial" w:hAnsi="Arial" w:cs="Arial"/>
          <w:sz w:val="24"/>
          <w:szCs w:val="24"/>
        </w:rPr>
        <w:t>Upheld conviction because "intent when intoxicated is still intent"</w:t>
      </w:r>
      <w:r w:rsidR="009B41B8">
        <w:rPr>
          <w:rFonts w:ascii="Arial" w:hAnsi="Arial" w:cs="Arial"/>
          <w:sz w:val="24"/>
          <w:szCs w:val="24"/>
        </w:rPr>
        <w:t xml:space="preserve">. </w:t>
      </w:r>
      <w:r w:rsidR="009B41B8" w:rsidRPr="009B41B8">
        <w:rPr>
          <w:rFonts w:ascii="Arial" w:hAnsi="Arial" w:cs="Arial"/>
          <w:sz w:val="24"/>
          <w:szCs w:val="24"/>
        </w:rPr>
        <w:t>Only crimes with intent can be justified by voluntary intoxication; crimes with basic intent cannot be justified even if it did result in the defendant's absence of mens rea.</w:t>
      </w:r>
      <w:r w:rsidR="00200C44">
        <w:rPr>
          <w:rFonts w:ascii="Arial" w:hAnsi="Arial" w:cs="Arial"/>
          <w:sz w:val="24"/>
          <w:szCs w:val="24"/>
        </w:rPr>
        <w:t xml:space="preserve"> In our case under s47 ABH, the punched-on face by Freya caused blacked eye is basic intent crime because the mens rea of the </w:t>
      </w:r>
      <w:r w:rsidR="00200C44">
        <w:rPr>
          <w:rFonts w:ascii="Arial" w:hAnsi="Arial" w:cs="Arial"/>
          <w:sz w:val="24"/>
          <w:szCs w:val="24"/>
        </w:rPr>
        <w:lastRenderedPageBreak/>
        <w:t xml:space="preserve">offence include recklessness by Majewski rule and voluntarily intoxicated. Therefore, the intoxication cannot be a defence for Freya. </w:t>
      </w:r>
    </w:p>
    <w:p w14:paraId="135670F5" w14:textId="379420CD" w:rsidR="00834D1F" w:rsidRDefault="00D3728F" w:rsidP="009B41B8">
      <w:pPr>
        <w:spacing w:line="360" w:lineRule="auto"/>
        <w:rPr>
          <w:rFonts w:ascii="Arial" w:hAnsi="Arial" w:cs="Arial"/>
          <w:sz w:val="24"/>
          <w:szCs w:val="24"/>
        </w:rPr>
      </w:pPr>
      <w:r>
        <w:rPr>
          <w:rFonts w:ascii="Arial" w:hAnsi="Arial" w:cs="Arial"/>
          <w:sz w:val="24"/>
          <w:szCs w:val="24"/>
        </w:rPr>
        <w:t>Next defence is automatism,</w:t>
      </w:r>
      <w:r>
        <w:t xml:space="preserve"> </w:t>
      </w:r>
      <w:r w:rsidRPr="00D3728F">
        <w:rPr>
          <w:rFonts w:ascii="Arial" w:hAnsi="Arial" w:cs="Arial"/>
          <w:sz w:val="24"/>
          <w:szCs w:val="24"/>
        </w:rPr>
        <w:t>and it refers to the state of unconsciousness or impaired consciousness in which a person acts involuntarily.</w:t>
      </w:r>
      <w:r w:rsidRPr="00D3728F">
        <w:t xml:space="preserve"> </w:t>
      </w:r>
      <w:r w:rsidRPr="00D3728F">
        <w:rPr>
          <w:rFonts w:ascii="Arial" w:hAnsi="Arial" w:cs="Arial"/>
          <w:sz w:val="24"/>
          <w:szCs w:val="24"/>
        </w:rPr>
        <w:t>Insane automatism, which has an internal cause, like a disease such as epilepsy, is separated from non-insane automatism by the courts</w:t>
      </w:r>
      <w:r>
        <w:rPr>
          <w:rFonts w:ascii="Arial" w:hAnsi="Arial" w:cs="Arial"/>
          <w:sz w:val="24"/>
          <w:szCs w:val="24"/>
        </w:rPr>
        <w:t xml:space="preserve"> </w:t>
      </w:r>
      <w:r w:rsidRPr="00D3728F">
        <w:rPr>
          <w:rFonts w:ascii="Arial" w:hAnsi="Arial" w:cs="Arial"/>
          <w:sz w:val="24"/>
          <w:szCs w:val="24"/>
        </w:rPr>
        <w:t>where the cause is external to D, such as consuming alcohol.</w:t>
      </w:r>
      <w:r w:rsidRPr="00D3728F">
        <w:t xml:space="preserve"> </w:t>
      </w:r>
      <w:r w:rsidRPr="00D3728F">
        <w:rPr>
          <w:rFonts w:ascii="Arial" w:hAnsi="Arial" w:cs="Arial"/>
          <w:sz w:val="24"/>
          <w:szCs w:val="24"/>
        </w:rPr>
        <w:t>When an internal cause, such as epilepsy or diabetes, has had an impact on D's mind, insanity is the proper defence.</w:t>
      </w:r>
      <w:r w:rsidRPr="00D3728F">
        <w:t xml:space="preserve"> </w:t>
      </w:r>
      <w:r w:rsidRPr="00D3728F">
        <w:rPr>
          <w:rFonts w:ascii="Arial" w:hAnsi="Arial" w:cs="Arial"/>
          <w:sz w:val="24"/>
          <w:szCs w:val="24"/>
        </w:rPr>
        <w:t>Because it occurred at the time the offence was committed to relieve them of legal responsibility, it might acquit the D from liability.</w:t>
      </w:r>
      <w:r w:rsidR="007C6C83" w:rsidRPr="007C6C83">
        <w:t xml:space="preserve"> </w:t>
      </w:r>
      <w:r w:rsidR="007C6C83" w:rsidRPr="007C6C83">
        <w:rPr>
          <w:rFonts w:ascii="Arial" w:hAnsi="Arial" w:cs="Arial"/>
          <w:sz w:val="24"/>
          <w:szCs w:val="24"/>
        </w:rPr>
        <w:t>In the case of Sullivan (1984), D hurt hi</w:t>
      </w:r>
      <w:r w:rsidR="007C6C83">
        <w:rPr>
          <w:rFonts w:ascii="Arial" w:hAnsi="Arial" w:cs="Arial"/>
          <w:sz w:val="24"/>
          <w:szCs w:val="24"/>
        </w:rPr>
        <w:t xml:space="preserve">s </w:t>
      </w:r>
      <w:r w:rsidR="007C6C83" w:rsidRPr="007C6C83">
        <w:rPr>
          <w:rFonts w:ascii="Arial" w:hAnsi="Arial" w:cs="Arial"/>
          <w:sz w:val="24"/>
          <w:szCs w:val="24"/>
        </w:rPr>
        <w:t>f</w:t>
      </w:r>
      <w:r w:rsidR="007C6C83">
        <w:rPr>
          <w:rFonts w:ascii="Arial" w:hAnsi="Arial" w:cs="Arial"/>
          <w:sz w:val="24"/>
          <w:szCs w:val="24"/>
        </w:rPr>
        <w:t>riend</w:t>
      </w:r>
      <w:r w:rsidR="007C6C83" w:rsidRPr="007C6C83">
        <w:rPr>
          <w:rFonts w:ascii="Arial" w:hAnsi="Arial" w:cs="Arial"/>
          <w:sz w:val="24"/>
          <w:szCs w:val="24"/>
        </w:rPr>
        <w:t xml:space="preserve"> physically while having an epileptic seizure. The best defence was insanity because the malfunctioning of the mind had been brought on by an internal source, which amounted to a mental illness.</w:t>
      </w:r>
      <w:r w:rsidR="007C6C83">
        <w:rPr>
          <w:rFonts w:ascii="Arial" w:hAnsi="Arial" w:cs="Arial"/>
          <w:sz w:val="24"/>
          <w:szCs w:val="24"/>
        </w:rPr>
        <w:t xml:space="preserve"> In our case as we know Freya suffered from </w:t>
      </w:r>
      <w:r w:rsidR="00761090">
        <w:rPr>
          <w:rFonts w:ascii="Arial" w:hAnsi="Arial" w:cs="Arial"/>
          <w:sz w:val="24"/>
          <w:szCs w:val="24"/>
        </w:rPr>
        <w:t xml:space="preserve">epilepsy, which Is internal cause, when she was child, but she did not have any seizure for 10 years therefore she did not take any medication. </w:t>
      </w:r>
      <w:r w:rsidR="00761090" w:rsidRPr="00761090">
        <w:rPr>
          <w:rFonts w:ascii="Arial" w:hAnsi="Arial" w:cs="Arial"/>
          <w:sz w:val="24"/>
          <w:szCs w:val="24"/>
        </w:rPr>
        <w:t>Medical evidence will be required,</w:t>
      </w:r>
      <w:r w:rsidR="00761090">
        <w:rPr>
          <w:rFonts w:ascii="Arial" w:hAnsi="Arial" w:cs="Arial"/>
          <w:sz w:val="24"/>
          <w:szCs w:val="24"/>
        </w:rPr>
        <w:t xml:space="preserve"> and court needs the expert decision for her situation if she apply for insanity automatism. She can defence under insanity automatism and if docto</w:t>
      </w:r>
      <w:r w:rsidR="00A03FFE">
        <w:rPr>
          <w:rFonts w:ascii="Arial" w:hAnsi="Arial" w:cs="Arial"/>
          <w:sz w:val="24"/>
          <w:szCs w:val="24"/>
        </w:rPr>
        <w:t xml:space="preserve">r recognised her epilepsy has still affected her and she will </w:t>
      </w:r>
      <w:r w:rsidR="006803CD">
        <w:rPr>
          <w:rFonts w:ascii="Arial" w:hAnsi="Arial" w:cs="Arial"/>
          <w:sz w:val="24"/>
          <w:szCs w:val="24"/>
        </w:rPr>
        <w:t>be acquitted</w:t>
      </w:r>
      <w:r w:rsidR="00A03FFE">
        <w:rPr>
          <w:rFonts w:ascii="Arial" w:hAnsi="Arial" w:cs="Arial"/>
          <w:sz w:val="24"/>
          <w:szCs w:val="24"/>
        </w:rPr>
        <w:t xml:space="preserve"> </w:t>
      </w:r>
      <w:r w:rsidR="00A03FFE" w:rsidRPr="00A03FFE">
        <w:rPr>
          <w:rFonts w:ascii="Arial" w:hAnsi="Arial" w:cs="Arial"/>
          <w:sz w:val="24"/>
          <w:szCs w:val="24"/>
        </w:rPr>
        <w:t>under the M’Naghten definition</w:t>
      </w:r>
      <w:r w:rsidR="00A03FFE">
        <w:rPr>
          <w:rFonts w:ascii="Arial" w:hAnsi="Arial" w:cs="Arial"/>
          <w:sz w:val="24"/>
          <w:szCs w:val="24"/>
        </w:rPr>
        <w:t xml:space="preserve"> by the court because this illness is amounted.</w:t>
      </w:r>
    </w:p>
    <w:p w14:paraId="2AB9887C" w14:textId="48E935CD" w:rsidR="006803CD" w:rsidRDefault="006803CD" w:rsidP="009B41B8">
      <w:pPr>
        <w:spacing w:line="360" w:lineRule="auto"/>
        <w:rPr>
          <w:rFonts w:ascii="Arial" w:hAnsi="Arial" w:cs="Arial"/>
          <w:sz w:val="24"/>
          <w:szCs w:val="24"/>
        </w:rPr>
      </w:pPr>
      <w:r w:rsidRPr="006803CD">
        <w:rPr>
          <w:rFonts w:ascii="Arial" w:hAnsi="Arial" w:cs="Arial"/>
          <w:sz w:val="24"/>
          <w:szCs w:val="24"/>
        </w:rPr>
        <w:t xml:space="preserve">A defence of </w:t>
      </w:r>
      <w:r>
        <w:rPr>
          <w:rFonts w:ascii="Arial" w:hAnsi="Arial" w:cs="Arial"/>
          <w:sz w:val="24"/>
          <w:szCs w:val="24"/>
        </w:rPr>
        <w:t xml:space="preserve">non-insanity </w:t>
      </w:r>
      <w:r w:rsidRPr="006803CD">
        <w:rPr>
          <w:rFonts w:ascii="Arial" w:hAnsi="Arial" w:cs="Arial"/>
          <w:sz w:val="24"/>
          <w:szCs w:val="24"/>
        </w:rPr>
        <w:t>automatism is made by D's who argue that their actions were involuntary.</w:t>
      </w:r>
      <w:r w:rsidRPr="006803CD">
        <w:t xml:space="preserve"> </w:t>
      </w:r>
      <w:r w:rsidRPr="006803CD">
        <w:rPr>
          <w:rFonts w:ascii="Arial" w:hAnsi="Arial" w:cs="Arial"/>
          <w:sz w:val="24"/>
          <w:szCs w:val="24"/>
        </w:rPr>
        <w:t xml:space="preserve">It must be demonstrated that D's incapacity to control his behaviour was brought on by an </w:t>
      </w:r>
      <w:r>
        <w:rPr>
          <w:rFonts w:ascii="Arial" w:hAnsi="Arial" w:cs="Arial"/>
          <w:sz w:val="24"/>
          <w:szCs w:val="24"/>
        </w:rPr>
        <w:t>external factor like alcohol consuming.</w:t>
      </w:r>
      <w:r w:rsidRPr="006803CD">
        <w:t xml:space="preserve"> </w:t>
      </w:r>
      <w:r w:rsidRPr="006803CD">
        <w:rPr>
          <w:rFonts w:ascii="Arial" w:hAnsi="Arial" w:cs="Arial"/>
          <w:sz w:val="24"/>
          <w:szCs w:val="24"/>
        </w:rPr>
        <w:t xml:space="preserve">If D is charged with a crime of "basic intent," his condition of impaired consciousness resulting from self-inflicted drunkenness by alcohol or drugs will not help him, but it may help negate mens rea for a crime of </w:t>
      </w:r>
      <w:r>
        <w:rPr>
          <w:rFonts w:ascii="Arial" w:hAnsi="Arial" w:cs="Arial"/>
          <w:sz w:val="24"/>
          <w:szCs w:val="24"/>
        </w:rPr>
        <w:t>‘</w:t>
      </w:r>
      <w:r w:rsidRPr="006803CD">
        <w:rPr>
          <w:rFonts w:ascii="Arial" w:hAnsi="Arial" w:cs="Arial"/>
          <w:sz w:val="24"/>
          <w:szCs w:val="24"/>
        </w:rPr>
        <w:t>specific intent</w:t>
      </w:r>
      <w:r>
        <w:rPr>
          <w:rFonts w:ascii="Arial" w:hAnsi="Arial" w:cs="Arial"/>
          <w:sz w:val="24"/>
          <w:szCs w:val="24"/>
        </w:rPr>
        <w:t>’.</w:t>
      </w:r>
      <w:r w:rsidR="004E009D" w:rsidRPr="004E009D">
        <w:t xml:space="preserve"> </w:t>
      </w:r>
      <w:r w:rsidR="004E009D" w:rsidRPr="004E009D">
        <w:rPr>
          <w:rFonts w:ascii="Arial" w:hAnsi="Arial" w:cs="Arial"/>
          <w:sz w:val="24"/>
          <w:szCs w:val="24"/>
        </w:rPr>
        <w:t>To determine if D is unconscious or has impaired consciousness and lost control of his muscles and nerves because of a spasm, a professional medical opinion is needed. It's not D's fault; this is a self-induced automatism.</w:t>
      </w:r>
      <w:r w:rsidR="004E009D" w:rsidRPr="004E009D">
        <w:t xml:space="preserve"> </w:t>
      </w:r>
      <w:r w:rsidR="004E009D" w:rsidRPr="004E009D">
        <w:rPr>
          <w:rFonts w:ascii="Arial" w:hAnsi="Arial" w:cs="Arial"/>
          <w:sz w:val="24"/>
          <w:szCs w:val="24"/>
        </w:rPr>
        <w:t>It is not sufficient that D’s mind was acting imperfectly; what is required is that D’s mind is not controlling his limbs at all.</w:t>
      </w:r>
      <w:r w:rsidR="004E009D">
        <w:rPr>
          <w:rFonts w:ascii="Arial" w:hAnsi="Arial" w:cs="Arial"/>
          <w:sz w:val="24"/>
          <w:szCs w:val="24"/>
        </w:rPr>
        <w:t xml:space="preserve"> Freya can plea on automatism as she drinks alcohol, and she was unconscious and unintentionally without control punch Mike’s eye. Based on medical expert consuming that amount of alcohol might cause her epilepsy and she had seizure. The final decision is </w:t>
      </w:r>
      <w:r w:rsidR="004E009D">
        <w:rPr>
          <w:rFonts w:ascii="Arial" w:hAnsi="Arial" w:cs="Arial"/>
          <w:sz w:val="24"/>
          <w:szCs w:val="24"/>
        </w:rPr>
        <w:lastRenderedPageBreak/>
        <w:t>different by judge because she was no longer had the symptoms of disease and she voluntary drink.</w:t>
      </w:r>
    </w:p>
    <w:p w14:paraId="59097D0D" w14:textId="55F42C5B" w:rsidR="00D3728F" w:rsidRPr="00633219" w:rsidRDefault="00761090" w:rsidP="009B41B8">
      <w:pPr>
        <w:spacing w:line="360" w:lineRule="auto"/>
        <w:rPr>
          <w:rFonts w:ascii="Arial" w:hAnsi="Arial" w:cs="Arial"/>
          <w:sz w:val="24"/>
          <w:szCs w:val="24"/>
        </w:rPr>
      </w:pPr>
      <w:r>
        <w:rPr>
          <w:rFonts w:ascii="Arial" w:hAnsi="Arial" w:cs="Arial"/>
          <w:sz w:val="24"/>
          <w:szCs w:val="24"/>
        </w:rPr>
        <w:t xml:space="preserve"> </w:t>
      </w:r>
    </w:p>
    <w:p w14:paraId="40154F85" w14:textId="0C9878FC" w:rsidR="00C36383" w:rsidRPr="00C36383" w:rsidRDefault="00C36383" w:rsidP="009B41B8">
      <w:pPr>
        <w:spacing w:line="360" w:lineRule="auto"/>
      </w:pPr>
    </w:p>
    <w:p w14:paraId="506622F4" w14:textId="7957C873" w:rsidR="00C36383" w:rsidRPr="00C36383" w:rsidRDefault="00C36383" w:rsidP="00C36383"/>
    <w:p w14:paraId="37B1CD81" w14:textId="3B258CBB" w:rsidR="00C36383" w:rsidRPr="00C36383" w:rsidRDefault="00C36383" w:rsidP="00C36383"/>
    <w:p w14:paraId="2A94A49F" w14:textId="237C3491" w:rsidR="00C36383" w:rsidRDefault="00C36383" w:rsidP="00C36383"/>
    <w:p w14:paraId="7D7EFC44" w14:textId="47AB8AA4" w:rsidR="00C36383" w:rsidRPr="00D66AD6" w:rsidRDefault="00C36383" w:rsidP="00D66AD6">
      <w:pPr>
        <w:rPr>
          <w:rFonts w:ascii="Arial" w:hAnsi="Arial" w:cs="Arial"/>
          <w:sz w:val="24"/>
          <w:szCs w:val="24"/>
        </w:rPr>
      </w:pPr>
      <w:r w:rsidRPr="00D66AD6">
        <w:rPr>
          <w:rFonts w:ascii="Arial" w:hAnsi="Arial" w:cs="Arial"/>
          <w:sz w:val="24"/>
          <w:szCs w:val="24"/>
        </w:rPr>
        <w:t>References:</w:t>
      </w:r>
    </w:p>
    <w:p w14:paraId="1AF295B7" w14:textId="1806DBF4" w:rsidR="00C36383" w:rsidRPr="00D66AD6" w:rsidRDefault="00C36383" w:rsidP="00D66AD6">
      <w:pPr>
        <w:pStyle w:val="ListParagraph"/>
        <w:numPr>
          <w:ilvl w:val="0"/>
          <w:numId w:val="3"/>
        </w:numPr>
        <w:rPr>
          <w:rFonts w:ascii="Arial" w:hAnsi="Arial" w:cs="Arial"/>
          <w:sz w:val="24"/>
          <w:szCs w:val="24"/>
        </w:rPr>
      </w:pPr>
      <w:r w:rsidRPr="00D66AD6">
        <w:rPr>
          <w:rFonts w:ascii="Arial" w:hAnsi="Arial" w:cs="Arial"/>
          <w:i/>
          <w:iCs/>
          <w:sz w:val="24"/>
          <w:szCs w:val="24"/>
        </w:rPr>
        <w:t>Theft Act 1968</w:t>
      </w:r>
      <w:r w:rsidRPr="00D66AD6">
        <w:rPr>
          <w:rFonts w:ascii="Arial" w:hAnsi="Arial" w:cs="Arial"/>
          <w:sz w:val="24"/>
          <w:szCs w:val="24"/>
        </w:rPr>
        <w:t xml:space="preserve">. Available at: </w:t>
      </w:r>
      <w:hyperlink r:id="rId7" w:history="1">
        <w:r w:rsidRPr="00D66AD6">
          <w:rPr>
            <w:rStyle w:val="Hyperlink"/>
            <w:rFonts w:ascii="Arial" w:hAnsi="Arial" w:cs="Arial"/>
            <w:sz w:val="24"/>
            <w:szCs w:val="24"/>
          </w:rPr>
          <w:t>https://www.legislation.gov.uk/ukpga/1968/60/section/9</w:t>
        </w:r>
      </w:hyperlink>
      <w:r w:rsidRPr="00D66AD6">
        <w:rPr>
          <w:rFonts w:ascii="Arial" w:hAnsi="Arial" w:cs="Arial"/>
          <w:sz w:val="24"/>
          <w:szCs w:val="24"/>
        </w:rPr>
        <w:t xml:space="preserve">. (Accessed 31 </w:t>
      </w:r>
      <w:r w:rsidR="00BA0C18">
        <w:rPr>
          <w:rFonts w:ascii="Arial" w:hAnsi="Arial" w:cs="Arial"/>
          <w:sz w:val="24"/>
          <w:szCs w:val="24"/>
        </w:rPr>
        <w:t>December</w:t>
      </w:r>
      <w:r w:rsidRPr="00D66AD6">
        <w:rPr>
          <w:rFonts w:ascii="Arial" w:hAnsi="Arial" w:cs="Arial"/>
          <w:sz w:val="24"/>
          <w:szCs w:val="24"/>
        </w:rPr>
        <w:t xml:space="preserve"> 2022).</w:t>
      </w:r>
    </w:p>
    <w:p w14:paraId="5436176A" w14:textId="720B0DA8" w:rsidR="00D66AD6" w:rsidRDefault="00D66AD6" w:rsidP="00D66AD6">
      <w:pPr>
        <w:pStyle w:val="ListParagraph"/>
        <w:numPr>
          <w:ilvl w:val="0"/>
          <w:numId w:val="3"/>
        </w:numPr>
        <w:rPr>
          <w:rFonts w:ascii="Arial" w:hAnsi="Arial" w:cs="Arial"/>
          <w:sz w:val="24"/>
          <w:szCs w:val="24"/>
        </w:rPr>
      </w:pPr>
      <w:r w:rsidRPr="00D66AD6">
        <w:rPr>
          <w:rFonts w:ascii="Arial" w:hAnsi="Arial" w:cs="Arial"/>
          <w:sz w:val="24"/>
          <w:szCs w:val="24"/>
        </w:rPr>
        <w:t xml:space="preserve">R V </w:t>
      </w:r>
      <w:r w:rsidR="00CA0C2A" w:rsidRPr="00D66AD6">
        <w:rPr>
          <w:rFonts w:ascii="Arial" w:hAnsi="Arial" w:cs="Arial"/>
          <w:sz w:val="24"/>
          <w:szCs w:val="24"/>
        </w:rPr>
        <w:t>R</w:t>
      </w:r>
      <w:r w:rsidR="00CA0C2A">
        <w:rPr>
          <w:rFonts w:ascii="Arial" w:hAnsi="Arial" w:cs="Arial"/>
          <w:sz w:val="24"/>
          <w:szCs w:val="24"/>
        </w:rPr>
        <w:t>yan</w:t>
      </w:r>
      <w:r w:rsidR="00CA0C2A" w:rsidRPr="00D66AD6">
        <w:rPr>
          <w:rFonts w:ascii="Arial" w:hAnsi="Arial" w:cs="Arial"/>
          <w:sz w:val="24"/>
          <w:szCs w:val="24"/>
        </w:rPr>
        <w:t xml:space="preserve"> [</w:t>
      </w:r>
      <w:r w:rsidRPr="00D66AD6">
        <w:rPr>
          <w:rFonts w:ascii="Arial" w:hAnsi="Arial" w:cs="Arial"/>
          <w:sz w:val="24"/>
          <w:szCs w:val="24"/>
        </w:rPr>
        <w:t>1996] CRIM LR 320.</w:t>
      </w:r>
    </w:p>
    <w:p w14:paraId="40005C41" w14:textId="77777777" w:rsidR="001A3773" w:rsidRDefault="00CA0C2A" w:rsidP="00D66AD6">
      <w:pPr>
        <w:pStyle w:val="ListParagraph"/>
        <w:numPr>
          <w:ilvl w:val="0"/>
          <w:numId w:val="3"/>
        </w:numPr>
        <w:rPr>
          <w:rFonts w:ascii="Arial" w:hAnsi="Arial" w:cs="Arial"/>
          <w:sz w:val="24"/>
          <w:szCs w:val="24"/>
        </w:rPr>
      </w:pPr>
      <w:r w:rsidRPr="00CA0C2A">
        <w:rPr>
          <w:rFonts w:ascii="Arial" w:hAnsi="Arial" w:cs="Arial"/>
          <w:sz w:val="24"/>
          <w:szCs w:val="24"/>
        </w:rPr>
        <w:t>R V J</w:t>
      </w:r>
      <w:r>
        <w:rPr>
          <w:rFonts w:ascii="Arial" w:hAnsi="Arial" w:cs="Arial"/>
          <w:sz w:val="24"/>
          <w:szCs w:val="24"/>
        </w:rPr>
        <w:t>ones</w:t>
      </w:r>
      <w:r w:rsidRPr="00CA0C2A">
        <w:rPr>
          <w:rFonts w:ascii="Arial" w:hAnsi="Arial" w:cs="Arial"/>
          <w:sz w:val="24"/>
          <w:szCs w:val="24"/>
        </w:rPr>
        <w:t xml:space="preserve"> &amp; S</w:t>
      </w:r>
      <w:r>
        <w:rPr>
          <w:rFonts w:ascii="Arial" w:hAnsi="Arial" w:cs="Arial"/>
          <w:sz w:val="24"/>
          <w:szCs w:val="24"/>
        </w:rPr>
        <w:t>mith</w:t>
      </w:r>
      <w:r w:rsidRPr="00CA0C2A">
        <w:rPr>
          <w:rFonts w:ascii="Arial" w:hAnsi="Arial" w:cs="Arial"/>
          <w:sz w:val="24"/>
          <w:szCs w:val="24"/>
        </w:rPr>
        <w:t xml:space="preserve"> [1976] 1 WLR 672</w:t>
      </w:r>
      <w:r>
        <w:rPr>
          <w:rFonts w:ascii="Arial" w:hAnsi="Arial" w:cs="Arial"/>
          <w:sz w:val="24"/>
          <w:szCs w:val="24"/>
        </w:rPr>
        <w:t>.</w:t>
      </w:r>
    </w:p>
    <w:p w14:paraId="693DBCE5" w14:textId="17731661" w:rsidR="00C36383" w:rsidRDefault="001A3773" w:rsidP="00D66AD6">
      <w:pPr>
        <w:pStyle w:val="ListParagraph"/>
        <w:numPr>
          <w:ilvl w:val="0"/>
          <w:numId w:val="3"/>
        </w:numPr>
        <w:rPr>
          <w:rFonts w:ascii="Arial" w:hAnsi="Arial" w:cs="Arial"/>
          <w:sz w:val="24"/>
          <w:szCs w:val="24"/>
        </w:rPr>
      </w:pPr>
      <w:bookmarkStart w:id="1" w:name="_Hlk123588065"/>
      <w:r w:rsidRPr="001A3773">
        <w:rPr>
          <w:rFonts w:ascii="Arial" w:hAnsi="Arial" w:cs="Arial"/>
          <w:sz w:val="24"/>
          <w:szCs w:val="24"/>
        </w:rPr>
        <w:t xml:space="preserve">Stevens v Gourley (1859) </w:t>
      </w:r>
      <w:bookmarkEnd w:id="1"/>
      <w:r w:rsidRPr="001A3773">
        <w:rPr>
          <w:rFonts w:ascii="Arial" w:hAnsi="Arial" w:cs="Arial"/>
          <w:sz w:val="24"/>
          <w:szCs w:val="24"/>
        </w:rPr>
        <w:t>7 CBNS 99.</w:t>
      </w:r>
    </w:p>
    <w:p w14:paraId="352E43A2" w14:textId="4A7F949F" w:rsidR="00BA0C18" w:rsidRDefault="00BA0C18" w:rsidP="00D66AD6">
      <w:pPr>
        <w:pStyle w:val="ListParagraph"/>
        <w:numPr>
          <w:ilvl w:val="0"/>
          <w:numId w:val="3"/>
        </w:numPr>
        <w:rPr>
          <w:rFonts w:ascii="Arial" w:hAnsi="Arial" w:cs="Arial"/>
          <w:sz w:val="24"/>
          <w:szCs w:val="24"/>
        </w:rPr>
      </w:pPr>
      <w:r w:rsidRPr="00BA0C18">
        <w:rPr>
          <w:rFonts w:ascii="Arial" w:hAnsi="Arial" w:cs="Arial"/>
          <w:sz w:val="24"/>
          <w:szCs w:val="24"/>
        </w:rPr>
        <w:t>Theft Act Offences</w:t>
      </w:r>
      <w:r>
        <w:rPr>
          <w:rFonts w:ascii="Arial" w:hAnsi="Arial" w:cs="Arial"/>
          <w:sz w:val="24"/>
          <w:szCs w:val="24"/>
        </w:rPr>
        <w:t xml:space="preserve">. (2022). Available at: </w:t>
      </w:r>
      <w:hyperlink r:id="rId8" w:history="1">
        <w:r w:rsidRPr="00FE38C7">
          <w:rPr>
            <w:rStyle w:val="Hyperlink"/>
            <w:rFonts w:ascii="Arial" w:hAnsi="Arial" w:cs="Arial"/>
            <w:sz w:val="24"/>
            <w:szCs w:val="24"/>
          </w:rPr>
          <w:t>https://www.cps.gov.uk/legal-guidance/theft-act-offences</w:t>
        </w:r>
      </w:hyperlink>
      <w:r>
        <w:rPr>
          <w:rFonts w:ascii="Arial" w:hAnsi="Arial" w:cs="Arial"/>
          <w:sz w:val="24"/>
          <w:szCs w:val="24"/>
        </w:rPr>
        <w:t>. (Accessed 31December 2022).</w:t>
      </w:r>
    </w:p>
    <w:p w14:paraId="1B757E32" w14:textId="11968EAF" w:rsidR="00BA0C18" w:rsidRPr="006C62C4" w:rsidRDefault="001E3D13" w:rsidP="00D66AD6">
      <w:pPr>
        <w:pStyle w:val="ListParagraph"/>
        <w:numPr>
          <w:ilvl w:val="0"/>
          <w:numId w:val="3"/>
        </w:numPr>
        <w:rPr>
          <w:rFonts w:ascii="Arial" w:hAnsi="Arial" w:cs="Arial"/>
          <w:i/>
          <w:iCs/>
          <w:sz w:val="24"/>
          <w:szCs w:val="24"/>
        </w:rPr>
      </w:pPr>
      <w:r w:rsidRPr="001E3D13">
        <w:rPr>
          <w:rFonts w:ascii="Arial" w:hAnsi="Arial" w:cs="Arial"/>
          <w:i/>
          <w:iCs/>
          <w:sz w:val="24"/>
          <w:szCs w:val="24"/>
        </w:rPr>
        <w:t>Criminal Damage Act 1971</w:t>
      </w:r>
      <w:r>
        <w:rPr>
          <w:rFonts w:ascii="Arial" w:hAnsi="Arial" w:cs="Arial"/>
          <w:sz w:val="24"/>
          <w:szCs w:val="24"/>
        </w:rPr>
        <w:t>. Available at</w:t>
      </w:r>
      <w:r w:rsidR="006C62C4">
        <w:rPr>
          <w:rFonts w:ascii="Arial" w:hAnsi="Arial" w:cs="Arial"/>
          <w:sz w:val="24"/>
          <w:szCs w:val="24"/>
        </w:rPr>
        <w:t xml:space="preserve">: </w:t>
      </w:r>
      <w:hyperlink r:id="rId9" w:history="1">
        <w:r w:rsidR="006C62C4" w:rsidRPr="00FE38C7">
          <w:rPr>
            <w:rStyle w:val="Hyperlink"/>
            <w:rFonts w:ascii="Arial" w:hAnsi="Arial" w:cs="Arial"/>
            <w:sz w:val="24"/>
            <w:szCs w:val="24"/>
          </w:rPr>
          <w:t>https://www.legislation.gov.uk/ukpga/1971/48/section/1</w:t>
        </w:r>
      </w:hyperlink>
      <w:r w:rsidR="006C62C4">
        <w:rPr>
          <w:rFonts w:ascii="Arial" w:hAnsi="Arial" w:cs="Arial"/>
          <w:sz w:val="24"/>
          <w:szCs w:val="24"/>
        </w:rPr>
        <w:t>. (Accessed 31 December 2022).</w:t>
      </w:r>
    </w:p>
    <w:p w14:paraId="57EC91F6" w14:textId="55A6A917" w:rsidR="006C62C4" w:rsidRDefault="00492165" w:rsidP="00D66AD6">
      <w:pPr>
        <w:pStyle w:val="ListParagraph"/>
        <w:numPr>
          <w:ilvl w:val="0"/>
          <w:numId w:val="3"/>
        </w:numPr>
        <w:rPr>
          <w:rFonts w:ascii="Arial" w:hAnsi="Arial" w:cs="Arial"/>
          <w:i/>
          <w:iCs/>
          <w:sz w:val="24"/>
          <w:szCs w:val="24"/>
        </w:rPr>
      </w:pPr>
      <w:r w:rsidRPr="00492165">
        <w:rPr>
          <w:rFonts w:ascii="Arial" w:hAnsi="Arial" w:cs="Arial"/>
          <w:i/>
          <w:iCs/>
          <w:sz w:val="24"/>
          <w:szCs w:val="24"/>
        </w:rPr>
        <w:t>Cox v Riley [1986] Crim LR 460</w:t>
      </w:r>
      <w:r w:rsidR="00395066">
        <w:rPr>
          <w:rFonts w:ascii="Arial" w:hAnsi="Arial" w:cs="Arial"/>
          <w:i/>
          <w:iCs/>
          <w:sz w:val="24"/>
          <w:szCs w:val="24"/>
        </w:rPr>
        <w:t>.</w:t>
      </w:r>
    </w:p>
    <w:p w14:paraId="373F7879" w14:textId="7B6DD937" w:rsidR="00395066" w:rsidRDefault="00395066" w:rsidP="00395066">
      <w:pPr>
        <w:pStyle w:val="ListParagraph"/>
        <w:numPr>
          <w:ilvl w:val="0"/>
          <w:numId w:val="3"/>
        </w:numPr>
        <w:rPr>
          <w:rFonts w:ascii="Arial" w:hAnsi="Arial" w:cs="Arial"/>
          <w:i/>
          <w:iCs/>
          <w:sz w:val="24"/>
          <w:szCs w:val="24"/>
        </w:rPr>
      </w:pPr>
      <w:r w:rsidRPr="00395066">
        <w:rPr>
          <w:rFonts w:ascii="Arial" w:hAnsi="Arial" w:cs="Arial"/>
          <w:i/>
          <w:iCs/>
          <w:sz w:val="24"/>
          <w:szCs w:val="24"/>
        </w:rPr>
        <w:t>R v Miller [1983] 2 AC 161, [1983] Crim LR 466</w:t>
      </w:r>
      <w:r>
        <w:rPr>
          <w:rFonts w:ascii="Arial" w:hAnsi="Arial" w:cs="Arial"/>
          <w:i/>
          <w:iCs/>
          <w:sz w:val="24"/>
          <w:szCs w:val="24"/>
        </w:rPr>
        <w:t>.</w:t>
      </w:r>
    </w:p>
    <w:p w14:paraId="773E5070" w14:textId="2180945E" w:rsidR="009B41B8" w:rsidRDefault="000B63C8" w:rsidP="00395066">
      <w:pPr>
        <w:pStyle w:val="ListParagraph"/>
        <w:numPr>
          <w:ilvl w:val="0"/>
          <w:numId w:val="3"/>
        </w:numPr>
        <w:rPr>
          <w:rFonts w:ascii="Arial" w:hAnsi="Arial" w:cs="Arial"/>
          <w:i/>
          <w:iCs/>
          <w:sz w:val="24"/>
          <w:szCs w:val="24"/>
        </w:rPr>
      </w:pPr>
      <w:r w:rsidRPr="000B63C8">
        <w:rPr>
          <w:rFonts w:ascii="Arial" w:hAnsi="Arial" w:cs="Arial"/>
          <w:sz w:val="24"/>
          <w:szCs w:val="24"/>
        </w:rPr>
        <w:t>Offences against the Person Act 1861</w:t>
      </w:r>
      <w:r>
        <w:rPr>
          <w:rFonts w:ascii="Arial" w:hAnsi="Arial" w:cs="Arial"/>
          <w:sz w:val="24"/>
          <w:szCs w:val="24"/>
        </w:rPr>
        <w:t xml:space="preserve">. </w:t>
      </w:r>
      <w:r w:rsidRPr="000B63C8">
        <w:rPr>
          <w:rFonts w:ascii="Arial" w:hAnsi="Arial" w:cs="Arial"/>
          <w:sz w:val="24"/>
          <w:szCs w:val="24"/>
        </w:rPr>
        <w:t>Available at</w:t>
      </w:r>
      <w:r>
        <w:rPr>
          <w:rFonts w:ascii="Arial" w:hAnsi="Arial" w:cs="Arial"/>
          <w:i/>
          <w:iCs/>
          <w:sz w:val="24"/>
          <w:szCs w:val="24"/>
        </w:rPr>
        <w:t>:</w:t>
      </w:r>
      <w:r w:rsidRPr="000B63C8">
        <w:t xml:space="preserve"> </w:t>
      </w:r>
      <w:hyperlink r:id="rId10" w:history="1">
        <w:r w:rsidRPr="00FE38C7">
          <w:rPr>
            <w:rStyle w:val="Hyperlink"/>
            <w:rFonts w:ascii="Arial" w:hAnsi="Arial" w:cs="Arial"/>
            <w:i/>
            <w:iCs/>
            <w:sz w:val="24"/>
            <w:szCs w:val="24"/>
          </w:rPr>
          <w:t>https://www.legislation.gov.uk/ukpga/Vict/24-25/100/section/47</w:t>
        </w:r>
      </w:hyperlink>
      <w:r>
        <w:rPr>
          <w:rFonts w:ascii="Arial" w:hAnsi="Arial" w:cs="Arial"/>
          <w:i/>
          <w:iCs/>
          <w:sz w:val="24"/>
          <w:szCs w:val="24"/>
        </w:rPr>
        <w:t>.</w:t>
      </w:r>
    </w:p>
    <w:p w14:paraId="5CC896C4" w14:textId="2658D4CF" w:rsidR="009B41B8" w:rsidRDefault="009B41B8" w:rsidP="00395066">
      <w:pPr>
        <w:pStyle w:val="ListParagraph"/>
        <w:numPr>
          <w:ilvl w:val="0"/>
          <w:numId w:val="3"/>
        </w:numPr>
        <w:rPr>
          <w:rFonts w:ascii="Arial" w:hAnsi="Arial" w:cs="Arial"/>
          <w:i/>
          <w:iCs/>
          <w:sz w:val="24"/>
          <w:szCs w:val="24"/>
        </w:rPr>
      </w:pPr>
      <w:r w:rsidRPr="009B41B8">
        <w:rPr>
          <w:rFonts w:ascii="Arial" w:hAnsi="Arial" w:cs="Arial"/>
          <w:i/>
          <w:iCs/>
          <w:sz w:val="24"/>
          <w:szCs w:val="24"/>
        </w:rPr>
        <w:t>DPP v Majewski [1977] AC 443</w:t>
      </w:r>
      <w:r>
        <w:rPr>
          <w:rFonts w:ascii="Arial" w:hAnsi="Arial" w:cs="Arial"/>
          <w:i/>
          <w:iCs/>
          <w:sz w:val="24"/>
          <w:szCs w:val="24"/>
        </w:rPr>
        <w:t>.</w:t>
      </w:r>
    </w:p>
    <w:p w14:paraId="38E8D314" w14:textId="4EE5A816" w:rsidR="009B41B8" w:rsidRPr="007C6C83" w:rsidRDefault="009B41B8" w:rsidP="00395066">
      <w:pPr>
        <w:pStyle w:val="ListParagraph"/>
        <w:numPr>
          <w:ilvl w:val="0"/>
          <w:numId w:val="3"/>
        </w:numPr>
        <w:rPr>
          <w:rFonts w:ascii="Arial" w:hAnsi="Arial" w:cs="Arial"/>
          <w:i/>
          <w:iCs/>
          <w:sz w:val="24"/>
          <w:szCs w:val="24"/>
        </w:rPr>
      </w:pPr>
      <w:r w:rsidRPr="009B41B8">
        <w:rPr>
          <w:rFonts w:ascii="Arial" w:hAnsi="Arial" w:cs="Arial"/>
          <w:i/>
          <w:iCs/>
          <w:sz w:val="24"/>
          <w:szCs w:val="24"/>
        </w:rPr>
        <w:t>Intoxication</w:t>
      </w:r>
      <w:r>
        <w:rPr>
          <w:rFonts w:ascii="Arial" w:hAnsi="Arial" w:cs="Arial"/>
          <w:sz w:val="24"/>
          <w:szCs w:val="24"/>
        </w:rPr>
        <w:t xml:space="preserve">. (2022). Available at: </w:t>
      </w:r>
      <w:hyperlink r:id="rId11" w:history="1">
        <w:r w:rsidRPr="00FE38C7">
          <w:rPr>
            <w:rStyle w:val="Hyperlink"/>
            <w:rFonts w:ascii="Arial" w:hAnsi="Arial" w:cs="Arial"/>
            <w:sz w:val="24"/>
            <w:szCs w:val="24"/>
          </w:rPr>
          <w:t>https://www.cps.gov.uk/legal-guidance/intoxication</w:t>
        </w:r>
      </w:hyperlink>
      <w:r>
        <w:rPr>
          <w:rFonts w:ascii="Arial" w:hAnsi="Arial" w:cs="Arial"/>
          <w:sz w:val="24"/>
          <w:szCs w:val="24"/>
        </w:rPr>
        <w:t xml:space="preserve">. (Accessed </w:t>
      </w:r>
      <w:r w:rsidR="00200C44">
        <w:rPr>
          <w:rFonts w:ascii="Arial" w:hAnsi="Arial" w:cs="Arial"/>
          <w:sz w:val="24"/>
          <w:szCs w:val="24"/>
        </w:rPr>
        <w:t>01 January 2023).</w:t>
      </w:r>
    </w:p>
    <w:p w14:paraId="5B6E2357" w14:textId="37C813CA" w:rsidR="007C6C83" w:rsidRDefault="007C6C83" w:rsidP="00395066">
      <w:pPr>
        <w:pStyle w:val="ListParagraph"/>
        <w:numPr>
          <w:ilvl w:val="0"/>
          <w:numId w:val="3"/>
        </w:numPr>
        <w:rPr>
          <w:rFonts w:ascii="Arial" w:hAnsi="Arial" w:cs="Arial"/>
          <w:i/>
          <w:iCs/>
          <w:sz w:val="24"/>
          <w:szCs w:val="24"/>
        </w:rPr>
      </w:pPr>
      <w:r w:rsidRPr="007C6C83">
        <w:rPr>
          <w:rFonts w:ascii="Arial" w:hAnsi="Arial" w:cs="Arial"/>
          <w:i/>
          <w:iCs/>
          <w:sz w:val="24"/>
          <w:szCs w:val="24"/>
        </w:rPr>
        <w:t>R v Sullivan [1984] AC 156</w:t>
      </w:r>
      <w:r>
        <w:rPr>
          <w:rFonts w:ascii="Arial" w:hAnsi="Arial" w:cs="Arial"/>
          <w:i/>
          <w:iCs/>
          <w:sz w:val="24"/>
          <w:szCs w:val="24"/>
        </w:rPr>
        <w:t>.</w:t>
      </w:r>
    </w:p>
    <w:p w14:paraId="11AC05ED" w14:textId="77777777" w:rsidR="007C6C83" w:rsidRPr="00577DEE" w:rsidRDefault="007C6C83" w:rsidP="00577DEE">
      <w:pPr>
        <w:ind w:left="360"/>
        <w:rPr>
          <w:rFonts w:ascii="Arial" w:hAnsi="Arial" w:cs="Arial"/>
          <w:i/>
          <w:iCs/>
          <w:sz w:val="24"/>
          <w:szCs w:val="24"/>
        </w:rPr>
      </w:pPr>
    </w:p>
    <w:p w14:paraId="316597E2" w14:textId="77777777" w:rsidR="009B41B8" w:rsidRDefault="009B41B8" w:rsidP="009B41B8">
      <w:pPr>
        <w:pStyle w:val="ListParagraph"/>
        <w:rPr>
          <w:rFonts w:ascii="Arial" w:hAnsi="Arial" w:cs="Arial"/>
          <w:sz w:val="24"/>
          <w:szCs w:val="24"/>
        </w:rPr>
      </w:pPr>
    </w:p>
    <w:p w14:paraId="403303D3" w14:textId="2CA0D705" w:rsidR="0030762B" w:rsidRPr="00395066" w:rsidRDefault="000B63C8" w:rsidP="009B41B8">
      <w:pPr>
        <w:pStyle w:val="ListParagraph"/>
        <w:rPr>
          <w:rFonts w:ascii="Arial" w:hAnsi="Arial" w:cs="Arial"/>
          <w:i/>
          <w:iCs/>
          <w:sz w:val="24"/>
          <w:szCs w:val="24"/>
        </w:rPr>
      </w:pPr>
      <w:r>
        <w:rPr>
          <w:rFonts w:ascii="Arial" w:hAnsi="Arial" w:cs="Arial"/>
          <w:i/>
          <w:iCs/>
          <w:sz w:val="24"/>
          <w:szCs w:val="24"/>
        </w:rPr>
        <w:t xml:space="preserve"> </w:t>
      </w:r>
    </w:p>
    <w:p w14:paraId="04C6262D" w14:textId="77777777" w:rsidR="001A3773" w:rsidRPr="00C36383" w:rsidRDefault="001A3773" w:rsidP="00D66AD6">
      <w:pPr>
        <w:rPr>
          <w:rFonts w:ascii="Arial" w:hAnsi="Arial" w:cs="Arial"/>
          <w:sz w:val="24"/>
          <w:szCs w:val="24"/>
        </w:rPr>
      </w:pPr>
    </w:p>
    <w:sectPr w:rsidR="001A3773" w:rsidRPr="00C363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9583B" w14:textId="77777777" w:rsidR="00EA1C32" w:rsidRDefault="00EA1C32" w:rsidP="0030762B">
      <w:pPr>
        <w:spacing w:after="0" w:line="240" w:lineRule="auto"/>
      </w:pPr>
      <w:r>
        <w:separator/>
      </w:r>
    </w:p>
  </w:endnote>
  <w:endnote w:type="continuationSeparator" w:id="0">
    <w:p w14:paraId="6E8ABE56" w14:textId="77777777" w:rsidR="00EA1C32" w:rsidRDefault="00EA1C32" w:rsidP="00307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05772" w14:textId="77777777" w:rsidR="00EA1C32" w:rsidRDefault="00EA1C32" w:rsidP="0030762B">
      <w:pPr>
        <w:spacing w:after="0" w:line="240" w:lineRule="auto"/>
      </w:pPr>
      <w:r>
        <w:separator/>
      </w:r>
    </w:p>
  </w:footnote>
  <w:footnote w:type="continuationSeparator" w:id="0">
    <w:p w14:paraId="4229797E" w14:textId="77777777" w:rsidR="00EA1C32" w:rsidRDefault="00EA1C32" w:rsidP="003076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66943"/>
    <w:multiLevelType w:val="hybridMultilevel"/>
    <w:tmpl w:val="16783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670219"/>
    <w:multiLevelType w:val="hybridMultilevel"/>
    <w:tmpl w:val="56C2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732F42"/>
    <w:multiLevelType w:val="hybridMultilevel"/>
    <w:tmpl w:val="82CC3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3976407">
    <w:abstractNumId w:val="1"/>
  </w:num>
  <w:num w:numId="2" w16cid:durableId="1768960576">
    <w:abstractNumId w:val="2"/>
  </w:num>
  <w:num w:numId="3" w16cid:durableId="1736120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487"/>
    <w:rsid w:val="000629BB"/>
    <w:rsid w:val="000B63C8"/>
    <w:rsid w:val="000F02ED"/>
    <w:rsid w:val="000F3487"/>
    <w:rsid w:val="001606D7"/>
    <w:rsid w:val="001A3773"/>
    <w:rsid w:val="001E3D13"/>
    <w:rsid w:val="001F6986"/>
    <w:rsid w:val="00200C44"/>
    <w:rsid w:val="00204C4D"/>
    <w:rsid w:val="00236D88"/>
    <w:rsid w:val="00261946"/>
    <w:rsid w:val="00271515"/>
    <w:rsid w:val="00302153"/>
    <w:rsid w:val="0030762B"/>
    <w:rsid w:val="00343238"/>
    <w:rsid w:val="00395066"/>
    <w:rsid w:val="00397827"/>
    <w:rsid w:val="003A6790"/>
    <w:rsid w:val="003C04CD"/>
    <w:rsid w:val="004233EB"/>
    <w:rsid w:val="00431928"/>
    <w:rsid w:val="00492165"/>
    <w:rsid w:val="004A0BC0"/>
    <w:rsid w:val="004E009D"/>
    <w:rsid w:val="00537FCE"/>
    <w:rsid w:val="00577DEE"/>
    <w:rsid w:val="005A547F"/>
    <w:rsid w:val="00633219"/>
    <w:rsid w:val="006803CD"/>
    <w:rsid w:val="0068224F"/>
    <w:rsid w:val="006C62C4"/>
    <w:rsid w:val="00727F10"/>
    <w:rsid w:val="00761090"/>
    <w:rsid w:val="007C6C83"/>
    <w:rsid w:val="00834D1F"/>
    <w:rsid w:val="009875E1"/>
    <w:rsid w:val="009A115D"/>
    <w:rsid w:val="009B41B8"/>
    <w:rsid w:val="00A03D44"/>
    <w:rsid w:val="00A03FFE"/>
    <w:rsid w:val="00A93926"/>
    <w:rsid w:val="00AD5E5B"/>
    <w:rsid w:val="00AE7A7F"/>
    <w:rsid w:val="00B667CB"/>
    <w:rsid w:val="00BA0C18"/>
    <w:rsid w:val="00BD2851"/>
    <w:rsid w:val="00BD7D7B"/>
    <w:rsid w:val="00C36383"/>
    <w:rsid w:val="00C74057"/>
    <w:rsid w:val="00CA0C2A"/>
    <w:rsid w:val="00CC2883"/>
    <w:rsid w:val="00CF6AA8"/>
    <w:rsid w:val="00D3728F"/>
    <w:rsid w:val="00D66AD6"/>
    <w:rsid w:val="00E002BE"/>
    <w:rsid w:val="00E11C2A"/>
    <w:rsid w:val="00EA1C32"/>
    <w:rsid w:val="00F430E6"/>
    <w:rsid w:val="00F46CA3"/>
    <w:rsid w:val="00F612F1"/>
    <w:rsid w:val="00F70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A7AF0"/>
  <w15:chartTrackingRefBased/>
  <w15:docId w15:val="{784E62F0-FAF2-4F1B-9B54-6E7ACF242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04CD"/>
    <w:pPr>
      <w:ind w:left="720"/>
      <w:contextualSpacing/>
    </w:pPr>
  </w:style>
  <w:style w:type="character" w:styleId="Hyperlink">
    <w:name w:val="Hyperlink"/>
    <w:basedOn w:val="DefaultParagraphFont"/>
    <w:uiPriority w:val="99"/>
    <w:unhideWhenUsed/>
    <w:rsid w:val="00C36383"/>
    <w:rPr>
      <w:color w:val="0563C1" w:themeColor="hyperlink"/>
      <w:u w:val="single"/>
    </w:rPr>
  </w:style>
  <w:style w:type="character" w:styleId="UnresolvedMention">
    <w:name w:val="Unresolved Mention"/>
    <w:basedOn w:val="DefaultParagraphFont"/>
    <w:uiPriority w:val="99"/>
    <w:semiHidden/>
    <w:unhideWhenUsed/>
    <w:rsid w:val="00C36383"/>
    <w:rPr>
      <w:color w:val="605E5C"/>
      <w:shd w:val="clear" w:color="auto" w:fill="E1DFDD"/>
    </w:rPr>
  </w:style>
  <w:style w:type="paragraph" w:styleId="Header">
    <w:name w:val="header"/>
    <w:basedOn w:val="Normal"/>
    <w:link w:val="HeaderChar"/>
    <w:uiPriority w:val="99"/>
    <w:unhideWhenUsed/>
    <w:rsid w:val="00307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62B"/>
  </w:style>
  <w:style w:type="paragraph" w:styleId="Footer">
    <w:name w:val="footer"/>
    <w:basedOn w:val="Normal"/>
    <w:link w:val="FooterChar"/>
    <w:uiPriority w:val="99"/>
    <w:unhideWhenUsed/>
    <w:rsid w:val="00307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theft-act-offen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68/60/section/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intoxication" TargetMode="External"/><Relationship Id="rId5" Type="http://schemas.openxmlformats.org/officeDocument/2006/relationships/footnotes" Target="footnotes.xml"/><Relationship Id="rId10" Type="http://schemas.openxmlformats.org/officeDocument/2006/relationships/hyperlink" Target="https://www.legislation.gov.uk/ukpga/Vict/24-25/100/section/47" TargetMode="External"/><Relationship Id="rId4" Type="http://schemas.openxmlformats.org/officeDocument/2006/relationships/webSettings" Target="webSettings.xml"/><Relationship Id="rId9" Type="http://schemas.openxmlformats.org/officeDocument/2006/relationships/hyperlink" Target="https://www.legislation.gov.uk/ukpga/1971/48/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1570</Words>
  <Characters>8951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dc:creator>
  <cp:keywords/>
  <dc:description/>
  <cp:lastModifiedBy>Banafshe</cp:lastModifiedBy>
  <cp:revision>4</cp:revision>
  <dcterms:created xsi:type="dcterms:W3CDTF">2023-01-10T19:41:00Z</dcterms:created>
  <dcterms:modified xsi:type="dcterms:W3CDTF">2023-01-13T18:53:00Z</dcterms:modified>
</cp:coreProperties>
</file>