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82291" w14:textId="56D1C96D" w:rsidR="000822E9" w:rsidRPr="00981B64" w:rsidRDefault="000822E9" w:rsidP="000822E9">
      <w:pPr>
        <w:rPr>
          <w:rFonts w:ascii="Arial" w:hAnsi="Arial" w:cs="Arial"/>
          <w:sz w:val="24"/>
          <w:szCs w:val="24"/>
          <w:u w:val="single"/>
        </w:rPr>
      </w:pPr>
      <w:r w:rsidRPr="00981B64">
        <w:rPr>
          <w:rFonts w:ascii="Arial" w:hAnsi="Arial" w:cs="Arial"/>
          <w:b/>
          <w:bCs/>
          <w:sz w:val="24"/>
          <w:szCs w:val="24"/>
          <w:u w:val="single"/>
        </w:rPr>
        <w:t>Reflecti</w:t>
      </w:r>
      <w:r w:rsidR="00661DCC" w:rsidRPr="00981B64">
        <w:rPr>
          <w:rFonts w:ascii="Arial" w:hAnsi="Arial" w:cs="Arial"/>
          <w:b/>
          <w:bCs/>
          <w:sz w:val="24"/>
          <w:szCs w:val="24"/>
          <w:u w:val="single"/>
        </w:rPr>
        <w:t>on</w:t>
      </w:r>
    </w:p>
    <w:p w14:paraId="3BC28773" w14:textId="09C3766D" w:rsidR="004A3DC3" w:rsidRPr="00981B64" w:rsidRDefault="004A3DC3" w:rsidP="0052136B">
      <w:pPr>
        <w:spacing w:line="360" w:lineRule="auto"/>
        <w:rPr>
          <w:rFonts w:ascii="Arial" w:hAnsi="Arial" w:cs="Arial"/>
          <w:sz w:val="24"/>
          <w:szCs w:val="24"/>
        </w:rPr>
      </w:pPr>
      <w:r w:rsidRPr="00981B64">
        <w:rPr>
          <w:rFonts w:ascii="Arial" w:hAnsi="Arial" w:cs="Arial"/>
          <w:sz w:val="24"/>
          <w:szCs w:val="24"/>
        </w:rPr>
        <w:t>Today I’d like to reflect on my experience of completing the John Muir Award and how it deepened my understanding of sustainability</w:t>
      </w:r>
      <w:r w:rsidR="00A7329B" w:rsidRPr="00981B64">
        <w:rPr>
          <w:rFonts w:ascii="Arial" w:hAnsi="Arial" w:cs="Arial"/>
          <w:sz w:val="24"/>
          <w:szCs w:val="24"/>
        </w:rPr>
        <w:t xml:space="preserve"> </w:t>
      </w:r>
      <w:r w:rsidRPr="00981B64">
        <w:rPr>
          <w:rFonts w:ascii="Arial" w:hAnsi="Arial" w:cs="Arial"/>
          <w:sz w:val="24"/>
          <w:szCs w:val="24"/>
        </w:rPr>
        <w:t>both as a personal value and an educational imperative, especially within early years education. The Award moved me beyond theory into meaningful, hands-on engagement with nature and encouraged me to critically consider how we empower children to participate in shaping a fairer, greener world.</w:t>
      </w:r>
    </w:p>
    <w:p w14:paraId="30D316F4" w14:textId="5CC89558" w:rsidR="004A3DC3" w:rsidRPr="00981B64" w:rsidRDefault="004A3DC3" w:rsidP="0052136B">
      <w:pPr>
        <w:spacing w:line="360" w:lineRule="auto"/>
        <w:rPr>
          <w:rFonts w:ascii="Arial" w:hAnsi="Arial" w:cs="Arial"/>
          <w:sz w:val="24"/>
          <w:szCs w:val="24"/>
        </w:rPr>
      </w:pPr>
      <w:r w:rsidRPr="00981B64">
        <w:rPr>
          <w:rFonts w:ascii="Arial" w:hAnsi="Arial" w:cs="Arial"/>
          <w:sz w:val="24"/>
          <w:szCs w:val="24"/>
        </w:rPr>
        <w:t>The John Muir Award centres around four principles: discover, explore, conserve, and share. My own activities included nature walk</w:t>
      </w:r>
      <w:r w:rsidR="00B56C4C" w:rsidRPr="00981B64">
        <w:rPr>
          <w:rFonts w:ascii="Arial" w:hAnsi="Arial" w:cs="Arial"/>
          <w:sz w:val="24"/>
          <w:szCs w:val="24"/>
        </w:rPr>
        <w:t>s</w:t>
      </w:r>
      <w:r w:rsidRPr="00981B64">
        <w:rPr>
          <w:rFonts w:ascii="Arial" w:hAnsi="Arial" w:cs="Arial"/>
          <w:sz w:val="24"/>
          <w:szCs w:val="24"/>
        </w:rPr>
        <w:t xml:space="preserve"> through my garden, biodiversity mapping, a</w:t>
      </w:r>
      <w:r w:rsidR="00BC615F" w:rsidRPr="00981B64">
        <w:rPr>
          <w:rFonts w:ascii="Arial" w:hAnsi="Arial" w:cs="Arial"/>
          <w:sz w:val="24"/>
          <w:szCs w:val="24"/>
        </w:rPr>
        <w:t xml:space="preserve">dding bird feeders, a bird bath and natural materials to create </w:t>
      </w:r>
      <w:r w:rsidR="00035668" w:rsidRPr="00981B64">
        <w:rPr>
          <w:rFonts w:ascii="Arial" w:hAnsi="Arial" w:cs="Arial"/>
          <w:sz w:val="24"/>
          <w:szCs w:val="24"/>
        </w:rPr>
        <w:t>insect hotels,</w:t>
      </w:r>
      <w:r w:rsidR="00CE08CF" w:rsidRPr="00981B64">
        <w:rPr>
          <w:rFonts w:ascii="Arial" w:hAnsi="Arial" w:cs="Arial"/>
          <w:sz w:val="24"/>
          <w:szCs w:val="24"/>
        </w:rPr>
        <w:t xml:space="preserve"> whilst</w:t>
      </w:r>
      <w:r w:rsidRPr="00981B64">
        <w:rPr>
          <w:rFonts w:ascii="Arial" w:hAnsi="Arial" w:cs="Arial"/>
          <w:sz w:val="24"/>
          <w:szCs w:val="24"/>
        </w:rPr>
        <w:t xml:space="preserve"> reflecting on human impacts on local ecosystems. I also supported Setting Leaders in helping young children engage with local environmental care. These activities gave me a richer understanding of the interconnectedness between environmental, social, and economic wellbeing</w:t>
      </w:r>
      <w:r w:rsidR="00035668" w:rsidRPr="00981B64">
        <w:rPr>
          <w:rFonts w:ascii="Arial" w:hAnsi="Arial" w:cs="Arial"/>
          <w:sz w:val="24"/>
          <w:szCs w:val="24"/>
        </w:rPr>
        <w:t xml:space="preserve">, </w:t>
      </w:r>
      <w:r w:rsidRPr="00981B64">
        <w:rPr>
          <w:rFonts w:ascii="Arial" w:hAnsi="Arial" w:cs="Arial"/>
          <w:sz w:val="24"/>
          <w:szCs w:val="24"/>
        </w:rPr>
        <w:t>a core tenet of Education for Sustainable Development.</w:t>
      </w:r>
    </w:p>
    <w:p w14:paraId="638F5795" w14:textId="74D10485" w:rsidR="00724F49" w:rsidRPr="00981B64" w:rsidRDefault="004A3DC3" w:rsidP="0052136B">
      <w:pPr>
        <w:spacing w:line="360" w:lineRule="auto"/>
        <w:rPr>
          <w:rFonts w:ascii="Arial" w:hAnsi="Arial" w:cs="Arial"/>
          <w:sz w:val="24"/>
          <w:szCs w:val="24"/>
        </w:rPr>
      </w:pPr>
      <w:r w:rsidRPr="00981B64">
        <w:rPr>
          <w:rFonts w:ascii="Arial" w:hAnsi="Arial" w:cs="Arial"/>
          <w:sz w:val="24"/>
          <w:szCs w:val="24"/>
        </w:rPr>
        <w:t>Using my garden as the focus for the Award was a transformative experience. Initially, I questioned whether a space filled with fruit trees, herbs, ponds, and polytunnels could be considered “wild” enough. It felt too structured. But through the Award, my view of wildness shifted. I came to see it not as something confined to remote places but as something that can flourish in human-shaped environments</w:t>
      </w:r>
      <w:r w:rsidR="00640E4E" w:rsidRPr="00981B64">
        <w:rPr>
          <w:rFonts w:ascii="Arial" w:hAnsi="Arial" w:cs="Arial"/>
          <w:sz w:val="24"/>
          <w:szCs w:val="24"/>
        </w:rPr>
        <w:t xml:space="preserve"> </w:t>
      </w:r>
      <w:r w:rsidRPr="00981B64">
        <w:rPr>
          <w:rFonts w:ascii="Arial" w:hAnsi="Arial" w:cs="Arial"/>
          <w:sz w:val="24"/>
          <w:szCs w:val="24"/>
        </w:rPr>
        <w:t>if we allow nature to thrive within them</w:t>
      </w:r>
      <w:r w:rsidR="00724F49" w:rsidRPr="00981B64">
        <w:rPr>
          <w:rFonts w:ascii="Arial" w:hAnsi="Arial" w:cs="Arial"/>
          <w:sz w:val="24"/>
          <w:szCs w:val="24"/>
        </w:rPr>
        <w:t xml:space="preserve">. </w:t>
      </w:r>
    </w:p>
    <w:p w14:paraId="211286D5" w14:textId="27FFDD54" w:rsidR="00534FD3" w:rsidRPr="00981B64" w:rsidRDefault="004A3DC3" w:rsidP="0052136B">
      <w:pPr>
        <w:spacing w:line="360" w:lineRule="auto"/>
        <w:rPr>
          <w:rFonts w:ascii="Arial" w:hAnsi="Arial" w:cs="Arial"/>
          <w:sz w:val="24"/>
          <w:szCs w:val="24"/>
        </w:rPr>
      </w:pPr>
      <w:r w:rsidRPr="00981B64">
        <w:rPr>
          <w:rFonts w:ascii="Arial" w:hAnsi="Arial" w:cs="Arial"/>
          <w:sz w:val="24"/>
          <w:szCs w:val="24"/>
        </w:rPr>
        <w:t xml:space="preserve">This reframing helped me see my garden as a living ecosystem. </w:t>
      </w:r>
      <w:r w:rsidR="00466BB5" w:rsidRPr="00981B64">
        <w:rPr>
          <w:rFonts w:ascii="Arial" w:hAnsi="Arial" w:cs="Arial"/>
          <w:sz w:val="24"/>
          <w:szCs w:val="24"/>
        </w:rPr>
        <w:t xml:space="preserve">I noticed the </w:t>
      </w:r>
      <w:r w:rsidRPr="00981B64">
        <w:rPr>
          <w:rFonts w:ascii="Arial" w:hAnsi="Arial" w:cs="Arial"/>
          <w:sz w:val="24"/>
          <w:szCs w:val="24"/>
        </w:rPr>
        <w:t xml:space="preserve">pond became a home for frogs and aquatic insects. Hedgerows offered vital shelter for birds. Even calendula, planted for </w:t>
      </w:r>
      <w:r w:rsidR="007B5A3A" w:rsidRPr="00981B64">
        <w:rPr>
          <w:rFonts w:ascii="Arial" w:hAnsi="Arial" w:cs="Arial"/>
          <w:sz w:val="24"/>
          <w:szCs w:val="24"/>
        </w:rPr>
        <w:t xml:space="preserve">aesthetic and </w:t>
      </w:r>
      <w:r w:rsidRPr="00981B64">
        <w:rPr>
          <w:rFonts w:ascii="Arial" w:hAnsi="Arial" w:cs="Arial"/>
          <w:sz w:val="24"/>
          <w:szCs w:val="24"/>
        </w:rPr>
        <w:t>kitchen use, proved valuable for pollinators</w:t>
      </w:r>
      <w:r w:rsidR="00991A91" w:rsidRPr="00981B64">
        <w:rPr>
          <w:rFonts w:ascii="Arial" w:hAnsi="Arial" w:cs="Arial"/>
          <w:sz w:val="24"/>
          <w:szCs w:val="24"/>
        </w:rPr>
        <w:t xml:space="preserve">, </w:t>
      </w:r>
      <w:r w:rsidR="00534FD3" w:rsidRPr="00981B64">
        <w:rPr>
          <w:rFonts w:ascii="Arial" w:hAnsi="Arial" w:cs="Arial"/>
          <w:sz w:val="24"/>
          <w:szCs w:val="24"/>
        </w:rPr>
        <w:t xml:space="preserve">I preserved nettles for butterflies, and added bird feeders and a </w:t>
      </w:r>
      <w:r w:rsidR="00C66009" w:rsidRPr="00981B64">
        <w:rPr>
          <w:rFonts w:ascii="Arial" w:hAnsi="Arial" w:cs="Arial"/>
          <w:sz w:val="24"/>
          <w:szCs w:val="24"/>
        </w:rPr>
        <w:t xml:space="preserve">bird </w:t>
      </w:r>
      <w:r w:rsidR="00534FD3" w:rsidRPr="00981B64">
        <w:rPr>
          <w:rFonts w:ascii="Arial" w:hAnsi="Arial" w:cs="Arial"/>
          <w:sz w:val="24"/>
          <w:szCs w:val="24"/>
        </w:rPr>
        <w:t>bath. These small steps led to visible changes, bees nesting in logs, birds returning, moss spreading. Gardening became gentler and more regenerative, aligned with principles of low impact living, composting, and biodiversity.</w:t>
      </w:r>
    </w:p>
    <w:p w14:paraId="08EB8681" w14:textId="6C5A8B51" w:rsidR="00762914" w:rsidRPr="00981B64" w:rsidRDefault="00762914" w:rsidP="0052136B">
      <w:pPr>
        <w:spacing w:line="360" w:lineRule="auto"/>
        <w:rPr>
          <w:rFonts w:ascii="Arial" w:hAnsi="Arial" w:cs="Arial"/>
          <w:sz w:val="24"/>
          <w:szCs w:val="24"/>
        </w:rPr>
      </w:pPr>
      <w:r w:rsidRPr="00981B64">
        <w:rPr>
          <w:rFonts w:ascii="Arial" w:hAnsi="Arial" w:cs="Arial"/>
          <w:sz w:val="24"/>
          <w:szCs w:val="24"/>
        </w:rPr>
        <w:t xml:space="preserve">My productive glasshouses made me think about energy, water, and habitat disruption. I responded by avoiding chemicals, encouraging pollinators, and using </w:t>
      </w:r>
      <w:r w:rsidRPr="00981B64">
        <w:rPr>
          <w:rFonts w:ascii="Arial" w:hAnsi="Arial" w:cs="Arial"/>
          <w:sz w:val="24"/>
          <w:szCs w:val="24"/>
        </w:rPr>
        <w:lastRenderedPageBreak/>
        <w:t>natural pest control. Even bird feeders, while helpful, raised questions about altering wildlife behaviours. I created “low-touch zones” to let nature regulate itself.</w:t>
      </w:r>
    </w:p>
    <w:p w14:paraId="4E93A9FA" w14:textId="1F5BB130" w:rsidR="00762914" w:rsidRPr="00981B64" w:rsidRDefault="00762914" w:rsidP="0052136B">
      <w:pPr>
        <w:spacing w:line="360" w:lineRule="auto"/>
        <w:rPr>
          <w:rFonts w:ascii="Arial" w:hAnsi="Arial" w:cs="Arial"/>
          <w:sz w:val="24"/>
          <w:szCs w:val="24"/>
        </w:rPr>
      </w:pPr>
      <w:r w:rsidRPr="00981B64">
        <w:rPr>
          <w:rFonts w:ascii="Arial" w:hAnsi="Arial" w:cs="Arial"/>
          <w:sz w:val="24"/>
          <w:szCs w:val="24"/>
        </w:rPr>
        <w:t>I also became more aware of biosecurity</w:t>
      </w:r>
      <w:r w:rsidR="003B7113" w:rsidRPr="00981B64">
        <w:rPr>
          <w:rFonts w:ascii="Arial" w:hAnsi="Arial" w:cs="Arial"/>
          <w:sz w:val="24"/>
          <w:szCs w:val="24"/>
        </w:rPr>
        <w:t xml:space="preserve">, </w:t>
      </w:r>
      <w:r w:rsidRPr="00981B64">
        <w:rPr>
          <w:rFonts w:ascii="Arial" w:hAnsi="Arial" w:cs="Arial"/>
          <w:sz w:val="24"/>
          <w:szCs w:val="24"/>
        </w:rPr>
        <w:t>cleaning tools, sourcing plants locally, monitoring pond health. These quiet actions are crucial to protecting ecosystems. My sense of beauty changed too. I came to value nettles, brambles, and thistles for their ecological roles. What once seemed “messy” became a sign of life.</w:t>
      </w:r>
    </w:p>
    <w:p w14:paraId="613FE028" w14:textId="108AAEE3" w:rsidR="00265100" w:rsidRPr="00981B64" w:rsidRDefault="00265100" w:rsidP="0052136B">
      <w:pPr>
        <w:spacing w:line="360" w:lineRule="auto"/>
        <w:rPr>
          <w:rFonts w:ascii="Arial" w:hAnsi="Arial" w:cs="Arial"/>
          <w:sz w:val="24"/>
          <w:szCs w:val="24"/>
        </w:rPr>
      </w:pPr>
      <w:r w:rsidRPr="00981B64">
        <w:rPr>
          <w:rFonts w:ascii="Arial" w:hAnsi="Arial" w:cs="Arial"/>
          <w:sz w:val="24"/>
          <w:szCs w:val="24"/>
        </w:rPr>
        <w:t>One of the most impactful aspects of the John Muir Award was its strong alignment with established early years pedagogies. Froebel’s concept of nature as a “living classroom” became particularly evident as I observed how exploration and play within natural spaces nurtured empathy, curiosity, and a sense of connection. Similarly, Montessori’s emphasis on independence through purposeful, real-life tasks</w:t>
      </w:r>
      <w:r w:rsidR="00562FCB" w:rsidRPr="00981B64">
        <w:rPr>
          <w:rFonts w:ascii="Arial" w:hAnsi="Arial" w:cs="Arial"/>
          <w:sz w:val="24"/>
          <w:szCs w:val="24"/>
        </w:rPr>
        <w:t xml:space="preserve"> </w:t>
      </w:r>
      <w:r w:rsidRPr="00981B64">
        <w:rPr>
          <w:rFonts w:ascii="Arial" w:hAnsi="Arial" w:cs="Arial"/>
          <w:sz w:val="24"/>
          <w:szCs w:val="24"/>
        </w:rPr>
        <w:t>especially her focus on “care of the environment”</w:t>
      </w:r>
      <w:r w:rsidR="00562FCB" w:rsidRPr="00981B64">
        <w:rPr>
          <w:rFonts w:ascii="Arial" w:hAnsi="Arial" w:cs="Arial"/>
          <w:sz w:val="24"/>
          <w:szCs w:val="24"/>
        </w:rPr>
        <w:t xml:space="preserve"> </w:t>
      </w:r>
      <w:r w:rsidRPr="00981B64">
        <w:rPr>
          <w:rFonts w:ascii="Arial" w:hAnsi="Arial" w:cs="Arial"/>
          <w:sz w:val="24"/>
          <w:szCs w:val="24"/>
        </w:rPr>
        <w:t>was echoed in my daily gardening routines and conservation efforts. Malaguzzi’s Reggio Emilia philosophy, which positions the environment as the “third teacher,” resonated deeply as nature became a catalyst for inquiry, wonder, and reflection. Through these experiences, I began to understand sustainability not as a distant or abstract goal, but as an everyday, relational practice grounded in care, respect, and mindful interaction with the world around us.</w:t>
      </w:r>
    </w:p>
    <w:p w14:paraId="6AA17858" w14:textId="60973FC8" w:rsidR="004A3DC3" w:rsidRPr="00981B64" w:rsidRDefault="004A3DC3" w:rsidP="0052136B">
      <w:pPr>
        <w:spacing w:line="360" w:lineRule="auto"/>
        <w:rPr>
          <w:rFonts w:ascii="Arial" w:hAnsi="Arial" w:cs="Arial"/>
          <w:sz w:val="24"/>
          <w:szCs w:val="24"/>
        </w:rPr>
      </w:pPr>
      <w:r w:rsidRPr="00981B64">
        <w:rPr>
          <w:rFonts w:ascii="Arial" w:hAnsi="Arial" w:cs="Arial"/>
          <w:sz w:val="24"/>
          <w:szCs w:val="24"/>
        </w:rPr>
        <w:t xml:space="preserve">Yet, this experience also raised questions about the limitations of </w:t>
      </w:r>
      <w:r w:rsidR="000F70A2" w:rsidRPr="00981B64">
        <w:rPr>
          <w:rFonts w:ascii="Arial" w:hAnsi="Arial" w:cs="Arial"/>
          <w:sz w:val="24"/>
          <w:szCs w:val="24"/>
        </w:rPr>
        <w:t>this</w:t>
      </w:r>
      <w:r w:rsidRPr="00981B64">
        <w:rPr>
          <w:rFonts w:ascii="Arial" w:hAnsi="Arial" w:cs="Arial"/>
          <w:sz w:val="24"/>
          <w:szCs w:val="24"/>
        </w:rPr>
        <w:t xml:space="preserve"> scheme. While the John Muir Award promotes environmental awareness and conservation effectively, I began to question whether it fully addresses the broader aspirations of ESD</w:t>
      </w:r>
      <w:r w:rsidR="00E47AD8" w:rsidRPr="00981B64">
        <w:rPr>
          <w:rFonts w:ascii="Arial" w:hAnsi="Arial" w:cs="Arial"/>
          <w:sz w:val="24"/>
          <w:szCs w:val="24"/>
        </w:rPr>
        <w:t xml:space="preserve">, </w:t>
      </w:r>
      <w:r w:rsidRPr="00981B64">
        <w:rPr>
          <w:rFonts w:ascii="Arial" w:hAnsi="Arial" w:cs="Arial"/>
          <w:sz w:val="24"/>
          <w:szCs w:val="24"/>
        </w:rPr>
        <w:t>particularly in the early years. ESD isn’t just about ecology; it includes social justice, global equity, and human rights. These are essential to a truly sustainable future.</w:t>
      </w:r>
    </w:p>
    <w:p w14:paraId="4F92C3C0" w14:textId="51FDE739" w:rsidR="004A3DC3" w:rsidRPr="00981B64" w:rsidRDefault="004A3DC3" w:rsidP="0052136B">
      <w:pPr>
        <w:spacing w:line="360" w:lineRule="auto"/>
        <w:rPr>
          <w:rFonts w:ascii="Arial" w:hAnsi="Arial" w:cs="Arial"/>
          <w:sz w:val="24"/>
          <w:szCs w:val="24"/>
        </w:rPr>
      </w:pPr>
      <w:r w:rsidRPr="00981B64">
        <w:rPr>
          <w:rFonts w:ascii="Arial" w:hAnsi="Arial" w:cs="Arial"/>
          <w:sz w:val="24"/>
          <w:szCs w:val="24"/>
        </w:rPr>
        <w:t xml:space="preserve">The Award's strong ecological focus may unintentionally overlook </w:t>
      </w:r>
      <w:proofErr w:type="gramStart"/>
      <w:r w:rsidRPr="00981B64">
        <w:rPr>
          <w:rFonts w:ascii="Arial" w:hAnsi="Arial" w:cs="Arial"/>
          <w:sz w:val="24"/>
          <w:szCs w:val="24"/>
        </w:rPr>
        <w:t>children’s</w:t>
      </w:r>
      <w:proofErr w:type="gramEnd"/>
      <w:r w:rsidRPr="00981B64">
        <w:rPr>
          <w:rFonts w:ascii="Arial" w:hAnsi="Arial" w:cs="Arial"/>
          <w:sz w:val="24"/>
          <w:szCs w:val="24"/>
        </w:rPr>
        <w:t xml:space="preserve"> lived experiences</w:t>
      </w:r>
      <w:r w:rsidR="006D354A" w:rsidRPr="00981B64">
        <w:rPr>
          <w:rFonts w:ascii="Arial" w:hAnsi="Arial" w:cs="Arial"/>
          <w:sz w:val="24"/>
          <w:szCs w:val="24"/>
        </w:rPr>
        <w:t xml:space="preserve"> </w:t>
      </w:r>
      <w:r w:rsidRPr="00981B64">
        <w:rPr>
          <w:rFonts w:ascii="Arial" w:hAnsi="Arial" w:cs="Arial"/>
          <w:sz w:val="24"/>
          <w:szCs w:val="24"/>
        </w:rPr>
        <w:t>like food, family, fairness, and belonging</w:t>
      </w:r>
      <w:r w:rsidR="006D354A" w:rsidRPr="00981B64">
        <w:rPr>
          <w:rFonts w:ascii="Arial" w:hAnsi="Arial" w:cs="Arial"/>
          <w:sz w:val="24"/>
          <w:szCs w:val="24"/>
        </w:rPr>
        <w:t xml:space="preserve"> </w:t>
      </w:r>
      <w:r w:rsidRPr="00981B64">
        <w:rPr>
          <w:rFonts w:ascii="Arial" w:hAnsi="Arial" w:cs="Arial"/>
          <w:sz w:val="24"/>
          <w:szCs w:val="24"/>
        </w:rPr>
        <w:t>which are just as central to sustainability education. Activities like ethical storytelling, community involvement, and food bank awareness are powerful ways to connect young children with sustainability in ways that are relevant and inclusive. This made me ask: Is the John Muir Award too narrowly environmental? Could it evolve to embrace more socially inclusive and culturally diverse approaches?</w:t>
      </w:r>
    </w:p>
    <w:p w14:paraId="0C6A0A13" w14:textId="44A0BD63" w:rsidR="00C27BF3" w:rsidRPr="00981B64" w:rsidRDefault="00C27BF3" w:rsidP="0052136B">
      <w:pPr>
        <w:spacing w:line="360" w:lineRule="auto"/>
        <w:rPr>
          <w:rFonts w:ascii="Arial" w:hAnsi="Arial" w:cs="Arial"/>
          <w:sz w:val="24"/>
          <w:szCs w:val="24"/>
        </w:rPr>
      </w:pPr>
      <w:r w:rsidRPr="00981B64">
        <w:rPr>
          <w:rFonts w:ascii="Arial" w:hAnsi="Arial" w:cs="Arial"/>
          <w:sz w:val="24"/>
          <w:szCs w:val="24"/>
        </w:rPr>
        <w:lastRenderedPageBreak/>
        <w:t xml:space="preserve">Access and inclusion are key </w:t>
      </w:r>
      <w:r w:rsidR="00D165DF" w:rsidRPr="00981B64">
        <w:rPr>
          <w:rFonts w:ascii="Arial" w:hAnsi="Arial" w:cs="Arial"/>
          <w:sz w:val="24"/>
          <w:szCs w:val="24"/>
        </w:rPr>
        <w:t>considerations</w:t>
      </w:r>
      <w:r w:rsidRPr="00981B64">
        <w:rPr>
          <w:rFonts w:ascii="Arial" w:hAnsi="Arial" w:cs="Arial"/>
          <w:b/>
          <w:bCs/>
          <w:sz w:val="24"/>
          <w:szCs w:val="24"/>
        </w:rPr>
        <w:t>.</w:t>
      </w:r>
      <w:r w:rsidRPr="00981B64">
        <w:rPr>
          <w:rFonts w:ascii="Arial" w:hAnsi="Arial" w:cs="Arial"/>
          <w:sz w:val="24"/>
          <w:szCs w:val="24"/>
        </w:rPr>
        <w:t xml:space="preserve"> While I was fortunate to have a garden and a supportive community, many children, particularly those living in urban areas or facing socio-economic challenges lack safe and regular access to green spaces. Without intentional adaptation, initiatives like the John Muir Award risk excluding these groups, potentially reinforcing existing inequalities. If we truly uphold every child’s right to a sustainable future, such programmes must become more flexible and inclusive. This could involve integrating urban nature experiences, using storytelling to explore environmental justice, or engaging families and communities in accessible, local action projects.</w:t>
      </w:r>
    </w:p>
    <w:p w14:paraId="58DD7B2E" w14:textId="11ECAE9F" w:rsidR="00E77682" w:rsidRPr="00981B64" w:rsidRDefault="00E77682" w:rsidP="0052136B">
      <w:pPr>
        <w:spacing w:line="360" w:lineRule="auto"/>
        <w:rPr>
          <w:rFonts w:ascii="Arial" w:hAnsi="Arial" w:cs="Arial"/>
          <w:sz w:val="24"/>
          <w:szCs w:val="24"/>
        </w:rPr>
      </w:pPr>
      <w:r w:rsidRPr="00981B64">
        <w:rPr>
          <w:rFonts w:ascii="Arial" w:hAnsi="Arial" w:cs="Arial"/>
          <w:sz w:val="24"/>
          <w:szCs w:val="24"/>
        </w:rPr>
        <w:t>Despite these limitations, the Award helped me see sustainability not just as knowledge, but as values and daily practice. It aligns with children have a right to participate in shaping their future</w:t>
      </w:r>
      <w:r w:rsidR="00591883" w:rsidRPr="00981B64">
        <w:rPr>
          <w:rFonts w:ascii="Arial" w:hAnsi="Arial" w:cs="Arial"/>
          <w:sz w:val="24"/>
          <w:szCs w:val="24"/>
        </w:rPr>
        <w:t xml:space="preserve"> </w:t>
      </w:r>
      <w:r w:rsidRPr="00981B64">
        <w:rPr>
          <w:rFonts w:ascii="Arial" w:hAnsi="Arial" w:cs="Arial"/>
          <w:sz w:val="24"/>
          <w:szCs w:val="24"/>
        </w:rPr>
        <w:t>including the planet</w:t>
      </w:r>
      <w:r w:rsidR="00762914" w:rsidRPr="00981B64">
        <w:rPr>
          <w:rFonts w:ascii="Arial" w:hAnsi="Arial" w:cs="Arial"/>
          <w:sz w:val="24"/>
          <w:szCs w:val="24"/>
        </w:rPr>
        <w:t>’s</w:t>
      </w:r>
      <w:r w:rsidRPr="00981B64">
        <w:rPr>
          <w:rFonts w:ascii="Arial" w:hAnsi="Arial" w:cs="Arial"/>
          <w:sz w:val="24"/>
          <w:szCs w:val="24"/>
        </w:rPr>
        <w:t>. When critically applied, the John Muir Award can nurture children’s agency, build ecological thinking, and bring sustainability to life.</w:t>
      </w:r>
    </w:p>
    <w:p w14:paraId="31293249" w14:textId="7E9C62F1" w:rsidR="00E77682" w:rsidRPr="00981B64" w:rsidRDefault="00E77682" w:rsidP="0052136B">
      <w:pPr>
        <w:spacing w:line="360" w:lineRule="auto"/>
        <w:rPr>
          <w:rFonts w:ascii="Arial" w:hAnsi="Arial" w:cs="Arial"/>
          <w:sz w:val="24"/>
          <w:szCs w:val="24"/>
        </w:rPr>
      </w:pPr>
      <w:r w:rsidRPr="00981B64">
        <w:rPr>
          <w:rFonts w:ascii="Arial" w:hAnsi="Arial" w:cs="Arial"/>
          <w:sz w:val="24"/>
          <w:szCs w:val="24"/>
        </w:rPr>
        <w:t>Professionally, this experience fuels my commitment to inclusive, nature-based early years education. I’ve seen how wild spaces calm and inspire, especially for children with ALN. Nature is not just a backdrop</w:t>
      </w:r>
      <w:r w:rsidR="008361C3" w:rsidRPr="00981B64">
        <w:rPr>
          <w:rFonts w:ascii="Arial" w:hAnsi="Arial" w:cs="Arial"/>
          <w:sz w:val="24"/>
          <w:szCs w:val="24"/>
        </w:rPr>
        <w:t xml:space="preserve"> </w:t>
      </w:r>
      <w:r w:rsidRPr="00981B64">
        <w:rPr>
          <w:rFonts w:ascii="Arial" w:hAnsi="Arial" w:cs="Arial"/>
          <w:sz w:val="24"/>
          <w:szCs w:val="24"/>
        </w:rPr>
        <w:t xml:space="preserve">it’s a teacher. I </w:t>
      </w:r>
      <w:r w:rsidR="008361C3" w:rsidRPr="00981B64">
        <w:rPr>
          <w:rFonts w:ascii="Arial" w:hAnsi="Arial" w:cs="Arial"/>
          <w:sz w:val="24"/>
          <w:szCs w:val="24"/>
        </w:rPr>
        <w:t xml:space="preserve">will </w:t>
      </w:r>
      <w:r w:rsidRPr="00981B64">
        <w:rPr>
          <w:rFonts w:ascii="Arial" w:hAnsi="Arial" w:cs="Arial"/>
          <w:sz w:val="24"/>
          <w:szCs w:val="24"/>
        </w:rPr>
        <w:t xml:space="preserve">now support </w:t>
      </w:r>
      <w:r w:rsidR="008361C3" w:rsidRPr="00981B64">
        <w:rPr>
          <w:rFonts w:ascii="Arial" w:hAnsi="Arial" w:cs="Arial"/>
          <w:sz w:val="24"/>
          <w:szCs w:val="24"/>
        </w:rPr>
        <w:t xml:space="preserve">many </w:t>
      </w:r>
      <w:r w:rsidRPr="00981B64">
        <w:rPr>
          <w:rFonts w:ascii="Arial" w:hAnsi="Arial" w:cs="Arial"/>
          <w:sz w:val="24"/>
          <w:szCs w:val="24"/>
        </w:rPr>
        <w:t>staff in embedding this ethos into their outdoor provision.</w:t>
      </w:r>
    </w:p>
    <w:p w14:paraId="147AECDE" w14:textId="3EF135A0" w:rsidR="00E77682" w:rsidRPr="00981B64" w:rsidRDefault="00E77682" w:rsidP="0052136B">
      <w:pPr>
        <w:spacing w:line="360" w:lineRule="auto"/>
        <w:rPr>
          <w:rFonts w:ascii="Arial" w:hAnsi="Arial" w:cs="Arial"/>
          <w:sz w:val="24"/>
          <w:szCs w:val="24"/>
        </w:rPr>
      </w:pPr>
      <w:r w:rsidRPr="00981B64">
        <w:rPr>
          <w:rFonts w:ascii="Arial" w:hAnsi="Arial" w:cs="Arial"/>
          <w:sz w:val="24"/>
          <w:szCs w:val="24"/>
        </w:rPr>
        <w:t>John Muir once said, “In every walk with nature one receives far more than he seeks.” For me, this Award gave connection, purpose, and a new way of seeing. My garden is now a living example of co-existence. Sustainability, I’ve learned, isn’t a goal</w:t>
      </w:r>
      <w:r w:rsidR="008361C3" w:rsidRPr="00981B64">
        <w:rPr>
          <w:rFonts w:ascii="Arial" w:hAnsi="Arial" w:cs="Arial"/>
          <w:sz w:val="24"/>
          <w:szCs w:val="24"/>
        </w:rPr>
        <w:t xml:space="preserve"> </w:t>
      </w:r>
      <w:r w:rsidRPr="00981B64">
        <w:rPr>
          <w:rFonts w:ascii="Arial" w:hAnsi="Arial" w:cs="Arial"/>
          <w:sz w:val="24"/>
          <w:szCs w:val="24"/>
        </w:rPr>
        <w:t>it’s a practice. And in every child, there’s potential to become a steward of the future.</w:t>
      </w:r>
    </w:p>
    <w:p w14:paraId="600EFEF9" w14:textId="77777777" w:rsidR="00FB70BA" w:rsidRPr="00981B64" w:rsidRDefault="00FB70BA" w:rsidP="0052136B">
      <w:pPr>
        <w:spacing w:line="360" w:lineRule="auto"/>
        <w:rPr>
          <w:rFonts w:ascii="Arial" w:hAnsi="Arial" w:cs="Arial"/>
          <w:b/>
          <w:bCs/>
          <w:sz w:val="24"/>
          <w:szCs w:val="24"/>
          <w:u w:val="single"/>
        </w:rPr>
      </w:pPr>
    </w:p>
    <w:p w14:paraId="27CBF4B7" w14:textId="2F86C3B7" w:rsidR="00BA6AB8" w:rsidRPr="00981B64" w:rsidRDefault="0030255E" w:rsidP="0052136B">
      <w:pPr>
        <w:spacing w:line="360" w:lineRule="auto"/>
        <w:rPr>
          <w:rFonts w:ascii="Arial" w:hAnsi="Arial" w:cs="Arial"/>
          <w:b/>
          <w:bCs/>
          <w:sz w:val="24"/>
          <w:szCs w:val="24"/>
          <w:u w:val="single"/>
        </w:rPr>
      </w:pPr>
      <w:r w:rsidRPr="00981B64">
        <w:rPr>
          <w:rFonts w:ascii="Arial" w:hAnsi="Arial" w:cs="Arial"/>
          <w:b/>
          <w:bCs/>
          <w:sz w:val="24"/>
          <w:szCs w:val="24"/>
          <w:u w:val="single"/>
        </w:rPr>
        <w:t>Evaluation</w:t>
      </w:r>
    </w:p>
    <w:p w14:paraId="0CFAFA45" w14:textId="77777777"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 xml:space="preserve">The integration of sustainability into early childhood education is grounded in global policy and research frameworks that recognise education as a powerful driver of social, environmental, and economic transformation. The concept was formally introduced in the Brundtland Report by the World Commission on Environment and Development (WCED, 1987), which defined sustainable development as “Meeting the needs of the present without compromising the ability of future generations to </w:t>
      </w:r>
      <w:r w:rsidRPr="00981B64">
        <w:rPr>
          <w:rFonts w:ascii="Arial" w:hAnsi="Arial" w:cs="Arial"/>
          <w:sz w:val="24"/>
          <w:szCs w:val="24"/>
        </w:rPr>
        <w:lastRenderedPageBreak/>
        <w:t>meet their own needs” (WCED, 1987, p. 43).This foundational idea has since been expanded through major international agreements, including the 1992 Earth Summit and Agenda 21 (UN, 1992), which highlighted the role of education in achieving sustainability. More recently, the United Nations Sustainable Development Goals (SDGs) have reinforced this commitment, particularly Goal 4.7, which emphasises education that fosters sustainable development, global citizenship, and respect for cultural diversity (UNESCO, 2017).</w:t>
      </w:r>
    </w:p>
    <w:p w14:paraId="36223266" w14:textId="736088E4" w:rsidR="00751FBE" w:rsidRPr="00981B64" w:rsidRDefault="00751FBE" w:rsidP="0052136B">
      <w:pPr>
        <w:spacing w:line="360" w:lineRule="auto"/>
        <w:rPr>
          <w:rFonts w:ascii="Arial" w:hAnsi="Arial" w:cs="Arial"/>
          <w:sz w:val="24"/>
          <w:szCs w:val="24"/>
        </w:rPr>
      </w:pPr>
      <w:r w:rsidRPr="00981B64">
        <w:rPr>
          <w:rFonts w:ascii="Arial" w:hAnsi="Arial" w:cs="Arial"/>
          <w:sz w:val="24"/>
          <w:szCs w:val="24"/>
        </w:rPr>
        <w:t xml:space="preserve">Sustainability is a complex challenge involving intertwined environmental, social, and economic issues that threaten current and future wellbeing. Environmental problems like climate change, biodiversity loss, pollution, and resource depletion are linked to social impacts such as poverty, inequality, and limited access to education and healthcare (Leach et al., 2020; Raworth, 2017). Economically, unsustainable growth and uneven resource distribution hinder sustainable development (Stiglitz, 2019). </w:t>
      </w:r>
    </w:p>
    <w:p w14:paraId="60B085C0" w14:textId="2A4BB9C3"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Education for Sustainable Development and Global Citizenship (ESDGC) is central to Welsh Government policy, especially in early years education, where it fosters children’s understanding of fairness, diversity, and their roles in local and global communities (Welsh Government, 2012; ECE Sustainability within Wales, 2016). The Well-being of Future Generations (Wales) Act 2015 underpins this by mandating public bodies to enhance economic, social, environmental, and cultural wellbeing for current and future generations, promoting a “globally responsible Wales” aligned with ESDGC’s core aims of social justice, equality, and sustainability (Welsh Government, 2015). The Donaldson Report (2015) further emphasises developing learners who are ambitious and ethically informed citizens ready to address global challenges. This is complemented by Raworth’s (2017) Doughnut Economics, which calls for balancing social needs within ecological limits. Collectively, these policies embed sustainability throughout the curriculum, encouraging critical engagement with issues like climate change and social justice, establishing ESDGC as a foundation for ethical citizenship and lifelong learning in Wales (Welsh Assembly Government, 2008).</w:t>
      </w:r>
    </w:p>
    <w:p w14:paraId="2E2F1E9C" w14:textId="77777777" w:rsidR="00BC3D57" w:rsidRPr="00981B64" w:rsidRDefault="00BC3D57" w:rsidP="00BC3D57">
      <w:pPr>
        <w:spacing w:line="360" w:lineRule="auto"/>
        <w:rPr>
          <w:rFonts w:ascii="Arial" w:hAnsi="Arial" w:cs="Arial"/>
          <w:sz w:val="24"/>
          <w:szCs w:val="24"/>
        </w:rPr>
      </w:pPr>
      <w:r w:rsidRPr="00981B64">
        <w:rPr>
          <w:rFonts w:ascii="Arial" w:hAnsi="Arial" w:cs="Arial"/>
          <w:sz w:val="24"/>
          <w:szCs w:val="24"/>
        </w:rPr>
        <w:t xml:space="preserve">Derek Walker, the Future Generations Commissioner for Wales, has been a prominent advocate for amplifying the voices of children and young people in the pursuit of a fairer, greener future. He emphasises that realising “the Wales we want” </w:t>
      </w:r>
      <w:r w:rsidRPr="00981B64">
        <w:rPr>
          <w:rFonts w:ascii="Arial" w:hAnsi="Arial" w:cs="Arial"/>
          <w:sz w:val="24"/>
          <w:szCs w:val="24"/>
        </w:rPr>
        <w:lastRenderedPageBreak/>
        <w:t>depends on empowering younger generations to actively engage in shaping decisions that impact their lives, particularly in the context of sustainability, equality, and social justice, core pillars of ESDGC (Future Generations Commissioner for Wales, 2020; Walker, 2023).</w:t>
      </w:r>
    </w:p>
    <w:p w14:paraId="5E840C9A" w14:textId="30343E52"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Early childhood education is a crucial foundation for embedding sustainability, as children develop core values, attitudes, and behaviours during this formative stage (Siraj-Blatchford et al., 2010; Davis, 2015). The United Nations Convention on the Rights of the Child (UNCRC) supports this by affirming children’s rights to express their views and access education that fosters respect for human rights, cultural identity, and the environment (UNCRC, 1989, Articles 12 &amp; 29). UNICEF (2020) highlights the early years as vital for achieving the Sustainable Development Goals (SDGs), emphasising environmental awareness, holistic development, and active participation. By integrating children’s voices into policy and practice, Wales fosters active citizenship and inclusion, ensuring young learners contribute meaningfully to sustainable development from an early age (Children’s Commissioner for Wales, 2018).</w:t>
      </w:r>
    </w:p>
    <w:p w14:paraId="77077C4B" w14:textId="753831C5" w:rsidR="00D93438" w:rsidRPr="00981B64" w:rsidRDefault="00D93438" w:rsidP="0052136B">
      <w:pPr>
        <w:spacing w:line="360" w:lineRule="auto"/>
        <w:rPr>
          <w:rFonts w:ascii="Arial" w:hAnsi="Arial" w:cs="Arial"/>
          <w:sz w:val="24"/>
          <w:szCs w:val="24"/>
        </w:rPr>
      </w:pPr>
      <w:r w:rsidRPr="00981B64">
        <w:rPr>
          <w:rFonts w:ascii="Arial" w:hAnsi="Arial" w:cs="Arial"/>
          <w:sz w:val="24"/>
          <w:szCs w:val="24"/>
        </w:rPr>
        <w:t>The Department for Education’s initiative, Children for Lifelong Learning, further supports ESDGC by promoting skills that empower children to be active participants in their learning journey and community (DfE, 2011). This corresponds with the aim of giving children a voice, fostering agency and engagement with societal issues from a young age</w:t>
      </w:r>
    </w:p>
    <w:p w14:paraId="0AE44CB6" w14:textId="77777777"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The socio-cultural environment shapes children’s identity and belonging, key to their wellbeing (Theron et al., 2020). Yet, climate-driven displacement and environmental disruption threaten these social bonds, endangering cultural continuity and resilience (McMichael et al., 2020). Indigenous children are particularly at risk due to their close connection to land and traditional knowledge (Rink et al., 2020). Sustainability approaches that honour indigenous perspectives support both environmental care and cultural resilience, boosting children’s overall wellbeing (Simpson, 2017).</w:t>
      </w:r>
    </w:p>
    <w:p w14:paraId="56853A2F" w14:textId="406D79CE"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 xml:space="preserve">The ESDGC Action Plan (Welsh Government, 2006) outlines a strategic commitment to equipping learners of all ages with the knowledge and skills to address global challenges such as climate change, poverty, and biodiversity loss. Estyn’s </w:t>
      </w:r>
      <w:r w:rsidRPr="00981B64">
        <w:rPr>
          <w:rFonts w:ascii="Arial" w:hAnsi="Arial" w:cs="Arial"/>
          <w:sz w:val="24"/>
          <w:szCs w:val="24"/>
        </w:rPr>
        <w:lastRenderedPageBreak/>
        <w:t>evaluations in 2006 and 2014 underscore both progress and persistent challenges in embedding ESDGC in education, highlighting its positive impact on pupils’ understanding of sustainability and global citizenship (Estyn, 2006; Estyn, 2014). These findings reinforce the critical role of early years settings in nurturing responsible, empathetic individuals with a strong sense of local and global responsibility (Welsh Government, 2012). One example is the John Muir Award, which supports young children in exploring, conserving, and reflecting on nature. This experiential approach strengthens their connection to local ecosystems and raises awareness of wider sustainability issues (John Muir Trust, 2020).</w:t>
      </w:r>
      <w:r w:rsidR="00D60727" w:rsidRPr="00981B64">
        <w:rPr>
          <w:rFonts w:ascii="Arial" w:hAnsi="Arial" w:cs="Arial"/>
          <w:sz w:val="24"/>
          <w:szCs w:val="24"/>
        </w:rPr>
        <w:t xml:space="preserve"> </w:t>
      </w:r>
    </w:p>
    <w:p w14:paraId="342242C9" w14:textId="2A32DDED" w:rsidR="00561A6B" w:rsidRPr="00981B64" w:rsidRDefault="00561A6B" w:rsidP="00561A6B">
      <w:pPr>
        <w:spacing w:line="360" w:lineRule="auto"/>
        <w:rPr>
          <w:rFonts w:ascii="Arial" w:hAnsi="Arial" w:cs="Arial"/>
          <w:sz w:val="24"/>
          <w:szCs w:val="24"/>
        </w:rPr>
      </w:pPr>
      <w:r w:rsidRPr="00981B64">
        <w:rPr>
          <w:rFonts w:ascii="Arial" w:hAnsi="Arial" w:cs="Arial"/>
          <w:sz w:val="24"/>
          <w:szCs w:val="24"/>
        </w:rPr>
        <w:t>While the John Muir Award offers valuable opportunities for practical learning, nature engagement, and fostering agency key aspirations of Education for Sustainable Development implementation within early years education presents both potential and challenges. The Award’s emphasis on environmental stewardship strongly reflects the philosophies of Froebel, Montessori, and Malaguzzi, who advocate for experiential, nature-based learning that nurtures children’s curiosity and respect for the natural world (Froebel, 2010; Montessori, 2013; Edwards et al., 2012). However, a critical limitation is that the John Muir Award’s focus remains predominantly environmental, which risks narrowing ESD’s broader aims to include social justice, economic awareness, and global citizenship (Davis, 2015). This environmental emphasis may inadvertently marginali</w:t>
      </w:r>
      <w:r w:rsidR="00651DAC" w:rsidRPr="00981B64">
        <w:rPr>
          <w:rFonts w:ascii="Arial" w:hAnsi="Arial" w:cs="Arial"/>
          <w:sz w:val="24"/>
          <w:szCs w:val="24"/>
        </w:rPr>
        <w:t>s</w:t>
      </w:r>
      <w:r w:rsidRPr="00981B64">
        <w:rPr>
          <w:rFonts w:ascii="Arial" w:hAnsi="Arial" w:cs="Arial"/>
          <w:sz w:val="24"/>
          <w:szCs w:val="24"/>
        </w:rPr>
        <w:t>e the interconnected social and cultural dimensions vital to holistic sustainability education, particularly in diverse, urban early years settings where global citizenship themes are crucial (</w:t>
      </w:r>
      <w:proofErr w:type="spellStart"/>
      <w:r w:rsidRPr="00981B64">
        <w:rPr>
          <w:rFonts w:ascii="Arial" w:hAnsi="Arial" w:cs="Arial"/>
          <w:sz w:val="24"/>
          <w:szCs w:val="24"/>
        </w:rPr>
        <w:t>Kopnina</w:t>
      </w:r>
      <w:proofErr w:type="spellEnd"/>
      <w:r w:rsidRPr="00981B64">
        <w:rPr>
          <w:rFonts w:ascii="Arial" w:hAnsi="Arial" w:cs="Arial"/>
          <w:sz w:val="24"/>
          <w:szCs w:val="24"/>
        </w:rPr>
        <w:t>, 2014).</w:t>
      </w:r>
    </w:p>
    <w:p w14:paraId="2168F329" w14:textId="28EF4BBF" w:rsidR="00561A6B" w:rsidRPr="00981B64" w:rsidRDefault="00561A6B" w:rsidP="00561A6B">
      <w:pPr>
        <w:spacing w:line="360" w:lineRule="auto"/>
        <w:rPr>
          <w:rFonts w:ascii="Arial" w:hAnsi="Arial" w:cs="Arial"/>
          <w:sz w:val="24"/>
          <w:szCs w:val="24"/>
        </w:rPr>
      </w:pPr>
      <w:r w:rsidRPr="00981B64">
        <w:rPr>
          <w:rFonts w:ascii="Arial" w:hAnsi="Arial" w:cs="Arial"/>
          <w:sz w:val="24"/>
          <w:szCs w:val="24"/>
        </w:rPr>
        <w:t>The John Muir Award promotes children’s agency through ‘taking action,’ but practical barriers</w:t>
      </w:r>
      <w:r w:rsidR="005C01C6" w:rsidRPr="00981B64">
        <w:rPr>
          <w:rFonts w:ascii="Arial" w:hAnsi="Arial" w:cs="Arial"/>
          <w:sz w:val="24"/>
          <w:szCs w:val="24"/>
        </w:rPr>
        <w:t xml:space="preserve"> </w:t>
      </w:r>
      <w:r w:rsidRPr="00981B64">
        <w:rPr>
          <w:rFonts w:ascii="Arial" w:hAnsi="Arial" w:cs="Arial"/>
          <w:sz w:val="24"/>
          <w:szCs w:val="24"/>
        </w:rPr>
        <w:t>such as limited access to green spaces, time constraints, and unequal resources</w:t>
      </w:r>
      <w:r w:rsidR="005C01C6" w:rsidRPr="00981B64">
        <w:rPr>
          <w:rFonts w:ascii="Arial" w:hAnsi="Arial" w:cs="Arial"/>
          <w:sz w:val="24"/>
          <w:szCs w:val="24"/>
        </w:rPr>
        <w:t xml:space="preserve"> </w:t>
      </w:r>
      <w:r w:rsidRPr="00981B64">
        <w:rPr>
          <w:rFonts w:ascii="Arial" w:hAnsi="Arial" w:cs="Arial"/>
          <w:sz w:val="24"/>
          <w:szCs w:val="24"/>
        </w:rPr>
        <w:t>can restrict participation, particularly for children from marginali</w:t>
      </w:r>
      <w:r w:rsidR="005C01C6" w:rsidRPr="00981B64">
        <w:rPr>
          <w:rFonts w:ascii="Arial" w:hAnsi="Arial" w:cs="Arial"/>
          <w:sz w:val="24"/>
          <w:szCs w:val="24"/>
        </w:rPr>
        <w:t>s</w:t>
      </w:r>
      <w:r w:rsidRPr="00981B64">
        <w:rPr>
          <w:rFonts w:ascii="Arial" w:hAnsi="Arial" w:cs="Arial"/>
          <w:sz w:val="24"/>
          <w:szCs w:val="24"/>
        </w:rPr>
        <w:t xml:space="preserve">ed backgrounds (Louv, 2012). Concerns about its suitability for very young children arise because the Award’s structured challenges and expectations may not align fully with early years learners’ developmental needs and learning styles, raising questions about inclusivity and adaptability (Siraj-Blatchford et al., 2015). Nonetheless, the Award provides practical opportunities for children to connect with and care for their local environment. Research shows that participation increases environmental awareness and encourages stewardship, contributing to lasting </w:t>
      </w:r>
      <w:r w:rsidRPr="00981B64">
        <w:rPr>
          <w:rFonts w:ascii="Arial" w:hAnsi="Arial" w:cs="Arial"/>
          <w:sz w:val="24"/>
          <w:szCs w:val="24"/>
        </w:rPr>
        <w:lastRenderedPageBreak/>
        <w:t>behaviour change and deeper understanding of sustainability issues (John Muir Trust, 2020; Scottish Government, 2019). Through such programs, children gain direct experience of global citizenship principles in action, reinforcing the goals of Education for Sustainable Development and Global Citizenship (ESDGC) and supporting lifelong sustainable behaviours. However, there is scope to better tailor the Award’s frameworks to early childhood pedagogy by ensuring activities are age-appropriate and incorporate play-based, culturally relevant approaches that embrace children’s rights and voices (UNCRC, 1989; Nutbrown, 2019).</w:t>
      </w:r>
    </w:p>
    <w:p w14:paraId="79A7D2E5" w14:textId="0BB42062"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In Wales, early years education and care settings are increasingly recognised as vital spaces for fostering sustainability and global citizenship</w:t>
      </w:r>
      <w:r w:rsidR="007B2A40" w:rsidRPr="00981B64">
        <w:rPr>
          <w:rFonts w:ascii="Arial" w:hAnsi="Arial" w:cs="Arial"/>
          <w:sz w:val="24"/>
          <w:szCs w:val="24"/>
        </w:rPr>
        <w:t>.</w:t>
      </w:r>
      <w:r w:rsidRPr="00981B64">
        <w:rPr>
          <w:rFonts w:ascii="Arial" w:hAnsi="Arial" w:cs="Arial"/>
          <w:sz w:val="24"/>
          <w:szCs w:val="24"/>
        </w:rPr>
        <w:t xml:space="preserve"> ESDGC framework embeds values such as empathy, social justice, and environmental stewardship into early years pedagogy and practice (Welsh Government, 2012; ECE Sustainability within Wales, 2016). These principles are implemented through the Curriculum for Non-Maintained Settings (Welsh Government, 2022), which promotes a holistic, play-based approach grounded in child-led, experiential learning. Central to this curriculum is the concept of ‘</w:t>
      </w:r>
      <w:proofErr w:type="spellStart"/>
      <w:r w:rsidRPr="00981B64">
        <w:rPr>
          <w:rFonts w:ascii="Arial" w:hAnsi="Arial" w:cs="Arial"/>
          <w:sz w:val="24"/>
          <w:szCs w:val="24"/>
        </w:rPr>
        <w:t>cynefin</w:t>
      </w:r>
      <w:proofErr w:type="spellEnd"/>
      <w:r w:rsidRPr="00981B64">
        <w:rPr>
          <w:rFonts w:ascii="Arial" w:hAnsi="Arial" w:cs="Arial"/>
          <w:sz w:val="24"/>
          <w:szCs w:val="24"/>
        </w:rPr>
        <w:t>,’ a Welsh term denoting a sense of place or belonging, encouraging children to form emotional and social connections with their local environment while recognising global interdependence (Barker &amp; Rogers, 2020; Elliott et al., 2016). This approach nurtures curiosity, empathy, and critical thinking, essential skills for engaging children in meaningful sustainability education from the earliest years (Barker, 2017; Nutbrown, 2018).</w:t>
      </w:r>
    </w:p>
    <w:p w14:paraId="4D3BA430" w14:textId="77777777" w:rsidR="008A3210" w:rsidRPr="00981B64" w:rsidRDefault="00BC2726" w:rsidP="0052136B">
      <w:pPr>
        <w:spacing w:line="360" w:lineRule="auto"/>
        <w:rPr>
          <w:rFonts w:ascii="Arial" w:hAnsi="Arial" w:cs="Arial"/>
          <w:sz w:val="24"/>
          <w:szCs w:val="24"/>
        </w:rPr>
      </w:pPr>
      <w:r w:rsidRPr="00981B64">
        <w:rPr>
          <w:rFonts w:ascii="Arial" w:hAnsi="Arial" w:cs="Arial"/>
          <w:sz w:val="24"/>
          <w:szCs w:val="24"/>
        </w:rPr>
        <w:t>The London Early Years Foundation (LEYF) demonstrates strong leadership by integrating sustainability into early years education and operations, reinvesting profits into community and environmental projects to drive systemic change (LEYF, 2023). Its teaching methods promote Education for Sustainable Development (ESD) through activities like recycling and gardening, drawing on Froebel’s nature-based learning and Reggio Emilia’s emphasis on children as capable, active citizens (Bruce, 2021; Edwards, 2002). LEYF influences broader early years policy by sharing research and engaging multiple sectors, aligning with the UNCRC’s commitment to children’s rights to a healthy environment (Smith, 2018; UNICEF, 1989).</w:t>
      </w:r>
    </w:p>
    <w:p w14:paraId="3D743AD8" w14:textId="6978B752" w:rsidR="00346823" w:rsidRPr="00981B64" w:rsidRDefault="007C33F3" w:rsidP="0052136B">
      <w:pPr>
        <w:spacing w:line="360" w:lineRule="auto"/>
        <w:rPr>
          <w:rFonts w:ascii="Arial" w:hAnsi="Arial" w:cs="Arial"/>
          <w:sz w:val="24"/>
          <w:szCs w:val="24"/>
        </w:rPr>
      </w:pPr>
      <w:r w:rsidRPr="00981B64">
        <w:rPr>
          <w:rFonts w:ascii="Arial" w:hAnsi="Arial" w:cs="Arial"/>
          <w:sz w:val="24"/>
          <w:szCs w:val="24"/>
        </w:rPr>
        <w:lastRenderedPageBreak/>
        <w:t xml:space="preserve">Froebel’s 1887 philosophy, focused on nature, play, and self-expression, supports ESD goals and is reflected in initiatives like Forest Schools and the John Muir Award (John Muir Trust, 2020). Similarly, the Reggio Emilia approach values children’s agency and collaborative inquiry, resonating with Welsh concepts like </w:t>
      </w:r>
      <w:proofErr w:type="spellStart"/>
      <w:r w:rsidRPr="00981B64">
        <w:rPr>
          <w:rFonts w:ascii="Arial" w:hAnsi="Arial" w:cs="Arial"/>
          <w:sz w:val="24"/>
          <w:szCs w:val="24"/>
        </w:rPr>
        <w:t>cynefin</w:t>
      </w:r>
      <w:proofErr w:type="spellEnd"/>
      <w:r w:rsidRPr="00981B64">
        <w:rPr>
          <w:rFonts w:ascii="Arial" w:hAnsi="Arial" w:cs="Arial"/>
          <w:sz w:val="24"/>
          <w:szCs w:val="24"/>
        </w:rPr>
        <w:t>, which emphasi</w:t>
      </w:r>
      <w:r w:rsidR="00B91076" w:rsidRPr="00981B64">
        <w:rPr>
          <w:rFonts w:ascii="Arial" w:hAnsi="Arial" w:cs="Arial"/>
          <w:sz w:val="24"/>
          <w:szCs w:val="24"/>
        </w:rPr>
        <w:t>s</w:t>
      </w:r>
      <w:r w:rsidRPr="00981B64">
        <w:rPr>
          <w:rFonts w:ascii="Arial" w:hAnsi="Arial" w:cs="Arial"/>
          <w:sz w:val="24"/>
          <w:szCs w:val="24"/>
        </w:rPr>
        <w:t xml:space="preserve">e connection to place and community (Rinaldi, 2006; Barker &amp; Rogers, 2020). John Dewey’s progressive philosophy, promoting experiential and democratic learning, underpins these approaches by positioning children as active learners (Dewey, 1938). These align with the Curriculum for </w:t>
      </w:r>
      <w:proofErr w:type="spellStart"/>
      <w:r w:rsidRPr="00981B64">
        <w:rPr>
          <w:rFonts w:ascii="Arial" w:hAnsi="Arial" w:cs="Arial"/>
          <w:sz w:val="24"/>
          <w:szCs w:val="24"/>
        </w:rPr>
        <w:t>Wales’</w:t>
      </w:r>
      <w:proofErr w:type="spellEnd"/>
      <w:r w:rsidRPr="00981B64">
        <w:rPr>
          <w:rFonts w:ascii="Arial" w:hAnsi="Arial" w:cs="Arial"/>
          <w:sz w:val="24"/>
          <w:szCs w:val="24"/>
        </w:rPr>
        <w:t xml:space="preserve"> aim to develop ethically informed, capable learners (Welsh Government, 2022). Child-led learning, grounded in the UNCRC’s focus on children’s rights to participation (UNCRC, 1989), fosters autonomy, agency, and critical thinking (UNICEF, 2020). </w:t>
      </w:r>
    </w:p>
    <w:p w14:paraId="3ED53DBA" w14:textId="2C41A306" w:rsidR="00F7343A" w:rsidRPr="00981B64" w:rsidRDefault="007C33F3" w:rsidP="0052136B">
      <w:pPr>
        <w:spacing w:line="360" w:lineRule="auto"/>
        <w:rPr>
          <w:rFonts w:ascii="Arial" w:hAnsi="Arial" w:cs="Arial"/>
          <w:sz w:val="24"/>
          <w:szCs w:val="24"/>
        </w:rPr>
      </w:pPr>
      <w:r w:rsidRPr="00981B64">
        <w:rPr>
          <w:rFonts w:ascii="Arial" w:hAnsi="Arial" w:cs="Arial"/>
          <w:sz w:val="24"/>
          <w:szCs w:val="24"/>
        </w:rPr>
        <w:t>Vygotsky (1978) emphasi</w:t>
      </w:r>
      <w:r w:rsidR="00346823" w:rsidRPr="00981B64">
        <w:rPr>
          <w:rFonts w:ascii="Arial" w:hAnsi="Arial" w:cs="Arial"/>
          <w:sz w:val="24"/>
          <w:szCs w:val="24"/>
        </w:rPr>
        <w:t>s</w:t>
      </w:r>
      <w:r w:rsidRPr="00981B64">
        <w:rPr>
          <w:rFonts w:ascii="Arial" w:hAnsi="Arial" w:cs="Arial"/>
          <w:sz w:val="24"/>
          <w:szCs w:val="24"/>
        </w:rPr>
        <w:t xml:space="preserve">ed adults guiding children through social interaction to explore complex ideas, while Bruner’s (1996) spiral curriculum supports introducing abstract topics early through age-appropriate experiences. Bronfenbrenner’s (1979) ecological systems theory views learning as shaped by interconnected settings, aligning with </w:t>
      </w:r>
      <w:proofErr w:type="spellStart"/>
      <w:r w:rsidRPr="00981B64">
        <w:rPr>
          <w:rFonts w:ascii="Arial" w:hAnsi="Arial" w:cs="Arial"/>
          <w:sz w:val="24"/>
          <w:szCs w:val="24"/>
        </w:rPr>
        <w:t>Wales’</w:t>
      </w:r>
      <w:proofErr w:type="spellEnd"/>
      <w:r w:rsidRPr="00981B64">
        <w:rPr>
          <w:rFonts w:ascii="Arial" w:hAnsi="Arial" w:cs="Arial"/>
          <w:sz w:val="24"/>
          <w:szCs w:val="24"/>
        </w:rPr>
        <w:t xml:space="preserve"> whole-setting, intergenerational sustainability approach (Welsh Government, 2015). Maslow’s hierarchy of needs (1943) highlights that physical, emotional, and social needs must be met before empathy and global responsibility develop. Sustainable EYEC practices</w:t>
      </w:r>
      <w:r w:rsidR="00523774" w:rsidRPr="00981B64">
        <w:rPr>
          <w:rFonts w:ascii="Arial" w:hAnsi="Arial" w:cs="Arial"/>
          <w:sz w:val="24"/>
          <w:szCs w:val="24"/>
        </w:rPr>
        <w:t xml:space="preserve">, </w:t>
      </w:r>
      <w:r w:rsidRPr="00981B64">
        <w:rPr>
          <w:rFonts w:ascii="Arial" w:hAnsi="Arial" w:cs="Arial"/>
          <w:sz w:val="24"/>
          <w:szCs w:val="24"/>
        </w:rPr>
        <w:t>shared meals, safe outdoor spaces, inclusive relationships, and emotional security</w:t>
      </w:r>
      <w:r w:rsidR="00523774" w:rsidRPr="00981B64">
        <w:rPr>
          <w:rFonts w:ascii="Arial" w:hAnsi="Arial" w:cs="Arial"/>
          <w:sz w:val="24"/>
          <w:szCs w:val="24"/>
        </w:rPr>
        <w:t xml:space="preserve"> </w:t>
      </w:r>
      <w:r w:rsidRPr="00981B64">
        <w:rPr>
          <w:rFonts w:ascii="Arial" w:hAnsi="Arial" w:cs="Arial"/>
          <w:sz w:val="24"/>
          <w:szCs w:val="24"/>
        </w:rPr>
        <w:t>form the foundation for meaningful engagement with Education for Sustainable Development and Global Citizenship (ESDGC).</w:t>
      </w:r>
    </w:p>
    <w:p w14:paraId="7A6684EC" w14:textId="7ECDF8F8"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Internationally, Sweden’s curriculum (</w:t>
      </w:r>
      <w:proofErr w:type="spellStart"/>
      <w:r w:rsidRPr="00981B64">
        <w:rPr>
          <w:rFonts w:ascii="Arial" w:hAnsi="Arial" w:cs="Arial"/>
          <w:sz w:val="24"/>
          <w:szCs w:val="24"/>
        </w:rPr>
        <w:t>Skolverket</w:t>
      </w:r>
      <w:proofErr w:type="spellEnd"/>
      <w:r w:rsidRPr="00981B64">
        <w:rPr>
          <w:rFonts w:ascii="Arial" w:hAnsi="Arial" w:cs="Arial"/>
          <w:sz w:val="24"/>
          <w:szCs w:val="24"/>
        </w:rPr>
        <w:t xml:space="preserve">, 2018) and New Zealand’s </w:t>
      </w:r>
      <w:proofErr w:type="spellStart"/>
      <w:r w:rsidRPr="00981B64">
        <w:rPr>
          <w:rFonts w:ascii="Arial" w:hAnsi="Arial" w:cs="Arial"/>
          <w:sz w:val="24"/>
          <w:szCs w:val="24"/>
        </w:rPr>
        <w:t>Te</w:t>
      </w:r>
      <w:proofErr w:type="spellEnd"/>
      <w:r w:rsidRPr="00981B64">
        <w:rPr>
          <w:rFonts w:ascii="Arial" w:hAnsi="Arial" w:cs="Arial"/>
          <w:sz w:val="24"/>
          <w:szCs w:val="24"/>
        </w:rPr>
        <w:t xml:space="preserve"> </w:t>
      </w:r>
      <w:proofErr w:type="spellStart"/>
      <w:r w:rsidRPr="00981B64">
        <w:rPr>
          <w:rFonts w:ascii="Arial" w:hAnsi="Arial" w:cs="Arial"/>
          <w:sz w:val="24"/>
          <w:szCs w:val="24"/>
        </w:rPr>
        <w:t>Whāriki</w:t>
      </w:r>
      <w:proofErr w:type="spellEnd"/>
      <w:r w:rsidRPr="00981B64">
        <w:rPr>
          <w:rFonts w:ascii="Arial" w:hAnsi="Arial" w:cs="Arial"/>
          <w:sz w:val="24"/>
          <w:szCs w:val="24"/>
        </w:rPr>
        <w:t xml:space="preserve"> (Ministry of Education, 2017) similarly promote sustainability and children’s rights as core principles. These child-led, inclusive frameworks align closely with Welsh priorities. In contrast, more performance-focused systems may marginalise sustainability, limiting holistic development (Cutter-Mackenzie &amp; Edwards, 2013).</w:t>
      </w:r>
    </w:p>
    <w:p w14:paraId="2F1325D2" w14:textId="529F4F3B" w:rsidR="00B907CA" w:rsidRPr="00981B64" w:rsidRDefault="00B907CA" w:rsidP="00B907CA">
      <w:pPr>
        <w:spacing w:line="360" w:lineRule="auto"/>
        <w:rPr>
          <w:rFonts w:ascii="Arial" w:hAnsi="Arial" w:cs="Arial"/>
          <w:sz w:val="24"/>
          <w:szCs w:val="24"/>
        </w:rPr>
      </w:pPr>
      <w:r w:rsidRPr="00981B64">
        <w:rPr>
          <w:rFonts w:ascii="Arial" w:hAnsi="Arial" w:cs="Arial"/>
          <w:sz w:val="24"/>
          <w:szCs w:val="24"/>
        </w:rPr>
        <w:t xml:space="preserve">Cross-curricular integration is central to embedding sustainability in early years education, particularly within the Curriculum for Non-Maintained Settings (Welsh Government, 2022), which promotes holistic, child-led learning grounded in real-life contexts. The curriculum's Four Purposes aim to develop children as ambitious, capable learners; enterprising, creative contributors; healthy, confident individuals; and ethically informed citizens of Wales and the world. These purposes are deeply </w:t>
      </w:r>
      <w:r w:rsidRPr="00981B64">
        <w:rPr>
          <w:rFonts w:ascii="Arial" w:hAnsi="Arial" w:cs="Arial"/>
          <w:sz w:val="24"/>
          <w:szCs w:val="24"/>
        </w:rPr>
        <w:lastRenderedPageBreak/>
        <w:t xml:space="preserve">aligned with the core themes of Education for Sustainable Development and Global Citizenship, such as biodiversity, social justice, and equity (Welsh Government, 2012; ECE Sustainability within Wales, 2016). </w:t>
      </w:r>
    </w:p>
    <w:p w14:paraId="1E8FCCF0" w14:textId="0E745DB1"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 xml:space="preserve">A range of organisations and initiatives support partnerships that enhance the teaching of ESDGC. Programmes like Eco-Schools, Fair Trade Schools, Healthy Schools, and Green Schools provide whole-school frameworks that promote pupil-led action and community involvement in areas such as sustainability, ethical trade, and wellbeing (Keep Wales Tidy, 2024). The British Council fosters global links and intercultural understanding through initiatives like </w:t>
      </w:r>
      <w:r w:rsidRPr="00981B64">
        <w:rPr>
          <w:rFonts w:ascii="Arial" w:hAnsi="Arial" w:cs="Arial"/>
          <w:i/>
          <w:iCs/>
          <w:sz w:val="24"/>
          <w:szCs w:val="24"/>
        </w:rPr>
        <w:t>Connecting Classrooms</w:t>
      </w:r>
      <w:r w:rsidRPr="00981B64">
        <w:rPr>
          <w:rFonts w:ascii="Arial" w:hAnsi="Arial" w:cs="Arial"/>
          <w:sz w:val="24"/>
          <w:szCs w:val="24"/>
        </w:rPr>
        <w:t xml:space="preserve">, supporting rights-based education (British Council, 2023). Organisations </w:t>
      </w:r>
      <w:r w:rsidR="00150FEF" w:rsidRPr="00981B64">
        <w:rPr>
          <w:rFonts w:ascii="Arial" w:hAnsi="Arial" w:cs="Arial"/>
          <w:sz w:val="24"/>
          <w:szCs w:val="24"/>
        </w:rPr>
        <w:t>including</w:t>
      </w:r>
      <w:r w:rsidRPr="00981B64">
        <w:rPr>
          <w:rFonts w:ascii="Arial" w:hAnsi="Arial" w:cs="Arial"/>
          <w:sz w:val="24"/>
          <w:szCs w:val="24"/>
        </w:rPr>
        <w:t xml:space="preserve"> the RSPB, Centre for Alternative Technology, Oxfam, Save the Children, and Amnesty International offer schools resources, training, and project opportunities that encourage environmental action, global awareness, and social justice (Oxfam, 2023; CAT, 2023; Amnesty International, 2024). Together, these partnerships help embed ESDGC across the curriculum and promote active, informed citizenship.</w:t>
      </w:r>
    </w:p>
    <w:p w14:paraId="0DB5C910" w14:textId="77777777"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Despite encouraging progress, significant challenges persist in embedding sustainability effectively across early years settings. Implementation remains inconsistent, with many educators lacking the confidence, training, or resources needed to integrate sustainability in meaningful ways (Estyn, 2014; Davis, 2015). Often, sustainability education is limited to isolated environmental activities like recycling or litter picking, without situating these within a wider socio-political and economic context (Elliott et al., 2016). A more transformative approach is required one that fosters critical thinking, collaboration, and global citizenship from the earliest years (UNESCO, 2017; Siraj-Blatchford et al., 2010).</w:t>
      </w:r>
    </w:p>
    <w:p w14:paraId="11EF354B" w14:textId="77777777"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 xml:space="preserve">There is a clear gap between policy ambitions and actual practice in early years education and care. Research shows many practitioners feel underprepared, citing insufficient professional development, scarce resources, and low confidence in delivering sustainability-focused content (Estyn, 2014; Nuttall, 2013). As a result, sustainability is often addressed superficially or inconsistently rather than embedded as a fundamental part of the curriculum. Additionally, curricula tend to prioritise developmental milestones and school readiness, leaving little explicit space for ESDGC principles (Carr et al., 2015). The abstract and complex nature of </w:t>
      </w:r>
      <w:r w:rsidRPr="00981B64">
        <w:rPr>
          <w:rFonts w:ascii="Arial" w:hAnsi="Arial" w:cs="Arial"/>
          <w:sz w:val="24"/>
          <w:szCs w:val="24"/>
        </w:rPr>
        <w:lastRenderedPageBreak/>
        <w:t>sustainability topics also presents challenges in designing age-appropriate learning experiences for young children (</w:t>
      </w:r>
      <w:proofErr w:type="spellStart"/>
      <w:r w:rsidRPr="00981B64">
        <w:rPr>
          <w:rFonts w:ascii="Arial" w:hAnsi="Arial" w:cs="Arial"/>
          <w:sz w:val="24"/>
          <w:szCs w:val="24"/>
        </w:rPr>
        <w:t>Ärlemalm-Hagsér</w:t>
      </w:r>
      <w:proofErr w:type="spellEnd"/>
      <w:r w:rsidRPr="00981B64">
        <w:rPr>
          <w:rFonts w:ascii="Arial" w:hAnsi="Arial" w:cs="Arial"/>
          <w:sz w:val="24"/>
          <w:szCs w:val="24"/>
        </w:rPr>
        <w:t xml:space="preserve"> et al., 2019).</w:t>
      </w:r>
    </w:p>
    <w:p w14:paraId="20DC46DB" w14:textId="01015116"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 xml:space="preserve">Resource constraints further complicate implementation. These include a lack of developmentally suitable materials, insufficient access to outdoor and nature-based environments, and difficulty engaging families and communities who may hold diverse values or limited understanding of sustainability concepts (Jensen and Schnack, 2019; Wright and </w:t>
      </w:r>
      <w:proofErr w:type="spellStart"/>
      <w:r w:rsidRPr="00981B64">
        <w:rPr>
          <w:rFonts w:ascii="Arial" w:hAnsi="Arial" w:cs="Arial"/>
          <w:sz w:val="24"/>
          <w:szCs w:val="24"/>
        </w:rPr>
        <w:t>Kanasa</w:t>
      </w:r>
      <w:proofErr w:type="spellEnd"/>
      <w:r w:rsidRPr="00981B64">
        <w:rPr>
          <w:rFonts w:ascii="Arial" w:hAnsi="Arial" w:cs="Arial"/>
          <w:sz w:val="24"/>
          <w:szCs w:val="24"/>
        </w:rPr>
        <w:t>, 2016). Assessing ESDGC outcomes in early years is also problematic, as conventional tools often fail to capture the holistic, values-based learning that sustainability education entails (</w:t>
      </w:r>
      <w:proofErr w:type="spellStart"/>
      <w:r w:rsidRPr="00981B64">
        <w:rPr>
          <w:rFonts w:ascii="Arial" w:hAnsi="Arial" w:cs="Arial"/>
          <w:sz w:val="24"/>
          <w:szCs w:val="24"/>
        </w:rPr>
        <w:t>Pramling</w:t>
      </w:r>
      <w:proofErr w:type="spellEnd"/>
      <w:r w:rsidRPr="00981B64">
        <w:rPr>
          <w:rFonts w:ascii="Arial" w:hAnsi="Arial" w:cs="Arial"/>
          <w:sz w:val="24"/>
          <w:szCs w:val="24"/>
        </w:rPr>
        <w:t xml:space="preserve"> Samuelsson and Kaga, 2019). </w:t>
      </w:r>
      <w:r w:rsidR="00B907CA" w:rsidRPr="00981B64">
        <w:rPr>
          <w:rFonts w:ascii="Arial" w:hAnsi="Arial" w:cs="Arial"/>
          <w:color w:val="000000" w:themeColor="text1"/>
          <w:sz w:val="24"/>
          <w:szCs w:val="24"/>
        </w:rPr>
        <w:t xml:space="preserve">Furthermore, </w:t>
      </w:r>
      <w:r w:rsidRPr="00981B64">
        <w:rPr>
          <w:rFonts w:ascii="Arial" w:hAnsi="Arial" w:cs="Arial"/>
          <w:sz w:val="24"/>
          <w:szCs w:val="24"/>
        </w:rPr>
        <w:t>broader policy and structural barriers persist, with many early childhood</w:t>
      </w:r>
      <w:r w:rsidRPr="00981B64">
        <w:rPr>
          <w:rFonts w:ascii="Arial" w:hAnsi="Arial" w:cs="Arial"/>
          <w:b/>
          <w:bCs/>
          <w:sz w:val="24"/>
          <w:szCs w:val="24"/>
        </w:rPr>
        <w:t xml:space="preserve"> </w:t>
      </w:r>
      <w:r w:rsidRPr="00981B64">
        <w:rPr>
          <w:rFonts w:ascii="Arial" w:hAnsi="Arial" w:cs="Arial"/>
          <w:sz w:val="24"/>
          <w:szCs w:val="24"/>
        </w:rPr>
        <w:t>education frameworks failing to prioritise sustainability, thus limiting institutional support and access to funding for ESDGC initiatives (UNESCO, 2014).</w:t>
      </w:r>
    </w:p>
    <w:p w14:paraId="6304D14B" w14:textId="77777777"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The scope of sustainability education is frequently narrowed to environmental themes such as nature walks, recycling, and wildlife conservation (UNICEF, 2020). While valuable, this focus can marginalise critical dimensions like social equity, cultural diversity, and economic justice (Duhn, 2012). For sustainability education to be truly effective, it must adopt a holistic perspective that acknowledges the interconnectedness of ecological integrity, social wellbeing, and economic systems at both local and global levels (Orr, 2004).</w:t>
      </w:r>
    </w:p>
    <w:p w14:paraId="4ADE1565" w14:textId="77777777" w:rsidR="00932E68" w:rsidRPr="00981B64" w:rsidRDefault="00932E68" w:rsidP="0052136B">
      <w:pPr>
        <w:spacing w:line="360" w:lineRule="auto"/>
        <w:rPr>
          <w:rFonts w:ascii="Arial" w:hAnsi="Arial" w:cs="Arial"/>
          <w:sz w:val="24"/>
          <w:szCs w:val="24"/>
        </w:rPr>
      </w:pPr>
      <w:r w:rsidRPr="00981B64">
        <w:rPr>
          <w:rFonts w:ascii="Arial" w:hAnsi="Arial" w:cs="Arial"/>
          <w:sz w:val="24"/>
          <w:szCs w:val="24"/>
        </w:rPr>
        <w:t>Another key concern is the limited opportunities for children to express their voices and exercise agency within sustainability education. Meaningful participation is vital to cultivate active citizenship and empower young learners to engage with their communities and environments (Walker, 2023). However, traditional adult-led pedagogies and hierarchical structures often restrict children’s involvement in decision-making and sustainability initiatives (Moss, 2012), risking their role being reduced to passive recipients rather than active change-makers.</w:t>
      </w:r>
    </w:p>
    <w:p w14:paraId="2C1CD4E7" w14:textId="03DC2F2E" w:rsidR="00932E68" w:rsidRPr="00981B64" w:rsidRDefault="00932E68" w:rsidP="0052136B">
      <w:pPr>
        <w:spacing w:line="360" w:lineRule="auto"/>
        <w:rPr>
          <w:rFonts w:ascii="Arial" w:hAnsi="Arial" w:cs="Arial"/>
          <w:sz w:val="24"/>
          <w:szCs w:val="24"/>
        </w:rPr>
      </w:pPr>
      <w:r w:rsidRPr="00981B64">
        <w:rPr>
          <w:rFonts w:ascii="Arial" w:hAnsi="Arial" w:cs="Arial"/>
          <w:b/>
          <w:bCs/>
          <w:sz w:val="24"/>
          <w:szCs w:val="24"/>
        </w:rPr>
        <w:t>Conclusion:</w:t>
      </w:r>
      <w:r w:rsidRPr="00981B64">
        <w:rPr>
          <w:rFonts w:ascii="Arial" w:hAnsi="Arial" w:cs="Arial"/>
          <w:sz w:val="24"/>
          <w:szCs w:val="24"/>
        </w:rPr>
        <w:br/>
        <w:t xml:space="preserve">The integration of sustainability into early years education presents both valuable opportunities and persistent challenges. Programmes like the John Muir Award offer a promising foundation for environmental engagement, yet to fully align with the aims </w:t>
      </w:r>
      <w:r w:rsidRPr="00981B64">
        <w:rPr>
          <w:rFonts w:ascii="Arial" w:hAnsi="Arial" w:cs="Arial"/>
          <w:sz w:val="24"/>
          <w:szCs w:val="24"/>
        </w:rPr>
        <w:lastRenderedPageBreak/>
        <w:t xml:space="preserve">of Education for Sustainable Development, they must be expanded to include themes of social justice, cultural diversity, and global interconnectedness (Sterling, 2010). Strengthening collaboration with families and communities can help embed sustainability within children’s everyday lives, enhancing both inclusivity and relevance (Wright and </w:t>
      </w:r>
      <w:proofErr w:type="spellStart"/>
      <w:r w:rsidRPr="00981B64">
        <w:rPr>
          <w:rFonts w:ascii="Arial" w:hAnsi="Arial" w:cs="Arial"/>
          <w:sz w:val="24"/>
          <w:szCs w:val="24"/>
        </w:rPr>
        <w:t>Kanasa</w:t>
      </w:r>
      <w:proofErr w:type="spellEnd"/>
      <w:r w:rsidRPr="00981B64">
        <w:rPr>
          <w:rFonts w:ascii="Arial" w:hAnsi="Arial" w:cs="Arial"/>
          <w:sz w:val="24"/>
          <w:szCs w:val="24"/>
        </w:rPr>
        <w:t>, 2016). However, structural barriers</w:t>
      </w:r>
      <w:r w:rsidR="00D60D1B" w:rsidRPr="00981B64">
        <w:rPr>
          <w:rFonts w:ascii="Arial" w:hAnsi="Arial" w:cs="Arial"/>
          <w:sz w:val="24"/>
          <w:szCs w:val="24"/>
        </w:rPr>
        <w:t xml:space="preserve">, </w:t>
      </w:r>
      <w:r w:rsidRPr="00981B64">
        <w:rPr>
          <w:rFonts w:ascii="Arial" w:hAnsi="Arial" w:cs="Arial"/>
          <w:sz w:val="24"/>
          <w:szCs w:val="24"/>
        </w:rPr>
        <w:t>including inconsistent policy implementation, limited resources, and varying levels of educator confidence</w:t>
      </w:r>
      <w:r w:rsidR="00D60D1B" w:rsidRPr="00981B64">
        <w:rPr>
          <w:rFonts w:ascii="Arial" w:hAnsi="Arial" w:cs="Arial"/>
          <w:sz w:val="24"/>
          <w:szCs w:val="24"/>
        </w:rPr>
        <w:t xml:space="preserve">, </w:t>
      </w:r>
      <w:r w:rsidRPr="00981B64">
        <w:rPr>
          <w:rFonts w:ascii="Arial" w:hAnsi="Arial" w:cs="Arial"/>
          <w:sz w:val="24"/>
          <w:szCs w:val="24"/>
        </w:rPr>
        <w:t>continue to restrict widespread, equitable delivery (Thornton and Brunton, 2017).</w:t>
      </w:r>
    </w:p>
    <w:p w14:paraId="69205BC3" w14:textId="77777777" w:rsidR="00932E68" w:rsidRDefault="00932E68" w:rsidP="0052136B">
      <w:pPr>
        <w:spacing w:line="360" w:lineRule="auto"/>
        <w:rPr>
          <w:rFonts w:ascii="Arial" w:hAnsi="Arial" w:cs="Arial"/>
          <w:sz w:val="24"/>
          <w:szCs w:val="24"/>
        </w:rPr>
      </w:pPr>
      <w:r w:rsidRPr="00981B64">
        <w:rPr>
          <w:rFonts w:ascii="Arial" w:hAnsi="Arial" w:cs="Arial"/>
          <w:sz w:val="24"/>
          <w:szCs w:val="24"/>
        </w:rPr>
        <w:t>Welsh Government initiatives, including the Well-being of Future Generations Act (2015) and the ESDGC Action Plan (2006), alongside national programmes like Children for Lifelong Learning and the John Muir Award, form a strong policy framework for promoting sustainability and global citizenship from the early years (Welsh Government, 2015; Estyn, 2014; John Muir Trust, 2020). Nevertheless, to fully realise this vision, there must be a concerted effort to move beyond surface-level environmentalism, invest in educator training, and embed children’s agency at the heart of practice. Only then can early years education truly support young children as active, compassionate, and informed global citizens capable of contributing meaningfully to a sustainable future.</w:t>
      </w:r>
    </w:p>
    <w:p w14:paraId="7A1013CE" w14:textId="3576089A" w:rsidR="00B47970" w:rsidRPr="00B47970" w:rsidRDefault="00B47970" w:rsidP="0052136B">
      <w:pPr>
        <w:spacing w:line="360" w:lineRule="auto"/>
        <w:rPr>
          <w:rFonts w:ascii="Arial" w:hAnsi="Arial" w:cs="Arial"/>
          <w:sz w:val="24"/>
          <w:szCs w:val="24"/>
          <w:u w:val="single"/>
        </w:rPr>
      </w:pPr>
      <w:r w:rsidRPr="00B47970">
        <w:rPr>
          <w:rFonts w:ascii="Arial" w:hAnsi="Arial" w:cs="Arial"/>
          <w:sz w:val="24"/>
          <w:szCs w:val="24"/>
          <w:u w:val="single"/>
        </w:rPr>
        <w:t>Refer</w:t>
      </w:r>
      <w:r>
        <w:rPr>
          <w:rFonts w:ascii="Arial" w:hAnsi="Arial" w:cs="Arial"/>
          <w:sz w:val="24"/>
          <w:szCs w:val="24"/>
          <w:u w:val="single"/>
        </w:rPr>
        <w:t>e</w:t>
      </w:r>
      <w:r w:rsidRPr="00B47970">
        <w:rPr>
          <w:rFonts w:ascii="Arial" w:hAnsi="Arial" w:cs="Arial"/>
          <w:sz w:val="24"/>
          <w:szCs w:val="24"/>
          <w:u w:val="single"/>
        </w:rPr>
        <w:t>nces</w:t>
      </w:r>
    </w:p>
    <w:p w14:paraId="3E39ECD6" w14:textId="77777777" w:rsidR="009B5717" w:rsidRPr="00B47970" w:rsidRDefault="009B5717" w:rsidP="009B5717">
      <w:pPr>
        <w:rPr>
          <w:rFonts w:ascii="Arial" w:hAnsi="Arial" w:cs="Arial"/>
          <w:sz w:val="24"/>
          <w:szCs w:val="24"/>
        </w:rPr>
      </w:pPr>
      <w:proofErr w:type="spellStart"/>
      <w:r w:rsidRPr="00B47970">
        <w:rPr>
          <w:rFonts w:ascii="Arial" w:hAnsi="Arial" w:cs="Arial"/>
          <w:sz w:val="24"/>
          <w:szCs w:val="24"/>
        </w:rPr>
        <w:t>Aarker</w:t>
      </w:r>
      <w:proofErr w:type="spellEnd"/>
      <w:r w:rsidRPr="00B47970">
        <w:rPr>
          <w:rFonts w:ascii="Arial" w:hAnsi="Arial" w:cs="Arial"/>
          <w:sz w:val="24"/>
          <w:szCs w:val="24"/>
        </w:rPr>
        <w:t xml:space="preserve">, M. and Rogers, M. (2020) </w:t>
      </w:r>
      <w:r w:rsidRPr="00B47970">
        <w:rPr>
          <w:rFonts w:ascii="Arial" w:hAnsi="Arial" w:cs="Arial"/>
          <w:i/>
          <w:iCs/>
          <w:sz w:val="24"/>
          <w:szCs w:val="24"/>
        </w:rPr>
        <w:t>Children, Place and Sustainability</w:t>
      </w:r>
      <w:r w:rsidRPr="00B47970">
        <w:rPr>
          <w:rFonts w:ascii="Arial" w:hAnsi="Arial" w:cs="Arial"/>
          <w:sz w:val="24"/>
          <w:szCs w:val="24"/>
        </w:rPr>
        <w:t>. London: Routledge.</w:t>
      </w:r>
    </w:p>
    <w:p w14:paraId="4F3F9F0A"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Amnesty International (2024) </w:t>
      </w:r>
      <w:r w:rsidRPr="00B47970">
        <w:rPr>
          <w:rFonts w:ascii="Arial" w:hAnsi="Arial" w:cs="Arial"/>
          <w:i/>
          <w:iCs/>
          <w:sz w:val="24"/>
          <w:szCs w:val="24"/>
        </w:rPr>
        <w:t>Human Rights Education Resources</w:t>
      </w:r>
      <w:r w:rsidRPr="00B47970">
        <w:rPr>
          <w:rFonts w:ascii="Arial" w:hAnsi="Arial" w:cs="Arial"/>
          <w:sz w:val="24"/>
          <w:szCs w:val="24"/>
        </w:rPr>
        <w:t xml:space="preserve">. Available at: </w:t>
      </w:r>
      <w:hyperlink r:id="rId6" w:history="1">
        <w:r w:rsidRPr="00B47970">
          <w:rPr>
            <w:rStyle w:val="Hyperlink"/>
            <w:rFonts w:ascii="Arial" w:hAnsi="Arial" w:cs="Arial"/>
            <w:sz w:val="24"/>
            <w:szCs w:val="24"/>
          </w:rPr>
          <w:t>https://www.amnesty.org.uk/education</w:t>
        </w:r>
      </w:hyperlink>
      <w:r w:rsidRPr="00B47970">
        <w:rPr>
          <w:rFonts w:ascii="Arial" w:hAnsi="Arial" w:cs="Arial"/>
          <w:sz w:val="24"/>
          <w:szCs w:val="24"/>
        </w:rPr>
        <w:t xml:space="preserve">  (Accessed: 12 July 2025).</w:t>
      </w:r>
    </w:p>
    <w:p w14:paraId="56C51F8B"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Ansell, N. and Van Blerk, L., (2020). Children and young people’s participation in climate change policy and practice: A systematic review. </w:t>
      </w:r>
      <w:r w:rsidRPr="00B47970">
        <w:rPr>
          <w:rFonts w:ascii="Arial" w:hAnsi="Arial" w:cs="Arial"/>
          <w:i/>
          <w:iCs/>
          <w:sz w:val="24"/>
          <w:szCs w:val="24"/>
        </w:rPr>
        <w:t>Children's Geographies</w:t>
      </w:r>
      <w:r w:rsidRPr="00B47970">
        <w:rPr>
          <w:rFonts w:ascii="Arial" w:hAnsi="Arial" w:cs="Arial"/>
          <w:sz w:val="24"/>
          <w:szCs w:val="24"/>
        </w:rPr>
        <w:t xml:space="preserve">, 18(1), pp.1–16. </w:t>
      </w:r>
      <w:hyperlink r:id="rId7" w:history="1">
        <w:r w:rsidRPr="00B47970">
          <w:rPr>
            <w:rStyle w:val="Hyperlink"/>
            <w:rFonts w:ascii="Arial" w:hAnsi="Arial" w:cs="Arial"/>
            <w:sz w:val="24"/>
            <w:szCs w:val="24"/>
          </w:rPr>
          <w:t>https://doi.org/10.1080/14733285.2019.1666142</w:t>
        </w:r>
      </w:hyperlink>
    </w:p>
    <w:p w14:paraId="6357FA53" w14:textId="77777777" w:rsidR="009B5717" w:rsidRDefault="009B5717" w:rsidP="009B5717">
      <w:pPr>
        <w:pStyle w:val="NormalWeb"/>
        <w:rPr>
          <w:rFonts w:ascii="Arial" w:hAnsi="Arial" w:cs="Arial"/>
        </w:rPr>
      </w:pPr>
      <w:proofErr w:type="spellStart"/>
      <w:r w:rsidRPr="0002274A">
        <w:rPr>
          <w:rFonts w:ascii="Arial" w:hAnsi="Arial" w:cs="Arial"/>
        </w:rPr>
        <w:t>Ärlemalm-Hagsér</w:t>
      </w:r>
      <w:proofErr w:type="spellEnd"/>
      <w:r w:rsidRPr="0002274A">
        <w:rPr>
          <w:rFonts w:ascii="Arial" w:hAnsi="Arial" w:cs="Arial"/>
        </w:rPr>
        <w:t xml:space="preserve">, E., Roth, W.M. and Öhman, J., 2019. Environmental and sustainability education research in early childhood education: A review. </w:t>
      </w:r>
      <w:r w:rsidRPr="0002274A">
        <w:rPr>
          <w:rFonts w:ascii="Arial" w:hAnsi="Arial" w:cs="Arial"/>
          <w:i/>
          <w:iCs/>
        </w:rPr>
        <w:t>Environmental Education Research</w:t>
      </w:r>
      <w:r w:rsidRPr="0002274A">
        <w:rPr>
          <w:rFonts w:ascii="Arial" w:hAnsi="Arial" w:cs="Arial"/>
        </w:rPr>
        <w:t xml:space="preserve">, </w:t>
      </w:r>
      <w:r w:rsidRPr="00E2391C">
        <w:rPr>
          <w:rFonts w:ascii="Arial" w:hAnsi="Arial" w:cs="Arial"/>
        </w:rPr>
        <w:t>25(</w:t>
      </w:r>
      <w:r w:rsidRPr="0002274A">
        <w:rPr>
          <w:rFonts w:ascii="Arial" w:hAnsi="Arial" w:cs="Arial"/>
        </w:rPr>
        <w:t xml:space="preserve">1), pp.85–102. </w:t>
      </w:r>
      <w:hyperlink r:id="rId8" w:history="1">
        <w:r w:rsidRPr="00BF7D51">
          <w:rPr>
            <w:rStyle w:val="Hyperlink"/>
            <w:rFonts w:ascii="Arial" w:hAnsi="Arial" w:cs="Arial"/>
          </w:rPr>
          <w:t>https://doi.org/10.1080/13504622.2018.1533700</w:t>
        </w:r>
      </w:hyperlink>
    </w:p>
    <w:p w14:paraId="412B3265" w14:textId="77777777" w:rsidR="009B5717" w:rsidRPr="004A390D" w:rsidRDefault="009B5717" w:rsidP="009B5717">
      <w:pPr>
        <w:pStyle w:val="NormalWeb"/>
        <w:rPr>
          <w:rFonts w:ascii="Arial" w:hAnsi="Arial" w:cs="Arial"/>
        </w:rPr>
      </w:pPr>
      <w:r w:rsidRPr="004A390D">
        <w:rPr>
          <w:rFonts w:ascii="Arial" w:hAnsi="Arial" w:cs="Arial"/>
        </w:rPr>
        <w:t xml:space="preserve">Barker, J. &amp; Rogers, S. (2020) </w:t>
      </w:r>
      <w:r w:rsidRPr="004A390D">
        <w:rPr>
          <w:rStyle w:val="Emphasis"/>
          <w:rFonts w:ascii="Arial" w:eastAsiaTheme="majorEastAsia" w:hAnsi="Arial" w:cs="Arial"/>
        </w:rPr>
        <w:t xml:space="preserve">Embedding </w:t>
      </w:r>
      <w:proofErr w:type="spellStart"/>
      <w:r w:rsidRPr="004A390D">
        <w:rPr>
          <w:rStyle w:val="Emphasis"/>
          <w:rFonts w:ascii="Arial" w:eastAsiaTheme="majorEastAsia" w:hAnsi="Arial" w:cs="Arial"/>
        </w:rPr>
        <w:t>Cynefin</w:t>
      </w:r>
      <w:proofErr w:type="spellEnd"/>
      <w:r w:rsidRPr="004A390D">
        <w:rPr>
          <w:rStyle w:val="Emphasis"/>
          <w:rFonts w:ascii="Arial" w:eastAsiaTheme="majorEastAsia" w:hAnsi="Arial" w:cs="Arial"/>
        </w:rPr>
        <w:t xml:space="preserve"> in Early Years Practice</w:t>
      </w:r>
      <w:r w:rsidRPr="004A390D">
        <w:rPr>
          <w:rFonts w:ascii="Arial" w:hAnsi="Arial" w:cs="Arial"/>
        </w:rPr>
        <w:t>. Cardiff: Welsh Government.</w:t>
      </w:r>
    </w:p>
    <w:p w14:paraId="31392A47" w14:textId="77777777" w:rsidR="009B5717" w:rsidRPr="00B47970" w:rsidRDefault="009B5717" w:rsidP="009B5717">
      <w:pPr>
        <w:rPr>
          <w:rFonts w:ascii="Arial" w:hAnsi="Arial" w:cs="Arial"/>
          <w:sz w:val="24"/>
          <w:szCs w:val="24"/>
        </w:rPr>
      </w:pPr>
      <w:r w:rsidRPr="00B47970">
        <w:rPr>
          <w:rFonts w:ascii="Arial" w:hAnsi="Arial" w:cs="Arial"/>
          <w:sz w:val="24"/>
          <w:szCs w:val="24"/>
        </w:rPr>
        <w:lastRenderedPageBreak/>
        <w:t xml:space="preserve">Barker, J. (2017). </w:t>
      </w:r>
      <w:r w:rsidRPr="00B47970">
        <w:rPr>
          <w:rFonts w:ascii="Arial" w:hAnsi="Arial" w:cs="Arial"/>
          <w:i/>
          <w:iCs/>
          <w:sz w:val="24"/>
          <w:szCs w:val="24"/>
        </w:rPr>
        <w:t>The role of place in early childhood sustainability education</w:t>
      </w:r>
      <w:r w:rsidRPr="00B47970">
        <w:rPr>
          <w:rFonts w:ascii="Arial" w:hAnsi="Arial" w:cs="Arial"/>
          <w:sz w:val="24"/>
          <w:szCs w:val="24"/>
        </w:rPr>
        <w:t>. Journal of Environmental Education, 48(4), 239-252.</w:t>
      </w:r>
    </w:p>
    <w:p w14:paraId="7917BA9C" w14:textId="77777777" w:rsidR="009B5717" w:rsidRPr="00B47970" w:rsidRDefault="009B5717" w:rsidP="009B5717">
      <w:pPr>
        <w:pStyle w:val="NormalWeb"/>
        <w:rPr>
          <w:rFonts w:ascii="Arial" w:hAnsi="Arial" w:cs="Arial"/>
        </w:rPr>
      </w:pPr>
      <w:r w:rsidRPr="00B47970">
        <w:rPr>
          <w:rFonts w:ascii="Arial" w:hAnsi="Arial" w:cs="Arial"/>
        </w:rPr>
        <w:t xml:space="preserve">Barker, J. and Rogers, S (2020) Children, nature, and place: Connection through the concept of </w:t>
      </w:r>
      <w:proofErr w:type="spellStart"/>
      <w:r w:rsidRPr="00B47970">
        <w:rPr>
          <w:rFonts w:ascii="Arial" w:hAnsi="Arial" w:cs="Arial"/>
        </w:rPr>
        <w:t>cynefin</w:t>
      </w:r>
      <w:proofErr w:type="spellEnd"/>
      <w:r w:rsidRPr="00B47970">
        <w:rPr>
          <w:rFonts w:ascii="Arial" w:hAnsi="Arial" w:cs="Arial"/>
        </w:rPr>
        <w:t xml:space="preserve">. </w:t>
      </w:r>
      <w:r w:rsidRPr="00B47970">
        <w:rPr>
          <w:rFonts w:ascii="Arial" w:hAnsi="Arial" w:cs="Arial"/>
          <w:i/>
          <w:iCs/>
        </w:rPr>
        <w:t>Early Childhood Education Journal</w:t>
      </w:r>
      <w:r w:rsidRPr="00B47970">
        <w:rPr>
          <w:rFonts w:ascii="Arial" w:hAnsi="Arial" w:cs="Arial"/>
        </w:rPr>
        <w:t xml:space="preserve">, 48(1), pp.15–25. </w:t>
      </w:r>
      <w:hyperlink r:id="rId9" w:history="1">
        <w:r w:rsidRPr="00B47970">
          <w:rPr>
            <w:rStyle w:val="Hyperlink"/>
            <w:rFonts w:ascii="Arial" w:hAnsi="Arial" w:cs="Arial"/>
          </w:rPr>
          <w:t>https://doi.org/10.1007/s10643-019-00963-7</w:t>
        </w:r>
      </w:hyperlink>
    </w:p>
    <w:p w14:paraId="1E5EE431" w14:textId="77777777" w:rsidR="009B5717" w:rsidRPr="00B47970" w:rsidRDefault="009B5717" w:rsidP="009B5717">
      <w:pPr>
        <w:pStyle w:val="NormalWeb"/>
        <w:rPr>
          <w:rFonts w:ascii="Arial" w:hAnsi="Arial" w:cs="Arial"/>
        </w:rPr>
      </w:pPr>
      <w:r w:rsidRPr="00B47970">
        <w:rPr>
          <w:rFonts w:ascii="Arial" w:hAnsi="Arial" w:cs="Arial"/>
        </w:rPr>
        <w:t xml:space="preserve">Barker, S. and Rogers, M., (2020). </w:t>
      </w:r>
      <w:r w:rsidRPr="00B47970">
        <w:rPr>
          <w:rStyle w:val="Emphasis"/>
          <w:rFonts w:ascii="Arial" w:eastAsiaTheme="majorEastAsia" w:hAnsi="Arial" w:cs="Arial"/>
        </w:rPr>
        <w:t>Place-based education and sustainability in early childhood</w:t>
      </w:r>
      <w:r w:rsidRPr="00B47970">
        <w:rPr>
          <w:rFonts w:ascii="Arial" w:hAnsi="Arial" w:cs="Arial"/>
        </w:rPr>
        <w:t>. Abingdon: Routledge.</w:t>
      </w:r>
    </w:p>
    <w:p w14:paraId="3964E678"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Boyd, D.R., Knox, S. and Knox, A., (2019). Environmental rights and intergenerational justice: Foundations for a sustainable future. </w:t>
      </w:r>
      <w:r w:rsidRPr="00B47970">
        <w:rPr>
          <w:rFonts w:ascii="Arial" w:hAnsi="Arial" w:cs="Arial"/>
          <w:i/>
          <w:iCs/>
          <w:sz w:val="24"/>
          <w:szCs w:val="24"/>
        </w:rPr>
        <w:t>Journal of Human Rights and the Environment</w:t>
      </w:r>
      <w:r w:rsidRPr="00B47970">
        <w:rPr>
          <w:rFonts w:ascii="Arial" w:hAnsi="Arial" w:cs="Arial"/>
          <w:sz w:val="24"/>
          <w:szCs w:val="24"/>
        </w:rPr>
        <w:t xml:space="preserve">, </w:t>
      </w:r>
      <w:r w:rsidRPr="00B47970">
        <w:rPr>
          <w:rFonts w:ascii="Arial" w:hAnsi="Arial" w:cs="Arial"/>
          <w:b/>
          <w:bCs/>
          <w:sz w:val="24"/>
          <w:szCs w:val="24"/>
        </w:rPr>
        <w:t>10</w:t>
      </w:r>
      <w:r w:rsidRPr="00B47970">
        <w:rPr>
          <w:rFonts w:ascii="Arial" w:hAnsi="Arial" w:cs="Arial"/>
          <w:sz w:val="24"/>
          <w:szCs w:val="24"/>
        </w:rPr>
        <w:t xml:space="preserve">(2), pp.143–162. </w:t>
      </w:r>
      <w:hyperlink r:id="rId10" w:history="1">
        <w:r w:rsidRPr="00B47970">
          <w:rPr>
            <w:rStyle w:val="Hyperlink"/>
            <w:rFonts w:ascii="Arial" w:hAnsi="Arial" w:cs="Arial"/>
            <w:sz w:val="24"/>
            <w:szCs w:val="24"/>
          </w:rPr>
          <w:t>https://doi.org/10.4337/jhre.2019.02.01</w:t>
        </w:r>
      </w:hyperlink>
    </w:p>
    <w:p w14:paraId="6EEA6C0C"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British Council (2023) </w:t>
      </w:r>
      <w:r w:rsidRPr="00B47970">
        <w:rPr>
          <w:rFonts w:ascii="Arial" w:hAnsi="Arial" w:cs="Arial"/>
          <w:i/>
          <w:iCs/>
          <w:sz w:val="24"/>
          <w:szCs w:val="24"/>
        </w:rPr>
        <w:t>Connecting Classrooms through Global Learning</w:t>
      </w:r>
      <w:r w:rsidRPr="00B47970">
        <w:rPr>
          <w:rFonts w:ascii="Arial" w:hAnsi="Arial" w:cs="Arial"/>
          <w:sz w:val="24"/>
          <w:szCs w:val="24"/>
        </w:rPr>
        <w:t xml:space="preserve">. Available at: </w:t>
      </w:r>
      <w:hyperlink r:id="rId11" w:history="1">
        <w:r w:rsidRPr="00B47970">
          <w:rPr>
            <w:rStyle w:val="Hyperlink"/>
            <w:rFonts w:ascii="Arial" w:hAnsi="Arial" w:cs="Arial"/>
            <w:sz w:val="24"/>
            <w:szCs w:val="24"/>
          </w:rPr>
          <w:t>https://www.britishcouncil.org/education/schools/support-for-teachers/classroom-resources</w:t>
        </w:r>
      </w:hyperlink>
      <w:r w:rsidRPr="00B47970">
        <w:rPr>
          <w:rFonts w:ascii="Arial" w:hAnsi="Arial" w:cs="Arial"/>
          <w:sz w:val="24"/>
          <w:szCs w:val="24"/>
        </w:rPr>
        <w:t xml:space="preserve"> (Accessed: 12 July 2025).</w:t>
      </w:r>
    </w:p>
    <w:p w14:paraId="323FFC20" w14:textId="77777777" w:rsidR="009B5717" w:rsidRPr="00B47970" w:rsidRDefault="009B5717" w:rsidP="009B5717">
      <w:pPr>
        <w:pStyle w:val="NormalWeb"/>
        <w:rPr>
          <w:rFonts w:ascii="Arial" w:hAnsi="Arial" w:cs="Arial"/>
        </w:rPr>
      </w:pPr>
      <w:r w:rsidRPr="00B47970">
        <w:rPr>
          <w:rFonts w:ascii="Arial" w:hAnsi="Arial" w:cs="Arial"/>
        </w:rPr>
        <w:t xml:space="preserve">Bronfenbrenner, U. (1979) </w:t>
      </w:r>
      <w:r w:rsidRPr="00B47970">
        <w:rPr>
          <w:rStyle w:val="Emphasis"/>
          <w:rFonts w:ascii="Arial" w:eastAsiaTheme="majorEastAsia" w:hAnsi="Arial" w:cs="Arial"/>
        </w:rPr>
        <w:t>The Ecology of Human Development: Experiments by Nature and Design</w:t>
      </w:r>
      <w:r w:rsidRPr="00B47970">
        <w:rPr>
          <w:rFonts w:ascii="Arial" w:hAnsi="Arial" w:cs="Arial"/>
        </w:rPr>
        <w:t>. Cambridge, MA: Harvard University Press.</w:t>
      </w:r>
    </w:p>
    <w:p w14:paraId="5BB82387" w14:textId="77777777" w:rsidR="009B5717" w:rsidRPr="00B47970" w:rsidRDefault="009B5717" w:rsidP="009B5717">
      <w:pPr>
        <w:pStyle w:val="NormalWeb"/>
        <w:rPr>
          <w:rFonts w:ascii="Arial" w:hAnsi="Arial" w:cs="Arial"/>
        </w:rPr>
      </w:pPr>
      <w:r w:rsidRPr="00B47970">
        <w:rPr>
          <w:rFonts w:ascii="Arial" w:hAnsi="Arial" w:cs="Arial"/>
        </w:rPr>
        <w:t xml:space="preserve">Bruce, T. (2021). </w:t>
      </w:r>
      <w:r w:rsidRPr="00B47970">
        <w:rPr>
          <w:rFonts w:ascii="Arial" w:hAnsi="Arial" w:cs="Arial"/>
          <w:i/>
          <w:iCs/>
        </w:rPr>
        <w:t>Early childhood education</w:t>
      </w:r>
      <w:r w:rsidRPr="00B47970">
        <w:rPr>
          <w:rFonts w:ascii="Arial" w:hAnsi="Arial" w:cs="Arial"/>
        </w:rPr>
        <w:t>. London: Hodder Education.</w:t>
      </w:r>
    </w:p>
    <w:p w14:paraId="4237CBF5" w14:textId="77777777" w:rsidR="009B5717" w:rsidRPr="00B47970" w:rsidRDefault="009B5717" w:rsidP="009B5717">
      <w:pPr>
        <w:pStyle w:val="NormalWeb"/>
        <w:rPr>
          <w:rFonts w:ascii="Arial" w:hAnsi="Arial" w:cs="Arial"/>
        </w:rPr>
      </w:pPr>
      <w:r w:rsidRPr="00B47970">
        <w:rPr>
          <w:rFonts w:ascii="Arial" w:hAnsi="Arial" w:cs="Arial"/>
        </w:rPr>
        <w:t xml:space="preserve">Bruner, J.S. (1996) </w:t>
      </w:r>
      <w:r w:rsidRPr="00B47970">
        <w:rPr>
          <w:rStyle w:val="Emphasis"/>
          <w:rFonts w:ascii="Arial" w:eastAsiaTheme="majorEastAsia" w:hAnsi="Arial" w:cs="Arial"/>
        </w:rPr>
        <w:t>The Culture of Education</w:t>
      </w:r>
      <w:r w:rsidRPr="00B47970">
        <w:rPr>
          <w:rFonts w:ascii="Arial" w:hAnsi="Arial" w:cs="Arial"/>
        </w:rPr>
        <w:t>. Cambridge, MA: Harvard University Press.</w:t>
      </w:r>
    </w:p>
    <w:p w14:paraId="71984EA4" w14:textId="77777777" w:rsidR="009B5717" w:rsidRPr="00B47970" w:rsidRDefault="009B5717" w:rsidP="009B5717">
      <w:pPr>
        <w:rPr>
          <w:rFonts w:ascii="Arial" w:hAnsi="Arial" w:cs="Arial"/>
          <w:sz w:val="24"/>
          <w:szCs w:val="24"/>
        </w:rPr>
      </w:pPr>
      <w:r w:rsidRPr="00B47970">
        <w:rPr>
          <w:rFonts w:ascii="Arial" w:hAnsi="Arial" w:cs="Arial"/>
          <w:color w:val="000000" w:themeColor="text1"/>
          <w:sz w:val="24"/>
          <w:szCs w:val="24"/>
        </w:rPr>
        <w:t xml:space="preserve">Carr, M., May, H. and Podmore, V.N. (2015). </w:t>
      </w:r>
      <w:r w:rsidRPr="00B47970">
        <w:rPr>
          <w:rFonts w:ascii="Arial" w:hAnsi="Arial" w:cs="Arial"/>
          <w:sz w:val="24"/>
          <w:szCs w:val="24"/>
        </w:rPr>
        <w:t xml:space="preserve">Quality teaching and learning in early childhood education. </w:t>
      </w:r>
      <w:r w:rsidRPr="00B47970">
        <w:rPr>
          <w:rFonts w:ascii="Arial" w:hAnsi="Arial" w:cs="Arial"/>
          <w:i/>
          <w:iCs/>
          <w:sz w:val="24"/>
          <w:szCs w:val="24"/>
        </w:rPr>
        <w:t>New Zealand Journal of Educational Studies</w:t>
      </w:r>
      <w:r w:rsidRPr="00B47970">
        <w:rPr>
          <w:rFonts w:ascii="Arial" w:hAnsi="Arial" w:cs="Arial"/>
          <w:sz w:val="24"/>
          <w:szCs w:val="24"/>
        </w:rPr>
        <w:t>, 50(2), pp.151–167.</w:t>
      </w:r>
    </w:p>
    <w:p w14:paraId="7B0DE535"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CAT (Centre for Alternative Technology) (2023) </w:t>
      </w:r>
      <w:r w:rsidRPr="00B47970">
        <w:rPr>
          <w:rFonts w:ascii="Arial" w:hAnsi="Arial" w:cs="Arial"/>
          <w:i/>
          <w:iCs/>
          <w:sz w:val="24"/>
          <w:szCs w:val="24"/>
        </w:rPr>
        <w:t>Education and Schools</w:t>
      </w:r>
      <w:r w:rsidRPr="00B47970">
        <w:rPr>
          <w:rFonts w:ascii="Arial" w:hAnsi="Arial" w:cs="Arial"/>
          <w:sz w:val="24"/>
          <w:szCs w:val="24"/>
        </w:rPr>
        <w:t>. Available at: https://www.cat.org.uk/education/schools/ (Accessed: 12 July 2025).</w:t>
      </w:r>
    </w:p>
    <w:p w14:paraId="5F1F175E"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Children’s Commissioner for Wales (2018) </w:t>
      </w:r>
      <w:r w:rsidRPr="00B47970">
        <w:rPr>
          <w:rFonts w:ascii="Arial" w:hAnsi="Arial" w:cs="Arial"/>
          <w:i/>
          <w:iCs/>
          <w:sz w:val="24"/>
          <w:szCs w:val="24"/>
        </w:rPr>
        <w:t>Voices of children and young people in the new curriculum for Wales</w:t>
      </w:r>
      <w:r w:rsidRPr="00B47970">
        <w:rPr>
          <w:rFonts w:ascii="Arial" w:hAnsi="Arial" w:cs="Arial"/>
          <w:sz w:val="24"/>
          <w:szCs w:val="24"/>
        </w:rPr>
        <w:t xml:space="preserve">. Education Wales. Available at: </w:t>
      </w:r>
      <w:hyperlink r:id="rId12" w:history="1">
        <w:r w:rsidRPr="00B47970">
          <w:rPr>
            <w:rStyle w:val="Hyperlink"/>
            <w:rFonts w:ascii="Arial" w:hAnsi="Arial" w:cs="Arial"/>
            <w:sz w:val="24"/>
            <w:szCs w:val="24"/>
          </w:rPr>
          <w:t>https://hwb.gov.wales/curriculum-for-wales/voices-of-children-and-young-people-in-the-new-curriculum-for-wales</w:t>
        </w:r>
      </w:hyperlink>
      <w:r w:rsidRPr="00B47970">
        <w:rPr>
          <w:rFonts w:ascii="Arial" w:hAnsi="Arial" w:cs="Arial"/>
          <w:sz w:val="24"/>
          <w:szCs w:val="24"/>
        </w:rPr>
        <w:t xml:space="preserve"> (Accessed: 13 July 2025).</w:t>
      </w:r>
    </w:p>
    <w:p w14:paraId="46D04764"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Clark, A. (2010) </w:t>
      </w:r>
      <w:r w:rsidRPr="00B47970">
        <w:rPr>
          <w:rFonts w:ascii="Arial" w:hAnsi="Arial" w:cs="Arial"/>
          <w:i/>
          <w:iCs/>
          <w:sz w:val="24"/>
          <w:szCs w:val="24"/>
        </w:rPr>
        <w:t>Transforming Children’s Spaces: Children’s and Adults’ Participation in Designing Learning Environments</w:t>
      </w:r>
      <w:r w:rsidRPr="00B47970">
        <w:rPr>
          <w:rFonts w:ascii="Arial" w:hAnsi="Arial" w:cs="Arial"/>
          <w:sz w:val="24"/>
          <w:szCs w:val="24"/>
        </w:rPr>
        <w:t>. London: Routledge.</w:t>
      </w:r>
    </w:p>
    <w:p w14:paraId="3F4FA3CA" w14:textId="77777777" w:rsidR="009B5717" w:rsidRPr="00B47970" w:rsidRDefault="009B5717" w:rsidP="009B5717">
      <w:pPr>
        <w:pStyle w:val="NormalWeb"/>
        <w:rPr>
          <w:rFonts w:ascii="Arial" w:hAnsi="Arial" w:cs="Arial"/>
        </w:rPr>
      </w:pPr>
      <w:r w:rsidRPr="00B47970">
        <w:rPr>
          <w:rFonts w:ascii="Arial" w:hAnsi="Arial" w:cs="Arial"/>
        </w:rPr>
        <w:t xml:space="preserve">Clark, A. and Moss, P. (2015). </w:t>
      </w:r>
      <w:r w:rsidRPr="00B47970">
        <w:rPr>
          <w:rFonts w:ascii="Arial" w:hAnsi="Arial" w:cs="Arial"/>
          <w:i/>
          <w:iCs/>
        </w:rPr>
        <w:t>Spaces to Play: More Listening to Young Children Using the Mosaic Approach</w:t>
      </w:r>
      <w:r w:rsidRPr="00B47970">
        <w:rPr>
          <w:rFonts w:ascii="Arial" w:hAnsi="Arial" w:cs="Arial"/>
        </w:rPr>
        <w:t>. 2nd ed. London: National Children’s Bureau.</w:t>
      </w:r>
    </w:p>
    <w:p w14:paraId="6D4B5BC4" w14:textId="77777777" w:rsidR="009B5717" w:rsidRPr="00B47970" w:rsidRDefault="009B5717" w:rsidP="009B5717">
      <w:pPr>
        <w:pStyle w:val="NormalWeb"/>
        <w:rPr>
          <w:rFonts w:ascii="Arial" w:hAnsi="Arial" w:cs="Arial"/>
        </w:rPr>
      </w:pPr>
      <w:r w:rsidRPr="00B47970">
        <w:rPr>
          <w:rFonts w:ascii="Arial" w:hAnsi="Arial" w:cs="Arial"/>
        </w:rPr>
        <w:t xml:space="preserve">Collins, K. and Ison, R. (2019). Why we need to rethink children’s roles in environmental governance. </w:t>
      </w:r>
      <w:r w:rsidRPr="00B47970">
        <w:rPr>
          <w:rFonts w:ascii="Arial" w:hAnsi="Arial" w:cs="Arial"/>
          <w:i/>
          <w:iCs/>
        </w:rPr>
        <w:t>Environmental Science &amp; Policy</w:t>
      </w:r>
      <w:r w:rsidRPr="00B47970">
        <w:rPr>
          <w:rFonts w:ascii="Arial" w:hAnsi="Arial" w:cs="Arial"/>
        </w:rPr>
        <w:t>, 101, pp.137–145.</w:t>
      </w:r>
    </w:p>
    <w:p w14:paraId="7F0C50CE" w14:textId="77777777" w:rsidR="009B5717" w:rsidRPr="00B47970" w:rsidRDefault="009B5717" w:rsidP="009B5717">
      <w:pPr>
        <w:pStyle w:val="NormalWeb"/>
        <w:rPr>
          <w:rFonts w:ascii="Arial" w:hAnsi="Arial" w:cs="Arial"/>
        </w:rPr>
      </w:pPr>
      <w:r w:rsidRPr="00B47970">
        <w:rPr>
          <w:rFonts w:ascii="Arial" w:hAnsi="Arial" w:cs="Arial"/>
        </w:rPr>
        <w:lastRenderedPageBreak/>
        <w:t xml:space="preserve">Cutter-Mackenzie, A. &amp; Edwards, S. (2013) ‘Influences on the development of young children's environmental attitudes and behaviours’, </w:t>
      </w:r>
      <w:r w:rsidRPr="00B47970">
        <w:rPr>
          <w:rStyle w:val="Emphasis"/>
          <w:rFonts w:ascii="Arial" w:eastAsiaTheme="majorEastAsia" w:hAnsi="Arial" w:cs="Arial"/>
        </w:rPr>
        <w:t>Environmental Education Research</w:t>
      </w:r>
      <w:r w:rsidRPr="00B47970">
        <w:rPr>
          <w:rFonts w:ascii="Arial" w:hAnsi="Arial" w:cs="Arial"/>
        </w:rPr>
        <w:t xml:space="preserve">, 19(2), pp. 223–244. </w:t>
      </w:r>
      <w:hyperlink r:id="rId13" w:history="1">
        <w:r w:rsidRPr="00B47970">
          <w:rPr>
            <w:rStyle w:val="Hyperlink"/>
            <w:rFonts w:ascii="Arial" w:hAnsi="Arial" w:cs="Arial"/>
          </w:rPr>
          <w:t>https://doi.org/10.1080/13504622.2012.697545</w:t>
        </w:r>
      </w:hyperlink>
      <w:r w:rsidRPr="00B47970">
        <w:rPr>
          <w:rFonts w:ascii="Arial" w:hAnsi="Arial" w:cs="Arial"/>
        </w:rPr>
        <w:t xml:space="preserve">. </w:t>
      </w:r>
    </w:p>
    <w:p w14:paraId="1684F08A" w14:textId="77777777" w:rsidR="009B5717" w:rsidRPr="00B47970" w:rsidRDefault="009B5717" w:rsidP="009B5717">
      <w:pPr>
        <w:pStyle w:val="NormalWeb"/>
        <w:rPr>
          <w:rFonts w:ascii="Arial" w:hAnsi="Arial" w:cs="Arial"/>
        </w:rPr>
      </w:pPr>
      <w:r w:rsidRPr="00B47970">
        <w:rPr>
          <w:rFonts w:ascii="Arial" w:hAnsi="Arial" w:cs="Arial"/>
        </w:rPr>
        <w:t xml:space="preserve">Davis, J.M., (2015). </w:t>
      </w:r>
      <w:r w:rsidRPr="00B47970">
        <w:rPr>
          <w:rStyle w:val="Emphasis"/>
          <w:rFonts w:ascii="Arial" w:eastAsiaTheme="majorEastAsia" w:hAnsi="Arial" w:cs="Arial"/>
        </w:rPr>
        <w:t>Young children and the environment: Early education for sustainability</w:t>
      </w:r>
      <w:r w:rsidRPr="00B47970">
        <w:rPr>
          <w:rFonts w:ascii="Arial" w:hAnsi="Arial" w:cs="Arial"/>
        </w:rPr>
        <w:t>. 2nd ed. Melbourne: Cambridge University Press.</w:t>
      </w:r>
    </w:p>
    <w:p w14:paraId="050CA1CC"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Devall, B. and Sessions, G. (2016). </w:t>
      </w:r>
      <w:r w:rsidRPr="00B47970">
        <w:rPr>
          <w:rFonts w:ascii="Arial" w:hAnsi="Arial" w:cs="Arial"/>
          <w:i/>
          <w:iCs/>
          <w:sz w:val="24"/>
          <w:szCs w:val="24"/>
        </w:rPr>
        <w:t>Deep Ecology: Living as if Nature Mattered</w:t>
      </w:r>
      <w:r w:rsidRPr="00B47970">
        <w:rPr>
          <w:rFonts w:ascii="Arial" w:hAnsi="Arial" w:cs="Arial"/>
          <w:sz w:val="24"/>
          <w:szCs w:val="24"/>
        </w:rPr>
        <w:t>. 2nd ed. Salt Lake City: Gibbs Smith.</w:t>
      </w:r>
    </w:p>
    <w:p w14:paraId="50A7C369"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Dewey, J. (1938). </w:t>
      </w:r>
      <w:r w:rsidRPr="00B47970">
        <w:rPr>
          <w:rFonts w:ascii="Arial" w:hAnsi="Arial" w:cs="Arial"/>
          <w:i/>
          <w:iCs/>
          <w:sz w:val="24"/>
          <w:szCs w:val="24"/>
        </w:rPr>
        <w:t>Experience and education</w:t>
      </w:r>
      <w:r w:rsidRPr="00B47970">
        <w:rPr>
          <w:rFonts w:ascii="Arial" w:hAnsi="Arial" w:cs="Arial"/>
          <w:sz w:val="24"/>
          <w:szCs w:val="24"/>
        </w:rPr>
        <w:t>. New York: Macmillan.</w:t>
      </w:r>
    </w:p>
    <w:p w14:paraId="4F0064BE"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DfE (2011) </w:t>
      </w:r>
      <w:r w:rsidRPr="00B47970">
        <w:rPr>
          <w:rFonts w:ascii="Arial" w:hAnsi="Arial" w:cs="Arial"/>
          <w:i/>
          <w:iCs/>
          <w:sz w:val="24"/>
          <w:szCs w:val="24"/>
        </w:rPr>
        <w:t>Children for lifelong learning</w:t>
      </w:r>
      <w:r w:rsidRPr="00B47970">
        <w:rPr>
          <w:rFonts w:ascii="Arial" w:hAnsi="Arial" w:cs="Arial"/>
          <w:sz w:val="24"/>
          <w:szCs w:val="24"/>
        </w:rPr>
        <w:t>. London: Department for Education.</w:t>
      </w:r>
    </w:p>
    <w:p w14:paraId="5D259F71" w14:textId="77777777" w:rsidR="009B5717" w:rsidRPr="00B47970" w:rsidRDefault="009B5717" w:rsidP="009B5717">
      <w:pPr>
        <w:pStyle w:val="NormalWeb"/>
        <w:rPr>
          <w:rFonts w:ascii="Arial" w:hAnsi="Arial" w:cs="Arial"/>
        </w:rPr>
      </w:pPr>
      <w:r w:rsidRPr="00B47970">
        <w:rPr>
          <w:rFonts w:ascii="Arial" w:hAnsi="Arial" w:cs="Arial"/>
        </w:rPr>
        <w:t xml:space="preserve">Donaldson, G. (2015) </w:t>
      </w:r>
      <w:r w:rsidRPr="00B47970">
        <w:rPr>
          <w:rStyle w:val="Emphasis"/>
          <w:rFonts w:ascii="Arial" w:eastAsiaTheme="majorEastAsia" w:hAnsi="Arial" w:cs="Arial"/>
        </w:rPr>
        <w:t>Successful Futures: Independent Review of Curriculum and Assessment Arrangements in Wales</w:t>
      </w:r>
      <w:r w:rsidRPr="00B47970">
        <w:rPr>
          <w:rFonts w:ascii="Arial" w:hAnsi="Arial" w:cs="Arial"/>
        </w:rPr>
        <w:t>. Cardiff: Welsh Government.</w:t>
      </w:r>
    </w:p>
    <w:p w14:paraId="0762AAC4" w14:textId="77777777" w:rsidR="009B5717" w:rsidRPr="00B47970" w:rsidRDefault="009B5717" w:rsidP="009B5717">
      <w:pPr>
        <w:pStyle w:val="NormalWeb"/>
        <w:rPr>
          <w:rFonts w:ascii="Arial" w:hAnsi="Arial" w:cs="Arial"/>
        </w:rPr>
      </w:pPr>
      <w:r w:rsidRPr="00B47970">
        <w:rPr>
          <w:rFonts w:ascii="Arial" w:hAnsi="Arial" w:cs="Arial"/>
        </w:rPr>
        <w:t xml:space="preserve">Doughnut Economics Action Lab (DEAL) (2017) </w:t>
      </w:r>
      <w:r w:rsidRPr="00B47970">
        <w:rPr>
          <w:rStyle w:val="Emphasis"/>
          <w:rFonts w:ascii="Arial" w:eastAsiaTheme="majorEastAsia" w:hAnsi="Arial" w:cs="Arial"/>
        </w:rPr>
        <w:t>Doughnut Economics: Seven Ways to Think Like a 21st-Century Economist</w:t>
      </w:r>
      <w:r w:rsidRPr="00B47970">
        <w:rPr>
          <w:rFonts w:ascii="Arial" w:hAnsi="Arial" w:cs="Arial"/>
        </w:rPr>
        <w:t xml:space="preserve">. Available at: </w:t>
      </w:r>
      <w:hyperlink r:id="rId14" w:history="1">
        <w:r w:rsidRPr="00B47970">
          <w:rPr>
            <w:rStyle w:val="Hyperlink"/>
            <w:rFonts w:ascii="Arial" w:hAnsi="Arial" w:cs="Arial"/>
          </w:rPr>
          <w:t>https://www.kateraworth.com/doughnut</w:t>
        </w:r>
      </w:hyperlink>
      <w:proofErr w:type="gramStart"/>
      <w:r w:rsidRPr="00B47970">
        <w:rPr>
          <w:rFonts w:ascii="Arial" w:hAnsi="Arial" w:cs="Arial"/>
        </w:rPr>
        <w:t xml:space="preserve">   (</w:t>
      </w:r>
      <w:proofErr w:type="gramEnd"/>
      <w:r w:rsidRPr="00B47970">
        <w:rPr>
          <w:rFonts w:ascii="Arial" w:hAnsi="Arial" w:cs="Arial"/>
        </w:rPr>
        <w:t>Accessed:13 July 2025).</w:t>
      </w:r>
    </w:p>
    <w:p w14:paraId="6F3DC637"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ECE Sustainability within Wales (2016) </w:t>
      </w:r>
      <w:r w:rsidRPr="00B47970">
        <w:rPr>
          <w:rFonts w:ascii="Arial" w:hAnsi="Arial" w:cs="Arial"/>
          <w:i/>
          <w:iCs/>
          <w:sz w:val="24"/>
          <w:szCs w:val="24"/>
        </w:rPr>
        <w:t>Early childhood education for sustainability within Wales</w:t>
      </w:r>
      <w:r w:rsidRPr="00B47970">
        <w:rPr>
          <w:rFonts w:ascii="Arial" w:hAnsi="Arial" w:cs="Arial"/>
          <w:sz w:val="24"/>
          <w:szCs w:val="24"/>
        </w:rPr>
        <w:t xml:space="preserve">. In: Tinney, G. and Hirst, N. (eds.) </w:t>
      </w:r>
      <w:r w:rsidRPr="00B47970">
        <w:rPr>
          <w:rFonts w:ascii="Arial" w:hAnsi="Arial" w:cs="Arial"/>
          <w:i/>
          <w:iCs/>
          <w:sz w:val="24"/>
          <w:szCs w:val="24"/>
        </w:rPr>
        <w:t>Early childhood education for sustainability within Wales</w:t>
      </w:r>
      <w:r w:rsidRPr="00B47970">
        <w:rPr>
          <w:rFonts w:ascii="Arial" w:hAnsi="Arial" w:cs="Arial"/>
          <w:sz w:val="24"/>
          <w:szCs w:val="24"/>
        </w:rPr>
        <w:t>. London: Routledge.</w:t>
      </w:r>
    </w:p>
    <w:p w14:paraId="2FEA21D8" w14:textId="77777777" w:rsidR="009B5717" w:rsidRPr="00B47970" w:rsidRDefault="009B5717" w:rsidP="009B5717">
      <w:pPr>
        <w:pStyle w:val="NormalWeb"/>
        <w:rPr>
          <w:rFonts w:ascii="Arial" w:hAnsi="Arial" w:cs="Arial"/>
        </w:rPr>
      </w:pPr>
      <w:r w:rsidRPr="00B47970">
        <w:rPr>
          <w:rFonts w:ascii="Arial" w:hAnsi="Arial" w:cs="Arial"/>
        </w:rPr>
        <w:t xml:space="preserve">ECE Sustainability within Wales (2016) </w:t>
      </w:r>
      <w:r w:rsidRPr="00B47970">
        <w:rPr>
          <w:rStyle w:val="Emphasis"/>
          <w:rFonts w:ascii="Arial" w:eastAsiaTheme="majorEastAsia" w:hAnsi="Arial" w:cs="Arial"/>
        </w:rPr>
        <w:t>Education for Sustainable Development and Global Citizenship in Early Years Settings</w:t>
      </w:r>
      <w:r w:rsidRPr="00B47970">
        <w:rPr>
          <w:rFonts w:ascii="Arial" w:hAnsi="Arial" w:cs="Arial"/>
        </w:rPr>
        <w:t>. Cardiff: ECE Sustainability Wales.</w:t>
      </w:r>
    </w:p>
    <w:p w14:paraId="44212AAB"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Edwards, C. (2002). </w:t>
      </w:r>
      <w:r w:rsidRPr="00B47970">
        <w:rPr>
          <w:rFonts w:ascii="Arial" w:hAnsi="Arial" w:cs="Arial"/>
          <w:i/>
          <w:iCs/>
          <w:sz w:val="24"/>
          <w:szCs w:val="24"/>
        </w:rPr>
        <w:t>The hundred languages of children: The Reggio Emilia approach to early childhood education</w:t>
      </w:r>
      <w:r w:rsidRPr="00B47970">
        <w:rPr>
          <w:rFonts w:ascii="Arial" w:hAnsi="Arial" w:cs="Arial"/>
          <w:sz w:val="24"/>
          <w:szCs w:val="24"/>
        </w:rPr>
        <w:t xml:space="preserve">. Westport, CT: </w:t>
      </w:r>
      <w:proofErr w:type="spellStart"/>
      <w:r w:rsidRPr="00B47970">
        <w:rPr>
          <w:rFonts w:ascii="Arial" w:hAnsi="Arial" w:cs="Arial"/>
          <w:sz w:val="24"/>
          <w:szCs w:val="24"/>
        </w:rPr>
        <w:t>Ablex</w:t>
      </w:r>
      <w:proofErr w:type="spellEnd"/>
      <w:r w:rsidRPr="00B47970">
        <w:rPr>
          <w:rFonts w:ascii="Arial" w:hAnsi="Arial" w:cs="Arial"/>
          <w:sz w:val="24"/>
          <w:szCs w:val="24"/>
        </w:rPr>
        <w:t xml:space="preserve"> Publishing.</w:t>
      </w:r>
    </w:p>
    <w:p w14:paraId="476EBBBC"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Elliott, S., </w:t>
      </w:r>
      <w:proofErr w:type="spellStart"/>
      <w:r w:rsidRPr="00B47970">
        <w:rPr>
          <w:rFonts w:ascii="Arial" w:hAnsi="Arial" w:cs="Arial"/>
          <w:sz w:val="24"/>
          <w:szCs w:val="24"/>
        </w:rPr>
        <w:t>Ärlemalm-Hagsér</w:t>
      </w:r>
      <w:proofErr w:type="spellEnd"/>
      <w:r w:rsidRPr="00B47970">
        <w:rPr>
          <w:rFonts w:ascii="Arial" w:hAnsi="Arial" w:cs="Arial"/>
          <w:sz w:val="24"/>
          <w:szCs w:val="24"/>
        </w:rPr>
        <w:t xml:space="preserve">, E. and Davis, J. (2016) </w:t>
      </w:r>
      <w:r w:rsidRPr="00B47970">
        <w:rPr>
          <w:rFonts w:ascii="Arial" w:hAnsi="Arial" w:cs="Arial"/>
          <w:i/>
          <w:iCs/>
          <w:sz w:val="24"/>
          <w:szCs w:val="24"/>
        </w:rPr>
        <w:t>Researching Early Childhood Education for Sustainability: Challenging Assumptions and Orthodoxies</w:t>
      </w:r>
      <w:r w:rsidRPr="00B47970">
        <w:rPr>
          <w:rFonts w:ascii="Arial" w:hAnsi="Arial" w:cs="Arial"/>
          <w:sz w:val="24"/>
          <w:szCs w:val="24"/>
        </w:rPr>
        <w:t>. London: Routledge.</w:t>
      </w:r>
    </w:p>
    <w:p w14:paraId="7E24FE6C"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Elliott, S., </w:t>
      </w:r>
      <w:proofErr w:type="spellStart"/>
      <w:r w:rsidRPr="00B47970">
        <w:rPr>
          <w:rFonts w:ascii="Arial" w:hAnsi="Arial" w:cs="Arial"/>
          <w:sz w:val="24"/>
          <w:szCs w:val="24"/>
        </w:rPr>
        <w:t>Ärlemalm-Hagsér</w:t>
      </w:r>
      <w:proofErr w:type="spellEnd"/>
      <w:r w:rsidRPr="00B47970">
        <w:rPr>
          <w:rFonts w:ascii="Arial" w:hAnsi="Arial" w:cs="Arial"/>
          <w:sz w:val="24"/>
          <w:szCs w:val="24"/>
        </w:rPr>
        <w:t xml:space="preserve">, E. and Davis, J. (2016). Researching early childhood education for sustainability: Challenges and possibilities. In: J. Davis, ed. </w:t>
      </w:r>
      <w:proofErr w:type="gramStart"/>
      <w:r w:rsidRPr="00B47970">
        <w:rPr>
          <w:rFonts w:ascii="Arial" w:hAnsi="Arial" w:cs="Arial"/>
          <w:i/>
          <w:iCs/>
          <w:sz w:val="24"/>
          <w:szCs w:val="24"/>
        </w:rPr>
        <w:t>Young</w:t>
      </w:r>
      <w:proofErr w:type="gramEnd"/>
      <w:r w:rsidRPr="00B47970">
        <w:rPr>
          <w:rFonts w:ascii="Arial" w:hAnsi="Arial" w:cs="Arial"/>
          <w:i/>
          <w:iCs/>
          <w:sz w:val="24"/>
          <w:szCs w:val="24"/>
        </w:rPr>
        <w:t xml:space="preserve"> children and the environment: Early education for sustainability</w:t>
      </w:r>
      <w:r w:rsidRPr="00B47970">
        <w:rPr>
          <w:rFonts w:ascii="Arial" w:hAnsi="Arial" w:cs="Arial"/>
          <w:sz w:val="24"/>
          <w:szCs w:val="24"/>
        </w:rPr>
        <w:t>. 2nd ed. Melbourne: Cambridge University Press, pp. 239–259.</w:t>
      </w:r>
    </w:p>
    <w:p w14:paraId="6C418159"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Elliott, S., Lee, N., &amp; Warrington, M. (2016). </w:t>
      </w:r>
      <w:r w:rsidRPr="00B47970">
        <w:rPr>
          <w:rFonts w:ascii="Arial" w:hAnsi="Arial" w:cs="Arial"/>
          <w:i/>
          <w:iCs/>
          <w:sz w:val="24"/>
          <w:szCs w:val="24"/>
        </w:rPr>
        <w:t>Welsh early years curriculum and sustainability: Integrating ‘</w:t>
      </w:r>
      <w:proofErr w:type="spellStart"/>
      <w:r w:rsidRPr="00B47970">
        <w:rPr>
          <w:rFonts w:ascii="Arial" w:hAnsi="Arial" w:cs="Arial"/>
          <w:i/>
          <w:iCs/>
          <w:sz w:val="24"/>
          <w:szCs w:val="24"/>
        </w:rPr>
        <w:t>cynefin</w:t>
      </w:r>
      <w:proofErr w:type="spellEnd"/>
      <w:r w:rsidRPr="00B47970">
        <w:rPr>
          <w:rFonts w:ascii="Arial" w:hAnsi="Arial" w:cs="Arial"/>
          <w:i/>
          <w:iCs/>
          <w:sz w:val="24"/>
          <w:szCs w:val="24"/>
        </w:rPr>
        <w:t>’ in practice</w:t>
      </w:r>
      <w:r w:rsidRPr="00B47970">
        <w:rPr>
          <w:rFonts w:ascii="Arial" w:hAnsi="Arial" w:cs="Arial"/>
          <w:sz w:val="24"/>
          <w:szCs w:val="24"/>
        </w:rPr>
        <w:t>. Journal of Curriculum Studies, 48(5), 620-634.</w:t>
      </w:r>
    </w:p>
    <w:p w14:paraId="280C26F3"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Escobar, A. (2018). </w:t>
      </w:r>
      <w:r w:rsidRPr="00B47970">
        <w:rPr>
          <w:rFonts w:ascii="Arial" w:hAnsi="Arial" w:cs="Arial"/>
          <w:i/>
          <w:iCs/>
          <w:sz w:val="24"/>
          <w:szCs w:val="24"/>
        </w:rPr>
        <w:t>Designs for the Pluriverse: Radical Interdependence, Autonomy, and the Making of Worlds</w:t>
      </w:r>
      <w:r w:rsidRPr="00B47970">
        <w:rPr>
          <w:rFonts w:ascii="Arial" w:hAnsi="Arial" w:cs="Arial"/>
          <w:sz w:val="24"/>
          <w:szCs w:val="24"/>
        </w:rPr>
        <w:t>. Durham: Duke University Press.</w:t>
      </w:r>
    </w:p>
    <w:p w14:paraId="753EF63D"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Estyn (2006) </w:t>
      </w:r>
      <w:r w:rsidRPr="00B47970">
        <w:rPr>
          <w:rFonts w:ascii="Arial" w:hAnsi="Arial" w:cs="Arial"/>
          <w:i/>
          <w:iCs/>
          <w:sz w:val="24"/>
          <w:szCs w:val="24"/>
        </w:rPr>
        <w:t>Baseline report: Education for Sustainable Development and Global Citizenship</w:t>
      </w:r>
      <w:r w:rsidRPr="00B47970">
        <w:rPr>
          <w:rFonts w:ascii="Arial" w:hAnsi="Arial" w:cs="Arial"/>
          <w:sz w:val="24"/>
          <w:szCs w:val="24"/>
        </w:rPr>
        <w:t>. Cardiff: Estyn.</w:t>
      </w:r>
    </w:p>
    <w:p w14:paraId="0B798AAF" w14:textId="77777777" w:rsidR="009B5717" w:rsidRPr="00B47970" w:rsidRDefault="009B5717" w:rsidP="009B5717">
      <w:pPr>
        <w:rPr>
          <w:rFonts w:ascii="Arial" w:hAnsi="Arial" w:cs="Arial"/>
          <w:sz w:val="24"/>
          <w:szCs w:val="24"/>
        </w:rPr>
      </w:pPr>
      <w:r w:rsidRPr="00B47970">
        <w:rPr>
          <w:rFonts w:ascii="Arial" w:hAnsi="Arial" w:cs="Arial"/>
          <w:sz w:val="24"/>
          <w:szCs w:val="24"/>
        </w:rPr>
        <w:lastRenderedPageBreak/>
        <w:t xml:space="preserve">Fisher, S., Jonsson, J. and Puri, S. (2018). Children’s perspectives on climate change and resilience: Lessons from Asia-Pacific. </w:t>
      </w:r>
      <w:r w:rsidRPr="00B47970">
        <w:rPr>
          <w:rFonts w:ascii="Arial" w:hAnsi="Arial" w:cs="Arial"/>
          <w:i/>
          <w:iCs/>
          <w:sz w:val="24"/>
          <w:szCs w:val="24"/>
        </w:rPr>
        <w:t>Children and Youth Services Review</w:t>
      </w:r>
      <w:r w:rsidRPr="00B47970">
        <w:rPr>
          <w:rFonts w:ascii="Arial" w:hAnsi="Arial" w:cs="Arial"/>
          <w:sz w:val="24"/>
          <w:szCs w:val="24"/>
        </w:rPr>
        <w:t>, 87, pp.70-79.</w:t>
      </w:r>
    </w:p>
    <w:p w14:paraId="50CA0D40" w14:textId="77777777" w:rsidR="009B5717" w:rsidRPr="00B47970" w:rsidRDefault="009B5717" w:rsidP="009B5717">
      <w:pPr>
        <w:pStyle w:val="NormalWeb"/>
        <w:rPr>
          <w:rFonts w:ascii="Arial" w:hAnsi="Arial" w:cs="Arial"/>
        </w:rPr>
      </w:pPr>
      <w:r w:rsidRPr="00B47970">
        <w:rPr>
          <w:rFonts w:ascii="Arial" w:hAnsi="Arial" w:cs="Arial"/>
        </w:rPr>
        <w:t xml:space="preserve">Froebel, F. (1887) </w:t>
      </w:r>
      <w:r w:rsidRPr="00B47970">
        <w:rPr>
          <w:rStyle w:val="Emphasis"/>
          <w:rFonts w:ascii="Arial" w:eastAsiaTheme="majorEastAsia" w:hAnsi="Arial" w:cs="Arial"/>
        </w:rPr>
        <w:t>The Education of Man</w:t>
      </w:r>
      <w:r w:rsidRPr="00B47970">
        <w:rPr>
          <w:rFonts w:ascii="Arial" w:hAnsi="Arial" w:cs="Arial"/>
        </w:rPr>
        <w:t xml:space="preserve">. Translated by W.N. </w:t>
      </w:r>
      <w:proofErr w:type="spellStart"/>
      <w:r w:rsidRPr="00B47970">
        <w:rPr>
          <w:rFonts w:ascii="Arial" w:hAnsi="Arial" w:cs="Arial"/>
        </w:rPr>
        <w:t>Hailmann</w:t>
      </w:r>
      <w:proofErr w:type="spellEnd"/>
      <w:r w:rsidRPr="00B47970">
        <w:rPr>
          <w:rFonts w:ascii="Arial" w:hAnsi="Arial" w:cs="Arial"/>
        </w:rPr>
        <w:t>. New York: D. Appleton and Company.</w:t>
      </w:r>
    </w:p>
    <w:p w14:paraId="726B3A7F" w14:textId="77777777" w:rsidR="009B5717" w:rsidRPr="00B47970" w:rsidRDefault="009B5717" w:rsidP="009B5717">
      <w:pPr>
        <w:pStyle w:val="NormalWeb"/>
        <w:rPr>
          <w:rFonts w:ascii="Arial" w:hAnsi="Arial" w:cs="Arial"/>
        </w:rPr>
      </w:pPr>
      <w:r w:rsidRPr="00B47970">
        <w:rPr>
          <w:rFonts w:ascii="Arial" w:hAnsi="Arial" w:cs="Arial"/>
        </w:rPr>
        <w:t xml:space="preserve">Future Generations Commissioner for Wales (2020) </w:t>
      </w:r>
      <w:r w:rsidRPr="00B47970">
        <w:rPr>
          <w:rStyle w:val="Emphasis"/>
          <w:rFonts w:ascii="Arial" w:eastAsiaTheme="majorEastAsia" w:hAnsi="Arial" w:cs="Arial"/>
        </w:rPr>
        <w:t>The Future Generations Report 2020</w:t>
      </w:r>
      <w:r w:rsidRPr="00B47970">
        <w:rPr>
          <w:rFonts w:ascii="Arial" w:hAnsi="Arial" w:cs="Arial"/>
        </w:rPr>
        <w:t xml:space="preserve">. Cardiff: Future Generations Commissioner for Wales. Available at: </w:t>
      </w:r>
      <w:hyperlink r:id="rId15" w:history="1">
        <w:r w:rsidRPr="00B47970">
          <w:rPr>
            <w:rStyle w:val="Hyperlink"/>
            <w:rFonts w:ascii="Arial" w:hAnsi="Arial" w:cs="Arial"/>
          </w:rPr>
          <w:t>https://www.futuregenerations.wales/resources_posts/future-generations-report-2020</w:t>
        </w:r>
      </w:hyperlink>
      <w:r w:rsidRPr="00B47970">
        <w:rPr>
          <w:rFonts w:ascii="Arial" w:hAnsi="Arial" w:cs="Arial"/>
        </w:rPr>
        <w:t xml:space="preserve">  (Accessed: 12 July 2025).</w:t>
      </w:r>
    </w:p>
    <w:p w14:paraId="16B009B5" w14:textId="77777777" w:rsidR="009B5717" w:rsidRPr="00B47970" w:rsidRDefault="009B5717" w:rsidP="009B5717">
      <w:pPr>
        <w:pStyle w:val="NormalWeb"/>
        <w:rPr>
          <w:rFonts w:ascii="Arial" w:hAnsi="Arial" w:cs="Arial"/>
        </w:rPr>
      </w:pPr>
      <w:r w:rsidRPr="00B47970">
        <w:rPr>
          <w:rFonts w:ascii="Arial" w:hAnsi="Arial" w:cs="Arial"/>
        </w:rPr>
        <w:t xml:space="preserve">Gough, S. and Scott, W. (2014). Governing the environmental citizen: Activism and politics in sustainability. </w:t>
      </w:r>
      <w:r w:rsidRPr="00B47970">
        <w:rPr>
          <w:rFonts w:ascii="Arial" w:hAnsi="Arial" w:cs="Arial"/>
          <w:i/>
          <w:iCs/>
        </w:rPr>
        <w:t>Environmental Politics</w:t>
      </w:r>
      <w:r w:rsidRPr="00B47970">
        <w:rPr>
          <w:rFonts w:ascii="Arial" w:hAnsi="Arial" w:cs="Arial"/>
        </w:rPr>
        <w:t>, 23(5), pp.790-807.</w:t>
      </w:r>
    </w:p>
    <w:p w14:paraId="7A712A0F" w14:textId="77777777" w:rsidR="009B5717" w:rsidRPr="00B47970" w:rsidRDefault="009B5717" w:rsidP="009B5717">
      <w:pPr>
        <w:pStyle w:val="NormalWeb"/>
        <w:rPr>
          <w:rFonts w:ascii="Arial" w:hAnsi="Arial" w:cs="Arial"/>
        </w:rPr>
      </w:pPr>
      <w:r w:rsidRPr="00B47970">
        <w:rPr>
          <w:rFonts w:ascii="Arial" w:hAnsi="Arial" w:cs="Arial"/>
        </w:rPr>
        <w:t xml:space="preserve">Greene, S. and Lee, J. (2019). Empowering children for environmental justice: Youth-led climate activism and policy engagement. </w:t>
      </w:r>
      <w:r w:rsidRPr="00B47970">
        <w:rPr>
          <w:rFonts w:ascii="Arial" w:hAnsi="Arial" w:cs="Arial"/>
          <w:i/>
          <w:iCs/>
        </w:rPr>
        <w:t>Environmental Education Research</w:t>
      </w:r>
      <w:r w:rsidRPr="00B47970">
        <w:rPr>
          <w:rFonts w:ascii="Arial" w:hAnsi="Arial" w:cs="Arial"/>
        </w:rPr>
        <w:t>, 25(8), pp.1149-1165.</w:t>
      </w:r>
    </w:p>
    <w:p w14:paraId="62678253"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ILO (2017). </w:t>
      </w:r>
      <w:r w:rsidRPr="00B47970">
        <w:rPr>
          <w:rFonts w:ascii="Arial" w:hAnsi="Arial" w:cs="Arial"/>
          <w:i/>
          <w:iCs/>
          <w:sz w:val="24"/>
          <w:szCs w:val="24"/>
        </w:rPr>
        <w:t>Global estimates of child labour: Results and trends, 2012-2016</w:t>
      </w:r>
      <w:r w:rsidRPr="00B47970">
        <w:rPr>
          <w:rFonts w:ascii="Arial" w:hAnsi="Arial" w:cs="Arial"/>
          <w:sz w:val="24"/>
          <w:szCs w:val="24"/>
        </w:rPr>
        <w:t>. Geneva: International Labour Organization.</w:t>
      </w:r>
    </w:p>
    <w:p w14:paraId="37FF942D"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Jensen, B.B. and Schnack, K. (2019). The action competence approach in environmental education. </w:t>
      </w:r>
      <w:r w:rsidRPr="00B47970">
        <w:rPr>
          <w:rFonts w:ascii="Arial" w:hAnsi="Arial" w:cs="Arial"/>
          <w:i/>
          <w:iCs/>
          <w:sz w:val="24"/>
          <w:szCs w:val="24"/>
        </w:rPr>
        <w:t>Environmental Education Research</w:t>
      </w:r>
      <w:r w:rsidRPr="00B47970">
        <w:rPr>
          <w:rFonts w:ascii="Arial" w:hAnsi="Arial" w:cs="Arial"/>
          <w:sz w:val="24"/>
          <w:szCs w:val="24"/>
        </w:rPr>
        <w:t>, 25(2), pp.195-206.</w:t>
      </w:r>
    </w:p>
    <w:p w14:paraId="62E45D02"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John Muir Trust (2020) </w:t>
      </w:r>
      <w:r w:rsidRPr="00B47970">
        <w:rPr>
          <w:rFonts w:ascii="Arial" w:hAnsi="Arial" w:cs="Arial"/>
          <w:i/>
          <w:iCs/>
          <w:sz w:val="24"/>
          <w:szCs w:val="24"/>
        </w:rPr>
        <w:t>Impact report on John Muir Award participation</w:t>
      </w:r>
      <w:r w:rsidRPr="00B47970">
        <w:rPr>
          <w:rFonts w:ascii="Arial" w:hAnsi="Arial" w:cs="Arial"/>
          <w:sz w:val="24"/>
          <w:szCs w:val="24"/>
        </w:rPr>
        <w:t>. [online] Available at: https://www.jmt.org/john-muir-award (Accessed: 12 July 2025).</w:t>
      </w:r>
    </w:p>
    <w:p w14:paraId="6DD10DAF"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John Muir Trust (2020) </w:t>
      </w:r>
      <w:r w:rsidRPr="00B47970">
        <w:rPr>
          <w:rFonts w:ascii="Arial" w:hAnsi="Arial" w:cs="Arial"/>
          <w:i/>
          <w:iCs/>
          <w:sz w:val="24"/>
          <w:szCs w:val="24"/>
        </w:rPr>
        <w:t>John Muir Award Sustainability Guide</w:t>
      </w:r>
      <w:r w:rsidRPr="00B47970">
        <w:rPr>
          <w:rFonts w:ascii="Arial" w:hAnsi="Arial" w:cs="Arial"/>
          <w:sz w:val="24"/>
          <w:szCs w:val="24"/>
        </w:rPr>
        <w:t xml:space="preserve">. Available at: </w:t>
      </w:r>
      <w:proofErr w:type="gramStart"/>
      <w:r w:rsidRPr="00B47970">
        <w:rPr>
          <w:rFonts w:ascii="Arial" w:hAnsi="Arial" w:cs="Arial"/>
          <w:sz w:val="24"/>
          <w:szCs w:val="24"/>
        </w:rPr>
        <w:t>https://www.johnmuirtrust.org/john-muir-award  (</w:t>
      </w:r>
      <w:proofErr w:type="gramEnd"/>
      <w:r w:rsidRPr="00B47970">
        <w:rPr>
          <w:rFonts w:ascii="Arial" w:hAnsi="Arial" w:cs="Arial"/>
          <w:sz w:val="24"/>
          <w:szCs w:val="24"/>
        </w:rPr>
        <w:t>Accessed: 12 July 2025).</w:t>
      </w:r>
    </w:p>
    <w:p w14:paraId="0806EB5D" w14:textId="77777777" w:rsidR="009B5717" w:rsidRPr="00B47970" w:rsidRDefault="009B5717" w:rsidP="009B5717">
      <w:pPr>
        <w:pStyle w:val="NormalWeb"/>
        <w:rPr>
          <w:rFonts w:ascii="Arial" w:hAnsi="Arial" w:cs="Arial"/>
        </w:rPr>
      </w:pPr>
      <w:r w:rsidRPr="00B47970">
        <w:rPr>
          <w:rFonts w:ascii="Arial" w:hAnsi="Arial" w:cs="Arial"/>
        </w:rPr>
        <w:t xml:space="preserve">John Muir Trust (2020) </w:t>
      </w:r>
      <w:r w:rsidRPr="00B47970">
        <w:rPr>
          <w:rStyle w:val="Emphasis"/>
          <w:rFonts w:ascii="Arial" w:eastAsiaTheme="majorEastAsia" w:hAnsi="Arial" w:cs="Arial"/>
        </w:rPr>
        <w:t>The John Muir Award</w:t>
      </w:r>
      <w:r w:rsidRPr="00B47970">
        <w:rPr>
          <w:rFonts w:ascii="Arial" w:hAnsi="Arial" w:cs="Arial"/>
        </w:rPr>
        <w:t xml:space="preserve">. Available at: </w:t>
      </w:r>
      <w:hyperlink r:id="rId16" w:history="1">
        <w:r w:rsidRPr="00B47970">
          <w:rPr>
            <w:rStyle w:val="Hyperlink"/>
            <w:rFonts w:ascii="Arial" w:hAnsi="Arial" w:cs="Arial"/>
          </w:rPr>
          <w:t>https://www.johnmuirtrust.org/john-muir-award</w:t>
        </w:r>
      </w:hyperlink>
      <w:r w:rsidRPr="00B47970">
        <w:rPr>
          <w:rFonts w:ascii="Arial" w:hAnsi="Arial" w:cs="Arial"/>
        </w:rPr>
        <w:t xml:space="preserve"> (Accessed: 12 July 2025).</w:t>
      </w:r>
    </w:p>
    <w:p w14:paraId="0C7FFAC6" w14:textId="77777777" w:rsidR="009B5717" w:rsidRPr="00B47970" w:rsidRDefault="009B5717" w:rsidP="009B5717">
      <w:pPr>
        <w:pStyle w:val="NormalWeb"/>
        <w:rPr>
          <w:rFonts w:ascii="Arial" w:hAnsi="Arial" w:cs="Arial"/>
        </w:rPr>
      </w:pPr>
      <w:r w:rsidRPr="00B47970">
        <w:rPr>
          <w:rFonts w:ascii="Arial" w:hAnsi="Arial" w:cs="Arial"/>
        </w:rPr>
        <w:t xml:space="preserve">John Muir Trust, 2020. </w:t>
      </w:r>
      <w:r w:rsidRPr="00B47970">
        <w:rPr>
          <w:rStyle w:val="Emphasis"/>
          <w:rFonts w:ascii="Arial" w:eastAsiaTheme="majorEastAsia" w:hAnsi="Arial" w:cs="Arial"/>
        </w:rPr>
        <w:t>John Muir Award: Information and Resources for Educators</w:t>
      </w:r>
      <w:r w:rsidRPr="00B47970">
        <w:rPr>
          <w:rFonts w:ascii="Arial" w:hAnsi="Arial" w:cs="Arial"/>
        </w:rPr>
        <w:t xml:space="preserve">. Available at: </w:t>
      </w:r>
      <w:hyperlink r:id="rId17" w:history="1">
        <w:r w:rsidRPr="00B47970">
          <w:rPr>
            <w:rStyle w:val="Hyperlink"/>
            <w:rFonts w:ascii="Arial" w:hAnsi="Arial" w:cs="Arial"/>
          </w:rPr>
          <w:t>https://www.johnmuirtrust.org/john-muir-award</w:t>
        </w:r>
      </w:hyperlink>
      <w:r w:rsidRPr="00B47970">
        <w:rPr>
          <w:rFonts w:ascii="Arial" w:hAnsi="Arial" w:cs="Arial"/>
        </w:rPr>
        <w:t xml:space="preserve"> (Accessed: 12 July 2025</w:t>
      </w:r>
      <w:proofErr w:type="gramStart"/>
      <w:r w:rsidRPr="00B47970">
        <w:rPr>
          <w:rFonts w:ascii="Arial" w:hAnsi="Arial" w:cs="Arial"/>
        </w:rPr>
        <w:t>) .</w:t>
      </w:r>
      <w:proofErr w:type="gramEnd"/>
    </w:p>
    <w:p w14:paraId="24C422F2"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Keep Wales Tidy (2024) </w:t>
      </w:r>
      <w:r w:rsidRPr="00B47970">
        <w:rPr>
          <w:rFonts w:ascii="Arial" w:hAnsi="Arial" w:cs="Arial"/>
          <w:i/>
          <w:iCs/>
          <w:sz w:val="24"/>
          <w:szCs w:val="24"/>
        </w:rPr>
        <w:t>Eco-Schools Wales</w:t>
      </w:r>
      <w:r w:rsidRPr="00B47970">
        <w:rPr>
          <w:rFonts w:ascii="Arial" w:hAnsi="Arial" w:cs="Arial"/>
          <w:sz w:val="24"/>
          <w:szCs w:val="24"/>
        </w:rPr>
        <w:t xml:space="preserve">. Available at: </w:t>
      </w:r>
      <w:hyperlink r:id="rId18" w:history="1">
        <w:r w:rsidRPr="00B47970">
          <w:rPr>
            <w:rStyle w:val="Hyperlink"/>
            <w:rFonts w:ascii="Arial" w:hAnsi="Arial" w:cs="Arial"/>
            <w:sz w:val="24"/>
            <w:szCs w:val="24"/>
          </w:rPr>
          <w:t>https://www.keepwalestidy.cymru/pages/category/eco-schools</w:t>
        </w:r>
      </w:hyperlink>
      <w:r w:rsidRPr="00B47970">
        <w:rPr>
          <w:rFonts w:ascii="Arial" w:hAnsi="Arial" w:cs="Arial"/>
          <w:sz w:val="24"/>
          <w:szCs w:val="24"/>
        </w:rPr>
        <w:t xml:space="preserve"> (Accessed: 12 July 2025).</w:t>
      </w:r>
    </w:p>
    <w:p w14:paraId="137D6D6B"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Klocker, N. and Head, L. (2018). Children, climate change, and vulnerability: Exploring the social dimensions of sustainability. </w:t>
      </w:r>
      <w:r w:rsidRPr="00B47970">
        <w:rPr>
          <w:rFonts w:ascii="Arial" w:hAnsi="Arial" w:cs="Arial"/>
          <w:i/>
          <w:iCs/>
          <w:sz w:val="24"/>
          <w:szCs w:val="24"/>
        </w:rPr>
        <w:t>Children's Geographies</w:t>
      </w:r>
      <w:r w:rsidRPr="00B47970">
        <w:rPr>
          <w:rFonts w:ascii="Arial" w:hAnsi="Arial" w:cs="Arial"/>
          <w:sz w:val="24"/>
          <w:szCs w:val="24"/>
        </w:rPr>
        <w:t>, 16(3), pp.251-263.</w:t>
      </w:r>
    </w:p>
    <w:p w14:paraId="4DDB4AA2"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Leach, M., Raworth, K. and </w:t>
      </w:r>
      <w:proofErr w:type="spellStart"/>
      <w:r w:rsidRPr="00B47970">
        <w:rPr>
          <w:rFonts w:ascii="Arial" w:hAnsi="Arial" w:cs="Arial"/>
          <w:sz w:val="24"/>
          <w:szCs w:val="24"/>
        </w:rPr>
        <w:t>Rockström</w:t>
      </w:r>
      <w:proofErr w:type="spellEnd"/>
      <w:r w:rsidRPr="00B47970">
        <w:rPr>
          <w:rFonts w:ascii="Arial" w:hAnsi="Arial" w:cs="Arial"/>
          <w:sz w:val="24"/>
          <w:szCs w:val="24"/>
        </w:rPr>
        <w:t xml:space="preserve">, J. (2020). The economy-wide sustainability agenda: Integrating the SDGs for children’s wellbeing. </w:t>
      </w:r>
      <w:r w:rsidRPr="00B47970">
        <w:rPr>
          <w:rFonts w:ascii="Arial" w:hAnsi="Arial" w:cs="Arial"/>
          <w:i/>
          <w:iCs/>
          <w:sz w:val="24"/>
          <w:szCs w:val="24"/>
        </w:rPr>
        <w:t>World Development</w:t>
      </w:r>
      <w:r w:rsidRPr="00B47970">
        <w:rPr>
          <w:rFonts w:ascii="Arial" w:hAnsi="Arial" w:cs="Arial"/>
          <w:sz w:val="24"/>
          <w:szCs w:val="24"/>
        </w:rPr>
        <w:t>, 135, 105057.</w:t>
      </w:r>
    </w:p>
    <w:p w14:paraId="70CAFB7F" w14:textId="77777777" w:rsidR="009B5717" w:rsidRPr="00B47970" w:rsidRDefault="009B5717" w:rsidP="009B5717">
      <w:pPr>
        <w:pStyle w:val="NormalWeb"/>
        <w:rPr>
          <w:rFonts w:ascii="Arial" w:hAnsi="Arial" w:cs="Arial"/>
        </w:rPr>
      </w:pPr>
      <w:r w:rsidRPr="00B47970">
        <w:rPr>
          <w:rFonts w:ascii="Arial" w:hAnsi="Arial" w:cs="Arial"/>
        </w:rPr>
        <w:lastRenderedPageBreak/>
        <w:t xml:space="preserve">LEYF (2023). </w:t>
      </w:r>
      <w:r w:rsidRPr="00B47970">
        <w:rPr>
          <w:rFonts w:ascii="Arial" w:hAnsi="Arial" w:cs="Arial"/>
          <w:i/>
          <w:iCs/>
        </w:rPr>
        <w:t>Our social enterprise model</w:t>
      </w:r>
      <w:r w:rsidRPr="00B47970">
        <w:rPr>
          <w:rFonts w:ascii="Arial" w:hAnsi="Arial" w:cs="Arial"/>
        </w:rPr>
        <w:t xml:space="preserve">. London Early Years Foundation. Available at: </w:t>
      </w:r>
      <w:hyperlink r:id="rId19" w:tgtFrame="_new" w:history="1">
        <w:r w:rsidRPr="00B47970">
          <w:rPr>
            <w:rStyle w:val="Hyperlink"/>
            <w:rFonts w:ascii="Arial" w:hAnsi="Arial" w:cs="Arial"/>
          </w:rPr>
          <w:t>https://www.leyf.org.uk</w:t>
        </w:r>
      </w:hyperlink>
      <w:r w:rsidRPr="00B47970">
        <w:rPr>
          <w:rFonts w:ascii="Arial" w:hAnsi="Arial" w:cs="Arial"/>
        </w:rPr>
        <w:t xml:space="preserve"> (Accessed: 10 July 2025).</w:t>
      </w:r>
    </w:p>
    <w:p w14:paraId="361F1E64"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Maslow, A.H. (1943) </w:t>
      </w:r>
      <w:r w:rsidRPr="00B47970">
        <w:rPr>
          <w:rFonts w:ascii="Arial" w:hAnsi="Arial" w:cs="Arial"/>
          <w:i/>
          <w:iCs/>
          <w:sz w:val="24"/>
          <w:szCs w:val="24"/>
        </w:rPr>
        <w:t>A theory of human motivation</w:t>
      </w:r>
      <w:r w:rsidRPr="00B47970">
        <w:rPr>
          <w:rFonts w:ascii="Arial" w:hAnsi="Arial" w:cs="Arial"/>
          <w:sz w:val="24"/>
          <w:szCs w:val="24"/>
        </w:rPr>
        <w:t xml:space="preserve">. </w:t>
      </w:r>
      <w:r w:rsidRPr="00B47970">
        <w:rPr>
          <w:rFonts w:ascii="Arial" w:hAnsi="Arial" w:cs="Arial"/>
          <w:i/>
          <w:iCs/>
          <w:sz w:val="24"/>
          <w:szCs w:val="24"/>
        </w:rPr>
        <w:t>Psychological Review</w:t>
      </w:r>
      <w:r w:rsidRPr="00B47970">
        <w:rPr>
          <w:rFonts w:ascii="Arial" w:hAnsi="Arial" w:cs="Arial"/>
          <w:sz w:val="24"/>
          <w:szCs w:val="24"/>
        </w:rPr>
        <w:t xml:space="preserve">, 50(4), pp.370–396. </w:t>
      </w:r>
      <w:hyperlink r:id="rId20" w:history="1">
        <w:r w:rsidRPr="00B47970">
          <w:rPr>
            <w:rStyle w:val="Hyperlink"/>
            <w:rFonts w:ascii="Arial" w:hAnsi="Arial" w:cs="Arial"/>
            <w:sz w:val="24"/>
            <w:szCs w:val="24"/>
          </w:rPr>
          <w:t>https://doi.org/10.1037/h0054346</w:t>
        </w:r>
      </w:hyperlink>
    </w:p>
    <w:p w14:paraId="62DDA17E"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McLachlan, C. (2017). </w:t>
      </w:r>
      <w:r w:rsidRPr="00B47970">
        <w:rPr>
          <w:rFonts w:ascii="Arial" w:hAnsi="Arial" w:cs="Arial"/>
          <w:i/>
          <w:iCs/>
          <w:sz w:val="24"/>
          <w:szCs w:val="24"/>
        </w:rPr>
        <w:t>Early Childhood Education and Care: A Sociological Perspective</w:t>
      </w:r>
      <w:r w:rsidRPr="00B47970">
        <w:rPr>
          <w:rFonts w:ascii="Arial" w:hAnsi="Arial" w:cs="Arial"/>
          <w:sz w:val="24"/>
          <w:szCs w:val="24"/>
        </w:rPr>
        <w:t>. 2nd ed. London: Sage.</w:t>
      </w:r>
    </w:p>
    <w:p w14:paraId="6B893D55"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McMichael, C., Barnett, J. and McMichael, A.J. (2020). Climate change and displacement: Psychological impacts and social justice. </w:t>
      </w:r>
      <w:r w:rsidRPr="00B47970">
        <w:rPr>
          <w:rFonts w:ascii="Arial" w:hAnsi="Arial" w:cs="Arial"/>
          <w:i/>
          <w:iCs/>
          <w:sz w:val="24"/>
          <w:szCs w:val="24"/>
        </w:rPr>
        <w:t>Health and Place</w:t>
      </w:r>
      <w:r w:rsidRPr="00B47970">
        <w:rPr>
          <w:rFonts w:ascii="Arial" w:hAnsi="Arial" w:cs="Arial"/>
          <w:sz w:val="24"/>
          <w:szCs w:val="24"/>
        </w:rPr>
        <w:t>, 62, 102296.</w:t>
      </w:r>
    </w:p>
    <w:p w14:paraId="0B02C890"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Ministry of Education New Zealand (2017). </w:t>
      </w:r>
      <w:proofErr w:type="spellStart"/>
      <w:r w:rsidRPr="00B47970">
        <w:rPr>
          <w:rFonts w:ascii="Arial" w:hAnsi="Arial" w:cs="Arial"/>
          <w:i/>
          <w:iCs/>
          <w:sz w:val="24"/>
          <w:szCs w:val="24"/>
        </w:rPr>
        <w:t>Te</w:t>
      </w:r>
      <w:proofErr w:type="spellEnd"/>
      <w:r w:rsidRPr="00B47970">
        <w:rPr>
          <w:rFonts w:ascii="Arial" w:hAnsi="Arial" w:cs="Arial"/>
          <w:i/>
          <w:iCs/>
          <w:sz w:val="24"/>
          <w:szCs w:val="24"/>
        </w:rPr>
        <w:t xml:space="preserve"> </w:t>
      </w:r>
      <w:proofErr w:type="spellStart"/>
      <w:r w:rsidRPr="00B47970">
        <w:rPr>
          <w:rFonts w:ascii="Arial" w:hAnsi="Arial" w:cs="Arial"/>
          <w:i/>
          <w:iCs/>
          <w:sz w:val="24"/>
          <w:szCs w:val="24"/>
        </w:rPr>
        <w:t>Whāriki</w:t>
      </w:r>
      <w:proofErr w:type="spellEnd"/>
      <w:r w:rsidRPr="00B47970">
        <w:rPr>
          <w:rFonts w:ascii="Arial" w:hAnsi="Arial" w:cs="Arial"/>
          <w:i/>
          <w:iCs/>
          <w:sz w:val="24"/>
          <w:szCs w:val="24"/>
        </w:rPr>
        <w:t>: Early Childhood Curriculum</w:t>
      </w:r>
      <w:r w:rsidRPr="00B47970">
        <w:rPr>
          <w:rFonts w:ascii="Arial" w:hAnsi="Arial" w:cs="Arial"/>
          <w:sz w:val="24"/>
          <w:szCs w:val="24"/>
        </w:rPr>
        <w:t>. Wellington: Ministry of Education.</w:t>
      </w:r>
    </w:p>
    <w:p w14:paraId="04D4F856"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Mol, A.P.J. and </w:t>
      </w:r>
      <w:proofErr w:type="spellStart"/>
      <w:r w:rsidRPr="00B47970">
        <w:rPr>
          <w:rFonts w:ascii="Arial" w:hAnsi="Arial" w:cs="Arial"/>
          <w:sz w:val="24"/>
          <w:szCs w:val="24"/>
        </w:rPr>
        <w:t>Spaargaren</w:t>
      </w:r>
      <w:proofErr w:type="spellEnd"/>
      <w:r w:rsidRPr="00B47970">
        <w:rPr>
          <w:rFonts w:ascii="Arial" w:hAnsi="Arial" w:cs="Arial"/>
          <w:sz w:val="24"/>
          <w:szCs w:val="24"/>
        </w:rPr>
        <w:t xml:space="preserve">, G. (2012). Ecological modernization and the environmental state: The Netherlands as a frontrunner of ecological modernization. </w:t>
      </w:r>
      <w:r w:rsidRPr="00B47970">
        <w:rPr>
          <w:rFonts w:ascii="Arial" w:hAnsi="Arial" w:cs="Arial"/>
          <w:i/>
          <w:iCs/>
          <w:sz w:val="24"/>
          <w:szCs w:val="24"/>
        </w:rPr>
        <w:t>Environmental Politics</w:t>
      </w:r>
      <w:r w:rsidRPr="00B47970">
        <w:rPr>
          <w:rFonts w:ascii="Arial" w:hAnsi="Arial" w:cs="Arial"/>
          <w:sz w:val="24"/>
          <w:szCs w:val="24"/>
        </w:rPr>
        <w:t>, 21(4), pp.638–655.</w:t>
      </w:r>
    </w:p>
    <w:p w14:paraId="79479B4F"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Moss, P. (2010). </w:t>
      </w:r>
      <w:r w:rsidRPr="00B47970">
        <w:rPr>
          <w:rFonts w:ascii="Arial" w:hAnsi="Arial" w:cs="Arial"/>
          <w:i/>
          <w:iCs/>
          <w:sz w:val="24"/>
          <w:szCs w:val="24"/>
        </w:rPr>
        <w:t>Early childhood education and care and the search for social justice</w:t>
      </w:r>
      <w:r w:rsidRPr="00B47970">
        <w:rPr>
          <w:rFonts w:ascii="Arial" w:hAnsi="Arial" w:cs="Arial"/>
          <w:sz w:val="24"/>
          <w:szCs w:val="24"/>
        </w:rPr>
        <w:t>. London: Springer.</w:t>
      </w:r>
    </w:p>
    <w:p w14:paraId="4B1E1C03"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Nutbrown, C. (2018). </w:t>
      </w:r>
      <w:r w:rsidRPr="00B47970">
        <w:rPr>
          <w:rFonts w:ascii="Arial" w:hAnsi="Arial" w:cs="Arial"/>
          <w:i/>
          <w:iCs/>
          <w:sz w:val="24"/>
          <w:szCs w:val="24"/>
        </w:rPr>
        <w:t>Foundations for Sustainability in Early Childhood Education</w:t>
      </w:r>
      <w:r w:rsidRPr="00B47970">
        <w:rPr>
          <w:rFonts w:ascii="Arial" w:hAnsi="Arial" w:cs="Arial"/>
          <w:sz w:val="24"/>
          <w:szCs w:val="24"/>
        </w:rPr>
        <w:t>. London: Sage Publications.</w:t>
      </w:r>
    </w:p>
    <w:p w14:paraId="5D2571BC"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Nutbrown, C. (2019). </w:t>
      </w:r>
      <w:r w:rsidRPr="00B47970">
        <w:rPr>
          <w:rFonts w:ascii="Arial" w:hAnsi="Arial" w:cs="Arial"/>
          <w:i/>
          <w:iCs/>
          <w:sz w:val="24"/>
          <w:szCs w:val="24"/>
        </w:rPr>
        <w:t>Early Childhood Education: History, Philosophy and Experience</w:t>
      </w:r>
      <w:r w:rsidRPr="00B47970">
        <w:rPr>
          <w:rFonts w:ascii="Arial" w:hAnsi="Arial" w:cs="Arial"/>
          <w:sz w:val="24"/>
          <w:szCs w:val="24"/>
        </w:rPr>
        <w:t xml:space="preserve">. 2nd ed. London: </w:t>
      </w:r>
      <w:proofErr w:type="spellStart"/>
      <w:r w:rsidRPr="00B47970">
        <w:rPr>
          <w:rFonts w:ascii="Arial" w:hAnsi="Arial" w:cs="Arial"/>
          <w:sz w:val="24"/>
          <w:szCs w:val="24"/>
        </w:rPr>
        <w:t>Sage.Oxfam</w:t>
      </w:r>
      <w:proofErr w:type="spellEnd"/>
      <w:r w:rsidRPr="00B47970">
        <w:rPr>
          <w:rFonts w:ascii="Arial" w:hAnsi="Arial" w:cs="Arial"/>
          <w:sz w:val="24"/>
          <w:szCs w:val="24"/>
        </w:rPr>
        <w:t xml:space="preserve"> (2023) </w:t>
      </w:r>
      <w:r w:rsidRPr="00B47970">
        <w:rPr>
          <w:rFonts w:ascii="Arial" w:hAnsi="Arial" w:cs="Arial"/>
          <w:i/>
          <w:iCs/>
          <w:sz w:val="24"/>
          <w:szCs w:val="24"/>
        </w:rPr>
        <w:t>Education for Global Citizenship: A Guide for Schools</w:t>
      </w:r>
      <w:r w:rsidRPr="00B47970">
        <w:rPr>
          <w:rFonts w:ascii="Arial" w:hAnsi="Arial" w:cs="Arial"/>
          <w:sz w:val="24"/>
          <w:szCs w:val="24"/>
        </w:rPr>
        <w:t>. Available at: https://www.oxfam.org.uk/education (Accessed: 09 July 2025).</w:t>
      </w:r>
    </w:p>
    <w:p w14:paraId="0089208D" w14:textId="77777777" w:rsidR="009B5717" w:rsidRPr="00B47970" w:rsidRDefault="009B5717" w:rsidP="009B5717">
      <w:pPr>
        <w:pStyle w:val="NormalWeb"/>
        <w:rPr>
          <w:rFonts w:ascii="Arial" w:hAnsi="Arial" w:cs="Arial"/>
        </w:rPr>
      </w:pPr>
      <w:proofErr w:type="spellStart"/>
      <w:r w:rsidRPr="00B47970">
        <w:rPr>
          <w:rFonts w:ascii="Arial" w:hAnsi="Arial" w:cs="Arial"/>
        </w:rPr>
        <w:t>Pramling</w:t>
      </w:r>
      <w:proofErr w:type="spellEnd"/>
      <w:r w:rsidRPr="00B47970">
        <w:rPr>
          <w:rFonts w:ascii="Arial" w:hAnsi="Arial" w:cs="Arial"/>
        </w:rPr>
        <w:t xml:space="preserve"> Samuelsson, I. and Kaga, Y. (2019). </w:t>
      </w:r>
      <w:r w:rsidRPr="00B47970">
        <w:rPr>
          <w:rFonts w:ascii="Arial" w:hAnsi="Arial" w:cs="Arial"/>
          <w:i/>
          <w:iCs/>
        </w:rPr>
        <w:t>The contribution of early childhood education to a sustainable society</w:t>
      </w:r>
      <w:r w:rsidRPr="00B47970">
        <w:rPr>
          <w:rFonts w:ascii="Arial" w:hAnsi="Arial" w:cs="Arial"/>
        </w:rPr>
        <w:t>. UNESCO Publishing.</w:t>
      </w:r>
    </w:p>
    <w:p w14:paraId="27B2803D" w14:textId="77777777" w:rsidR="009B5717" w:rsidRPr="00B47970" w:rsidRDefault="009B5717" w:rsidP="009B5717">
      <w:pPr>
        <w:pStyle w:val="NormalWeb"/>
        <w:rPr>
          <w:rFonts w:ascii="Arial" w:hAnsi="Arial" w:cs="Arial"/>
        </w:rPr>
      </w:pPr>
      <w:proofErr w:type="spellStart"/>
      <w:r w:rsidRPr="00B47970">
        <w:rPr>
          <w:rFonts w:ascii="Arial" w:hAnsi="Arial" w:cs="Arial"/>
        </w:rPr>
        <w:t>Prilleltensky</w:t>
      </w:r>
      <w:proofErr w:type="spellEnd"/>
      <w:r w:rsidRPr="00B47970">
        <w:rPr>
          <w:rFonts w:ascii="Arial" w:hAnsi="Arial" w:cs="Arial"/>
        </w:rPr>
        <w:t xml:space="preserve">, I. (2019). Holistic wellbeing and social justice: Toward a sustainability framework for child rights. </w:t>
      </w:r>
      <w:r w:rsidRPr="00B47970">
        <w:rPr>
          <w:rFonts w:ascii="Arial" w:hAnsi="Arial" w:cs="Arial"/>
          <w:i/>
          <w:iCs/>
        </w:rPr>
        <w:t>American Journal of Community Psychology</w:t>
      </w:r>
      <w:r w:rsidRPr="00B47970">
        <w:rPr>
          <w:rFonts w:ascii="Arial" w:hAnsi="Arial" w:cs="Arial"/>
        </w:rPr>
        <w:t>, 63(3–4), pp.243–256.</w:t>
      </w:r>
    </w:p>
    <w:p w14:paraId="05EE74CA" w14:textId="77777777" w:rsidR="009B5717" w:rsidRPr="00B47970" w:rsidRDefault="009B5717" w:rsidP="009B5717">
      <w:pPr>
        <w:pStyle w:val="NormalWeb"/>
        <w:rPr>
          <w:rFonts w:ascii="Arial" w:hAnsi="Arial" w:cs="Arial"/>
        </w:rPr>
      </w:pPr>
      <w:r w:rsidRPr="00B47970">
        <w:rPr>
          <w:rFonts w:ascii="Arial" w:hAnsi="Arial" w:cs="Arial"/>
        </w:rPr>
        <w:t xml:space="preserve">Raworth, K. (2017) </w:t>
      </w:r>
      <w:r w:rsidRPr="00B47970">
        <w:rPr>
          <w:rStyle w:val="Emphasis"/>
          <w:rFonts w:ascii="Arial" w:eastAsiaTheme="majorEastAsia" w:hAnsi="Arial" w:cs="Arial"/>
        </w:rPr>
        <w:t>Doughnut Economics: Seven Ways to Think Like a 21st-Century Economist</w:t>
      </w:r>
      <w:r w:rsidRPr="00B47970">
        <w:rPr>
          <w:rFonts w:ascii="Arial" w:hAnsi="Arial" w:cs="Arial"/>
        </w:rPr>
        <w:t>. London: Chelsea Green Publishing.</w:t>
      </w:r>
    </w:p>
    <w:p w14:paraId="28031315" w14:textId="77777777" w:rsidR="009B5717" w:rsidRPr="00B47970" w:rsidRDefault="009B5717" w:rsidP="009B5717">
      <w:pPr>
        <w:pStyle w:val="NormalWeb"/>
        <w:rPr>
          <w:rFonts w:ascii="Arial" w:hAnsi="Arial" w:cs="Arial"/>
        </w:rPr>
      </w:pPr>
      <w:r w:rsidRPr="00B47970">
        <w:rPr>
          <w:rFonts w:ascii="Arial" w:hAnsi="Arial" w:cs="Arial"/>
        </w:rPr>
        <w:t xml:space="preserve">Rinaldi, C. (2006) </w:t>
      </w:r>
      <w:r w:rsidRPr="00B47970">
        <w:rPr>
          <w:rStyle w:val="Emphasis"/>
          <w:rFonts w:ascii="Arial" w:eastAsiaTheme="majorEastAsia" w:hAnsi="Arial" w:cs="Arial"/>
        </w:rPr>
        <w:t>In Dialogue with Reggio Emilia: Listening, Researching and Learning</w:t>
      </w:r>
      <w:r w:rsidRPr="00B47970">
        <w:rPr>
          <w:rFonts w:ascii="Arial" w:hAnsi="Arial" w:cs="Arial"/>
        </w:rPr>
        <w:t>. London: Routledge.</w:t>
      </w:r>
    </w:p>
    <w:p w14:paraId="18FFD679"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Rink, J., Ferguson, J. and Tuck, E. (2020). Indigenous children, cultural survival, and climate resilience: Lessons from Australia and Canada. </w:t>
      </w:r>
      <w:proofErr w:type="spellStart"/>
      <w:r w:rsidRPr="00B47970">
        <w:rPr>
          <w:rFonts w:ascii="Arial" w:hAnsi="Arial" w:cs="Arial"/>
          <w:i/>
          <w:iCs/>
          <w:sz w:val="24"/>
          <w:szCs w:val="24"/>
        </w:rPr>
        <w:t>AlterNative</w:t>
      </w:r>
      <w:proofErr w:type="spellEnd"/>
      <w:r w:rsidRPr="00B47970">
        <w:rPr>
          <w:rFonts w:ascii="Arial" w:hAnsi="Arial" w:cs="Arial"/>
          <w:i/>
          <w:iCs/>
          <w:sz w:val="24"/>
          <w:szCs w:val="24"/>
        </w:rPr>
        <w:t>: An International Journal of Indigenous Peoples</w:t>
      </w:r>
      <w:r w:rsidRPr="00B47970">
        <w:rPr>
          <w:rFonts w:ascii="Arial" w:hAnsi="Arial" w:cs="Arial"/>
          <w:sz w:val="24"/>
          <w:szCs w:val="24"/>
        </w:rPr>
        <w:t>, 16(1), pp.17–27.</w:t>
      </w:r>
    </w:p>
    <w:p w14:paraId="29D3A6E1"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RSPB (2023) </w:t>
      </w:r>
      <w:r w:rsidRPr="00B47970">
        <w:rPr>
          <w:rFonts w:ascii="Arial" w:hAnsi="Arial" w:cs="Arial"/>
          <w:i/>
          <w:iCs/>
          <w:sz w:val="24"/>
          <w:szCs w:val="24"/>
        </w:rPr>
        <w:t>Resources for Schools</w:t>
      </w:r>
      <w:r w:rsidRPr="00B47970">
        <w:rPr>
          <w:rFonts w:ascii="Arial" w:hAnsi="Arial" w:cs="Arial"/>
          <w:sz w:val="24"/>
          <w:szCs w:val="24"/>
        </w:rPr>
        <w:t>. Available at: https://www.rspb.org.uk/fun-and-learning/for-teachers/ (Accessed: 12 July 2025).</w:t>
      </w:r>
    </w:p>
    <w:p w14:paraId="37B5C970" w14:textId="77777777" w:rsidR="009B5717" w:rsidRPr="00B47970" w:rsidRDefault="009B5717" w:rsidP="009B5717">
      <w:pPr>
        <w:rPr>
          <w:rFonts w:ascii="Arial" w:hAnsi="Arial" w:cs="Arial"/>
          <w:sz w:val="24"/>
          <w:szCs w:val="24"/>
        </w:rPr>
      </w:pPr>
      <w:r w:rsidRPr="00B47970">
        <w:rPr>
          <w:rFonts w:ascii="Arial" w:hAnsi="Arial" w:cs="Arial"/>
          <w:sz w:val="24"/>
          <w:szCs w:val="24"/>
        </w:rPr>
        <w:lastRenderedPageBreak/>
        <w:t xml:space="preserve">Save the Children (2023) </w:t>
      </w:r>
      <w:r w:rsidRPr="00B47970">
        <w:rPr>
          <w:rFonts w:ascii="Arial" w:hAnsi="Arial" w:cs="Arial"/>
          <w:i/>
          <w:iCs/>
          <w:sz w:val="24"/>
          <w:szCs w:val="24"/>
        </w:rPr>
        <w:t>Resources for Educators</w:t>
      </w:r>
      <w:r w:rsidRPr="00B47970">
        <w:rPr>
          <w:rFonts w:ascii="Arial" w:hAnsi="Arial" w:cs="Arial"/>
          <w:sz w:val="24"/>
          <w:szCs w:val="24"/>
        </w:rPr>
        <w:t>. Available at: https://www.savethechildren.org.uk/what-we-do/childrens-rights/education (Accessed: 08 July 2025).</w:t>
      </w:r>
    </w:p>
    <w:p w14:paraId="53FD98A7"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Schlosberg, D. (2013). </w:t>
      </w:r>
      <w:r w:rsidRPr="00B47970">
        <w:rPr>
          <w:rFonts w:ascii="Arial" w:hAnsi="Arial" w:cs="Arial"/>
          <w:i/>
          <w:iCs/>
          <w:sz w:val="24"/>
          <w:szCs w:val="24"/>
        </w:rPr>
        <w:t>The Justice and Sustainability Transition: Policy,</w:t>
      </w:r>
      <w:r w:rsidRPr="00B47970">
        <w:rPr>
          <w:rFonts w:ascii="Arial" w:hAnsi="Arial" w:cs="Arial"/>
          <w:b/>
          <w:bCs/>
          <w:i/>
          <w:iCs/>
          <w:sz w:val="24"/>
          <w:szCs w:val="24"/>
        </w:rPr>
        <w:t xml:space="preserve"> </w:t>
      </w:r>
      <w:r w:rsidRPr="00B47970">
        <w:rPr>
          <w:rFonts w:ascii="Arial" w:hAnsi="Arial" w:cs="Arial"/>
          <w:i/>
          <w:iCs/>
          <w:sz w:val="24"/>
          <w:szCs w:val="24"/>
        </w:rPr>
        <w:t>Politics and the Economy</w:t>
      </w:r>
      <w:r w:rsidRPr="00B47970">
        <w:rPr>
          <w:rFonts w:ascii="Arial" w:hAnsi="Arial" w:cs="Arial"/>
          <w:sz w:val="24"/>
          <w:szCs w:val="24"/>
        </w:rPr>
        <w:t>. Oxford: Oxford University Press.</w:t>
      </w:r>
      <w:r w:rsidRPr="00B47970">
        <w:rPr>
          <w:rFonts w:ascii="Arial" w:hAnsi="Arial" w:cs="Arial"/>
          <w:sz w:val="24"/>
          <w:szCs w:val="24"/>
        </w:rPr>
        <w:br/>
        <w:t>(</w:t>
      </w:r>
      <w:r w:rsidRPr="00B47970">
        <w:rPr>
          <w:rFonts w:ascii="Arial" w:hAnsi="Arial" w:cs="Arial"/>
          <w:i/>
          <w:iCs/>
          <w:sz w:val="24"/>
          <w:szCs w:val="24"/>
        </w:rPr>
        <w:t>Note: You listed this twice—only one entry is needed.</w:t>
      </w:r>
      <w:r w:rsidRPr="00B47970">
        <w:rPr>
          <w:rFonts w:ascii="Arial" w:hAnsi="Arial" w:cs="Arial"/>
          <w:sz w:val="24"/>
          <w:szCs w:val="24"/>
        </w:rPr>
        <w:t>)</w:t>
      </w:r>
    </w:p>
    <w:p w14:paraId="42D6216C"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Scott, W. and Gough, S. (2018). </w:t>
      </w:r>
      <w:r w:rsidRPr="00B47970">
        <w:rPr>
          <w:rFonts w:ascii="Arial" w:hAnsi="Arial" w:cs="Arial"/>
          <w:i/>
          <w:iCs/>
          <w:sz w:val="24"/>
          <w:szCs w:val="24"/>
        </w:rPr>
        <w:t>Sustainability and Environmental Education: Perspectives and Practices Across Higher Education</w:t>
      </w:r>
      <w:r w:rsidRPr="00B47970">
        <w:rPr>
          <w:rFonts w:ascii="Arial" w:hAnsi="Arial" w:cs="Arial"/>
          <w:sz w:val="24"/>
          <w:szCs w:val="24"/>
        </w:rPr>
        <w:t>. London: Routledge.</w:t>
      </w:r>
    </w:p>
    <w:p w14:paraId="2BCD1583"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Scottish Government (2019). </w:t>
      </w:r>
      <w:r w:rsidRPr="00B47970">
        <w:rPr>
          <w:rFonts w:ascii="Arial" w:hAnsi="Arial" w:cs="Arial"/>
          <w:i/>
          <w:iCs/>
          <w:sz w:val="24"/>
          <w:szCs w:val="24"/>
        </w:rPr>
        <w:t>John Muir Award: Environmental education outcomes</w:t>
      </w:r>
      <w:r w:rsidRPr="00B47970">
        <w:rPr>
          <w:rFonts w:ascii="Arial" w:hAnsi="Arial" w:cs="Arial"/>
          <w:sz w:val="24"/>
          <w:szCs w:val="24"/>
        </w:rPr>
        <w:t>. Edinburgh: Scottish Government.</w:t>
      </w:r>
    </w:p>
    <w:p w14:paraId="75BEFDEE"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Simpson, L.B. (2017). </w:t>
      </w:r>
      <w:r w:rsidRPr="00B47970">
        <w:rPr>
          <w:rFonts w:ascii="Arial" w:hAnsi="Arial" w:cs="Arial"/>
          <w:i/>
          <w:iCs/>
          <w:sz w:val="24"/>
          <w:szCs w:val="24"/>
        </w:rPr>
        <w:t>As We Have Always Done: Indigenous Freedom Through Radical Resistance</w:t>
      </w:r>
      <w:r w:rsidRPr="00B47970">
        <w:rPr>
          <w:rFonts w:ascii="Arial" w:hAnsi="Arial" w:cs="Arial"/>
          <w:sz w:val="24"/>
          <w:szCs w:val="24"/>
        </w:rPr>
        <w:t>. Minneapolis: University of Minnesota Press.</w:t>
      </w:r>
    </w:p>
    <w:p w14:paraId="3B208E45"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Siraj-Blatchford, I., Sylva, K., </w:t>
      </w:r>
      <w:proofErr w:type="spellStart"/>
      <w:r w:rsidRPr="00B47970">
        <w:rPr>
          <w:rFonts w:ascii="Arial" w:hAnsi="Arial" w:cs="Arial"/>
          <w:sz w:val="24"/>
          <w:szCs w:val="24"/>
        </w:rPr>
        <w:t>Muttock</w:t>
      </w:r>
      <w:proofErr w:type="spellEnd"/>
      <w:r w:rsidRPr="00B47970">
        <w:rPr>
          <w:rFonts w:ascii="Arial" w:hAnsi="Arial" w:cs="Arial"/>
          <w:sz w:val="24"/>
          <w:szCs w:val="24"/>
        </w:rPr>
        <w:t xml:space="preserve">, S., Gilden, R. and Bell, D. (2015). </w:t>
      </w:r>
      <w:r w:rsidRPr="00B47970">
        <w:rPr>
          <w:rFonts w:ascii="Arial" w:hAnsi="Arial" w:cs="Arial"/>
          <w:i/>
          <w:iCs/>
          <w:sz w:val="24"/>
          <w:szCs w:val="24"/>
        </w:rPr>
        <w:t>Researching Effective Pedagogy in the Early Years</w:t>
      </w:r>
      <w:r w:rsidRPr="00B47970">
        <w:rPr>
          <w:rFonts w:ascii="Arial" w:hAnsi="Arial" w:cs="Arial"/>
          <w:sz w:val="24"/>
          <w:szCs w:val="24"/>
        </w:rPr>
        <w:t>. 2nd ed. London: Department for Education.</w:t>
      </w:r>
    </w:p>
    <w:p w14:paraId="790BAE2A" w14:textId="77777777" w:rsidR="00B47970" w:rsidRPr="00B47970" w:rsidRDefault="009B5717" w:rsidP="00B47970">
      <w:pPr>
        <w:rPr>
          <w:rFonts w:ascii="Arial" w:hAnsi="Arial" w:cs="Arial"/>
          <w:sz w:val="24"/>
          <w:szCs w:val="24"/>
        </w:rPr>
      </w:pPr>
      <w:r w:rsidRPr="00B47970">
        <w:rPr>
          <w:rFonts w:ascii="Arial" w:hAnsi="Arial" w:cs="Arial"/>
          <w:sz w:val="24"/>
          <w:szCs w:val="24"/>
        </w:rPr>
        <w:t xml:space="preserve">Siraj-Blatchford, J., Smith, K. C., and </w:t>
      </w:r>
      <w:proofErr w:type="spellStart"/>
      <w:r w:rsidRPr="00B47970">
        <w:rPr>
          <w:rFonts w:ascii="Arial" w:hAnsi="Arial" w:cs="Arial"/>
          <w:sz w:val="24"/>
          <w:szCs w:val="24"/>
        </w:rPr>
        <w:t>Pramling</w:t>
      </w:r>
      <w:proofErr w:type="spellEnd"/>
      <w:r w:rsidRPr="00B47970">
        <w:rPr>
          <w:rFonts w:ascii="Arial" w:hAnsi="Arial" w:cs="Arial"/>
          <w:sz w:val="24"/>
          <w:szCs w:val="24"/>
        </w:rPr>
        <w:t xml:space="preserve"> Samuelsson, I. (2010) </w:t>
      </w:r>
      <w:r w:rsidRPr="00B47970">
        <w:rPr>
          <w:rFonts w:ascii="Arial" w:hAnsi="Arial" w:cs="Arial"/>
          <w:i/>
          <w:iCs/>
          <w:sz w:val="24"/>
          <w:szCs w:val="24"/>
        </w:rPr>
        <w:t>Education for Sustainable Development in the Early Years</w:t>
      </w:r>
      <w:r w:rsidRPr="00B47970">
        <w:rPr>
          <w:rFonts w:ascii="Arial" w:hAnsi="Arial" w:cs="Arial"/>
          <w:sz w:val="24"/>
          <w:szCs w:val="24"/>
        </w:rPr>
        <w:t>. Gothenburg: UNESCO.</w:t>
      </w:r>
    </w:p>
    <w:p w14:paraId="49781718" w14:textId="2E43C5E5" w:rsidR="009B5717" w:rsidRPr="00B47970" w:rsidRDefault="009B5717" w:rsidP="00B47970">
      <w:pPr>
        <w:rPr>
          <w:rFonts w:ascii="Arial" w:hAnsi="Arial" w:cs="Arial"/>
          <w:sz w:val="24"/>
          <w:szCs w:val="24"/>
        </w:rPr>
      </w:pPr>
      <w:proofErr w:type="spellStart"/>
      <w:r w:rsidRPr="00B47970">
        <w:rPr>
          <w:rFonts w:ascii="Arial" w:hAnsi="Arial" w:cs="Arial"/>
          <w:sz w:val="24"/>
          <w:szCs w:val="24"/>
        </w:rPr>
        <w:t>Skolverket</w:t>
      </w:r>
      <w:proofErr w:type="spellEnd"/>
      <w:r w:rsidRPr="00B47970">
        <w:rPr>
          <w:rFonts w:ascii="Arial" w:hAnsi="Arial" w:cs="Arial"/>
          <w:sz w:val="24"/>
          <w:szCs w:val="24"/>
        </w:rPr>
        <w:t xml:space="preserve"> (2018) </w:t>
      </w:r>
      <w:r w:rsidRPr="00B47970">
        <w:rPr>
          <w:rStyle w:val="Emphasis"/>
          <w:rFonts w:ascii="Arial" w:eastAsiaTheme="majorEastAsia" w:hAnsi="Arial" w:cs="Arial"/>
          <w:sz w:val="24"/>
          <w:szCs w:val="24"/>
        </w:rPr>
        <w:t xml:space="preserve">Curriculum for the Preschool </w:t>
      </w:r>
      <w:proofErr w:type="spellStart"/>
      <w:r w:rsidRPr="00B47970">
        <w:rPr>
          <w:rStyle w:val="Emphasis"/>
          <w:rFonts w:ascii="Arial" w:eastAsiaTheme="majorEastAsia" w:hAnsi="Arial" w:cs="Arial"/>
          <w:sz w:val="24"/>
          <w:szCs w:val="24"/>
        </w:rPr>
        <w:t>Lpfö</w:t>
      </w:r>
      <w:proofErr w:type="spellEnd"/>
      <w:r w:rsidRPr="00B47970">
        <w:rPr>
          <w:rStyle w:val="Emphasis"/>
          <w:rFonts w:ascii="Arial" w:eastAsiaTheme="majorEastAsia" w:hAnsi="Arial" w:cs="Arial"/>
          <w:sz w:val="24"/>
          <w:szCs w:val="24"/>
        </w:rPr>
        <w:t xml:space="preserve"> 18</w:t>
      </w:r>
      <w:r w:rsidRPr="00B47970">
        <w:rPr>
          <w:rFonts w:ascii="Arial" w:hAnsi="Arial" w:cs="Arial"/>
          <w:sz w:val="24"/>
          <w:szCs w:val="24"/>
        </w:rPr>
        <w:t>. Stockholm: Swedish National Agency for Education.</w:t>
      </w:r>
    </w:p>
    <w:p w14:paraId="1F1AC95D"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Smith, G. (2018). ‘Relationships between families’ use of Sure Start Children’s Centres, changes in home learning environments, and preschool behavioural disorders’, </w:t>
      </w:r>
      <w:r w:rsidRPr="00B47970">
        <w:rPr>
          <w:rFonts w:ascii="Arial" w:hAnsi="Arial" w:cs="Arial"/>
          <w:i/>
          <w:iCs/>
          <w:sz w:val="24"/>
          <w:szCs w:val="24"/>
        </w:rPr>
        <w:t>Oxford Review of Education</w:t>
      </w:r>
      <w:r w:rsidRPr="00B47970">
        <w:rPr>
          <w:rFonts w:ascii="Arial" w:hAnsi="Arial" w:cs="Arial"/>
          <w:sz w:val="24"/>
          <w:szCs w:val="24"/>
        </w:rPr>
        <w:t xml:space="preserve">, 45(3), pp. 307–324. Available at: https://doi.org/10.1080/03054985.2018.1551195 (Accessed: 13 July 2025) </w:t>
      </w:r>
    </w:p>
    <w:p w14:paraId="61ABBFDD"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Stiglitz, J.E. (2019). </w:t>
      </w:r>
      <w:r w:rsidRPr="00B47970">
        <w:rPr>
          <w:rFonts w:ascii="Arial" w:hAnsi="Arial" w:cs="Arial"/>
          <w:i/>
          <w:iCs/>
          <w:sz w:val="24"/>
          <w:szCs w:val="24"/>
        </w:rPr>
        <w:t>People, Power, and Profits: Progressive Capitalism for an Age of Discontent</w:t>
      </w:r>
      <w:r w:rsidRPr="00B47970">
        <w:rPr>
          <w:rFonts w:ascii="Arial" w:hAnsi="Arial" w:cs="Arial"/>
          <w:sz w:val="24"/>
          <w:szCs w:val="24"/>
        </w:rPr>
        <w:t>. New York: W.W. Norton &amp; Company.</w:t>
      </w:r>
    </w:p>
    <w:p w14:paraId="14EC5B47"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Theron, L.C., Liebenberg, L., Ungar, M. and Berg, J. (2020). Youth resilience and wellbeing in the context of climate change. </w:t>
      </w:r>
      <w:r w:rsidRPr="00B47970">
        <w:rPr>
          <w:rFonts w:ascii="Arial" w:hAnsi="Arial" w:cs="Arial"/>
          <w:i/>
          <w:iCs/>
          <w:sz w:val="24"/>
          <w:szCs w:val="24"/>
        </w:rPr>
        <w:t>Child Development Perspectives</w:t>
      </w:r>
      <w:r w:rsidRPr="00B47970">
        <w:rPr>
          <w:rFonts w:ascii="Arial" w:hAnsi="Arial" w:cs="Arial"/>
          <w:sz w:val="24"/>
          <w:szCs w:val="24"/>
        </w:rPr>
        <w:t>, 14(2), pp.91–97.</w:t>
      </w:r>
    </w:p>
    <w:p w14:paraId="4A766C0A"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Thornton, K. and Brunton, P. (2017). Exploring the teaching of sustainability in early childhood education: Educator confidence and competence. </w:t>
      </w:r>
      <w:r w:rsidRPr="00B47970">
        <w:rPr>
          <w:rFonts w:ascii="Arial" w:hAnsi="Arial" w:cs="Arial"/>
          <w:i/>
          <w:iCs/>
          <w:sz w:val="24"/>
          <w:szCs w:val="24"/>
        </w:rPr>
        <w:t>Early Childhood Education Journal</w:t>
      </w:r>
      <w:r w:rsidRPr="00B47970">
        <w:rPr>
          <w:rFonts w:ascii="Arial" w:hAnsi="Arial" w:cs="Arial"/>
          <w:sz w:val="24"/>
          <w:szCs w:val="24"/>
        </w:rPr>
        <w:t>, 45(2), pp.207–215.</w:t>
      </w:r>
    </w:p>
    <w:p w14:paraId="3C1B8CC8"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Tilbury, D. (2018). Education for sustainable development: A catalyst for change. </w:t>
      </w:r>
      <w:r w:rsidRPr="00B47970">
        <w:rPr>
          <w:rFonts w:ascii="Arial" w:hAnsi="Arial" w:cs="Arial"/>
          <w:i/>
          <w:iCs/>
          <w:sz w:val="24"/>
          <w:szCs w:val="24"/>
        </w:rPr>
        <w:t>Environmental Education Research</w:t>
      </w:r>
      <w:r w:rsidRPr="00B47970">
        <w:rPr>
          <w:rFonts w:ascii="Arial" w:hAnsi="Arial" w:cs="Arial"/>
          <w:sz w:val="24"/>
          <w:szCs w:val="24"/>
        </w:rPr>
        <w:t>, 24(2), pp.173–184.</w:t>
      </w:r>
    </w:p>
    <w:p w14:paraId="07F4A3A2"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UN (1992) </w:t>
      </w:r>
      <w:r w:rsidRPr="00B47970">
        <w:rPr>
          <w:rFonts w:ascii="Arial" w:hAnsi="Arial" w:cs="Arial"/>
          <w:i/>
          <w:iCs/>
          <w:sz w:val="24"/>
          <w:szCs w:val="24"/>
        </w:rPr>
        <w:t>Agenda 21: Programme of Action for Sustainable Development</w:t>
      </w:r>
      <w:r w:rsidRPr="00B47970">
        <w:rPr>
          <w:rFonts w:ascii="Arial" w:hAnsi="Arial" w:cs="Arial"/>
          <w:sz w:val="24"/>
          <w:szCs w:val="24"/>
        </w:rPr>
        <w:t>. Rio de Janeiro: United Nations.</w:t>
      </w:r>
    </w:p>
    <w:p w14:paraId="4F36428F"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UNCRC (1989) </w:t>
      </w:r>
      <w:r w:rsidRPr="00B47970">
        <w:rPr>
          <w:rFonts w:ascii="Arial" w:hAnsi="Arial" w:cs="Arial"/>
          <w:i/>
          <w:iCs/>
          <w:sz w:val="24"/>
          <w:szCs w:val="24"/>
        </w:rPr>
        <w:t>United Nations Convention on the Rights of the Child</w:t>
      </w:r>
      <w:r w:rsidRPr="00B47970">
        <w:rPr>
          <w:rFonts w:ascii="Arial" w:hAnsi="Arial" w:cs="Arial"/>
          <w:sz w:val="24"/>
          <w:szCs w:val="24"/>
        </w:rPr>
        <w:t>. New York: United Nations. Available at: https://www.unicef.org.uk/what-we-do/un-convention-child-rights/ (Accessed 08: July 2025).</w:t>
      </w:r>
    </w:p>
    <w:p w14:paraId="6FA45771" w14:textId="77777777" w:rsidR="009B5717" w:rsidRPr="00B47970" w:rsidRDefault="009B5717" w:rsidP="009B5717">
      <w:pPr>
        <w:rPr>
          <w:rFonts w:ascii="Arial" w:hAnsi="Arial" w:cs="Arial"/>
          <w:sz w:val="24"/>
          <w:szCs w:val="24"/>
        </w:rPr>
      </w:pPr>
      <w:r w:rsidRPr="00B47970">
        <w:rPr>
          <w:rFonts w:ascii="Arial" w:hAnsi="Arial" w:cs="Arial"/>
          <w:sz w:val="24"/>
          <w:szCs w:val="24"/>
        </w:rPr>
        <w:lastRenderedPageBreak/>
        <w:t xml:space="preserve">UNESCO (2017) </w:t>
      </w:r>
      <w:r w:rsidRPr="00B47970">
        <w:rPr>
          <w:rFonts w:ascii="Arial" w:hAnsi="Arial" w:cs="Arial"/>
          <w:i/>
          <w:iCs/>
          <w:sz w:val="24"/>
          <w:szCs w:val="24"/>
        </w:rPr>
        <w:t>Education for Sustainable Development Goals: Learning Objectives</w:t>
      </w:r>
      <w:r w:rsidRPr="00B47970">
        <w:rPr>
          <w:rFonts w:ascii="Arial" w:hAnsi="Arial" w:cs="Arial"/>
          <w:sz w:val="24"/>
          <w:szCs w:val="24"/>
        </w:rPr>
        <w:t>. Paris: UNESCO Publishing.</w:t>
      </w:r>
    </w:p>
    <w:p w14:paraId="0EBB6EAF" w14:textId="77777777" w:rsidR="009B5717" w:rsidRPr="00B47970" w:rsidRDefault="009B5717" w:rsidP="009B5717">
      <w:pPr>
        <w:pStyle w:val="NormalWeb"/>
        <w:rPr>
          <w:rFonts w:ascii="Arial" w:hAnsi="Arial" w:cs="Arial"/>
        </w:rPr>
      </w:pPr>
      <w:r w:rsidRPr="00B47970">
        <w:rPr>
          <w:rFonts w:ascii="Arial" w:hAnsi="Arial" w:cs="Arial"/>
        </w:rPr>
        <w:t xml:space="preserve">UNESCO (2014). </w:t>
      </w:r>
      <w:r w:rsidRPr="00B47970">
        <w:rPr>
          <w:rFonts w:ascii="Arial" w:hAnsi="Arial" w:cs="Arial"/>
          <w:i/>
          <w:iCs/>
        </w:rPr>
        <w:t>Shaping the Future We Want: UN Decade of Education for Sustainable Development (2005–2014) – Final Report</w:t>
      </w:r>
      <w:r w:rsidRPr="00B47970">
        <w:rPr>
          <w:rFonts w:ascii="Arial" w:hAnsi="Arial" w:cs="Arial"/>
        </w:rPr>
        <w:t>. Paris: UNESCO.</w:t>
      </w:r>
    </w:p>
    <w:p w14:paraId="4791E0F4" w14:textId="77777777" w:rsidR="009B5717" w:rsidRPr="00B47970" w:rsidRDefault="009B5717" w:rsidP="009B5717">
      <w:pPr>
        <w:pStyle w:val="NormalWeb"/>
        <w:rPr>
          <w:rFonts w:ascii="Arial" w:hAnsi="Arial" w:cs="Arial"/>
        </w:rPr>
      </w:pPr>
      <w:r w:rsidRPr="00B47970">
        <w:rPr>
          <w:rFonts w:ascii="Arial" w:hAnsi="Arial" w:cs="Arial"/>
        </w:rPr>
        <w:t xml:space="preserve">UNICEF (2020). </w:t>
      </w:r>
      <w:r w:rsidRPr="00B47970">
        <w:rPr>
          <w:rFonts w:ascii="Arial" w:hAnsi="Arial" w:cs="Arial"/>
          <w:i/>
          <w:iCs/>
        </w:rPr>
        <w:t>Early childhood development and the Sustainable Development Goals</w:t>
      </w:r>
      <w:r w:rsidRPr="00B47970">
        <w:rPr>
          <w:rFonts w:ascii="Arial" w:hAnsi="Arial" w:cs="Arial"/>
        </w:rPr>
        <w:t xml:space="preserve">. New York: UNICEF. Available at: </w:t>
      </w:r>
      <w:hyperlink r:id="rId21" w:tgtFrame="_new" w:history="1">
        <w:r w:rsidRPr="00B47970">
          <w:rPr>
            <w:rStyle w:val="Hyperlink"/>
            <w:rFonts w:ascii="Arial" w:hAnsi="Arial" w:cs="Arial"/>
          </w:rPr>
          <w:t>https://www.unicef.org/reports/early-childhood-development-and-sdgs</w:t>
        </w:r>
      </w:hyperlink>
      <w:r w:rsidRPr="00B47970">
        <w:rPr>
          <w:rFonts w:ascii="Arial" w:hAnsi="Arial" w:cs="Arial"/>
        </w:rPr>
        <w:t xml:space="preserve"> (Accessed: 12 July 2025).</w:t>
      </w:r>
    </w:p>
    <w:p w14:paraId="426FBF04" w14:textId="77777777" w:rsidR="009B5717" w:rsidRPr="00B47970" w:rsidRDefault="009B5717" w:rsidP="009B5717">
      <w:pPr>
        <w:pStyle w:val="NormalWeb"/>
        <w:rPr>
          <w:rFonts w:ascii="Arial" w:hAnsi="Arial" w:cs="Arial"/>
        </w:rPr>
      </w:pPr>
      <w:r w:rsidRPr="00B47970">
        <w:rPr>
          <w:rFonts w:ascii="Arial" w:hAnsi="Arial" w:cs="Arial"/>
        </w:rPr>
        <w:t xml:space="preserve">UNICEF (1989). </w:t>
      </w:r>
      <w:r w:rsidRPr="00B47970">
        <w:rPr>
          <w:rFonts w:ascii="Arial" w:hAnsi="Arial" w:cs="Arial"/>
          <w:i/>
          <w:iCs/>
        </w:rPr>
        <w:t>United Nations Convention on the Rights of the Child</w:t>
      </w:r>
      <w:r w:rsidRPr="00B47970">
        <w:rPr>
          <w:rFonts w:ascii="Arial" w:hAnsi="Arial" w:cs="Arial"/>
        </w:rPr>
        <w:t xml:space="preserve">. Available at: </w:t>
      </w:r>
      <w:hyperlink r:id="rId22" w:tgtFrame="_new" w:history="1">
        <w:r w:rsidRPr="00B47970">
          <w:rPr>
            <w:rStyle w:val="Hyperlink"/>
            <w:rFonts w:ascii="Arial" w:hAnsi="Arial" w:cs="Arial"/>
          </w:rPr>
          <w:t>https://www.unicef.org.uk/what-we-do/un-convention-child-rights/</w:t>
        </w:r>
      </w:hyperlink>
      <w:r w:rsidRPr="00B47970">
        <w:rPr>
          <w:rFonts w:ascii="Arial" w:hAnsi="Arial" w:cs="Arial"/>
        </w:rPr>
        <w:t xml:space="preserve"> (Accessed: 12 July 2025).</w:t>
      </w:r>
    </w:p>
    <w:p w14:paraId="53FFD624" w14:textId="77777777" w:rsidR="009B5717" w:rsidRPr="00B47970" w:rsidRDefault="009B5717" w:rsidP="009B5717">
      <w:pPr>
        <w:pStyle w:val="NormalWeb"/>
        <w:rPr>
          <w:rFonts w:ascii="Arial" w:hAnsi="Arial" w:cs="Arial"/>
        </w:rPr>
      </w:pPr>
      <w:r w:rsidRPr="00B47970">
        <w:rPr>
          <w:rFonts w:ascii="Arial" w:hAnsi="Arial" w:cs="Arial"/>
        </w:rPr>
        <w:t xml:space="preserve">UNICEF (2020). </w:t>
      </w:r>
      <w:r w:rsidRPr="00B47970">
        <w:rPr>
          <w:rFonts w:ascii="Arial" w:hAnsi="Arial" w:cs="Arial"/>
          <w:i/>
          <w:iCs/>
        </w:rPr>
        <w:t>A child rights-based approach to education for all</w:t>
      </w:r>
      <w:r w:rsidRPr="00B47970">
        <w:rPr>
          <w:rFonts w:ascii="Arial" w:hAnsi="Arial" w:cs="Arial"/>
        </w:rPr>
        <w:t xml:space="preserve">. Available at: </w:t>
      </w:r>
      <w:hyperlink r:id="rId23" w:tgtFrame="_new" w:history="1">
        <w:r w:rsidRPr="00B47970">
          <w:rPr>
            <w:rStyle w:val="Hyperlink"/>
            <w:rFonts w:ascii="Arial" w:hAnsi="Arial" w:cs="Arial"/>
          </w:rPr>
          <w:t>https://www.unicef.org/education</w:t>
        </w:r>
      </w:hyperlink>
      <w:r w:rsidRPr="00B47970">
        <w:rPr>
          <w:rFonts w:ascii="Arial" w:hAnsi="Arial" w:cs="Arial"/>
        </w:rPr>
        <w:t xml:space="preserve"> (Accessed: 13 July 2025).</w:t>
      </w:r>
    </w:p>
    <w:p w14:paraId="18C70D2E" w14:textId="77777777" w:rsidR="009B5717" w:rsidRPr="00B47970" w:rsidRDefault="009B5717" w:rsidP="009B5717">
      <w:pPr>
        <w:pStyle w:val="NormalWeb"/>
        <w:rPr>
          <w:rFonts w:ascii="Arial" w:hAnsi="Arial" w:cs="Arial"/>
        </w:rPr>
      </w:pPr>
      <w:r w:rsidRPr="00B47970">
        <w:rPr>
          <w:rFonts w:ascii="Arial" w:hAnsi="Arial" w:cs="Arial"/>
        </w:rPr>
        <w:t xml:space="preserve">UNICEF (2021). </w:t>
      </w:r>
      <w:r w:rsidRPr="00B47970">
        <w:rPr>
          <w:rFonts w:ascii="Arial" w:hAnsi="Arial" w:cs="Arial"/>
          <w:i/>
          <w:iCs/>
        </w:rPr>
        <w:t>The climate crisis is a child rights crisis: Introducing the children’s climate risk index</w:t>
      </w:r>
      <w:r w:rsidRPr="00B47970">
        <w:rPr>
          <w:rFonts w:ascii="Arial" w:hAnsi="Arial" w:cs="Arial"/>
        </w:rPr>
        <w:t>. New York: UNICEF.</w:t>
      </w:r>
    </w:p>
    <w:p w14:paraId="275158FB" w14:textId="77777777" w:rsidR="009B5717" w:rsidRPr="00B47970" w:rsidRDefault="009B5717" w:rsidP="009B5717">
      <w:pPr>
        <w:pStyle w:val="NormalWeb"/>
        <w:rPr>
          <w:rFonts w:ascii="Arial" w:hAnsi="Arial" w:cs="Arial"/>
        </w:rPr>
      </w:pPr>
      <w:r w:rsidRPr="00B47970">
        <w:rPr>
          <w:rFonts w:ascii="Arial" w:hAnsi="Arial" w:cs="Arial"/>
        </w:rPr>
        <w:t xml:space="preserve">United Nations (1989). </w:t>
      </w:r>
      <w:r w:rsidRPr="00B47970">
        <w:rPr>
          <w:rFonts w:ascii="Arial" w:hAnsi="Arial" w:cs="Arial"/>
          <w:i/>
          <w:iCs/>
        </w:rPr>
        <w:t>Convention on the Rights of the Child (UNCRC)</w:t>
      </w:r>
      <w:r w:rsidRPr="00B47970">
        <w:rPr>
          <w:rFonts w:ascii="Arial" w:hAnsi="Arial" w:cs="Arial"/>
        </w:rPr>
        <w:t xml:space="preserve"> [online]. Available at: </w:t>
      </w:r>
      <w:hyperlink r:id="rId24" w:tgtFrame="_new" w:history="1">
        <w:r w:rsidRPr="00B47970">
          <w:rPr>
            <w:rStyle w:val="Hyperlink"/>
            <w:rFonts w:ascii="Arial" w:hAnsi="Arial" w:cs="Arial"/>
          </w:rPr>
          <w:t>https://www.ohchr.org/en/instruments-mechanisms/instruments/convention-rights-child</w:t>
        </w:r>
      </w:hyperlink>
      <w:r w:rsidRPr="00B47970">
        <w:rPr>
          <w:rFonts w:ascii="Arial" w:hAnsi="Arial" w:cs="Arial"/>
        </w:rPr>
        <w:t xml:space="preserve"> (Accessed: 09 July 2025).</w:t>
      </w:r>
    </w:p>
    <w:p w14:paraId="76CF62A8" w14:textId="77777777" w:rsidR="009B5717" w:rsidRPr="00B47970" w:rsidRDefault="009B5717" w:rsidP="009B5717">
      <w:pPr>
        <w:pStyle w:val="NormalWeb"/>
        <w:rPr>
          <w:rFonts w:ascii="Arial" w:hAnsi="Arial" w:cs="Arial"/>
        </w:rPr>
      </w:pPr>
      <w:r w:rsidRPr="00B47970">
        <w:rPr>
          <w:rFonts w:ascii="Arial" w:hAnsi="Arial" w:cs="Arial"/>
        </w:rPr>
        <w:t xml:space="preserve">United Nations (2015). </w:t>
      </w:r>
      <w:r w:rsidRPr="00B47970">
        <w:rPr>
          <w:rFonts w:ascii="Arial" w:hAnsi="Arial" w:cs="Arial"/>
          <w:i/>
          <w:iCs/>
        </w:rPr>
        <w:t>Transforming our world: The 2030 agenda for sustainable development</w:t>
      </w:r>
      <w:r w:rsidRPr="00B47970">
        <w:rPr>
          <w:rFonts w:ascii="Arial" w:hAnsi="Arial" w:cs="Arial"/>
        </w:rPr>
        <w:t>. New York: United Nations.</w:t>
      </w:r>
    </w:p>
    <w:p w14:paraId="0D08C032" w14:textId="77777777" w:rsidR="009B5717" w:rsidRPr="00B47970" w:rsidRDefault="009B5717" w:rsidP="009B5717">
      <w:pPr>
        <w:pStyle w:val="NormalWeb"/>
        <w:rPr>
          <w:rFonts w:ascii="Arial" w:hAnsi="Arial" w:cs="Arial"/>
        </w:rPr>
      </w:pPr>
      <w:r w:rsidRPr="00B47970">
        <w:rPr>
          <w:rFonts w:ascii="Arial" w:hAnsi="Arial" w:cs="Arial"/>
        </w:rPr>
        <w:t xml:space="preserve">Vygotsky, L.S. (1978) </w:t>
      </w:r>
      <w:r w:rsidRPr="00B47970">
        <w:rPr>
          <w:rStyle w:val="Emphasis"/>
          <w:rFonts w:ascii="Arial" w:eastAsiaTheme="majorEastAsia" w:hAnsi="Arial" w:cs="Arial"/>
        </w:rPr>
        <w:t>Mind in Society: The Development of Higher Psychological Processes</w:t>
      </w:r>
      <w:r w:rsidRPr="00B47970">
        <w:rPr>
          <w:rFonts w:ascii="Arial" w:hAnsi="Arial" w:cs="Arial"/>
        </w:rPr>
        <w:t>. Cambridge, MA: Harvard University Press.</w:t>
      </w:r>
    </w:p>
    <w:p w14:paraId="23C1E6B4"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Walker, D. (2023) </w:t>
      </w:r>
      <w:r w:rsidRPr="00B47970">
        <w:rPr>
          <w:rFonts w:ascii="Arial" w:hAnsi="Arial" w:cs="Arial"/>
          <w:i/>
          <w:iCs/>
          <w:sz w:val="24"/>
          <w:szCs w:val="24"/>
        </w:rPr>
        <w:t>Guardian of the Future: The Wales We Want – Children’s Voices on Sustainability and Social Justice</w:t>
      </w:r>
      <w:r w:rsidRPr="00B47970">
        <w:rPr>
          <w:rFonts w:ascii="Arial" w:hAnsi="Arial" w:cs="Arial"/>
          <w:sz w:val="24"/>
          <w:szCs w:val="24"/>
        </w:rPr>
        <w:t>. Cardiff: Office of the Future Generations Commissioner for Wales.</w:t>
      </w:r>
    </w:p>
    <w:p w14:paraId="60BC4521" w14:textId="77777777" w:rsidR="009B5717" w:rsidRPr="00B47970" w:rsidRDefault="009B5717" w:rsidP="009B5717">
      <w:pPr>
        <w:pStyle w:val="NormalWeb"/>
        <w:rPr>
          <w:rFonts w:ascii="Arial" w:hAnsi="Arial" w:cs="Arial"/>
        </w:rPr>
      </w:pPr>
      <w:r w:rsidRPr="00B47970">
        <w:rPr>
          <w:rFonts w:ascii="Arial" w:hAnsi="Arial" w:cs="Arial"/>
        </w:rPr>
        <w:t xml:space="preserve">Walker, D. (2023) </w:t>
      </w:r>
      <w:r w:rsidRPr="00B47970">
        <w:rPr>
          <w:rStyle w:val="Emphasis"/>
          <w:rFonts w:ascii="Arial" w:eastAsiaTheme="majorEastAsia" w:hAnsi="Arial" w:cs="Arial"/>
        </w:rPr>
        <w:t>The Wales We Want: Embedding the Voices of Young People in Sustainable Futures</w:t>
      </w:r>
      <w:r w:rsidRPr="00B47970">
        <w:rPr>
          <w:rFonts w:ascii="Arial" w:hAnsi="Arial" w:cs="Arial"/>
        </w:rPr>
        <w:t>. Cardiff: Office of the Future Generations Commissioner for Wales.</w:t>
      </w:r>
    </w:p>
    <w:p w14:paraId="31B4F69B"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WCED (World Commission on Environment and Development) (1987) </w:t>
      </w:r>
      <w:r w:rsidRPr="00B47970">
        <w:rPr>
          <w:rFonts w:ascii="Arial" w:hAnsi="Arial" w:cs="Arial"/>
          <w:i/>
          <w:iCs/>
          <w:sz w:val="24"/>
          <w:szCs w:val="24"/>
        </w:rPr>
        <w:t>Our Common Future</w:t>
      </w:r>
      <w:r w:rsidRPr="00B47970">
        <w:rPr>
          <w:rFonts w:ascii="Arial" w:hAnsi="Arial" w:cs="Arial"/>
          <w:sz w:val="24"/>
          <w:szCs w:val="24"/>
        </w:rPr>
        <w:t>. Oxford: Oxford University Press.</w:t>
      </w:r>
    </w:p>
    <w:p w14:paraId="06655634"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Welsh Assembly Government (2008). </w:t>
      </w:r>
      <w:r w:rsidRPr="00B47970">
        <w:rPr>
          <w:rFonts w:ascii="Arial" w:hAnsi="Arial" w:cs="Arial"/>
          <w:i/>
          <w:iCs/>
          <w:sz w:val="24"/>
          <w:szCs w:val="24"/>
        </w:rPr>
        <w:t>Education for Sustainable Development and Global Citizenship: A Common Understanding for Schools</w:t>
      </w:r>
      <w:r w:rsidRPr="00B47970">
        <w:rPr>
          <w:rFonts w:ascii="Arial" w:hAnsi="Arial" w:cs="Arial"/>
          <w:sz w:val="24"/>
          <w:szCs w:val="24"/>
        </w:rPr>
        <w:t>. Cardiff: Welsh Assembly Government.</w:t>
      </w:r>
    </w:p>
    <w:p w14:paraId="78A8BDB6"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Welsh Government (2006) </w:t>
      </w:r>
      <w:r w:rsidRPr="00B47970">
        <w:rPr>
          <w:rFonts w:ascii="Arial" w:hAnsi="Arial" w:cs="Arial"/>
          <w:i/>
          <w:iCs/>
          <w:sz w:val="24"/>
          <w:szCs w:val="24"/>
        </w:rPr>
        <w:t>Education for Sustainable Development and Global Citizenship Action Plan</w:t>
      </w:r>
      <w:r w:rsidRPr="00B47970">
        <w:rPr>
          <w:rFonts w:ascii="Arial" w:hAnsi="Arial" w:cs="Arial"/>
          <w:sz w:val="24"/>
          <w:szCs w:val="24"/>
        </w:rPr>
        <w:t>. Cardiff: Welsh Government.</w:t>
      </w:r>
    </w:p>
    <w:p w14:paraId="7C82F17D" w14:textId="77777777" w:rsidR="009B5717" w:rsidRPr="00B47970" w:rsidRDefault="009B5717" w:rsidP="009B5717">
      <w:pPr>
        <w:rPr>
          <w:rFonts w:ascii="Arial" w:hAnsi="Arial" w:cs="Arial"/>
          <w:sz w:val="24"/>
          <w:szCs w:val="24"/>
        </w:rPr>
      </w:pPr>
      <w:r w:rsidRPr="00B47970">
        <w:rPr>
          <w:rFonts w:ascii="Arial" w:hAnsi="Arial" w:cs="Arial"/>
          <w:sz w:val="24"/>
          <w:szCs w:val="24"/>
        </w:rPr>
        <w:lastRenderedPageBreak/>
        <w:t xml:space="preserve">Welsh Government (2012) </w:t>
      </w:r>
      <w:r w:rsidRPr="00B47970">
        <w:rPr>
          <w:rFonts w:ascii="Arial" w:hAnsi="Arial" w:cs="Arial"/>
          <w:i/>
          <w:iCs/>
          <w:sz w:val="24"/>
          <w:szCs w:val="24"/>
        </w:rPr>
        <w:t>Education for Sustainable Development and Global Citizenship: A common understanding for the adult and community learning sector</w:t>
      </w:r>
      <w:r w:rsidRPr="00B47970">
        <w:rPr>
          <w:rFonts w:ascii="Arial" w:hAnsi="Arial" w:cs="Arial"/>
          <w:sz w:val="24"/>
          <w:szCs w:val="24"/>
        </w:rPr>
        <w:t>. Cardiff: Welsh Government.</w:t>
      </w:r>
    </w:p>
    <w:p w14:paraId="07F1EDF5" w14:textId="18861D37" w:rsidR="009B5717" w:rsidRPr="00B47970" w:rsidRDefault="009B5717" w:rsidP="009B5717">
      <w:pPr>
        <w:rPr>
          <w:rFonts w:ascii="Arial" w:hAnsi="Arial" w:cs="Arial"/>
          <w:sz w:val="24"/>
          <w:szCs w:val="24"/>
        </w:rPr>
      </w:pPr>
      <w:r w:rsidRPr="00B47970">
        <w:rPr>
          <w:rFonts w:ascii="Arial" w:hAnsi="Arial" w:cs="Arial"/>
          <w:sz w:val="24"/>
          <w:szCs w:val="24"/>
        </w:rPr>
        <w:t xml:space="preserve">Welsh Government (2012) </w:t>
      </w:r>
      <w:r w:rsidRPr="00B47970">
        <w:rPr>
          <w:rStyle w:val="Emphasis"/>
          <w:rFonts w:ascii="Arial" w:eastAsiaTheme="majorEastAsia" w:hAnsi="Arial" w:cs="Arial"/>
          <w:sz w:val="24"/>
          <w:szCs w:val="24"/>
        </w:rPr>
        <w:t>Education for Sustainable Development and Global Citizenship (ESDGC) Strategy for Wales</w:t>
      </w:r>
      <w:r w:rsidRPr="00B47970">
        <w:rPr>
          <w:rFonts w:ascii="Arial" w:hAnsi="Arial" w:cs="Arial"/>
          <w:sz w:val="24"/>
          <w:szCs w:val="24"/>
        </w:rPr>
        <w:t>. Cardiff: Welsh Government.</w:t>
      </w:r>
    </w:p>
    <w:p w14:paraId="7CF1A068"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Welsh Government (2015) </w:t>
      </w:r>
      <w:r w:rsidRPr="00B47970">
        <w:rPr>
          <w:rFonts w:ascii="Arial" w:hAnsi="Arial" w:cs="Arial"/>
          <w:i/>
          <w:iCs/>
          <w:sz w:val="24"/>
          <w:szCs w:val="24"/>
        </w:rPr>
        <w:t>Well-being of Future Generations (Wales) Act 2015</w:t>
      </w:r>
      <w:r w:rsidRPr="00B47970">
        <w:rPr>
          <w:rFonts w:ascii="Arial" w:hAnsi="Arial" w:cs="Arial"/>
          <w:sz w:val="24"/>
          <w:szCs w:val="24"/>
        </w:rPr>
        <w:t>. Cardiff: Welsh Government.</w:t>
      </w:r>
    </w:p>
    <w:p w14:paraId="5CA3A31A"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Welsh Government (2022) </w:t>
      </w:r>
      <w:r w:rsidRPr="00B47970">
        <w:rPr>
          <w:rFonts w:ascii="Arial" w:hAnsi="Arial" w:cs="Arial"/>
          <w:i/>
          <w:iCs/>
          <w:sz w:val="24"/>
          <w:szCs w:val="24"/>
        </w:rPr>
        <w:t>Curriculum for Non-Maintained Settings for 3 to 5-Year-Olds</w:t>
      </w:r>
      <w:r w:rsidRPr="00B47970">
        <w:rPr>
          <w:rFonts w:ascii="Arial" w:hAnsi="Arial" w:cs="Arial"/>
          <w:sz w:val="24"/>
          <w:szCs w:val="24"/>
        </w:rPr>
        <w:t>. Cardiff: Welsh Government.</w:t>
      </w:r>
    </w:p>
    <w:p w14:paraId="0CB4F6E3"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Welsh Government (2022) </w:t>
      </w:r>
      <w:r w:rsidRPr="00B47970">
        <w:rPr>
          <w:rStyle w:val="Emphasis"/>
          <w:rFonts w:ascii="Arial" w:eastAsiaTheme="majorEastAsia" w:hAnsi="Arial" w:cs="Arial"/>
          <w:sz w:val="24"/>
          <w:szCs w:val="24"/>
        </w:rPr>
        <w:t>Curriculum for Non-Maintained Settings</w:t>
      </w:r>
      <w:r w:rsidRPr="00B47970">
        <w:rPr>
          <w:rFonts w:ascii="Arial" w:hAnsi="Arial" w:cs="Arial"/>
          <w:sz w:val="24"/>
          <w:szCs w:val="24"/>
        </w:rPr>
        <w:t>. Cardiff: Welsh Government.</w:t>
      </w:r>
    </w:p>
    <w:p w14:paraId="15701F29" w14:textId="46E61CDD" w:rsidR="009B5717" w:rsidRPr="00B47970" w:rsidRDefault="009B5717" w:rsidP="009B5717">
      <w:pPr>
        <w:pStyle w:val="NormalWeb"/>
        <w:rPr>
          <w:rFonts w:ascii="Arial" w:hAnsi="Arial" w:cs="Arial"/>
        </w:rPr>
      </w:pPr>
      <w:r w:rsidRPr="00B47970">
        <w:rPr>
          <w:rFonts w:ascii="Arial" w:hAnsi="Arial" w:cs="Arial"/>
        </w:rPr>
        <w:t xml:space="preserve">Welsh Government, </w:t>
      </w:r>
      <w:r w:rsidR="00E94302">
        <w:rPr>
          <w:rFonts w:ascii="Arial" w:hAnsi="Arial" w:cs="Arial"/>
        </w:rPr>
        <w:t>(</w:t>
      </w:r>
      <w:r w:rsidRPr="00B47970">
        <w:rPr>
          <w:rFonts w:ascii="Arial" w:hAnsi="Arial" w:cs="Arial"/>
        </w:rPr>
        <w:t>2006</w:t>
      </w:r>
      <w:r w:rsidR="00E94302">
        <w:rPr>
          <w:rFonts w:ascii="Arial" w:hAnsi="Arial" w:cs="Arial"/>
        </w:rPr>
        <w:t>)</w:t>
      </w:r>
      <w:r w:rsidRPr="00B47970">
        <w:rPr>
          <w:rFonts w:ascii="Arial" w:hAnsi="Arial" w:cs="Arial"/>
        </w:rPr>
        <w:t xml:space="preserve">. </w:t>
      </w:r>
      <w:r w:rsidRPr="00B47970">
        <w:rPr>
          <w:rStyle w:val="Emphasis"/>
          <w:rFonts w:ascii="Arial" w:eastAsiaTheme="majorEastAsia" w:hAnsi="Arial" w:cs="Arial"/>
        </w:rPr>
        <w:t>Education for Sustainable Development and Global Citizenship: A Strategy for Action</w:t>
      </w:r>
      <w:r w:rsidRPr="00B47970">
        <w:rPr>
          <w:rFonts w:ascii="Arial" w:hAnsi="Arial" w:cs="Arial"/>
        </w:rPr>
        <w:t>. Cardiff: Welsh Assembly Government.</w:t>
      </w:r>
    </w:p>
    <w:p w14:paraId="09682052" w14:textId="3E8535F4" w:rsidR="009B5717" w:rsidRPr="00B47970" w:rsidRDefault="009B5717" w:rsidP="009B5717">
      <w:pPr>
        <w:pStyle w:val="NormalWeb"/>
        <w:rPr>
          <w:rFonts w:ascii="Arial" w:hAnsi="Arial" w:cs="Arial"/>
        </w:rPr>
      </w:pPr>
      <w:r w:rsidRPr="00B47970">
        <w:rPr>
          <w:rFonts w:ascii="Arial" w:hAnsi="Arial" w:cs="Arial"/>
        </w:rPr>
        <w:t xml:space="preserve">Welsh Government, </w:t>
      </w:r>
      <w:r w:rsidR="00E94302">
        <w:rPr>
          <w:rFonts w:ascii="Arial" w:hAnsi="Arial" w:cs="Arial"/>
        </w:rPr>
        <w:t>(</w:t>
      </w:r>
      <w:r w:rsidRPr="00B47970">
        <w:rPr>
          <w:rFonts w:ascii="Arial" w:hAnsi="Arial" w:cs="Arial"/>
        </w:rPr>
        <w:t>2012</w:t>
      </w:r>
      <w:r w:rsidR="00E94302">
        <w:rPr>
          <w:rFonts w:ascii="Arial" w:hAnsi="Arial" w:cs="Arial"/>
        </w:rPr>
        <w:t>)</w:t>
      </w:r>
      <w:r w:rsidRPr="00B47970">
        <w:rPr>
          <w:rFonts w:ascii="Arial" w:hAnsi="Arial" w:cs="Arial"/>
        </w:rPr>
        <w:t xml:space="preserve">. </w:t>
      </w:r>
      <w:r w:rsidRPr="00B47970">
        <w:rPr>
          <w:rStyle w:val="Emphasis"/>
          <w:rFonts w:ascii="Arial" w:eastAsiaTheme="majorEastAsia" w:hAnsi="Arial" w:cs="Arial"/>
        </w:rPr>
        <w:t>Education for Sustainable Development and Global Citizenship: A Common Understanding for Schools</w:t>
      </w:r>
      <w:r w:rsidRPr="00B47970">
        <w:rPr>
          <w:rFonts w:ascii="Arial" w:hAnsi="Arial" w:cs="Arial"/>
        </w:rPr>
        <w:t>. Cardiff: Welsh Government.</w:t>
      </w:r>
    </w:p>
    <w:p w14:paraId="7AAC94A5" w14:textId="4AB1A8ED" w:rsidR="009B5717" w:rsidRPr="00B47970" w:rsidRDefault="009B5717" w:rsidP="009B5717">
      <w:pPr>
        <w:pStyle w:val="NormalWeb"/>
        <w:rPr>
          <w:rFonts w:ascii="Arial" w:hAnsi="Arial" w:cs="Arial"/>
        </w:rPr>
      </w:pPr>
      <w:r w:rsidRPr="00B47970">
        <w:rPr>
          <w:rFonts w:ascii="Arial" w:hAnsi="Arial" w:cs="Arial"/>
        </w:rPr>
        <w:t xml:space="preserve">Welsh Government, </w:t>
      </w:r>
      <w:r w:rsidR="00E94302">
        <w:rPr>
          <w:rFonts w:ascii="Arial" w:hAnsi="Arial" w:cs="Arial"/>
        </w:rPr>
        <w:t>(</w:t>
      </w:r>
      <w:r w:rsidRPr="00B47970">
        <w:rPr>
          <w:rFonts w:ascii="Arial" w:hAnsi="Arial" w:cs="Arial"/>
        </w:rPr>
        <w:t>2022</w:t>
      </w:r>
      <w:r w:rsidR="00E94302">
        <w:rPr>
          <w:rFonts w:ascii="Arial" w:hAnsi="Arial" w:cs="Arial"/>
        </w:rPr>
        <w:t>)</w:t>
      </w:r>
      <w:r w:rsidRPr="00B47970">
        <w:rPr>
          <w:rFonts w:ascii="Arial" w:hAnsi="Arial" w:cs="Arial"/>
        </w:rPr>
        <w:t xml:space="preserve">. </w:t>
      </w:r>
      <w:r w:rsidRPr="00B47970">
        <w:rPr>
          <w:rStyle w:val="Emphasis"/>
          <w:rFonts w:ascii="Arial" w:eastAsiaTheme="majorEastAsia" w:hAnsi="Arial" w:cs="Arial"/>
        </w:rPr>
        <w:t>Curriculum for Wales: Framework Guidance</w:t>
      </w:r>
      <w:r w:rsidRPr="00B47970">
        <w:rPr>
          <w:rFonts w:ascii="Arial" w:hAnsi="Arial" w:cs="Arial"/>
        </w:rPr>
        <w:t>. Cardiff: Welsh Government. Available at: https://hwb.gov.wales/curriculum-for-wales (Accessed :12 July 2025).</w:t>
      </w:r>
    </w:p>
    <w:p w14:paraId="49CF7A3F" w14:textId="77777777" w:rsidR="009B5717" w:rsidRPr="00B47970" w:rsidRDefault="009B5717" w:rsidP="009B5717">
      <w:pPr>
        <w:rPr>
          <w:rFonts w:ascii="Arial" w:hAnsi="Arial" w:cs="Arial"/>
          <w:sz w:val="24"/>
          <w:szCs w:val="24"/>
        </w:rPr>
      </w:pPr>
      <w:r w:rsidRPr="00B47970">
        <w:rPr>
          <w:rFonts w:ascii="Arial" w:hAnsi="Arial" w:cs="Arial"/>
          <w:sz w:val="24"/>
          <w:szCs w:val="24"/>
        </w:rPr>
        <w:t xml:space="preserve">World Bank (2021). </w:t>
      </w:r>
      <w:r w:rsidRPr="00B47970">
        <w:rPr>
          <w:rFonts w:ascii="Arial" w:hAnsi="Arial" w:cs="Arial"/>
          <w:i/>
          <w:iCs/>
          <w:sz w:val="24"/>
          <w:szCs w:val="24"/>
        </w:rPr>
        <w:t>Toward a greener and more inclusive future: The economic case for sustainability</w:t>
      </w:r>
      <w:r w:rsidRPr="00B47970">
        <w:rPr>
          <w:rFonts w:ascii="Arial" w:hAnsi="Arial" w:cs="Arial"/>
          <w:sz w:val="24"/>
          <w:szCs w:val="24"/>
        </w:rPr>
        <w:t>. Washington, DC: World Bank Group.</w:t>
      </w:r>
    </w:p>
    <w:p w14:paraId="3791A9EA" w14:textId="4FB97DFF" w:rsidR="009B5717" w:rsidRPr="00B47970" w:rsidRDefault="009B5717" w:rsidP="009B5717">
      <w:pPr>
        <w:rPr>
          <w:rFonts w:ascii="Arial" w:hAnsi="Arial" w:cs="Arial"/>
          <w:sz w:val="24"/>
          <w:szCs w:val="24"/>
        </w:rPr>
      </w:pPr>
      <w:r w:rsidRPr="00B47970">
        <w:rPr>
          <w:rFonts w:ascii="Arial" w:hAnsi="Arial" w:cs="Arial"/>
          <w:sz w:val="24"/>
          <w:szCs w:val="24"/>
        </w:rPr>
        <w:t xml:space="preserve">Wright, T. and </w:t>
      </w:r>
      <w:proofErr w:type="spellStart"/>
      <w:r w:rsidRPr="00B47970">
        <w:rPr>
          <w:rFonts w:ascii="Arial" w:hAnsi="Arial" w:cs="Arial"/>
          <w:sz w:val="24"/>
          <w:szCs w:val="24"/>
        </w:rPr>
        <w:t>Kanasa</w:t>
      </w:r>
      <w:proofErr w:type="spellEnd"/>
      <w:r w:rsidRPr="00B47970">
        <w:rPr>
          <w:rFonts w:ascii="Arial" w:hAnsi="Arial" w:cs="Arial"/>
          <w:sz w:val="24"/>
          <w:szCs w:val="24"/>
        </w:rPr>
        <w:t xml:space="preserve">, H., </w:t>
      </w:r>
      <w:r w:rsidR="00E94302">
        <w:rPr>
          <w:rFonts w:ascii="Arial" w:hAnsi="Arial" w:cs="Arial"/>
          <w:sz w:val="24"/>
          <w:szCs w:val="24"/>
        </w:rPr>
        <w:t>(</w:t>
      </w:r>
      <w:r w:rsidRPr="00B47970">
        <w:rPr>
          <w:rFonts w:ascii="Arial" w:hAnsi="Arial" w:cs="Arial"/>
          <w:sz w:val="24"/>
          <w:szCs w:val="24"/>
        </w:rPr>
        <w:t>2016</w:t>
      </w:r>
      <w:r w:rsidR="00E94302">
        <w:rPr>
          <w:rFonts w:ascii="Arial" w:hAnsi="Arial" w:cs="Arial"/>
          <w:sz w:val="24"/>
          <w:szCs w:val="24"/>
        </w:rPr>
        <w:t>)</w:t>
      </w:r>
      <w:r w:rsidRPr="00B47970">
        <w:rPr>
          <w:rFonts w:ascii="Arial" w:hAnsi="Arial" w:cs="Arial"/>
          <w:sz w:val="24"/>
          <w:szCs w:val="24"/>
        </w:rPr>
        <w:t xml:space="preserve">. Parental and community engagement in early years sustainability education: Challenges and strategies. </w:t>
      </w:r>
      <w:r w:rsidRPr="00B47970">
        <w:rPr>
          <w:rFonts w:ascii="Arial" w:hAnsi="Arial" w:cs="Arial"/>
          <w:i/>
          <w:iCs/>
          <w:sz w:val="24"/>
          <w:szCs w:val="24"/>
        </w:rPr>
        <w:t>International Journal of Early Years Education</w:t>
      </w:r>
      <w:r w:rsidRPr="00B47970">
        <w:rPr>
          <w:rFonts w:ascii="Arial" w:hAnsi="Arial" w:cs="Arial"/>
          <w:sz w:val="24"/>
          <w:szCs w:val="24"/>
        </w:rPr>
        <w:t>, 24(3), pp.297-312.</w:t>
      </w:r>
    </w:p>
    <w:p w14:paraId="30F42EA9" w14:textId="77777777" w:rsidR="00981B64" w:rsidRPr="00B47970" w:rsidRDefault="00981B64" w:rsidP="0052136B">
      <w:pPr>
        <w:spacing w:line="360" w:lineRule="auto"/>
        <w:rPr>
          <w:rFonts w:ascii="Arial" w:hAnsi="Arial" w:cs="Arial"/>
          <w:sz w:val="24"/>
          <w:szCs w:val="24"/>
        </w:rPr>
      </w:pPr>
    </w:p>
    <w:sectPr w:rsidR="00981B64" w:rsidRPr="00B47970">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67B97" w14:textId="77777777" w:rsidR="0006231C" w:rsidRDefault="0006231C" w:rsidP="00405E67">
      <w:pPr>
        <w:spacing w:after="0" w:line="240" w:lineRule="auto"/>
      </w:pPr>
      <w:r>
        <w:separator/>
      </w:r>
    </w:p>
  </w:endnote>
  <w:endnote w:type="continuationSeparator" w:id="0">
    <w:p w14:paraId="2E7BC5DA" w14:textId="77777777" w:rsidR="0006231C" w:rsidRDefault="0006231C" w:rsidP="00405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85B2C" w14:textId="77777777" w:rsidR="0006231C" w:rsidRDefault="0006231C" w:rsidP="00405E67">
      <w:pPr>
        <w:spacing w:after="0" w:line="240" w:lineRule="auto"/>
      </w:pPr>
      <w:r>
        <w:separator/>
      </w:r>
    </w:p>
  </w:footnote>
  <w:footnote w:type="continuationSeparator" w:id="0">
    <w:p w14:paraId="4E112C63" w14:textId="77777777" w:rsidR="0006231C" w:rsidRDefault="0006231C" w:rsidP="00405E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A9D4CF" w14:textId="2DBDE14A" w:rsidR="001C29F5" w:rsidRDefault="00B311FB" w:rsidP="00405E67">
    <w:pPr>
      <w:pStyle w:val="Header"/>
      <w:jc w:val="right"/>
    </w:pPr>
    <w:r>
      <w:t>06</w:t>
    </w:r>
    <w:r w:rsidR="00DC0DA3">
      <w:t>52449</w:t>
    </w:r>
  </w:p>
  <w:p w14:paraId="2375FBFB" w14:textId="3DD9DAC0" w:rsidR="00405E67" w:rsidRDefault="00E610F9" w:rsidP="00405E67">
    <w:pPr>
      <w:pStyle w:val="Header"/>
      <w:jc w:val="right"/>
    </w:pPr>
    <w:r>
      <w:t>ECEY</w:t>
    </w:r>
    <w:r w:rsidR="00CD134B">
      <w:t>6005/C</w:t>
    </w:r>
  </w:p>
  <w:p w14:paraId="5E274C73" w14:textId="4F082DC6" w:rsidR="00CD134B" w:rsidRDefault="00DC0DA3" w:rsidP="00405E67">
    <w:pPr>
      <w:pStyle w:val="Header"/>
      <w:jc w:val="right"/>
    </w:pPr>
    <w:r>
      <w:t>Word Count</w:t>
    </w:r>
    <w:r w:rsidR="00030420">
      <w:t xml:space="preserve"> 3665</w:t>
    </w:r>
  </w:p>
  <w:p w14:paraId="3EECCC53" w14:textId="070652D7" w:rsidR="00405E67" w:rsidRDefault="00546C9A" w:rsidP="00C932EC">
    <w:pPr>
      <w:jc w:val="center"/>
    </w:pPr>
    <w:r>
      <w:t>I confirm I have not used AI generated text as my own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0F1"/>
    <w:rsid w:val="00030420"/>
    <w:rsid w:val="00030B66"/>
    <w:rsid w:val="00035668"/>
    <w:rsid w:val="00036403"/>
    <w:rsid w:val="000533BA"/>
    <w:rsid w:val="0006231C"/>
    <w:rsid w:val="00071967"/>
    <w:rsid w:val="000822E9"/>
    <w:rsid w:val="00087B68"/>
    <w:rsid w:val="000A1DA2"/>
    <w:rsid w:val="000A27A8"/>
    <w:rsid w:val="000D0B90"/>
    <w:rsid w:val="000D5048"/>
    <w:rsid w:val="000F1B1D"/>
    <w:rsid w:val="000F70A2"/>
    <w:rsid w:val="00102BE4"/>
    <w:rsid w:val="00110E02"/>
    <w:rsid w:val="00124D4B"/>
    <w:rsid w:val="00135640"/>
    <w:rsid w:val="001420A2"/>
    <w:rsid w:val="00143AED"/>
    <w:rsid w:val="00150FEF"/>
    <w:rsid w:val="0015263E"/>
    <w:rsid w:val="00171D37"/>
    <w:rsid w:val="001763E1"/>
    <w:rsid w:val="00191042"/>
    <w:rsid w:val="00191ACA"/>
    <w:rsid w:val="0019418C"/>
    <w:rsid w:val="001C29F5"/>
    <w:rsid w:val="00227753"/>
    <w:rsid w:val="0024473A"/>
    <w:rsid w:val="00244ABE"/>
    <w:rsid w:val="00262A1C"/>
    <w:rsid w:val="00262D58"/>
    <w:rsid w:val="0026483D"/>
    <w:rsid w:val="00265100"/>
    <w:rsid w:val="002715B8"/>
    <w:rsid w:val="002817E5"/>
    <w:rsid w:val="002F635F"/>
    <w:rsid w:val="0030255E"/>
    <w:rsid w:val="0030379A"/>
    <w:rsid w:val="0031710E"/>
    <w:rsid w:val="00317D2D"/>
    <w:rsid w:val="00320A4E"/>
    <w:rsid w:val="00346823"/>
    <w:rsid w:val="00366EF7"/>
    <w:rsid w:val="00367970"/>
    <w:rsid w:val="003733B0"/>
    <w:rsid w:val="003B7113"/>
    <w:rsid w:val="003F3615"/>
    <w:rsid w:val="00403BEC"/>
    <w:rsid w:val="00405E67"/>
    <w:rsid w:val="004108F8"/>
    <w:rsid w:val="00437ECD"/>
    <w:rsid w:val="00466BB5"/>
    <w:rsid w:val="00491EA5"/>
    <w:rsid w:val="004A3DC3"/>
    <w:rsid w:val="004A51E7"/>
    <w:rsid w:val="004E7BF9"/>
    <w:rsid w:val="004F339B"/>
    <w:rsid w:val="0052136B"/>
    <w:rsid w:val="00523774"/>
    <w:rsid w:val="00527162"/>
    <w:rsid w:val="00534FD3"/>
    <w:rsid w:val="00546C9A"/>
    <w:rsid w:val="005524FC"/>
    <w:rsid w:val="00553CAC"/>
    <w:rsid w:val="00561A6B"/>
    <w:rsid w:val="00562FCB"/>
    <w:rsid w:val="0056684C"/>
    <w:rsid w:val="005764D4"/>
    <w:rsid w:val="005853EF"/>
    <w:rsid w:val="00591883"/>
    <w:rsid w:val="005A2B6A"/>
    <w:rsid w:val="005C01C6"/>
    <w:rsid w:val="006006D1"/>
    <w:rsid w:val="006045DA"/>
    <w:rsid w:val="00623905"/>
    <w:rsid w:val="00640079"/>
    <w:rsid w:val="00640E4E"/>
    <w:rsid w:val="00645BDA"/>
    <w:rsid w:val="006519E7"/>
    <w:rsid w:val="00651DAC"/>
    <w:rsid w:val="00661DCC"/>
    <w:rsid w:val="00686D6C"/>
    <w:rsid w:val="006B5771"/>
    <w:rsid w:val="006C5FCD"/>
    <w:rsid w:val="006D26E8"/>
    <w:rsid w:val="006D354A"/>
    <w:rsid w:val="006E368D"/>
    <w:rsid w:val="006E6D0D"/>
    <w:rsid w:val="006F1B22"/>
    <w:rsid w:val="006F4CA1"/>
    <w:rsid w:val="00714995"/>
    <w:rsid w:val="00724F49"/>
    <w:rsid w:val="00730675"/>
    <w:rsid w:val="00751FBE"/>
    <w:rsid w:val="0075463C"/>
    <w:rsid w:val="00762914"/>
    <w:rsid w:val="007717E4"/>
    <w:rsid w:val="0077532B"/>
    <w:rsid w:val="00775CBA"/>
    <w:rsid w:val="007810D0"/>
    <w:rsid w:val="00782476"/>
    <w:rsid w:val="007B2A40"/>
    <w:rsid w:val="007B39EF"/>
    <w:rsid w:val="007B5A3A"/>
    <w:rsid w:val="007C33F3"/>
    <w:rsid w:val="007E13E1"/>
    <w:rsid w:val="007F72CD"/>
    <w:rsid w:val="00806D32"/>
    <w:rsid w:val="00817DDA"/>
    <w:rsid w:val="00833F68"/>
    <w:rsid w:val="008361C3"/>
    <w:rsid w:val="0085339F"/>
    <w:rsid w:val="008A3210"/>
    <w:rsid w:val="008D1BD9"/>
    <w:rsid w:val="00906EE2"/>
    <w:rsid w:val="00924F71"/>
    <w:rsid w:val="009276C2"/>
    <w:rsid w:val="00932947"/>
    <w:rsid w:val="00932E68"/>
    <w:rsid w:val="009349E7"/>
    <w:rsid w:val="00937DDD"/>
    <w:rsid w:val="00973D19"/>
    <w:rsid w:val="00981B64"/>
    <w:rsid w:val="00991A91"/>
    <w:rsid w:val="009B5717"/>
    <w:rsid w:val="009F3FA6"/>
    <w:rsid w:val="009F5617"/>
    <w:rsid w:val="00A3234D"/>
    <w:rsid w:val="00A35EC0"/>
    <w:rsid w:val="00A36FC1"/>
    <w:rsid w:val="00A41E3F"/>
    <w:rsid w:val="00A673C3"/>
    <w:rsid w:val="00A7329B"/>
    <w:rsid w:val="00AB5DB2"/>
    <w:rsid w:val="00AC156A"/>
    <w:rsid w:val="00AC21A9"/>
    <w:rsid w:val="00AD1C30"/>
    <w:rsid w:val="00B20BBE"/>
    <w:rsid w:val="00B311FB"/>
    <w:rsid w:val="00B31F11"/>
    <w:rsid w:val="00B46F32"/>
    <w:rsid w:val="00B47970"/>
    <w:rsid w:val="00B56C4C"/>
    <w:rsid w:val="00B803D1"/>
    <w:rsid w:val="00B907CA"/>
    <w:rsid w:val="00B91076"/>
    <w:rsid w:val="00B91FAF"/>
    <w:rsid w:val="00B94658"/>
    <w:rsid w:val="00BA6AB8"/>
    <w:rsid w:val="00BC1233"/>
    <w:rsid w:val="00BC2726"/>
    <w:rsid w:val="00BC3D57"/>
    <w:rsid w:val="00BC615F"/>
    <w:rsid w:val="00C10DFB"/>
    <w:rsid w:val="00C27BF3"/>
    <w:rsid w:val="00C30842"/>
    <w:rsid w:val="00C45132"/>
    <w:rsid w:val="00C66009"/>
    <w:rsid w:val="00C71137"/>
    <w:rsid w:val="00C82A4E"/>
    <w:rsid w:val="00C932EC"/>
    <w:rsid w:val="00CB0FAD"/>
    <w:rsid w:val="00CB25F4"/>
    <w:rsid w:val="00CD134B"/>
    <w:rsid w:val="00CE08CF"/>
    <w:rsid w:val="00CF59A6"/>
    <w:rsid w:val="00D13CA7"/>
    <w:rsid w:val="00D165DF"/>
    <w:rsid w:val="00D204AA"/>
    <w:rsid w:val="00D20B7C"/>
    <w:rsid w:val="00D2707E"/>
    <w:rsid w:val="00D3694C"/>
    <w:rsid w:val="00D443FF"/>
    <w:rsid w:val="00D46930"/>
    <w:rsid w:val="00D60727"/>
    <w:rsid w:val="00D60D1B"/>
    <w:rsid w:val="00D6471A"/>
    <w:rsid w:val="00D74A1B"/>
    <w:rsid w:val="00D77CC9"/>
    <w:rsid w:val="00D93438"/>
    <w:rsid w:val="00D94085"/>
    <w:rsid w:val="00DC0DA3"/>
    <w:rsid w:val="00DC70F1"/>
    <w:rsid w:val="00DD556F"/>
    <w:rsid w:val="00DF7CB8"/>
    <w:rsid w:val="00E02661"/>
    <w:rsid w:val="00E3165C"/>
    <w:rsid w:val="00E4366A"/>
    <w:rsid w:val="00E47AD8"/>
    <w:rsid w:val="00E610F9"/>
    <w:rsid w:val="00E66452"/>
    <w:rsid w:val="00E753CD"/>
    <w:rsid w:val="00E77682"/>
    <w:rsid w:val="00E94302"/>
    <w:rsid w:val="00E944CB"/>
    <w:rsid w:val="00EE1EC4"/>
    <w:rsid w:val="00EF2C1B"/>
    <w:rsid w:val="00F16C2D"/>
    <w:rsid w:val="00F2474E"/>
    <w:rsid w:val="00F273E1"/>
    <w:rsid w:val="00F32B54"/>
    <w:rsid w:val="00F4382A"/>
    <w:rsid w:val="00F656F0"/>
    <w:rsid w:val="00F70076"/>
    <w:rsid w:val="00F7343A"/>
    <w:rsid w:val="00F85484"/>
    <w:rsid w:val="00F92985"/>
    <w:rsid w:val="00FB70BA"/>
    <w:rsid w:val="00FC52AB"/>
    <w:rsid w:val="00FD197E"/>
    <w:rsid w:val="00FF56B5"/>
    <w:rsid w:val="00FF5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0DF8C"/>
  <w15:chartTrackingRefBased/>
  <w15:docId w15:val="{3503DCFA-C59A-4363-87AA-D80A366A5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5DA"/>
  </w:style>
  <w:style w:type="paragraph" w:styleId="Heading1">
    <w:name w:val="heading 1"/>
    <w:basedOn w:val="Normal"/>
    <w:next w:val="Normal"/>
    <w:link w:val="Heading1Char"/>
    <w:uiPriority w:val="9"/>
    <w:qFormat/>
    <w:rsid w:val="006045DA"/>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6045D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045DA"/>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6045D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045DA"/>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6045DA"/>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6045DA"/>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6045DA"/>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6045DA"/>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5DA"/>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6045D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045DA"/>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6045DA"/>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045DA"/>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6045DA"/>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6045DA"/>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6045DA"/>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6045DA"/>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6045DA"/>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6045DA"/>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6045D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045DA"/>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6045D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045DA"/>
    <w:rPr>
      <w:i/>
      <w:iCs/>
      <w:color w:val="404040" w:themeColor="text1" w:themeTint="BF"/>
    </w:rPr>
  </w:style>
  <w:style w:type="paragraph" w:styleId="ListParagraph">
    <w:name w:val="List Paragraph"/>
    <w:basedOn w:val="Normal"/>
    <w:uiPriority w:val="34"/>
    <w:qFormat/>
    <w:rsid w:val="00DC70F1"/>
    <w:pPr>
      <w:ind w:left="720"/>
      <w:contextualSpacing/>
    </w:pPr>
  </w:style>
  <w:style w:type="character" w:styleId="IntenseEmphasis">
    <w:name w:val="Intense Emphasis"/>
    <w:basedOn w:val="DefaultParagraphFont"/>
    <w:uiPriority w:val="21"/>
    <w:qFormat/>
    <w:rsid w:val="006045DA"/>
    <w:rPr>
      <w:b/>
      <w:bCs/>
      <w:i/>
      <w:iCs/>
    </w:rPr>
  </w:style>
  <w:style w:type="paragraph" w:styleId="IntenseQuote">
    <w:name w:val="Intense Quote"/>
    <w:basedOn w:val="Normal"/>
    <w:next w:val="Normal"/>
    <w:link w:val="IntenseQuoteChar"/>
    <w:uiPriority w:val="30"/>
    <w:qFormat/>
    <w:rsid w:val="006045DA"/>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6045DA"/>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6045DA"/>
    <w:rPr>
      <w:b/>
      <w:bCs/>
      <w:smallCaps/>
      <w:spacing w:val="5"/>
      <w:u w:val="single"/>
    </w:rPr>
  </w:style>
  <w:style w:type="paragraph" w:styleId="Header">
    <w:name w:val="header"/>
    <w:basedOn w:val="Normal"/>
    <w:link w:val="HeaderChar"/>
    <w:uiPriority w:val="99"/>
    <w:unhideWhenUsed/>
    <w:rsid w:val="00405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E67"/>
  </w:style>
  <w:style w:type="paragraph" w:styleId="Footer">
    <w:name w:val="footer"/>
    <w:basedOn w:val="Normal"/>
    <w:link w:val="FooterChar"/>
    <w:uiPriority w:val="99"/>
    <w:unhideWhenUsed/>
    <w:rsid w:val="00405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E67"/>
  </w:style>
  <w:style w:type="paragraph" w:styleId="Caption">
    <w:name w:val="caption"/>
    <w:basedOn w:val="Normal"/>
    <w:next w:val="Normal"/>
    <w:uiPriority w:val="35"/>
    <w:semiHidden/>
    <w:unhideWhenUsed/>
    <w:qFormat/>
    <w:rsid w:val="006045DA"/>
    <w:pPr>
      <w:spacing w:line="240" w:lineRule="auto"/>
    </w:pPr>
    <w:rPr>
      <w:b/>
      <w:bCs/>
      <w:smallCaps/>
      <w:color w:val="595959" w:themeColor="text1" w:themeTint="A6"/>
      <w:spacing w:val="6"/>
    </w:rPr>
  </w:style>
  <w:style w:type="character" w:styleId="Strong">
    <w:name w:val="Strong"/>
    <w:basedOn w:val="DefaultParagraphFont"/>
    <w:uiPriority w:val="22"/>
    <w:qFormat/>
    <w:rsid w:val="006045DA"/>
    <w:rPr>
      <w:b/>
      <w:bCs/>
    </w:rPr>
  </w:style>
  <w:style w:type="character" w:styleId="Emphasis">
    <w:name w:val="Emphasis"/>
    <w:basedOn w:val="DefaultParagraphFont"/>
    <w:uiPriority w:val="20"/>
    <w:qFormat/>
    <w:rsid w:val="006045DA"/>
    <w:rPr>
      <w:i/>
      <w:iCs/>
    </w:rPr>
  </w:style>
  <w:style w:type="paragraph" w:styleId="NoSpacing">
    <w:name w:val="No Spacing"/>
    <w:uiPriority w:val="1"/>
    <w:qFormat/>
    <w:rsid w:val="006045DA"/>
    <w:pPr>
      <w:spacing w:after="0" w:line="240" w:lineRule="auto"/>
    </w:pPr>
  </w:style>
  <w:style w:type="character" w:styleId="SubtleEmphasis">
    <w:name w:val="Subtle Emphasis"/>
    <w:basedOn w:val="DefaultParagraphFont"/>
    <w:uiPriority w:val="19"/>
    <w:qFormat/>
    <w:rsid w:val="006045DA"/>
    <w:rPr>
      <w:i/>
      <w:iCs/>
      <w:color w:val="404040" w:themeColor="text1" w:themeTint="BF"/>
    </w:rPr>
  </w:style>
  <w:style w:type="character" w:styleId="SubtleReference">
    <w:name w:val="Subtle Reference"/>
    <w:basedOn w:val="DefaultParagraphFont"/>
    <w:uiPriority w:val="31"/>
    <w:qFormat/>
    <w:rsid w:val="006045DA"/>
    <w:rPr>
      <w:smallCaps/>
      <w:color w:val="404040" w:themeColor="text1" w:themeTint="BF"/>
      <w:u w:val="single" w:color="7F7F7F" w:themeColor="text1" w:themeTint="80"/>
    </w:rPr>
  </w:style>
  <w:style w:type="character" w:styleId="BookTitle">
    <w:name w:val="Book Title"/>
    <w:basedOn w:val="DefaultParagraphFont"/>
    <w:uiPriority w:val="33"/>
    <w:qFormat/>
    <w:rsid w:val="006045DA"/>
    <w:rPr>
      <w:b/>
      <w:bCs/>
      <w:smallCaps/>
    </w:rPr>
  </w:style>
  <w:style w:type="paragraph" w:styleId="TOCHeading">
    <w:name w:val="TOC Heading"/>
    <w:basedOn w:val="Heading1"/>
    <w:next w:val="Normal"/>
    <w:uiPriority w:val="39"/>
    <w:semiHidden/>
    <w:unhideWhenUsed/>
    <w:qFormat/>
    <w:rsid w:val="006045DA"/>
    <w:pPr>
      <w:outlineLvl w:val="9"/>
    </w:pPr>
  </w:style>
  <w:style w:type="paragraph" w:styleId="NormalWeb">
    <w:name w:val="Normal (Web)"/>
    <w:basedOn w:val="Normal"/>
    <w:uiPriority w:val="99"/>
    <w:semiHidden/>
    <w:unhideWhenUsed/>
    <w:rsid w:val="00981B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81B6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160546">
      <w:bodyDiv w:val="1"/>
      <w:marLeft w:val="0"/>
      <w:marRight w:val="0"/>
      <w:marTop w:val="0"/>
      <w:marBottom w:val="0"/>
      <w:divBdr>
        <w:top w:val="none" w:sz="0" w:space="0" w:color="auto"/>
        <w:left w:val="none" w:sz="0" w:space="0" w:color="auto"/>
        <w:bottom w:val="none" w:sz="0" w:space="0" w:color="auto"/>
        <w:right w:val="none" w:sz="0" w:space="0" w:color="auto"/>
      </w:divBdr>
    </w:div>
    <w:div w:id="126632530">
      <w:bodyDiv w:val="1"/>
      <w:marLeft w:val="0"/>
      <w:marRight w:val="0"/>
      <w:marTop w:val="0"/>
      <w:marBottom w:val="0"/>
      <w:divBdr>
        <w:top w:val="none" w:sz="0" w:space="0" w:color="auto"/>
        <w:left w:val="none" w:sz="0" w:space="0" w:color="auto"/>
        <w:bottom w:val="none" w:sz="0" w:space="0" w:color="auto"/>
        <w:right w:val="none" w:sz="0" w:space="0" w:color="auto"/>
      </w:divBdr>
    </w:div>
    <w:div w:id="264389259">
      <w:bodyDiv w:val="1"/>
      <w:marLeft w:val="0"/>
      <w:marRight w:val="0"/>
      <w:marTop w:val="0"/>
      <w:marBottom w:val="0"/>
      <w:divBdr>
        <w:top w:val="none" w:sz="0" w:space="0" w:color="auto"/>
        <w:left w:val="none" w:sz="0" w:space="0" w:color="auto"/>
        <w:bottom w:val="none" w:sz="0" w:space="0" w:color="auto"/>
        <w:right w:val="none" w:sz="0" w:space="0" w:color="auto"/>
      </w:divBdr>
    </w:div>
    <w:div w:id="309943927">
      <w:bodyDiv w:val="1"/>
      <w:marLeft w:val="0"/>
      <w:marRight w:val="0"/>
      <w:marTop w:val="0"/>
      <w:marBottom w:val="0"/>
      <w:divBdr>
        <w:top w:val="none" w:sz="0" w:space="0" w:color="auto"/>
        <w:left w:val="none" w:sz="0" w:space="0" w:color="auto"/>
        <w:bottom w:val="none" w:sz="0" w:space="0" w:color="auto"/>
        <w:right w:val="none" w:sz="0" w:space="0" w:color="auto"/>
      </w:divBdr>
    </w:div>
    <w:div w:id="577791970">
      <w:bodyDiv w:val="1"/>
      <w:marLeft w:val="0"/>
      <w:marRight w:val="0"/>
      <w:marTop w:val="0"/>
      <w:marBottom w:val="0"/>
      <w:divBdr>
        <w:top w:val="none" w:sz="0" w:space="0" w:color="auto"/>
        <w:left w:val="none" w:sz="0" w:space="0" w:color="auto"/>
        <w:bottom w:val="none" w:sz="0" w:space="0" w:color="auto"/>
        <w:right w:val="none" w:sz="0" w:space="0" w:color="auto"/>
      </w:divBdr>
      <w:divsChild>
        <w:div w:id="1143351189">
          <w:marLeft w:val="0"/>
          <w:marRight w:val="0"/>
          <w:marTop w:val="0"/>
          <w:marBottom w:val="0"/>
          <w:divBdr>
            <w:top w:val="none" w:sz="0" w:space="0" w:color="auto"/>
            <w:left w:val="none" w:sz="0" w:space="0" w:color="auto"/>
            <w:bottom w:val="none" w:sz="0" w:space="0" w:color="auto"/>
            <w:right w:val="none" w:sz="0" w:space="0" w:color="auto"/>
          </w:divBdr>
          <w:divsChild>
            <w:div w:id="1144201897">
              <w:marLeft w:val="0"/>
              <w:marRight w:val="0"/>
              <w:marTop w:val="0"/>
              <w:marBottom w:val="0"/>
              <w:divBdr>
                <w:top w:val="none" w:sz="0" w:space="0" w:color="auto"/>
                <w:left w:val="none" w:sz="0" w:space="0" w:color="auto"/>
                <w:bottom w:val="none" w:sz="0" w:space="0" w:color="auto"/>
                <w:right w:val="none" w:sz="0" w:space="0" w:color="auto"/>
              </w:divBdr>
              <w:divsChild>
                <w:div w:id="1221211468">
                  <w:marLeft w:val="0"/>
                  <w:marRight w:val="0"/>
                  <w:marTop w:val="0"/>
                  <w:marBottom w:val="0"/>
                  <w:divBdr>
                    <w:top w:val="none" w:sz="0" w:space="0" w:color="auto"/>
                    <w:left w:val="none" w:sz="0" w:space="0" w:color="auto"/>
                    <w:bottom w:val="none" w:sz="0" w:space="0" w:color="auto"/>
                    <w:right w:val="none" w:sz="0" w:space="0" w:color="auto"/>
                  </w:divBdr>
                  <w:divsChild>
                    <w:div w:id="297027865">
                      <w:marLeft w:val="0"/>
                      <w:marRight w:val="0"/>
                      <w:marTop w:val="0"/>
                      <w:marBottom w:val="0"/>
                      <w:divBdr>
                        <w:top w:val="none" w:sz="0" w:space="0" w:color="auto"/>
                        <w:left w:val="none" w:sz="0" w:space="0" w:color="auto"/>
                        <w:bottom w:val="none" w:sz="0" w:space="0" w:color="auto"/>
                        <w:right w:val="none" w:sz="0" w:space="0" w:color="auto"/>
                      </w:divBdr>
                      <w:divsChild>
                        <w:div w:id="2067798295">
                          <w:marLeft w:val="0"/>
                          <w:marRight w:val="0"/>
                          <w:marTop w:val="0"/>
                          <w:marBottom w:val="0"/>
                          <w:divBdr>
                            <w:top w:val="none" w:sz="0" w:space="0" w:color="auto"/>
                            <w:left w:val="none" w:sz="0" w:space="0" w:color="auto"/>
                            <w:bottom w:val="none" w:sz="0" w:space="0" w:color="auto"/>
                            <w:right w:val="none" w:sz="0" w:space="0" w:color="auto"/>
                          </w:divBdr>
                          <w:divsChild>
                            <w:div w:id="853421980">
                              <w:marLeft w:val="0"/>
                              <w:marRight w:val="0"/>
                              <w:marTop w:val="0"/>
                              <w:marBottom w:val="0"/>
                              <w:divBdr>
                                <w:top w:val="none" w:sz="0" w:space="0" w:color="auto"/>
                                <w:left w:val="none" w:sz="0" w:space="0" w:color="auto"/>
                                <w:bottom w:val="none" w:sz="0" w:space="0" w:color="auto"/>
                                <w:right w:val="none" w:sz="0" w:space="0" w:color="auto"/>
                              </w:divBdr>
                              <w:divsChild>
                                <w:div w:id="997003086">
                                  <w:marLeft w:val="0"/>
                                  <w:marRight w:val="0"/>
                                  <w:marTop w:val="0"/>
                                  <w:marBottom w:val="0"/>
                                  <w:divBdr>
                                    <w:top w:val="none" w:sz="0" w:space="0" w:color="auto"/>
                                    <w:left w:val="none" w:sz="0" w:space="0" w:color="auto"/>
                                    <w:bottom w:val="none" w:sz="0" w:space="0" w:color="auto"/>
                                    <w:right w:val="none" w:sz="0" w:space="0" w:color="auto"/>
                                  </w:divBdr>
                                  <w:divsChild>
                                    <w:div w:id="118922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186994">
                      <w:marLeft w:val="0"/>
                      <w:marRight w:val="0"/>
                      <w:marTop w:val="0"/>
                      <w:marBottom w:val="0"/>
                      <w:divBdr>
                        <w:top w:val="none" w:sz="0" w:space="0" w:color="auto"/>
                        <w:left w:val="none" w:sz="0" w:space="0" w:color="auto"/>
                        <w:bottom w:val="none" w:sz="0" w:space="0" w:color="auto"/>
                        <w:right w:val="none" w:sz="0" w:space="0" w:color="auto"/>
                      </w:divBdr>
                      <w:divsChild>
                        <w:div w:id="135430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2104995">
      <w:bodyDiv w:val="1"/>
      <w:marLeft w:val="0"/>
      <w:marRight w:val="0"/>
      <w:marTop w:val="0"/>
      <w:marBottom w:val="0"/>
      <w:divBdr>
        <w:top w:val="none" w:sz="0" w:space="0" w:color="auto"/>
        <w:left w:val="none" w:sz="0" w:space="0" w:color="auto"/>
        <w:bottom w:val="none" w:sz="0" w:space="0" w:color="auto"/>
        <w:right w:val="none" w:sz="0" w:space="0" w:color="auto"/>
      </w:divBdr>
      <w:divsChild>
        <w:div w:id="356583168">
          <w:marLeft w:val="0"/>
          <w:marRight w:val="0"/>
          <w:marTop w:val="0"/>
          <w:marBottom w:val="0"/>
          <w:divBdr>
            <w:top w:val="none" w:sz="0" w:space="0" w:color="auto"/>
            <w:left w:val="none" w:sz="0" w:space="0" w:color="auto"/>
            <w:bottom w:val="none" w:sz="0" w:space="0" w:color="auto"/>
            <w:right w:val="none" w:sz="0" w:space="0" w:color="auto"/>
          </w:divBdr>
          <w:divsChild>
            <w:div w:id="259488377">
              <w:marLeft w:val="0"/>
              <w:marRight w:val="0"/>
              <w:marTop w:val="0"/>
              <w:marBottom w:val="0"/>
              <w:divBdr>
                <w:top w:val="none" w:sz="0" w:space="0" w:color="auto"/>
                <w:left w:val="none" w:sz="0" w:space="0" w:color="auto"/>
                <w:bottom w:val="none" w:sz="0" w:space="0" w:color="auto"/>
                <w:right w:val="none" w:sz="0" w:space="0" w:color="auto"/>
              </w:divBdr>
              <w:divsChild>
                <w:div w:id="32198305">
                  <w:marLeft w:val="0"/>
                  <w:marRight w:val="0"/>
                  <w:marTop w:val="0"/>
                  <w:marBottom w:val="0"/>
                  <w:divBdr>
                    <w:top w:val="none" w:sz="0" w:space="0" w:color="auto"/>
                    <w:left w:val="none" w:sz="0" w:space="0" w:color="auto"/>
                    <w:bottom w:val="none" w:sz="0" w:space="0" w:color="auto"/>
                    <w:right w:val="none" w:sz="0" w:space="0" w:color="auto"/>
                  </w:divBdr>
                  <w:divsChild>
                    <w:div w:id="1180199415">
                      <w:marLeft w:val="0"/>
                      <w:marRight w:val="0"/>
                      <w:marTop w:val="0"/>
                      <w:marBottom w:val="0"/>
                      <w:divBdr>
                        <w:top w:val="none" w:sz="0" w:space="0" w:color="auto"/>
                        <w:left w:val="none" w:sz="0" w:space="0" w:color="auto"/>
                        <w:bottom w:val="none" w:sz="0" w:space="0" w:color="auto"/>
                        <w:right w:val="none" w:sz="0" w:space="0" w:color="auto"/>
                      </w:divBdr>
                      <w:divsChild>
                        <w:div w:id="1064064088">
                          <w:marLeft w:val="0"/>
                          <w:marRight w:val="0"/>
                          <w:marTop w:val="0"/>
                          <w:marBottom w:val="0"/>
                          <w:divBdr>
                            <w:top w:val="none" w:sz="0" w:space="0" w:color="auto"/>
                            <w:left w:val="none" w:sz="0" w:space="0" w:color="auto"/>
                            <w:bottom w:val="none" w:sz="0" w:space="0" w:color="auto"/>
                            <w:right w:val="none" w:sz="0" w:space="0" w:color="auto"/>
                          </w:divBdr>
                          <w:divsChild>
                            <w:div w:id="10182481">
                              <w:marLeft w:val="0"/>
                              <w:marRight w:val="0"/>
                              <w:marTop w:val="0"/>
                              <w:marBottom w:val="0"/>
                              <w:divBdr>
                                <w:top w:val="none" w:sz="0" w:space="0" w:color="auto"/>
                                <w:left w:val="none" w:sz="0" w:space="0" w:color="auto"/>
                                <w:bottom w:val="none" w:sz="0" w:space="0" w:color="auto"/>
                                <w:right w:val="none" w:sz="0" w:space="0" w:color="auto"/>
                              </w:divBdr>
                              <w:divsChild>
                                <w:div w:id="561408641">
                                  <w:marLeft w:val="0"/>
                                  <w:marRight w:val="0"/>
                                  <w:marTop w:val="0"/>
                                  <w:marBottom w:val="0"/>
                                  <w:divBdr>
                                    <w:top w:val="none" w:sz="0" w:space="0" w:color="auto"/>
                                    <w:left w:val="none" w:sz="0" w:space="0" w:color="auto"/>
                                    <w:bottom w:val="none" w:sz="0" w:space="0" w:color="auto"/>
                                    <w:right w:val="none" w:sz="0" w:space="0" w:color="auto"/>
                                  </w:divBdr>
                                  <w:divsChild>
                                    <w:div w:id="74731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650597">
                      <w:marLeft w:val="0"/>
                      <w:marRight w:val="0"/>
                      <w:marTop w:val="0"/>
                      <w:marBottom w:val="0"/>
                      <w:divBdr>
                        <w:top w:val="none" w:sz="0" w:space="0" w:color="auto"/>
                        <w:left w:val="none" w:sz="0" w:space="0" w:color="auto"/>
                        <w:bottom w:val="none" w:sz="0" w:space="0" w:color="auto"/>
                        <w:right w:val="none" w:sz="0" w:space="0" w:color="auto"/>
                      </w:divBdr>
                      <w:divsChild>
                        <w:div w:id="111872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5712886">
      <w:bodyDiv w:val="1"/>
      <w:marLeft w:val="0"/>
      <w:marRight w:val="0"/>
      <w:marTop w:val="0"/>
      <w:marBottom w:val="0"/>
      <w:divBdr>
        <w:top w:val="none" w:sz="0" w:space="0" w:color="auto"/>
        <w:left w:val="none" w:sz="0" w:space="0" w:color="auto"/>
        <w:bottom w:val="none" w:sz="0" w:space="0" w:color="auto"/>
        <w:right w:val="none" w:sz="0" w:space="0" w:color="auto"/>
      </w:divBdr>
    </w:div>
    <w:div w:id="1383627475">
      <w:bodyDiv w:val="1"/>
      <w:marLeft w:val="0"/>
      <w:marRight w:val="0"/>
      <w:marTop w:val="0"/>
      <w:marBottom w:val="0"/>
      <w:divBdr>
        <w:top w:val="none" w:sz="0" w:space="0" w:color="auto"/>
        <w:left w:val="none" w:sz="0" w:space="0" w:color="auto"/>
        <w:bottom w:val="none" w:sz="0" w:space="0" w:color="auto"/>
        <w:right w:val="none" w:sz="0" w:space="0" w:color="auto"/>
      </w:divBdr>
    </w:div>
    <w:div w:id="1464419031">
      <w:bodyDiv w:val="1"/>
      <w:marLeft w:val="0"/>
      <w:marRight w:val="0"/>
      <w:marTop w:val="0"/>
      <w:marBottom w:val="0"/>
      <w:divBdr>
        <w:top w:val="none" w:sz="0" w:space="0" w:color="auto"/>
        <w:left w:val="none" w:sz="0" w:space="0" w:color="auto"/>
        <w:bottom w:val="none" w:sz="0" w:space="0" w:color="auto"/>
        <w:right w:val="none" w:sz="0" w:space="0" w:color="auto"/>
      </w:divBdr>
    </w:div>
    <w:div w:id="1507524748">
      <w:bodyDiv w:val="1"/>
      <w:marLeft w:val="0"/>
      <w:marRight w:val="0"/>
      <w:marTop w:val="0"/>
      <w:marBottom w:val="0"/>
      <w:divBdr>
        <w:top w:val="none" w:sz="0" w:space="0" w:color="auto"/>
        <w:left w:val="none" w:sz="0" w:space="0" w:color="auto"/>
        <w:bottom w:val="none" w:sz="0" w:space="0" w:color="auto"/>
        <w:right w:val="none" w:sz="0" w:space="0" w:color="auto"/>
      </w:divBdr>
    </w:div>
    <w:div w:id="1654216843">
      <w:bodyDiv w:val="1"/>
      <w:marLeft w:val="0"/>
      <w:marRight w:val="0"/>
      <w:marTop w:val="0"/>
      <w:marBottom w:val="0"/>
      <w:divBdr>
        <w:top w:val="none" w:sz="0" w:space="0" w:color="auto"/>
        <w:left w:val="none" w:sz="0" w:space="0" w:color="auto"/>
        <w:bottom w:val="none" w:sz="0" w:space="0" w:color="auto"/>
        <w:right w:val="none" w:sz="0" w:space="0" w:color="auto"/>
      </w:divBdr>
    </w:div>
    <w:div w:id="1823883445">
      <w:bodyDiv w:val="1"/>
      <w:marLeft w:val="0"/>
      <w:marRight w:val="0"/>
      <w:marTop w:val="0"/>
      <w:marBottom w:val="0"/>
      <w:divBdr>
        <w:top w:val="none" w:sz="0" w:space="0" w:color="auto"/>
        <w:left w:val="none" w:sz="0" w:space="0" w:color="auto"/>
        <w:bottom w:val="none" w:sz="0" w:space="0" w:color="auto"/>
        <w:right w:val="none" w:sz="0" w:space="0" w:color="auto"/>
      </w:divBdr>
    </w:div>
    <w:div w:id="1957249872">
      <w:bodyDiv w:val="1"/>
      <w:marLeft w:val="0"/>
      <w:marRight w:val="0"/>
      <w:marTop w:val="0"/>
      <w:marBottom w:val="0"/>
      <w:divBdr>
        <w:top w:val="none" w:sz="0" w:space="0" w:color="auto"/>
        <w:left w:val="none" w:sz="0" w:space="0" w:color="auto"/>
        <w:bottom w:val="none" w:sz="0" w:space="0" w:color="auto"/>
        <w:right w:val="none" w:sz="0" w:space="0" w:color="auto"/>
      </w:divBdr>
    </w:div>
    <w:div w:id="2030718421">
      <w:bodyDiv w:val="1"/>
      <w:marLeft w:val="0"/>
      <w:marRight w:val="0"/>
      <w:marTop w:val="0"/>
      <w:marBottom w:val="0"/>
      <w:divBdr>
        <w:top w:val="none" w:sz="0" w:space="0" w:color="auto"/>
        <w:left w:val="none" w:sz="0" w:space="0" w:color="auto"/>
        <w:bottom w:val="none" w:sz="0" w:space="0" w:color="auto"/>
        <w:right w:val="none" w:sz="0" w:space="0" w:color="auto"/>
      </w:divBdr>
    </w:div>
    <w:div w:id="2091078165">
      <w:bodyDiv w:val="1"/>
      <w:marLeft w:val="0"/>
      <w:marRight w:val="0"/>
      <w:marTop w:val="0"/>
      <w:marBottom w:val="0"/>
      <w:divBdr>
        <w:top w:val="none" w:sz="0" w:space="0" w:color="auto"/>
        <w:left w:val="none" w:sz="0" w:space="0" w:color="auto"/>
        <w:bottom w:val="none" w:sz="0" w:space="0" w:color="auto"/>
        <w:right w:val="none" w:sz="0" w:space="0" w:color="auto"/>
      </w:divBdr>
    </w:div>
    <w:div w:id="2105496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04622.2018.1533700" TargetMode="External"/><Relationship Id="rId13" Type="http://schemas.openxmlformats.org/officeDocument/2006/relationships/hyperlink" Target="https://doi.org/10.1080/13504622.2012.697545" TargetMode="External"/><Relationship Id="rId18" Type="http://schemas.openxmlformats.org/officeDocument/2006/relationships/hyperlink" Target="https://www.keepwalestidy.cymru/pages/category/eco-school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unicef.org/reports/early-childhood-development-and-sdgs" TargetMode="External"/><Relationship Id="rId7" Type="http://schemas.openxmlformats.org/officeDocument/2006/relationships/hyperlink" Target="https://doi.org/10.1080/14733285.2019.1666142" TargetMode="External"/><Relationship Id="rId12" Type="http://schemas.openxmlformats.org/officeDocument/2006/relationships/hyperlink" Target="https://hwb.gov.wales/curriculum-for-wales/voices-of-children-and-young-people-in-the-new-curriculum-for-wales" TargetMode="External"/><Relationship Id="rId17" Type="http://schemas.openxmlformats.org/officeDocument/2006/relationships/hyperlink" Target="https://www.johnmuirtrust.org/john-muir-award"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johnmuirtrust.org/john-muir-award" TargetMode="External"/><Relationship Id="rId20" Type="http://schemas.openxmlformats.org/officeDocument/2006/relationships/hyperlink" Target="https://doi.org/10.1037/h0054346" TargetMode="External"/><Relationship Id="rId1" Type="http://schemas.openxmlformats.org/officeDocument/2006/relationships/styles" Target="styles.xml"/><Relationship Id="rId6" Type="http://schemas.openxmlformats.org/officeDocument/2006/relationships/hyperlink" Target="https://www.amnesty.org.uk/education" TargetMode="External"/><Relationship Id="rId11" Type="http://schemas.openxmlformats.org/officeDocument/2006/relationships/hyperlink" Target="https://www.britishcouncil.org/education/schools/support-for-teachers/classroom-resources" TargetMode="External"/><Relationship Id="rId24" Type="http://schemas.openxmlformats.org/officeDocument/2006/relationships/hyperlink" Target="https://www.ohchr.org/en/instruments-mechanisms/instruments/convention-rights-child" TargetMode="External"/><Relationship Id="rId5" Type="http://schemas.openxmlformats.org/officeDocument/2006/relationships/endnotes" Target="endnotes.xml"/><Relationship Id="rId15" Type="http://schemas.openxmlformats.org/officeDocument/2006/relationships/hyperlink" Target="https://www.futuregenerations.wales/resources_posts/future-generations-report-2020" TargetMode="External"/><Relationship Id="rId23" Type="http://schemas.openxmlformats.org/officeDocument/2006/relationships/hyperlink" Target="https://www.unicef.org/education" TargetMode="External"/><Relationship Id="rId10" Type="http://schemas.openxmlformats.org/officeDocument/2006/relationships/hyperlink" Target="https://doi.org/10.4337/jhre.2019.02.01" TargetMode="External"/><Relationship Id="rId19" Type="http://schemas.openxmlformats.org/officeDocument/2006/relationships/hyperlink" Target="https://www.leyf.org.uk" TargetMode="External"/><Relationship Id="rId4" Type="http://schemas.openxmlformats.org/officeDocument/2006/relationships/footnotes" Target="footnotes.xml"/><Relationship Id="rId9" Type="http://schemas.openxmlformats.org/officeDocument/2006/relationships/hyperlink" Target="https://doi.org/10.1007/s10643-019-00963-7" TargetMode="External"/><Relationship Id="rId14" Type="http://schemas.openxmlformats.org/officeDocument/2006/relationships/hyperlink" Target="https://www.kateraworth.com/doughnut" TargetMode="External"/><Relationship Id="rId22" Type="http://schemas.openxmlformats.org/officeDocument/2006/relationships/hyperlink" Target="https://www.unicef.org.uk/what-we-do/un-convention-child-righ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6348</Words>
  <Characters>36186</Characters>
  <Application>Microsoft Office Word</Application>
  <DocSecurity>0</DocSecurity>
  <Lines>301</Lines>
  <Paragraphs>84</Paragraphs>
  <ScaleCrop>false</ScaleCrop>
  <Company/>
  <LinksUpToDate>false</LinksUpToDate>
  <CharactersWithSpaces>42450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Wozencroft</dc:creator>
  <cp:keywords/>
  <dc:description/>
  <cp:lastModifiedBy>Joanne Wozencroft</cp:lastModifiedBy>
  <cp:revision>2</cp:revision>
  <dcterms:created xsi:type="dcterms:W3CDTF">2025-07-13T22:08:00Z</dcterms:created>
  <dcterms:modified xsi:type="dcterms:W3CDTF">2025-07-13T22:08:00Z</dcterms:modified>
</cp:coreProperties>
</file>