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801" w:rsidRPr="00133A40" w:rsidRDefault="00133A40">
      <w:pPr>
        <w:rPr>
          <w:rFonts w:ascii="Times New Roman" w:hAnsi="Times New Roman" w:cs="Times New Roman"/>
          <w:sz w:val="24"/>
          <w:u w:val="single"/>
        </w:rPr>
      </w:pPr>
      <w:r w:rsidRPr="00133A40">
        <w:rPr>
          <w:rFonts w:ascii="Times New Roman" w:hAnsi="Times New Roman" w:cs="Times New Roman"/>
          <w:sz w:val="24"/>
          <w:u w:val="single"/>
        </w:rPr>
        <w:t>HPAH5005 Ancient Celtic Civilisations</w:t>
      </w:r>
    </w:p>
    <w:p w:rsidR="00133A40" w:rsidRDefault="00133A40">
      <w:pPr>
        <w:rPr>
          <w:rFonts w:asciiTheme="minorBidi" w:hAnsiTheme="minorBidi"/>
          <w:sz w:val="24"/>
          <w:u w:val="single"/>
        </w:rPr>
      </w:pPr>
      <w:r w:rsidRPr="00133A40">
        <w:rPr>
          <w:rFonts w:asciiTheme="minorBidi" w:hAnsiTheme="minorBidi"/>
          <w:sz w:val="24"/>
          <w:u w:val="single"/>
        </w:rPr>
        <w:t>Making use of funerary evidence associated with one individual pre-Roman Iron Age site (list of sites will be provided), discuss how the evidence can be used to identify differences in social status in this community.</w:t>
      </w:r>
    </w:p>
    <w:p w:rsidR="00133A40" w:rsidRDefault="00133A40">
      <w:pPr>
        <w:rPr>
          <w:rFonts w:asciiTheme="minorBidi" w:hAnsiTheme="minorBidi"/>
          <w:sz w:val="24"/>
          <w:u w:val="single"/>
        </w:rPr>
      </w:pPr>
      <w:r>
        <w:rPr>
          <w:rFonts w:asciiTheme="minorBidi" w:hAnsiTheme="minorBidi"/>
          <w:sz w:val="24"/>
          <w:u w:val="single"/>
        </w:rPr>
        <w:t>By Anthony McDonald 1701752</w:t>
      </w:r>
    </w:p>
    <w:p w:rsidR="00E1028B" w:rsidRDefault="00E1028B">
      <w:pPr>
        <w:rPr>
          <w:rFonts w:asciiTheme="minorBidi" w:hAnsiTheme="minorBidi"/>
          <w:sz w:val="24"/>
          <w:u w:val="single"/>
        </w:rPr>
      </w:pPr>
    </w:p>
    <w:p w:rsidR="00E1028B" w:rsidRDefault="00E1028B" w:rsidP="008C1EFF">
      <w:pPr>
        <w:spacing w:line="480" w:lineRule="auto"/>
        <w:rPr>
          <w:rFonts w:asciiTheme="minorBidi" w:hAnsiTheme="minorBidi"/>
          <w:sz w:val="24"/>
        </w:rPr>
      </w:pPr>
      <w:r>
        <w:rPr>
          <w:rFonts w:asciiTheme="minorBidi" w:hAnsiTheme="minorBidi"/>
          <w:sz w:val="24"/>
        </w:rPr>
        <w:t xml:space="preserve">In </w:t>
      </w:r>
      <w:r w:rsidR="005048E1">
        <w:rPr>
          <w:rFonts w:asciiTheme="minorBidi" w:hAnsiTheme="minorBidi"/>
          <w:sz w:val="24"/>
        </w:rPr>
        <w:t>many different ancient cultures burials can represent the</w:t>
      </w:r>
      <w:r w:rsidR="008D508C">
        <w:rPr>
          <w:rFonts w:asciiTheme="minorBidi" w:hAnsiTheme="minorBidi"/>
          <w:sz w:val="24"/>
        </w:rPr>
        <w:t xml:space="preserve"> legacy after a person has died how they are regarded not only by their family and followers but also their peers. Early Celtic civilisations were no different, </w:t>
      </w:r>
      <w:r w:rsidR="001C381E">
        <w:rPr>
          <w:rFonts w:asciiTheme="minorBidi" w:hAnsiTheme="minorBidi"/>
          <w:sz w:val="24"/>
        </w:rPr>
        <w:t>despite</w:t>
      </w:r>
      <w:r w:rsidR="008D508C">
        <w:rPr>
          <w:rFonts w:asciiTheme="minorBidi" w:hAnsiTheme="minorBidi"/>
          <w:sz w:val="24"/>
        </w:rPr>
        <w:t xml:space="preserve"> burials being different from culture to culture</w:t>
      </w:r>
      <w:r w:rsidR="001C381E">
        <w:rPr>
          <w:rFonts w:asciiTheme="minorBidi" w:hAnsiTheme="minorBidi"/>
          <w:sz w:val="24"/>
        </w:rPr>
        <w:t xml:space="preserve"> there were reasons graves and other burial rituals were created the way they were. Everything can represent something more and can show a person’s value and status within their society, a person of religious value would more than likely be viewed differently than a warrior, but not necessarily lower or higher on the social hierarchy and these differences can in fact be seen in how they are treated after death and what is considered to be significant in these practices. Another crucial point is looking at the geography of these Celtic societies and the cultures of the time, by analysing the geography alongside the time period of the burial site that’s being examined, you are able to determine how much influence outside powers had on these smaller and more ‘tribal’ Celtic cultures, including burial practices, religious beliefs and also pottery used that can be obtained from trade with these exterior powers.</w:t>
      </w:r>
      <w:r w:rsidR="000B296A">
        <w:rPr>
          <w:rFonts w:asciiTheme="minorBidi" w:hAnsiTheme="minorBidi"/>
          <w:sz w:val="24"/>
        </w:rPr>
        <w:t xml:space="preserve"> </w:t>
      </w:r>
    </w:p>
    <w:p w:rsidR="000B296A" w:rsidRDefault="000B296A" w:rsidP="00E1028B">
      <w:pPr>
        <w:spacing w:line="480" w:lineRule="auto"/>
        <w:rPr>
          <w:rFonts w:asciiTheme="minorBidi" w:hAnsiTheme="minorBidi"/>
          <w:sz w:val="24"/>
        </w:rPr>
      </w:pPr>
      <w:r>
        <w:rPr>
          <w:rFonts w:asciiTheme="minorBidi" w:hAnsiTheme="minorBidi"/>
          <w:sz w:val="24"/>
        </w:rPr>
        <w:t xml:space="preserve">In this essay I will be looking at the burial site at </w:t>
      </w:r>
      <w:proofErr w:type="spellStart"/>
      <w:r>
        <w:rPr>
          <w:rFonts w:asciiTheme="minorBidi" w:hAnsiTheme="minorBidi"/>
          <w:sz w:val="24"/>
        </w:rPr>
        <w:t>Hochdorf</w:t>
      </w:r>
      <w:proofErr w:type="spellEnd"/>
      <w:r>
        <w:rPr>
          <w:rFonts w:asciiTheme="minorBidi" w:hAnsiTheme="minorBidi"/>
          <w:sz w:val="24"/>
        </w:rPr>
        <w:t xml:space="preserve"> from the Late Hallstatt Culture of the 6</w:t>
      </w:r>
      <w:r w:rsidRPr="000B296A">
        <w:rPr>
          <w:rFonts w:asciiTheme="minorBidi" w:hAnsiTheme="minorBidi"/>
          <w:sz w:val="24"/>
          <w:vertAlign w:val="superscript"/>
        </w:rPr>
        <w:t>th</w:t>
      </w:r>
      <w:r>
        <w:rPr>
          <w:rFonts w:asciiTheme="minorBidi" w:hAnsiTheme="minorBidi"/>
          <w:sz w:val="24"/>
        </w:rPr>
        <w:t xml:space="preserve"> Century B.C.E. The burial site is believed to be of a higher up such as a chieftain or some sort </w:t>
      </w:r>
      <w:r w:rsidR="00F42904">
        <w:rPr>
          <w:rFonts w:asciiTheme="minorBidi" w:hAnsiTheme="minorBidi"/>
          <w:sz w:val="24"/>
        </w:rPr>
        <w:t>of Prince</w:t>
      </w:r>
      <w:r>
        <w:rPr>
          <w:rFonts w:asciiTheme="minorBidi" w:hAnsiTheme="minorBidi"/>
          <w:sz w:val="24"/>
        </w:rPr>
        <w:t>, I will be looking at how this is possibly represented in the burial site itself and if it has any questionable features that have perhaps been caused due to merging societi</w:t>
      </w:r>
      <w:r w:rsidR="00091E13">
        <w:rPr>
          <w:rFonts w:asciiTheme="minorBidi" w:hAnsiTheme="minorBidi"/>
          <w:sz w:val="24"/>
        </w:rPr>
        <w:t>es or cultures. I will be looking at this burial site and also seeing just how much of a legacy this person held within their community and how it was preserved and represente</w:t>
      </w:r>
      <w:r w:rsidR="00B27B18">
        <w:rPr>
          <w:rFonts w:asciiTheme="minorBidi" w:hAnsiTheme="minorBidi"/>
          <w:sz w:val="24"/>
        </w:rPr>
        <w:t xml:space="preserve">d </w:t>
      </w:r>
      <w:r w:rsidR="00F42904">
        <w:rPr>
          <w:rFonts w:asciiTheme="minorBidi" w:hAnsiTheme="minorBidi"/>
          <w:sz w:val="24"/>
        </w:rPr>
        <w:lastRenderedPageBreak/>
        <w:t>alongside any</w:t>
      </w:r>
      <w:r w:rsidR="00091E13">
        <w:rPr>
          <w:rFonts w:asciiTheme="minorBidi" w:hAnsiTheme="minorBidi"/>
          <w:sz w:val="24"/>
        </w:rPr>
        <w:t xml:space="preserve"> standout features that significantly show how each person was defined within the community based around the </w:t>
      </w:r>
      <w:proofErr w:type="spellStart"/>
      <w:r w:rsidR="00091E13">
        <w:rPr>
          <w:rFonts w:asciiTheme="minorBidi" w:hAnsiTheme="minorBidi"/>
          <w:sz w:val="24"/>
        </w:rPr>
        <w:t>Hochdorf</w:t>
      </w:r>
      <w:proofErr w:type="spellEnd"/>
      <w:r w:rsidR="00091E13">
        <w:rPr>
          <w:rFonts w:asciiTheme="minorBidi" w:hAnsiTheme="minorBidi"/>
          <w:sz w:val="24"/>
        </w:rPr>
        <w:t xml:space="preserve"> burial during the time period.</w:t>
      </w:r>
    </w:p>
    <w:p w:rsidR="009810EB" w:rsidRDefault="00267DCF" w:rsidP="00E1028B">
      <w:pPr>
        <w:spacing w:line="480" w:lineRule="auto"/>
        <w:rPr>
          <w:rFonts w:asciiTheme="minorBidi" w:hAnsiTheme="minorBidi"/>
          <w:sz w:val="24"/>
        </w:rPr>
      </w:pPr>
      <w:r>
        <w:rPr>
          <w:rFonts w:asciiTheme="minorBidi" w:hAnsiTheme="minorBidi"/>
          <w:sz w:val="24"/>
        </w:rPr>
        <w:t>When the burial mounds were discovered and originally began to be excavated, they were deemed to belong to Celtic “Princes” and idea that was to become accepted thanks to several different factors.</w:t>
      </w:r>
      <w:r>
        <w:rPr>
          <w:rStyle w:val="FootnoteReference"/>
          <w:rFonts w:asciiTheme="minorBidi" w:hAnsiTheme="minorBidi"/>
          <w:sz w:val="24"/>
        </w:rPr>
        <w:footnoteReference w:id="1"/>
      </w:r>
      <w:r>
        <w:rPr>
          <w:rFonts w:asciiTheme="minorBidi" w:hAnsiTheme="minorBidi"/>
          <w:sz w:val="24"/>
        </w:rPr>
        <w:t xml:space="preserve"> The burial sites in local areas were unfortunately plundered and tampered with from their original state, fortunately the grave itself at </w:t>
      </w:r>
      <w:proofErr w:type="spellStart"/>
      <w:r>
        <w:rPr>
          <w:rFonts w:asciiTheme="minorBidi" w:hAnsiTheme="minorBidi"/>
          <w:sz w:val="24"/>
        </w:rPr>
        <w:t>Hochdorf</w:t>
      </w:r>
      <w:proofErr w:type="spellEnd"/>
      <w:r>
        <w:rPr>
          <w:rFonts w:asciiTheme="minorBidi" w:hAnsiTheme="minorBidi"/>
          <w:sz w:val="24"/>
        </w:rPr>
        <w:t xml:space="preserve"> was left untouched and only the burial mound was worn away over the centuries.</w:t>
      </w:r>
      <w:r>
        <w:rPr>
          <w:rStyle w:val="FootnoteReference"/>
          <w:rFonts w:asciiTheme="minorBidi" w:hAnsiTheme="minorBidi"/>
          <w:sz w:val="24"/>
        </w:rPr>
        <w:footnoteReference w:id="2"/>
      </w:r>
      <w:r w:rsidR="001A6F63">
        <w:rPr>
          <w:rFonts w:asciiTheme="minorBidi" w:hAnsiTheme="minorBidi"/>
          <w:sz w:val="24"/>
        </w:rPr>
        <w:t xml:space="preserve"> Although the burial mound was significantly worn away, it has now been reconstructed standing at 6 metres tall and with a 60 metre diameter.</w:t>
      </w:r>
      <w:r w:rsidR="001A6F63">
        <w:rPr>
          <w:rStyle w:val="FootnoteReference"/>
          <w:rFonts w:asciiTheme="minorBidi" w:hAnsiTheme="minorBidi"/>
          <w:sz w:val="24"/>
        </w:rPr>
        <w:footnoteReference w:id="3"/>
      </w:r>
      <w:r w:rsidR="001A6F63">
        <w:rPr>
          <w:rFonts w:asciiTheme="minorBidi" w:hAnsiTheme="minorBidi"/>
          <w:sz w:val="24"/>
        </w:rPr>
        <w:t xml:space="preserve"> Although this is only a reconstruction and therefore the height may not be entirely authentic, the mound was still an elevation from the ground when originally discovered making the </w:t>
      </w:r>
      <w:r w:rsidR="000C5E0C">
        <w:rPr>
          <w:rFonts w:asciiTheme="minorBidi" w:hAnsiTheme="minorBidi"/>
          <w:sz w:val="24"/>
        </w:rPr>
        <w:t>diameter more accurate, these measurements mean the mound is an impressive homage to the deceased alone. The mounds would represent that someone of high stature was buried here as they were on a fortified hilltop, these mounds made of earth and are not even part of the actual grave or its belongings, yet it would be the first sign of the deceased underneath therefore must show the grandeur of the body it stands above and protects. This mound has no need to be so big and tall yet to signify somebodies power when they were alive, if everyone within the society had mounds this big it would take a lot of hard work and labour, perhaps too much for just anyone to receive</w:t>
      </w:r>
      <w:r w:rsidR="00FC112F">
        <w:rPr>
          <w:rFonts w:asciiTheme="minorBidi" w:hAnsiTheme="minorBidi"/>
          <w:sz w:val="24"/>
        </w:rPr>
        <w:t>. The burial chamber itself was not only landmarked by such a big mound but was also greatly protected, when the chamber was discovered, it was deciphered that the roof of the chamber had collapsed due to the sheer weight of the protective stones on top.</w:t>
      </w:r>
      <w:r w:rsidR="00FC112F">
        <w:rPr>
          <w:rStyle w:val="FootnoteReference"/>
          <w:rFonts w:asciiTheme="minorBidi" w:hAnsiTheme="minorBidi"/>
          <w:sz w:val="24"/>
        </w:rPr>
        <w:footnoteReference w:id="4"/>
      </w:r>
      <w:r w:rsidR="00FC112F">
        <w:rPr>
          <w:rFonts w:asciiTheme="minorBidi" w:hAnsiTheme="minorBidi"/>
          <w:sz w:val="24"/>
        </w:rPr>
        <w:t xml:space="preserve"> Again, similarly to the burial mound, these stones </w:t>
      </w:r>
      <w:r w:rsidR="00FC112F">
        <w:rPr>
          <w:rFonts w:asciiTheme="minorBidi" w:hAnsiTheme="minorBidi"/>
          <w:sz w:val="24"/>
        </w:rPr>
        <w:lastRenderedPageBreak/>
        <w:t xml:space="preserve">represent just how important the body within this tomb was. The stones weighed approximately 50 tonnes, to gather these stones to protect a body would obviously be a practice and honour given to the most important members of society due to the sheer amount of hard work it would take to arrange. </w:t>
      </w:r>
    </w:p>
    <w:p w:rsidR="00FC112F" w:rsidRDefault="009810EB" w:rsidP="00E1028B">
      <w:pPr>
        <w:spacing w:line="480" w:lineRule="auto"/>
        <w:rPr>
          <w:rFonts w:asciiTheme="minorBidi" w:hAnsiTheme="minorBidi"/>
          <w:sz w:val="24"/>
        </w:rPr>
      </w:pPr>
      <w:r>
        <w:rPr>
          <w:rFonts w:asciiTheme="minorBidi" w:hAnsiTheme="minorBidi"/>
          <w:sz w:val="24"/>
        </w:rPr>
        <w:t xml:space="preserve">Other tombs have been found in surrounding regions and were believed to be the tombs given to people similar in status to princes and those tombs contained fewer artefacts than the one at </w:t>
      </w:r>
      <w:proofErr w:type="spellStart"/>
      <w:r>
        <w:rPr>
          <w:rFonts w:asciiTheme="minorBidi" w:hAnsiTheme="minorBidi"/>
          <w:sz w:val="24"/>
        </w:rPr>
        <w:t>Hochdorf</w:t>
      </w:r>
      <w:proofErr w:type="spellEnd"/>
      <w:r>
        <w:rPr>
          <w:rFonts w:asciiTheme="minorBidi" w:hAnsiTheme="minorBidi"/>
          <w:sz w:val="24"/>
        </w:rPr>
        <w:t xml:space="preserve">. Knowing this, </w:t>
      </w:r>
      <w:proofErr w:type="spellStart"/>
      <w:r>
        <w:rPr>
          <w:rFonts w:asciiTheme="minorBidi" w:hAnsiTheme="minorBidi"/>
          <w:sz w:val="24"/>
        </w:rPr>
        <w:t>Hochdorf</w:t>
      </w:r>
      <w:proofErr w:type="spellEnd"/>
      <w:r>
        <w:rPr>
          <w:rFonts w:asciiTheme="minorBidi" w:hAnsiTheme="minorBidi"/>
          <w:sz w:val="24"/>
        </w:rPr>
        <w:t xml:space="preserve"> can be considered a reliable source as to how a higher-up of society would receive different funerary rites compared to others lower than them.</w:t>
      </w:r>
      <w:r>
        <w:rPr>
          <w:rFonts w:asciiTheme="minorBidi" w:hAnsiTheme="minorBidi"/>
          <w:sz w:val="24"/>
        </w:rPr>
        <w:t xml:space="preserve"> Within the tomb at </w:t>
      </w:r>
      <w:proofErr w:type="spellStart"/>
      <w:r>
        <w:rPr>
          <w:rFonts w:asciiTheme="minorBidi" w:hAnsiTheme="minorBidi"/>
          <w:sz w:val="24"/>
        </w:rPr>
        <w:t>Hochdorf</w:t>
      </w:r>
      <w:proofErr w:type="spellEnd"/>
      <w:r>
        <w:rPr>
          <w:rFonts w:asciiTheme="minorBidi" w:hAnsiTheme="minorBidi"/>
          <w:sz w:val="24"/>
        </w:rPr>
        <w:t xml:space="preserve"> the body of a 6 foot tall male was laid upon a bronze couch with the back skilfully decorated, depicting dancers alongside horses pulling their carts.</w:t>
      </w:r>
      <w:r>
        <w:rPr>
          <w:rStyle w:val="FootnoteReference"/>
          <w:rFonts w:asciiTheme="minorBidi" w:hAnsiTheme="minorBidi"/>
          <w:sz w:val="24"/>
        </w:rPr>
        <w:footnoteReference w:id="5"/>
      </w:r>
      <w:r w:rsidR="00BC7E7F">
        <w:rPr>
          <w:rFonts w:asciiTheme="minorBidi" w:hAnsiTheme="minorBidi"/>
          <w:sz w:val="24"/>
        </w:rPr>
        <w:t xml:space="preserve"> Although in the depiction on the back of the couch swords and weapons are shown, this does not represent that the buried within the tomb was a warrior or specifically just a soldier. The sword are more symbolic and are just primarily used to represent that the person who had passed away was a man, in these Celtic civilisations being able to wield a sword or owning one was not restricted to specific classes and was in fact of a common trait of all males. The swords on this decoration are not due to martial prowess that the Chieftain held but instead is just a phallic representation as it was common for all men to wield a sword</w:t>
      </w:r>
      <w:r w:rsidR="006C6C3F">
        <w:rPr>
          <w:rFonts w:asciiTheme="minorBidi" w:hAnsiTheme="minorBidi"/>
          <w:sz w:val="24"/>
        </w:rPr>
        <w:t>.</w:t>
      </w:r>
      <w:r w:rsidR="006C6C3F">
        <w:rPr>
          <w:rStyle w:val="FootnoteReference"/>
          <w:rFonts w:asciiTheme="minorBidi" w:hAnsiTheme="minorBidi"/>
          <w:sz w:val="24"/>
        </w:rPr>
        <w:footnoteReference w:id="6"/>
      </w:r>
      <w:r w:rsidR="006C6C3F">
        <w:rPr>
          <w:rFonts w:asciiTheme="minorBidi" w:hAnsiTheme="minorBidi"/>
          <w:sz w:val="24"/>
        </w:rPr>
        <w:t xml:space="preserve"> </w:t>
      </w:r>
      <w:r w:rsidR="00861312">
        <w:rPr>
          <w:rFonts w:asciiTheme="minorBidi" w:hAnsiTheme="minorBidi"/>
          <w:sz w:val="24"/>
        </w:rPr>
        <w:t xml:space="preserve"> </w:t>
      </w:r>
    </w:p>
    <w:p w:rsidR="00861312" w:rsidRDefault="00861312" w:rsidP="00E1028B">
      <w:pPr>
        <w:spacing w:line="480" w:lineRule="auto"/>
        <w:rPr>
          <w:rFonts w:asciiTheme="minorBidi" w:hAnsiTheme="minorBidi"/>
          <w:sz w:val="24"/>
        </w:rPr>
      </w:pPr>
      <w:r>
        <w:rPr>
          <w:rFonts w:asciiTheme="minorBidi" w:hAnsiTheme="minorBidi"/>
          <w:sz w:val="24"/>
        </w:rPr>
        <w:t xml:space="preserve">One of the most interesting items within the chamber was in fact a piece of clothing the chief was wearing, the Chieftain was buried in shoes; an item obviously not needed for a dead person, however shoes may have been to represent the social class of the chieftain as others within his society may not have even worn shoes. Perhaps not even the people who were assigned to bury the chieftain were high enough in society to wear </w:t>
      </w:r>
      <w:r w:rsidR="008C3984">
        <w:rPr>
          <w:rFonts w:asciiTheme="minorBidi" w:hAnsiTheme="minorBidi"/>
          <w:sz w:val="24"/>
        </w:rPr>
        <w:t>shoes;</w:t>
      </w:r>
      <w:r>
        <w:rPr>
          <w:rFonts w:asciiTheme="minorBidi" w:hAnsiTheme="minorBidi"/>
          <w:sz w:val="24"/>
        </w:rPr>
        <w:t xml:space="preserve"> this can be </w:t>
      </w:r>
      <w:r>
        <w:rPr>
          <w:rFonts w:asciiTheme="minorBidi" w:hAnsiTheme="minorBidi"/>
          <w:sz w:val="24"/>
        </w:rPr>
        <w:lastRenderedPageBreak/>
        <w:t>interpreted by the fact that after examination the shoes were placed on the body were in fact placed on the wrong feet.</w:t>
      </w:r>
      <w:r w:rsidR="008C3984">
        <w:rPr>
          <w:rStyle w:val="FootnoteReference"/>
          <w:rFonts w:asciiTheme="minorBidi" w:hAnsiTheme="minorBidi"/>
          <w:sz w:val="24"/>
        </w:rPr>
        <w:footnoteReference w:id="7"/>
      </w:r>
    </w:p>
    <w:p w:rsidR="008C3984" w:rsidRDefault="008C3984" w:rsidP="00E1028B">
      <w:pPr>
        <w:spacing w:line="480" w:lineRule="auto"/>
        <w:rPr>
          <w:rFonts w:asciiTheme="minorBidi" w:hAnsiTheme="minorBidi"/>
          <w:sz w:val="24"/>
        </w:rPr>
      </w:pPr>
      <w:r>
        <w:rPr>
          <w:rFonts w:asciiTheme="minorBidi" w:hAnsiTheme="minorBidi"/>
          <w:sz w:val="24"/>
        </w:rPr>
        <w:t xml:space="preserve">Within </w:t>
      </w:r>
      <w:r w:rsidR="00EF7410">
        <w:rPr>
          <w:rFonts w:asciiTheme="minorBidi" w:hAnsiTheme="minorBidi"/>
          <w:sz w:val="24"/>
        </w:rPr>
        <w:t xml:space="preserve">the tomb in an outer chamber was </w:t>
      </w:r>
      <w:r>
        <w:rPr>
          <w:rFonts w:asciiTheme="minorBidi" w:hAnsiTheme="minorBidi"/>
          <w:sz w:val="24"/>
        </w:rPr>
        <w:t xml:space="preserve">a chariot but its purpose </w:t>
      </w:r>
      <w:r w:rsidR="00EF7410">
        <w:rPr>
          <w:rFonts w:asciiTheme="minorBidi" w:hAnsiTheme="minorBidi"/>
          <w:sz w:val="24"/>
        </w:rPr>
        <w:t>is un</w:t>
      </w:r>
      <w:r>
        <w:rPr>
          <w:rFonts w:asciiTheme="minorBidi" w:hAnsiTheme="minorBidi"/>
          <w:sz w:val="24"/>
        </w:rPr>
        <w:t xml:space="preserve">known, nevertheless a chariot is a large piece of equipment that was also quite valuable to a Celtic way of life so placing one in a tomb to never be used again would only be expended on the highest of people. </w:t>
      </w:r>
    </w:p>
    <w:p w:rsidR="00BE0868" w:rsidRDefault="008C3984" w:rsidP="00E1028B">
      <w:pPr>
        <w:spacing w:line="480" w:lineRule="auto"/>
        <w:rPr>
          <w:rFonts w:asciiTheme="minorBidi" w:hAnsiTheme="minorBidi"/>
          <w:sz w:val="24"/>
        </w:rPr>
      </w:pPr>
      <w:r>
        <w:rPr>
          <w:rFonts w:asciiTheme="minorBidi" w:hAnsiTheme="minorBidi"/>
          <w:sz w:val="24"/>
        </w:rPr>
        <w:t xml:space="preserve">There are specifically two more noteworthy features of the items within this chamber that represent the social status of the man buried at </w:t>
      </w:r>
      <w:proofErr w:type="spellStart"/>
      <w:r>
        <w:rPr>
          <w:rFonts w:asciiTheme="minorBidi" w:hAnsiTheme="minorBidi"/>
          <w:sz w:val="24"/>
        </w:rPr>
        <w:t>Hochdorf</w:t>
      </w:r>
      <w:proofErr w:type="spellEnd"/>
      <w:r>
        <w:rPr>
          <w:rFonts w:asciiTheme="minorBidi" w:hAnsiTheme="minorBidi"/>
          <w:sz w:val="24"/>
        </w:rPr>
        <w:t>: the first is the number of plates and drinking horns within the chamber and secondly is the cauldron found near the body as both these things represent the deceased as someone who was able to appreciate, learn about and take part in exterior traditions and cultures.</w:t>
      </w:r>
      <w:r w:rsidR="00EF7410">
        <w:rPr>
          <w:rFonts w:asciiTheme="minorBidi" w:hAnsiTheme="minorBidi"/>
          <w:sz w:val="24"/>
        </w:rPr>
        <w:t xml:space="preserve"> Only someone with enough influence and power within the Celtic society would be able to easily access these other cultures and traditions.</w:t>
      </w:r>
      <w:r w:rsidR="00EF7410">
        <w:rPr>
          <w:rStyle w:val="FootnoteReference"/>
          <w:rFonts w:asciiTheme="minorBidi" w:hAnsiTheme="minorBidi"/>
          <w:sz w:val="24"/>
        </w:rPr>
        <w:footnoteReference w:id="8"/>
      </w:r>
      <w:r w:rsidR="00EF7410">
        <w:rPr>
          <w:rFonts w:asciiTheme="minorBidi" w:hAnsiTheme="minorBidi"/>
          <w:sz w:val="24"/>
        </w:rPr>
        <w:t xml:space="preserve"> Within the chamber were 9 drinking horns and 9 finely crafted plates, Greek cultures of the time considered 9 to be the perfect amount of guests for a dining party thus showing how this Chieftain enjoying taking part in the ever-growing Greek traditions as well as his own. Another example of this Celtic higher-up appreciating and being able to afford foreign goods is the fact that the Cauldron found within the chamber was in fact of Italian origin, meaning that the Chieftain actively appreciated exterior culture and was not just by chance similar to Greek, by having both these artefacts which would be standard in other traditions it is less likely chance and more likely to be intentional.</w:t>
      </w:r>
      <w:r w:rsidR="00EF7410">
        <w:rPr>
          <w:rStyle w:val="FootnoteReference"/>
          <w:rFonts w:asciiTheme="minorBidi" w:hAnsiTheme="minorBidi"/>
          <w:sz w:val="24"/>
        </w:rPr>
        <w:footnoteReference w:id="9"/>
      </w:r>
    </w:p>
    <w:p w:rsidR="00251A28" w:rsidRDefault="00251A28" w:rsidP="00E1028B">
      <w:pPr>
        <w:spacing w:line="480" w:lineRule="auto"/>
        <w:rPr>
          <w:rFonts w:asciiTheme="minorBidi" w:hAnsiTheme="minorBidi"/>
          <w:sz w:val="24"/>
        </w:rPr>
      </w:pPr>
      <w:r>
        <w:rPr>
          <w:rFonts w:asciiTheme="minorBidi" w:hAnsiTheme="minorBidi"/>
          <w:sz w:val="24"/>
        </w:rPr>
        <w:lastRenderedPageBreak/>
        <w:t>With this Grave chamber it is clear that the man buried was no ordinary Celt within his society. He was someone with power, influence and also reach and relation outside of his community. The grave is a clear sign as giving these sorts of graves to every person within the society would have been extremely impractical and near impossible with the amount of labour and riches required.</w:t>
      </w:r>
    </w:p>
    <w:p w:rsidR="009D5D1A" w:rsidRDefault="009D5D1A" w:rsidP="00E1028B">
      <w:pPr>
        <w:spacing w:line="480" w:lineRule="auto"/>
        <w:rPr>
          <w:rFonts w:asciiTheme="minorBidi" w:hAnsiTheme="minorBidi"/>
          <w:sz w:val="24"/>
        </w:rPr>
      </w:pPr>
    </w:p>
    <w:p w:rsidR="009D5D1A" w:rsidRDefault="009D5D1A" w:rsidP="00E1028B">
      <w:pPr>
        <w:spacing w:line="480" w:lineRule="auto"/>
        <w:rPr>
          <w:rFonts w:asciiTheme="minorBidi" w:hAnsiTheme="minorBidi"/>
          <w:b/>
          <w:sz w:val="28"/>
          <w:u w:val="single"/>
        </w:rPr>
      </w:pPr>
      <w:r>
        <w:rPr>
          <w:rFonts w:asciiTheme="minorBidi" w:hAnsiTheme="minorBidi"/>
          <w:b/>
          <w:sz w:val="28"/>
          <w:u w:val="single"/>
        </w:rPr>
        <w:t>Bibliography</w:t>
      </w:r>
    </w:p>
    <w:p w:rsidR="009D5D1A" w:rsidRDefault="009D5D1A" w:rsidP="009D5D1A">
      <w:pPr>
        <w:rPr>
          <w:rFonts w:ascii="Times New Roman" w:hAnsi="Times New Roman" w:cs="Times New Roman"/>
          <w:color w:val="000000"/>
          <w:sz w:val="24"/>
          <w:szCs w:val="20"/>
          <w:shd w:val="clear" w:color="auto" w:fill="FFFFFF"/>
        </w:rPr>
      </w:pPr>
      <w:proofErr w:type="gramStart"/>
      <w:r w:rsidRPr="007E7355">
        <w:rPr>
          <w:rFonts w:ascii="Times New Roman" w:hAnsi="Times New Roman" w:cs="Times New Roman"/>
          <w:color w:val="000000"/>
          <w:sz w:val="24"/>
          <w:szCs w:val="20"/>
          <w:shd w:val="clear" w:color="auto" w:fill="FFFFFF"/>
        </w:rPr>
        <w:t>Keltenmuseum.de. (2019).</w:t>
      </w:r>
      <w:proofErr w:type="gramEnd"/>
      <w:r w:rsidRPr="007E7355">
        <w:rPr>
          <w:rFonts w:ascii="Times New Roman" w:hAnsi="Times New Roman" w:cs="Times New Roman"/>
          <w:color w:val="000000"/>
          <w:sz w:val="24"/>
          <w:szCs w:val="20"/>
          <w:shd w:val="clear" w:color="auto" w:fill="FFFFFF"/>
        </w:rPr>
        <w:t> </w:t>
      </w:r>
      <w:r w:rsidRPr="007E7355">
        <w:rPr>
          <w:rFonts w:ascii="Times New Roman" w:hAnsi="Times New Roman" w:cs="Times New Roman"/>
          <w:i/>
          <w:iCs/>
          <w:color w:val="000000"/>
          <w:sz w:val="24"/>
          <w:szCs w:val="20"/>
          <w:shd w:val="clear" w:color="auto" w:fill="FFFFFF"/>
        </w:rPr>
        <w:t xml:space="preserve">2500 Years ago...The Celtic Museum </w:t>
      </w:r>
      <w:proofErr w:type="spellStart"/>
      <w:r w:rsidRPr="007E7355">
        <w:rPr>
          <w:rFonts w:ascii="Times New Roman" w:hAnsi="Times New Roman" w:cs="Times New Roman"/>
          <w:i/>
          <w:iCs/>
          <w:color w:val="000000"/>
          <w:sz w:val="24"/>
          <w:szCs w:val="20"/>
          <w:shd w:val="clear" w:color="auto" w:fill="FFFFFF"/>
        </w:rPr>
        <w:t>Hochdorf</w:t>
      </w:r>
      <w:proofErr w:type="spellEnd"/>
      <w:r w:rsidRPr="007E7355">
        <w:rPr>
          <w:rFonts w:ascii="Times New Roman" w:hAnsi="Times New Roman" w:cs="Times New Roman"/>
          <w:i/>
          <w:iCs/>
          <w:color w:val="000000"/>
          <w:sz w:val="24"/>
          <w:szCs w:val="20"/>
          <w:shd w:val="clear" w:color="auto" w:fill="FFFFFF"/>
        </w:rPr>
        <w:t>/</w:t>
      </w:r>
      <w:proofErr w:type="spellStart"/>
      <w:r w:rsidRPr="007E7355">
        <w:rPr>
          <w:rFonts w:ascii="Times New Roman" w:hAnsi="Times New Roman" w:cs="Times New Roman"/>
          <w:i/>
          <w:iCs/>
          <w:color w:val="000000"/>
          <w:sz w:val="24"/>
          <w:szCs w:val="20"/>
          <w:shd w:val="clear" w:color="auto" w:fill="FFFFFF"/>
        </w:rPr>
        <w:t>Enz</w:t>
      </w:r>
      <w:proofErr w:type="spellEnd"/>
      <w:r w:rsidRPr="007E7355">
        <w:rPr>
          <w:rFonts w:ascii="Times New Roman" w:hAnsi="Times New Roman" w:cs="Times New Roman"/>
          <w:color w:val="000000"/>
          <w:sz w:val="24"/>
          <w:szCs w:val="20"/>
          <w:shd w:val="clear" w:color="auto" w:fill="FFFFFF"/>
        </w:rPr>
        <w:t>. [</w:t>
      </w:r>
      <w:proofErr w:type="gramStart"/>
      <w:r w:rsidRPr="007E7355">
        <w:rPr>
          <w:rFonts w:ascii="Times New Roman" w:hAnsi="Times New Roman" w:cs="Times New Roman"/>
          <w:color w:val="000000"/>
          <w:sz w:val="24"/>
          <w:szCs w:val="20"/>
          <w:shd w:val="clear" w:color="auto" w:fill="FFFFFF"/>
        </w:rPr>
        <w:t>online</w:t>
      </w:r>
      <w:proofErr w:type="gramEnd"/>
      <w:r w:rsidRPr="007E7355">
        <w:rPr>
          <w:rFonts w:ascii="Times New Roman" w:hAnsi="Times New Roman" w:cs="Times New Roman"/>
          <w:color w:val="000000"/>
          <w:sz w:val="24"/>
          <w:szCs w:val="20"/>
          <w:shd w:val="clear" w:color="auto" w:fill="FFFFFF"/>
        </w:rPr>
        <w:t>] Available at: http://www.keltenmuseum.de/English/The-Celtic-Mu</w:t>
      </w:r>
      <w:r>
        <w:rPr>
          <w:rFonts w:ascii="Times New Roman" w:hAnsi="Times New Roman" w:cs="Times New Roman"/>
          <w:color w:val="000000"/>
          <w:sz w:val="24"/>
          <w:szCs w:val="20"/>
          <w:shd w:val="clear" w:color="auto" w:fill="FFFFFF"/>
        </w:rPr>
        <w:t>seum/The-Discovery/ [Accessed 17</w:t>
      </w:r>
      <w:r w:rsidRPr="007E7355">
        <w:rPr>
          <w:rFonts w:ascii="Times New Roman" w:hAnsi="Times New Roman" w:cs="Times New Roman"/>
          <w:color w:val="000000"/>
          <w:sz w:val="24"/>
          <w:szCs w:val="20"/>
          <w:shd w:val="clear" w:color="auto" w:fill="FFFFFF"/>
        </w:rPr>
        <w:t xml:space="preserve"> Jan. 2019].</w:t>
      </w:r>
    </w:p>
    <w:p w:rsidR="009D5D1A" w:rsidRPr="00AD4927" w:rsidRDefault="009D5D1A" w:rsidP="009D5D1A">
      <w:pPr>
        <w:shd w:val="clear" w:color="auto" w:fill="FFFFFF"/>
        <w:spacing w:beforeAutospacing="1" w:after="0" w:afterAutospacing="1" w:line="240" w:lineRule="auto"/>
        <w:textAlignment w:val="baseline"/>
        <w:rPr>
          <w:rFonts w:ascii="inherit" w:eastAsia="Times New Roman" w:hAnsi="inherit" w:cs="Helvetica"/>
          <w:color w:val="181817"/>
          <w:sz w:val="24"/>
          <w:szCs w:val="24"/>
          <w:lang w:eastAsia="en-GB"/>
        </w:rPr>
      </w:pPr>
    </w:p>
    <w:p w:rsidR="009D5D1A" w:rsidRPr="00AD4927" w:rsidRDefault="009D5D1A" w:rsidP="009D5D1A">
      <w:pPr>
        <w:rPr>
          <w:rFonts w:ascii="Times New Roman" w:hAnsi="Times New Roman" w:cs="Times New Roman"/>
          <w:sz w:val="24"/>
        </w:rPr>
      </w:pPr>
      <w:r w:rsidRPr="00AD4927">
        <w:rPr>
          <w:rFonts w:ascii="Times New Roman" w:hAnsi="Times New Roman" w:cs="Times New Roman"/>
          <w:sz w:val="24"/>
        </w:rPr>
        <w:t>Megaw, J. V. S. and Megaw, M. R. (1994) “Exploring the World of the Celts</w:t>
      </w:r>
      <w:r>
        <w:rPr>
          <w:rFonts w:ascii="Times New Roman" w:hAnsi="Times New Roman" w:cs="Times New Roman"/>
          <w:sz w:val="24"/>
        </w:rPr>
        <w:t>”</w:t>
      </w:r>
      <w:r w:rsidRPr="00AD4927">
        <w:rPr>
          <w:rFonts w:ascii="Times New Roman" w:hAnsi="Times New Roman" w:cs="Times New Roman"/>
          <w:sz w:val="24"/>
        </w:rPr>
        <w:t xml:space="preserve">. </w:t>
      </w:r>
      <w:proofErr w:type="gramStart"/>
      <w:r w:rsidRPr="00AD4927">
        <w:rPr>
          <w:rFonts w:ascii="Times New Roman" w:hAnsi="Times New Roman" w:cs="Times New Roman"/>
          <w:sz w:val="24"/>
        </w:rPr>
        <w:t>By Simon James.</w:t>
      </w:r>
      <w:proofErr w:type="gramEnd"/>
      <w:r w:rsidRPr="00AD4927">
        <w:rPr>
          <w:rFonts w:ascii="Times New Roman" w:hAnsi="Times New Roman" w:cs="Times New Roman"/>
          <w:sz w:val="24"/>
        </w:rPr>
        <w:t xml:space="preserve"> 250mm. Pp. 192, 311 </w:t>
      </w:r>
      <w:proofErr w:type="gramStart"/>
      <w:r w:rsidRPr="00AD4927">
        <w:rPr>
          <w:rFonts w:ascii="Times New Roman" w:hAnsi="Times New Roman" w:cs="Times New Roman"/>
          <w:sz w:val="24"/>
        </w:rPr>
        <w:t>ills.,</w:t>
      </w:r>
      <w:proofErr w:type="gramEnd"/>
      <w:r w:rsidRPr="00AD4927">
        <w:rPr>
          <w:rFonts w:ascii="Times New Roman" w:hAnsi="Times New Roman" w:cs="Times New Roman"/>
          <w:sz w:val="24"/>
        </w:rPr>
        <w:t xml:space="preserve"> 59 in full colour. London: Thames and Hudson, </w:t>
      </w:r>
      <w:r>
        <w:rPr>
          <w:rFonts w:ascii="Times New Roman" w:hAnsi="Times New Roman" w:cs="Times New Roman"/>
          <w:sz w:val="24"/>
        </w:rPr>
        <w:t xml:space="preserve">1993. </w:t>
      </w:r>
      <w:proofErr w:type="gramStart"/>
      <w:r>
        <w:rPr>
          <w:rFonts w:ascii="Times New Roman" w:hAnsi="Times New Roman" w:cs="Times New Roman"/>
          <w:sz w:val="24"/>
        </w:rPr>
        <w:t>ISBN 0-500-05067-8.</w:t>
      </w:r>
      <w:proofErr w:type="gramEnd"/>
      <w:r>
        <w:rPr>
          <w:rFonts w:ascii="Times New Roman" w:hAnsi="Times New Roman" w:cs="Times New Roman"/>
          <w:sz w:val="24"/>
        </w:rPr>
        <w:t xml:space="preserve"> </w:t>
      </w:r>
      <w:proofErr w:type="gramStart"/>
      <w:r w:rsidRPr="00AD4927">
        <w:rPr>
          <w:rFonts w:ascii="Times New Roman" w:hAnsi="Times New Roman" w:cs="Times New Roman"/>
          <w:sz w:val="24"/>
        </w:rPr>
        <w:t>” The Antiquaries Journal.</w:t>
      </w:r>
      <w:proofErr w:type="gramEnd"/>
      <w:r w:rsidRPr="00AD4927">
        <w:rPr>
          <w:rFonts w:ascii="Times New Roman" w:hAnsi="Times New Roman" w:cs="Times New Roman"/>
          <w:sz w:val="24"/>
        </w:rPr>
        <w:t xml:space="preserve"> Cambridge University Press, 74, pp. 348–348. </w:t>
      </w:r>
      <w:proofErr w:type="spellStart"/>
      <w:proofErr w:type="gramStart"/>
      <w:r w:rsidRPr="00AD4927">
        <w:rPr>
          <w:rFonts w:ascii="Times New Roman" w:hAnsi="Times New Roman" w:cs="Times New Roman"/>
          <w:sz w:val="24"/>
        </w:rPr>
        <w:t>doi</w:t>
      </w:r>
      <w:proofErr w:type="spellEnd"/>
      <w:proofErr w:type="gramEnd"/>
      <w:r w:rsidRPr="00AD4927">
        <w:rPr>
          <w:rFonts w:ascii="Times New Roman" w:hAnsi="Times New Roman" w:cs="Times New Roman"/>
          <w:sz w:val="24"/>
        </w:rPr>
        <w:t>: 10.1017/S0003581500024550.</w:t>
      </w:r>
    </w:p>
    <w:p w:rsidR="009D5D1A" w:rsidRDefault="009D5D1A" w:rsidP="009D5D1A">
      <w:pPr>
        <w:tabs>
          <w:tab w:val="left" w:pos="2813"/>
        </w:tabs>
        <w:rPr>
          <w:rFonts w:ascii="Times New Roman" w:hAnsi="Times New Roman" w:cs="Times New Roman"/>
          <w:b/>
          <w:sz w:val="24"/>
        </w:rPr>
      </w:pPr>
      <w:r>
        <w:rPr>
          <w:rFonts w:ascii="Times New Roman" w:hAnsi="Times New Roman" w:cs="Times New Roman"/>
          <w:b/>
          <w:sz w:val="24"/>
        </w:rPr>
        <w:tab/>
      </w:r>
    </w:p>
    <w:p w:rsidR="009D5D1A" w:rsidRDefault="009D5D1A" w:rsidP="009D5D1A">
      <w:pPr>
        <w:rPr>
          <w:rFonts w:ascii="Times New Roman" w:hAnsi="Times New Roman" w:cs="Times New Roman"/>
          <w:sz w:val="24"/>
        </w:rPr>
      </w:pPr>
      <w:proofErr w:type="spellStart"/>
      <w:r w:rsidRPr="00271785">
        <w:rPr>
          <w:rFonts w:ascii="Times New Roman" w:hAnsi="Times New Roman" w:cs="Times New Roman"/>
          <w:sz w:val="24"/>
        </w:rPr>
        <w:t>Kugler</w:t>
      </w:r>
      <w:proofErr w:type="spellEnd"/>
      <w:r w:rsidRPr="00271785">
        <w:rPr>
          <w:rFonts w:ascii="Times New Roman" w:hAnsi="Times New Roman" w:cs="Times New Roman"/>
          <w:sz w:val="24"/>
        </w:rPr>
        <w:t>, R. A. (2001) ‘A Princely Find’, Calliope, 12(3), p. 15. Available at: https://ezproxy.uwtsd.ac.uk/login?url=https://search.ebscohost.com/login.aspx?direct=true&amp;db=hus&amp;AN=5493689&amp;site=ehost-live (Accessed: 18 January 2019).</w:t>
      </w:r>
    </w:p>
    <w:p w:rsidR="009D5D1A" w:rsidRDefault="009D5D1A" w:rsidP="009D5D1A">
      <w:pPr>
        <w:rPr>
          <w:rFonts w:ascii="Times New Roman" w:hAnsi="Times New Roman" w:cs="Times New Roman"/>
          <w:b/>
          <w:sz w:val="24"/>
        </w:rPr>
      </w:pPr>
    </w:p>
    <w:p w:rsidR="009D5D1A" w:rsidRDefault="009D5D1A" w:rsidP="009D5D1A">
      <w:pPr>
        <w:rPr>
          <w:rFonts w:ascii="Times New Roman" w:hAnsi="Times New Roman" w:cs="Times New Roman"/>
          <w:color w:val="181817"/>
          <w:sz w:val="24"/>
          <w:shd w:val="clear" w:color="auto" w:fill="FFFFFF"/>
        </w:rPr>
      </w:pPr>
      <w:r w:rsidRPr="00271785">
        <w:rPr>
          <w:rFonts w:ascii="Times New Roman" w:hAnsi="Times New Roman" w:cs="Times New Roman"/>
          <w:color w:val="181817"/>
          <w:sz w:val="24"/>
          <w:shd w:val="clear" w:color="auto" w:fill="FFFFFF"/>
        </w:rPr>
        <w:t xml:space="preserve">Biel, J. (1981) “The late Hallstatt chieftain's grave at </w:t>
      </w:r>
      <w:proofErr w:type="spellStart"/>
      <w:r w:rsidRPr="00271785">
        <w:rPr>
          <w:rFonts w:ascii="Times New Roman" w:hAnsi="Times New Roman" w:cs="Times New Roman"/>
          <w:color w:val="181817"/>
          <w:sz w:val="24"/>
          <w:shd w:val="clear" w:color="auto" w:fill="FFFFFF"/>
        </w:rPr>
        <w:t>Hochdorf</w:t>
      </w:r>
      <w:proofErr w:type="spellEnd"/>
      <w:r w:rsidRPr="00271785">
        <w:rPr>
          <w:rFonts w:ascii="Times New Roman" w:hAnsi="Times New Roman" w:cs="Times New Roman"/>
          <w:color w:val="181817"/>
          <w:sz w:val="24"/>
          <w:shd w:val="clear" w:color="auto" w:fill="FFFFFF"/>
        </w:rPr>
        <w:t>,” </w:t>
      </w:r>
      <w:r w:rsidRPr="00271785">
        <w:rPr>
          <w:rFonts w:ascii="Times New Roman" w:hAnsi="Times New Roman" w:cs="Times New Roman"/>
          <w:i/>
          <w:iCs/>
          <w:color w:val="181817"/>
          <w:sz w:val="24"/>
          <w:bdr w:val="none" w:sz="0" w:space="0" w:color="auto" w:frame="1"/>
          <w:shd w:val="clear" w:color="auto" w:fill="FFFFFF"/>
        </w:rPr>
        <w:t>Antiquity</w:t>
      </w:r>
      <w:r w:rsidRPr="00271785">
        <w:rPr>
          <w:rFonts w:ascii="Times New Roman" w:hAnsi="Times New Roman" w:cs="Times New Roman"/>
          <w:color w:val="181817"/>
          <w:sz w:val="24"/>
          <w:shd w:val="clear" w:color="auto" w:fill="FFFFFF"/>
        </w:rPr>
        <w:t xml:space="preserve">. Cambridge University Press, 55(213), pp. 16–18. </w:t>
      </w:r>
      <w:proofErr w:type="spellStart"/>
      <w:proofErr w:type="gramStart"/>
      <w:r w:rsidRPr="00271785">
        <w:rPr>
          <w:rFonts w:ascii="Times New Roman" w:hAnsi="Times New Roman" w:cs="Times New Roman"/>
          <w:color w:val="181817"/>
          <w:sz w:val="24"/>
          <w:shd w:val="clear" w:color="auto" w:fill="FFFFFF"/>
        </w:rPr>
        <w:t>doi</w:t>
      </w:r>
      <w:proofErr w:type="spellEnd"/>
      <w:proofErr w:type="gramEnd"/>
      <w:r w:rsidRPr="00271785">
        <w:rPr>
          <w:rFonts w:ascii="Times New Roman" w:hAnsi="Times New Roman" w:cs="Times New Roman"/>
          <w:color w:val="181817"/>
          <w:sz w:val="24"/>
          <w:shd w:val="clear" w:color="auto" w:fill="FFFFFF"/>
        </w:rPr>
        <w:t>: 10.1017/S0003598X0004357X.</w:t>
      </w:r>
    </w:p>
    <w:p w:rsidR="009D5D1A" w:rsidRDefault="009D5D1A" w:rsidP="009D5D1A">
      <w:pPr>
        <w:rPr>
          <w:rFonts w:ascii="Times New Roman" w:hAnsi="Times New Roman" w:cs="Times New Roman"/>
          <w:sz w:val="24"/>
        </w:rPr>
      </w:pPr>
    </w:p>
    <w:p w:rsidR="009D5D1A" w:rsidRDefault="009D5D1A" w:rsidP="009D5D1A">
      <w:pPr>
        <w:rPr>
          <w:rFonts w:ascii="Times New Roman" w:hAnsi="Times New Roman" w:cs="Times New Roman"/>
          <w:sz w:val="24"/>
        </w:rPr>
      </w:pPr>
      <w:bookmarkStart w:id="0" w:name="_GoBack"/>
      <w:bookmarkEnd w:id="0"/>
      <w:r w:rsidRPr="00271785">
        <w:rPr>
          <w:rFonts w:ascii="Times New Roman" w:hAnsi="Times New Roman" w:cs="Times New Roman"/>
          <w:sz w:val="24"/>
        </w:rPr>
        <w:t xml:space="preserve">Arnold, B. (2016) ‘Belts vs. Blades: the Binary Bind in Iron Age Mortuary Contexts in Southwest Germany’, Journal of Archaeological Method &amp; Theory, 23(3), pp. 832–853. </w:t>
      </w:r>
      <w:proofErr w:type="spellStart"/>
      <w:proofErr w:type="gramStart"/>
      <w:r w:rsidRPr="00271785">
        <w:rPr>
          <w:rFonts w:ascii="Times New Roman" w:hAnsi="Times New Roman" w:cs="Times New Roman"/>
          <w:sz w:val="24"/>
        </w:rPr>
        <w:t>doi</w:t>
      </w:r>
      <w:proofErr w:type="spellEnd"/>
      <w:proofErr w:type="gramEnd"/>
      <w:r w:rsidRPr="00271785">
        <w:rPr>
          <w:rFonts w:ascii="Times New Roman" w:hAnsi="Times New Roman" w:cs="Times New Roman"/>
          <w:sz w:val="24"/>
        </w:rPr>
        <w:t>: 10.1007/s10816-016-9289-8.</w:t>
      </w:r>
    </w:p>
    <w:p w:rsidR="009D5D1A" w:rsidRDefault="009D5D1A" w:rsidP="009D5D1A">
      <w:pPr>
        <w:rPr>
          <w:rFonts w:ascii="Times New Roman" w:hAnsi="Times New Roman" w:cs="Times New Roman"/>
          <w:b/>
          <w:sz w:val="24"/>
        </w:rPr>
      </w:pPr>
    </w:p>
    <w:p w:rsidR="009D5D1A" w:rsidRPr="002928C4" w:rsidRDefault="009D5D1A" w:rsidP="009D5D1A">
      <w:pPr>
        <w:rPr>
          <w:rFonts w:ascii="Times New Roman" w:hAnsi="Times New Roman" w:cs="Times New Roman"/>
          <w:sz w:val="24"/>
        </w:rPr>
      </w:pPr>
      <w:proofErr w:type="gramStart"/>
      <w:r w:rsidRPr="002928C4">
        <w:rPr>
          <w:rFonts w:ascii="Times New Roman" w:hAnsi="Times New Roman" w:cs="Times New Roman"/>
          <w:sz w:val="24"/>
        </w:rPr>
        <w:t xml:space="preserve">Hambleton, V. and Porter, C. (2001) ‘Discovery at </w:t>
      </w:r>
      <w:proofErr w:type="spellStart"/>
      <w:r w:rsidRPr="002928C4">
        <w:rPr>
          <w:rFonts w:ascii="Times New Roman" w:hAnsi="Times New Roman" w:cs="Times New Roman"/>
          <w:sz w:val="24"/>
        </w:rPr>
        <w:t>hochdorf</w:t>
      </w:r>
      <w:proofErr w:type="spellEnd"/>
      <w:r w:rsidRPr="002928C4">
        <w:rPr>
          <w:rFonts w:ascii="Times New Roman" w:hAnsi="Times New Roman" w:cs="Times New Roman"/>
          <w:sz w:val="24"/>
        </w:rPr>
        <w:t>’, Calliope</w:t>
      </w:r>
      <w:r>
        <w:rPr>
          <w:rFonts w:ascii="Times New Roman" w:hAnsi="Times New Roman" w:cs="Times New Roman"/>
          <w:sz w:val="24"/>
        </w:rPr>
        <w:t>, 12(3), p. 4.</w:t>
      </w:r>
      <w:proofErr w:type="gramEnd"/>
      <w:r>
        <w:rPr>
          <w:rFonts w:ascii="Times New Roman" w:hAnsi="Times New Roman" w:cs="Times New Roman"/>
          <w:sz w:val="24"/>
        </w:rPr>
        <w:t xml:space="preserve"> Available at:</w:t>
      </w:r>
      <w:r w:rsidRPr="002928C4">
        <w:rPr>
          <w:rFonts w:ascii="Times New Roman" w:hAnsi="Times New Roman" w:cs="Times New Roman"/>
          <w:sz w:val="24"/>
        </w:rPr>
        <w:t>https://ezproxy.uwtsd.ac.uk/login?url=https://search.ebscohost.com/login.aspx?direct=true&amp;db=hus&amp;AN=5493684&amp;site=ehost-live (Accessed: 18 January 2019).</w:t>
      </w:r>
    </w:p>
    <w:p w:rsidR="009D5D1A" w:rsidRPr="009D5D1A" w:rsidRDefault="009D5D1A" w:rsidP="00E1028B">
      <w:pPr>
        <w:spacing w:line="480" w:lineRule="auto"/>
        <w:rPr>
          <w:rFonts w:asciiTheme="minorBidi" w:hAnsiTheme="minorBidi"/>
          <w:sz w:val="24"/>
        </w:rPr>
      </w:pPr>
    </w:p>
    <w:p w:rsidR="008C3984" w:rsidRPr="00E1028B" w:rsidRDefault="008C3984" w:rsidP="00E1028B">
      <w:pPr>
        <w:spacing w:line="480" w:lineRule="auto"/>
        <w:rPr>
          <w:rFonts w:asciiTheme="minorBidi" w:hAnsiTheme="minorBidi"/>
          <w:sz w:val="24"/>
        </w:rPr>
      </w:pPr>
    </w:p>
    <w:p w:rsidR="00133A40" w:rsidRPr="00133A40" w:rsidRDefault="00133A40">
      <w:pPr>
        <w:rPr>
          <w:rFonts w:ascii="Times New Roman" w:hAnsi="Times New Roman" w:cs="Times New Roman"/>
          <w:sz w:val="28"/>
          <w:u w:val="single"/>
        </w:rPr>
      </w:pPr>
    </w:p>
    <w:sectPr w:rsidR="00133A40" w:rsidRPr="00133A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2C1" w:rsidRDefault="006062C1" w:rsidP="00267DCF">
      <w:pPr>
        <w:spacing w:after="0" w:line="240" w:lineRule="auto"/>
      </w:pPr>
      <w:r>
        <w:separator/>
      </w:r>
    </w:p>
  </w:endnote>
  <w:endnote w:type="continuationSeparator" w:id="0">
    <w:p w:rsidR="006062C1" w:rsidRDefault="006062C1" w:rsidP="00267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2C1" w:rsidRDefault="006062C1" w:rsidP="00267DCF">
      <w:pPr>
        <w:spacing w:after="0" w:line="240" w:lineRule="auto"/>
      </w:pPr>
      <w:r>
        <w:separator/>
      </w:r>
    </w:p>
  </w:footnote>
  <w:footnote w:type="continuationSeparator" w:id="0">
    <w:p w:rsidR="006062C1" w:rsidRDefault="006062C1" w:rsidP="00267DCF">
      <w:pPr>
        <w:spacing w:after="0" w:line="240" w:lineRule="auto"/>
      </w:pPr>
      <w:r>
        <w:continuationSeparator/>
      </w:r>
    </w:p>
  </w:footnote>
  <w:footnote w:id="1">
    <w:p w:rsidR="00267DCF" w:rsidRPr="001A6F63" w:rsidRDefault="00267DCF" w:rsidP="001A6F63">
      <w:pPr>
        <w:rPr>
          <w:rFonts w:ascii="Times New Roman" w:hAnsi="Times New Roman" w:cs="Times New Roman"/>
          <w:i/>
          <w:iCs/>
          <w:color w:val="000000"/>
          <w:shd w:val="clear" w:color="auto" w:fill="FFFFFF"/>
        </w:rPr>
      </w:pPr>
      <w:r w:rsidRPr="00267DCF">
        <w:rPr>
          <w:rStyle w:val="FootnoteReference"/>
          <w:rFonts w:ascii="Times New Roman" w:hAnsi="Times New Roman" w:cs="Times New Roman"/>
        </w:rPr>
        <w:footnoteRef/>
      </w:r>
      <w:r w:rsidRPr="00267DCF">
        <w:rPr>
          <w:rFonts w:ascii="Times New Roman" w:hAnsi="Times New Roman" w:cs="Times New Roman"/>
        </w:rPr>
        <w:t xml:space="preserve"> </w:t>
      </w:r>
      <w:proofErr w:type="gramStart"/>
      <w:r w:rsidRPr="00267DCF">
        <w:rPr>
          <w:rFonts w:ascii="Times New Roman" w:hAnsi="Times New Roman" w:cs="Times New Roman"/>
          <w:color w:val="000000"/>
          <w:shd w:val="clear" w:color="auto" w:fill="FFFFFF"/>
        </w:rPr>
        <w:t>Keltenmuseum.de. (2019).</w:t>
      </w:r>
      <w:proofErr w:type="gramEnd"/>
      <w:r w:rsidRPr="00267DCF">
        <w:rPr>
          <w:rFonts w:ascii="Times New Roman" w:hAnsi="Times New Roman" w:cs="Times New Roman"/>
          <w:color w:val="000000"/>
          <w:shd w:val="clear" w:color="auto" w:fill="FFFFFF"/>
        </w:rPr>
        <w:t> </w:t>
      </w:r>
      <w:r w:rsidRPr="00267DCF">
        <w:rPr>
          <w:rFonts w:ascii="Times New Roman" w:hAnsi="Times New Roman" w:cs="Times New Roman"/>
          <w:i/>
          <w:iCs/>
          <w:color w:val="000000"/>
          <w:shd w:val="clear" w:color="auto" w:fill="FFFFFF"/>
        </w:rPr>
        <w:t xml:space="preserve">2500 Years ago...The Celtic Museum </w:t>
      </w:r>
      <w:proofErr w:type="spellStart"/>
      <w:r w:rsidRPr="00267DCF">
        <w:rPr>
          <w:rFonts w:ascii="Times New Roman" w:hAnsi="Times New Roman" w:cs="Times New Roman"/>
          <w:i/>
          <w:iCs/>
          <w:color w:val="000000"/>
          <w:shd w:val="clear" w:color="auto" w:fill="FFFFFF"/>
        </w:rPr>
        <w:t>Hochdorf</w:t>
      </w:r>
      <w:proofErr w:type="spellEnd"/>
    </w:p>
  </w:footnote>
  <w:footnote w:id="2">
    <w:p w:rsidR="00267DCF" w:rsidRDefault="00267DCF">
      <w:pPr>
        <w:pStyle w:val="FootnoteText"/>
      </w:pPr>
      <w:r w:rsidRPr="00267DCF">
        <w:rPr>
          <w:rStyle w:val="FootnoteReference"/>
          <w:rFonts w:ascii="Times New Roman" w:hAnsi="Times New Roman" w:cs="Times New Roman"/>
          <w:sz w:val="22"/>
          <w:szCs w:val="22"/>
        </w:rPr>
        <w:footnoteRef/>
      </w:r>
      <w:r w:rsidRPr="00267DCF">
        <w:rPr>
          <w:rFonts w:ascii="Times New Roman" w:hAnsi="Times New Roman" w:cs="Times New Roman"/>
          <w:sz w:val="22"/>
          <w:szCs w:val="22"/>
        </w:rPr>
        <w:t xml:space="preserve"> Ibid.</w:t>
      </w:r>
    </w:p>
  </w:footnote>
  <w:footnote w:id="3">
    <w:p w:rsidR="001A6F63" w:rsidRPr="001A6F63" w:rsidRDefault="001A6F63">
      <w:pPr>
        <w:pStyle w:val="FootnoteText"/>
        <w:rPr>
          <w:rFonts w:ascii="Times New Roman" w:hAnsi="Times New Roman" w:cs="Times New Roman"/>
        </w:rPr>
      </w:pPr>
      <w:r w:rsidRPr="001A6F63">
        <w:rPr>
          <w:rStyle w:val="FootnoteReference"/>
          <w:rFonts w:ascii="Times New Roman" w:hAnsi="Times New Roman" w:cs="Times New Roman"/>
          <w:sz w:val="22"/>
        </w:rPr>
        <w:footnoteRef/>
      </w:r>
      <w:r w:rsidRPr="001A6F63">
        <w:rPr>
          <w:rFonts w:ascii="Times New Roman" w:hAnsi="Times New Roman" w:cs="Times New Roman"/>
          <w:sz w:val="22"/>
        </w:rPr>
        <w:t xml:space="preserve"> Ibid.</w:t>
      </w:r>
    </w:p>
  </w:footnote>
  <w:footnote w:id="4">
    <w:p w:rsidR="00FC112F" w:rsidRPr="006C6C3F" w:rsidRDefault="00FC112F" w:rsidP="00FC112F">
      <w:pPr>
        <w:rPr>
          <w:rFonts w:ascii="Times New Roman" w:hAnsi="Times New Roman" w:cs="Times New Roman"/>
        </w:rPr>
      </w:pPr>
      <w:r w:rsidRPr="006C6C3F">
        <w:rPr>
          <w:rStyle w:val="FootnoteReference"/>
          <w:rFonts w:ascii="Times New Roman" w:hAnsi="Times New Roman" w:cs="Times New Roman"/>
        </w:rPr>
        <w:footnoteRef/>
      </w:r>
      <w:r w:rsidRPr="006C6C3F">
        <w:rPr>
          <w:rFonts w:ascii="Times New Roman" w:hAnsi="Times New Roman" w:cs="Times New Roman"/>
        </w:rPr>
        <w:t xml:space="preserve"> </w:t>
      </w:r>
      <w:r w:rsidRPr="008C3984">
        <w:rPr>
          <w:rFonts w:ascii="Times New Roman" w:hAnsi="Times New Roman" w:cs="Times New Roman"/>
        </w:rPr>
        <w:t xml:space="preserve">Hambleton, V. and Porter, C. (2001) ‘Discovery at </w:t>
      </w:r>
      <w:proofErr w:type="spellStart"/>
      <w:r w:rsidRPr="008C3984">
        <w:rPr>
          <w:rFonts w:ascii="Times New Roman" w:hAnsi="Times New Roman" w:cs="Times New Roman"/>
        </w:rPr>
        <w:t>hochdorf</w:t>
      </w:r>
      <w:proofErr w:type="spellEnd"/>
      <w:r w:rsidRPr="008C3984">
        <w:rPr>
          <w:rFonts w:ascii="Times New Roman" w:hAnsi="Times New Roman" w:cs="Times New Roman"/>
        </w:rPr>
        <w:t>’</w:t>
      </w:r>
    </w:p>
    <w:p w:rsidR="00FC112F" w:rsidRPr="006C6C3F" w:rsidRDefault="00FC112F">
      <w:pPr>
        <w:pStyle w:val="FootnoteText"/>
        <w:rPr>
          <w:rFonts w:ascii="Times New Roman" w:hAnsi="Times New Roman" w:cs="Times New Roman"/>
          <w:sz w:val="22"/>
          <w:szCs w:val="22"/>
        </w:rPr>
      </w:pPr>
    </w:p>
  </w:footnote>
  <w:footnote w:id="5">
    <w:p w:rsidR="009810EB" w:rsidRPr="006C6C3F" w:rsidRDefault="009810EB">
      <w:pPr>
        <w:pStyle w:val="FootnoteText"/>
        <w:rPr>
          <w:rFonts w:ascii="Times New Roman" w:hAnsi="Times New Roman" w:cs="Times New Roman"/>
        </w:rPr>
      </w:pPr>
      <w:r w:rsidRPr="006C6C3F">
        <w:rPr>
          <w:rStyle w:val="FootnoteReference"/>
          <w:rFonts w:ascii="Times New Roman" w:hAnsi="Times New Roman" w:cs="Times New Roman"/>
          <w:sz w:val="22"/>
          <w:szCs w:val="22"/>
        </w:rPr>
        <w:footnoteRef/>
      </w:r>
      <w:r w:rsidRPr="006C6C3F">
        <w:rPr>
          <w:rFonts w:ascii="Times New Roman" w:hAnsi="Times New Roman" w:cs="Times New Roman"/>
          <w:sz w:val="22"/>
          <w:szCs w:val="22"/>
        </w:rPr>
        <w:t xml:space="preserve"> Ibid.</w:t>
      </w:r>
    </w:p>
  </w:footnote>
  <w:footnote w:id="6">
    <w:p w:rsidR="006C6C3F" w:rsidRPr="006C6C3F" w:rsidRDefault="006C6C3F" w:rsidP="006C6C3F">
      <w:pPr>
        <w:rPr>
          <w:rFonts w:ascii="Times New Roman" w:hAnsi="Times New Roman" w:cs="Times New Roman"/>
        </w:rPr>
      </w:pPr>
      <w:r w:rsidRPr="006C6C3F">
        <w:rPr>
          <w:rStyle w:val="FootnoteReference"/>
          <w:rFonts w:ascii="Times New Roman" w:hAnsi="Times New Roman" w:cs="Times New Roman"/>
        </w:rPr>
        <w:footnoteRef/>
      </w:r>
      <w:r w:rsidRPr="006C6C3F">
        <w:rPr>
          <w:rFonts w:ascii="Times New Roman" w:hAnsi="Times New Roman" w:cs="Times New Roman"/>
        </w:rPr>
        <w:t xml:space="preserve"> </w:t>
      </w:r>
      <w:r w:rsidRPr="006C6C3F">
        <w:rPr>
          <w:rFonts w:ascii="Times New Roman" w:hAnsi="Times New Roman" w:cs="Times New Roman"/>
        </w:rPr>
        <w:t>Arnold, B. (2016) ‘Belts vs. Blades: the Binary Bind in Iron Age Mortuary Contexts in Southwest Germany’</w:t>
      </w:r>
    </w:p>
    <w:p w:rsidR="006C6C3F" w:rsidRDefault="006C6C3F">
      <w:pPr>
        <w:pStyle w:val="FootnoteText"/>
      </w:pPr>
    </w:p>
  </w:footnote>
  <w:footnote w:id="7">
    <w:p w:rsidR="008C3984" w:rsidRPr="008C3984" w:rsidRDefault="008C3984">
      <w:pPr>
        <w:pStyle w:val="FootnoteText"/>
        <w:rPr>
          <w:rFonts w:ascii="Times New Roman" w:hAnsi="Times New Roman" w:cs="Times New Roman"/>
        </w:rPr>
      </w:pPr>
      <w:r w:rsidRPr="008C3984">
        <w:rPr>
          <w:rStyle w:val="FootnoteReference"/>
          <w:rFonts w:ascii="Times New Roman" w:hAnsi="Times New Roman" w:cs="Times New Roman"/>
          <w:sz w:val="22"/>
        </w:rPr>
        <w:footnoteRef/>
      </w:r>
      <w:r w:rsidRPr="008C3984">
        <w:rPr>
          <w:rFonts w:ascii="Times New Roman" w:hAnsi="Times New Roman" w:cs="Times New Roman"/>
          <w:sz w:val="22"/>
        </w:rPr>
        <w:t xml:space="preserve"> </w:t>
      </w:r>
      <w:r w:rsidRPr="008C3984">
        <w:rPr>
          <w:rFonts w:ascii="Times New Roman" w:hAnsi="Times New Roman" w:cs="Times New Roman"/>
          <w:sz w:val="22"/>
        </w:rPr>
        <w:t xml:space="preserve">Hambleton, V. and Porter, C. (2001) ‘Discovery at </w:t>
      </w:r>
      <w:proofErr w:type="spellStart"/>
      <w:r w:rsidRPr="008C3984">
        <w:rPr>
          <w:rFonts w:ascii="Times New Roman" w:hAnsi="Times New Roman" w:cs="Times New Roman"/>
          <w:sz w:val="22"/>
        </w:rPr>
        <w:t>hochdorf</w:t>
      </w:r>
      <w:proofErr w:type="spellEnd"/>
      <w:r w:rsidRPr="008C3984">
        <w:rPr>
          <w:rFonts w:ascii="Times New Roman" w:hAnsi="Times New Roman" w:cs="Times New Roman"/>
          <w:sz w:val="22"/>
        </w:rPr>
        <w:t>’</w:t>
      </w:r>
    </w:p>
  </w:footnote>
  <w:footnote w:id="8">
    <w:p w:rsidR="00EF7410" w:rsidRPr="00EF7410" w:rsidRDefault="00EF7410" w:rsidP="00EF7410">
      <w:pPr>
        <w:rPr>
          <w:rFonts w:ascii="Times New Roman" w:hAnsi="Times New Roman" w:cs="Times New Roman"/>
          <w:shd w:val="clear" w:color="auto" w:fill="FFFFFF"/>
        </w:rPr>
      </w:pPr>
      <w:r w:rsidRPr="00EF7410">
        <w:rPr>
          <w:rStyle w:val="FootnoteReference"/>
          <w:rFonts w:ascii="Times New Roman" w:hAnsi="Times New Roman" w:cs="Times New Roman"/>
        </w:rPr>
        <w:footnoteRef/>
      </w:r>
      <w:r w:rsidRPr="00EF7410">
        <w:rPr>
          <w:rFonts w:ascii="Times New Roman" w:hAnsi="Times New Roman" w:cs="Times New Roman"/>
        </w:rPr>
        <w:t xml:space="preserve"> </w:t>
      </w:r>
      <w:r w:rsidRPr="00EF7410">
        <w:rPr>
          <w:rFonts w:ascii="Times New Roman" w:hAnsi="Times New Roman" w:cs="Times New Roman"/>
          <w:shd w:val="clear" w:color="auto" w:fill="FFFFFF"/>
        </w:rPr>
        <w:t xml:space="preserve">Biel, J. (1981) “The late Hallstatt chieftain's grave at </w:t>
      </w:r>
      <w:proofErr w:type="spellStart"/>
      <w:r w:rsidRPr="00EF7410">
        <w:rPr>
          <w:rFonts w:ascii="Times New Roman" w:hAnsi="Times New Roman" w:cs="Times New Roman"/>
          <w:shd w:val="clear" w:color="auto" w:fill="FFFFFF"/>
        </w:rPr>
        <w:t>Hochdorf</w:t>
      </w:r>
      <w:proofErr w:type="spellEnd"/>
      <w:r w:rsidRPr="00EF7410">
        <w:rPr>
          <w:rFonts w:ascii="Times New Roman" w:hAnsi="Times New Roman" w:cs="Times New Roman"/>
          <w:shd w:val="clear" w:color="auto" w:fill="FFFFFF"/>
        </w:rPr>
        <w:t>,”</w:t>
      </w:r>
    </w:p>
    <w:p w:rsidR="00EF7410" w:rsidRDefault="00EF7410">
      <w:pPr>
        <w:pStyle w:val="FootnoteText"/>
      </w:pPr>
    </w:p>
  </w:footnote>
  <w:footnote w:id="9">
    <w:p w:rsidR="00EF7410" w:rsidRPr="008C3984" w:rsidRDefault="00EF7410" w:rsidP="00EF7410">
      <w:pPr>
        <w:pStyle w:val="FootnoteText"/>
        <w:rPr>
          <w:rFonts w:ascii="Times New Roman" w:hAnsi="Times New Roman" w:cs="Times New Roman"/>
        </w:rPr>
      </w:pPr>
      <w:r>
        <w:rPr>
          <w:rStyle w:val="FootnoteReference"/>
        </w:rPr>
        <w:footnoteRef/>
      </w:r>
      <w:r>
        <w:t xml:space="preserve"> </w:t>
      </w:r>
      <w:r w:rsidRPr="008C3984">
        <w:rPr>
          <w:rFonts w:ascii="Times New Roman" w:hAnsi="Times New Roman" w:cs="Times New Roman"/>
          <w:sz w:val="22"/>
        </w:rPr>
        <w:t xml:space="preserve">Hambleton, V. and Porter, C. (2001) ‘Discovery at </w:t>
      </w:r>
      <w:proofErr w:type="spellStart"/>
      <w:r w:rsidRPr="008C3984">
        <w:rPr>
          <w:rFonts w:ascii="Times New Roman" w:hAnsi="Times New Roman" w:cs="Times New Roman"/>
          <w:sz w:val="22"/>
        </w:rPr>
        <w:t>hochdorf</w:t>
      </w:r>
      <w:proofErr w:type="spellEnd"/>
      <w:r w:rsidRPr="008C3984">
        <w:rPr>
          <w:rFonts w:ascii="Times New Roman" w:hAnsi="Times New Roman" w:cs="Times New Roman"/>
          <w:sz w:val="22"/>
        </w:rPr>
        <w:t>’</w:t>
      </w:r>
    </w:p>
    <w:p w:rsidR="00EF7410" w:rsidRDefault="00EF741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6D5"/>
    <w:rsid w:val="00091E13"/>
    <w:rsid w:val="000B296A"/>
    <w:rsid w:val="000C5E0C"/>
    <w:rsid w:val="00133A40"/>
    <w:rsid w:val="001A6F63"/>
    <w:rsid w:val="001C381E"/>
    <w:rsid w:val="00251A28"/>
    <w:rsid w:val="00267DCF"/>
    <w:rsid w:val="003266F5"/>
    <w:rsid w:val="00503521"/>
    <w:rsid w:val="005048E1"/>
    <w:rsid w:val="005C5CC0"/>
    <w:rsid w:val="006062C1"/>
    <w:rsid w:val="006C6C3F"/>
    <w:rsid w:val="00765236"/>
    <w:rsid w:val="00861312"/>
    <w:rsid w:val="008C1EFF"/>
    <w:rsid w:val="008C3984"/>
    <w:rsid w:val="008D508C"/>
    <w:rsid w:val="009810EB"/>
    <w:rsid w:val="009D5D1A"/>
    <w:rsid w:val="00A246D5"/>
    <w:rsid w:val="00B27B18"/>
    <w:rsid w:val="00B576F6"/>
    <w:rsid w:val="00BC7E7F"/>
    <w:rsid w:val="00BE0868"/>
    <w:rsid w:val="00E1028B"/>
    <w:rsid w:val="00EF7410"/>
    <w:rsid w:val="00F42904"/>
    <w:rsid w:val="00FC1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7D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7DCF"/>
    <w:rPr>
      <w:sz w:val="20"/>
      <w:szCs w:val="20"/>
    </w:rPr>
  </w:style>
  <w:style w:type="character" w:styleId="FootnoteReference">
    <w:name w:val="footnote reference"/>
    <w:basedOn w:val="DefaultParagraphFont"/>
    <w:uiPriority w:val="99"/>
    <w:semiHidden/>
    <w:unhideWhenUsed/>
    <w:rsid w:val="00267DC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67D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7DCF"/>
    <w:rPr>
      <w:sz w:val="20"/>
      <w:szCs w:val="20"/>
    </w:rPr>
  </w:style>
  <w:style w:type="character" w:styleId="FootnoteReference">
    <w:name w:val="footnote reference"/>
    <w:basedOn w:val="DefaultParagraphFont"/>
    <w:uiPriority w:val="99"/>
    <w:semiHidden/>
    <w:unhideWhenUsed/>
    <w:rsid w:val="00267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D6E52-8F97-4955-B5A4-FAF840CCA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6</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Kingsway Primary School</Company>
  <LinksUpToDate>false</LinksUpToDate>
  <CharactersWithSpaces>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McDonald</dc:creator>
  <cp:lastModifiedBy>Anthony McDonald</cp:lastModifiedBy>
  <cp:revision>6</cp:revision>
  <dcterms:created xsi:type="dcterms:W3CDTF">2019-01-18T03:23:00Z</dcterms:created>
  <dcterms:modified xsi:type="dcterms:W3CDTF">2019-01-18T22:47:00Z</dcterms:modified>
</cp:coreProperties>
</file>