
<file path=[Content_Types].xml><?xml version="1.0" encoding="utf-8"?>
<Types xmlns="http://schemas.openxmlformats.org/package/2006/content-types">
  <Default Extension="bin" ContentType="application/vnd.openxmlformats-officedocument.oleObject"/>
  <Default Extension="png" ContentType="image/png"/>
  <Default Extension="rels" ContentType="application/vnd.openxmlformats-package.relationships+xml"/>
  <Default Extension="wmf" ContentType="image/x-wmf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charts/chart1.xml" ContentType="application/vnd.openxmlformats-officedocument.drawingml.chart+xml"/>
  <Override PartName="/word/charts/style1.xml" ContentType="application/vnd.ms-office.chartstyle+xml"/>
  <Override PartName="/word/charts/colors1.xml" ContentType="application/vnd.ms-office.chartcolorstyle+xml"/>
  <Override PartName="/word/charts/chart2.xml" ContentType="application/vnd.openxmlformats-officedocument.drawingml.chart+xml"/>
  <Override PartName="/word/charts/style2.xml" ContentType="application/vnd.ms-office.chartstyle+xml"/>
  <Override PartName="/word/charts/colors2.xml" ContentType="application/vnd.ms-office.chartcolorstyle+xml"/>
  <Override PartName="/word/charts/chart3.xml" ContentType="application/vnd.openxmlformats-officedocument.drawingml.chart+xml"/>
  <Override PartName="/word/charts/style3.xml" ContentType="application/vnd.ms-office.chartstyle+xml"/>
  <Override PartName="/word/charts/colors3.xml" ContentType="application/vnd.ms-office.chartcolorstyle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charts/chart10.xml" ContentType="application/vnd.openxmlformats-officedocument.drawingml.chart+xml"/>
  <Override PartName="/word/charts/chart20.xml" ContentType="application/vnd.openxmlformats-officedocument.drawingml.chart+xml"/>
  <Override PartName="/word/charts/chart30.xml" ContentType="application/vnd.openxmlformats-officedocument.drawingml.chart+xml"/>
  <Override PartName="/word/charts/colors10.xml" ContentType="application/vnd.ms-office.chartcolorstyle+xml"/>
  <Override PartName="/word/charts/style10.xml" ContentType="application/vnd.ms-office.chartstyle+xml"/>
  <Override PartName="/word/charts/colors20.xml" ContentType="application/vnd.ms-office.chartcolorstyle+xml"/>
  <Override PartName="/word/charts/style20.xml" ContentType="application/vnd.ms-office.chartstyle+xml"/>
  <Override PartName="/word/charts/colors30.xml" ContentType="application/vnd.ms-office.chartcolorstyle+xml"/>
  <Override PartName="/word/charts/style30.xml" ContentType="application/vnd.ms-office.chartstyle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5CF79F4C" w14:textId="60F7A1BC" w:rsidR="007C11B4" w:rsidRDefault="00096987" w:rsidP="00EE3C5C">
      <w:pPr>
        <w:pStyle w:val="Title"/>
      </w:pPr>
      <w:r w:rsidRPr="00990A19">
        <w:t xml:space="preserve">ACDB 4011: </w:t>
      </w:r>
      <w:r w:rsidR="008F70A8">
        <w:t>Rates of Reaction</w:t>
      </w:r>
      <w:r w:rsidR="007C3B69">
        <w:t xml:space="preserve"> </w:t>
      </w:r>
      <w:r w:rsidR="00857B59">
        <w:t xml:space="preserve">- </w:t>
      </w:r>
      <w:r>
        <w:t>Laboratory Report</w:t>
      </w:r>
    </w:p>
    <w:p w14:paraId="228732E7" w14:textId="0C30A4A1" w:rsidR="00EE3C5C" w:rsidRDefault="00A95876" w:rsidP="00EE3C5C">
      <w:pPr>
        <w:pStyle w:val="Title"/>
      </w:pPr>
      <w:r>
        <w:t>Simon Shepherdson</w:t>
      </w:r>
    </w:p>
    <w:p w14:paraId="479EEF97" w14:textId="4F970DC7" w:rsidR="00A95876" w:rsidRPr="00A95876" w:rsidRDefault="00A95876" w:rsidP="00A95876">
      <w:pPr>
        <w:rPr>
          <w:rFonts w:asciiTheme="majorHAnsi" w:eastAsiaTheme="majorEastAsia" w:hAnsiTheme="majorHAnsi" w:cstheme="majorBidi"/>
          <w:spacing w:val="-10"/>
          <w:kern w:val="28"/>
          <w:sz w:val="56"/>
          <w:szCs w:val="56"/>
        </w:rPr>
      </w:pPr>
      <w:r w:rsidRPr="00A95876">
        <w:rPr>
          <w:rFonts w:asciiTheme="majorHAnsi" w:eastAsiaTheme="majorEastAsia" w:hAnsiTheme="majorHAnsi" w:cstheme="majorBidi"/>
          <w:spacing w:val="-10"/>
          <w:kern w:val="28"/>
          <w:sz w:val="56"/>
          <w:szCs w:val="56"/>
        </w:rPr>
        <w:t>Student Number: 2309878</w:t>
      </w:r>
    </w:p>
    <w:p w14:paraId="16726C19" w14:textId="3479C188" w:rsidR="00EE3C5C" w:rsidRDefault="00EE3C5C" w:rsidP="00EE3C5C">
      <w:pPr>
        <w:pStyle w:val="Title"/>
      </w:pPr>
      <w:r>
        <w:t>Date</w:t>
      </w:r>
      <w:r w:rsidR="00A95876">
        <w:t xml:space="preserve">: </w:t>
      </w:r>
      <w:r w:rsidR="007C3B69">
        <w:t>Novem</w:t>
      </w:r>
      <w:r w:rsidR="008656F3">
        <w:t>ber</w:t>
      </w:r>
      <w:r w:rsidR="005266EC" w:rsidRPr="00647FB5">
        <w:t xml:space="preserve"> 2024</w:t>
      </w:r>
    </w:p>
    <w:p w14:paraId="0F6E564D" w14:textId="7A4F9388" w:rsidR="00EE3C5C" w:rsidRDefault="00EE3C5C">
      <w:r>
        <w:br w:type="page"/>
      </w:r>
    </w:p>
    <w:sdt>
      <w:sdtPr>
        <w:id w:val="-1999023042"/>
        <w:docPartObj>
          <w:docPartGallery w:val="Table of Contents"/>
          <w:docPartUnique/>
        </w:docPartObj>
      </w:sdtPr>
      <w:sdtEndPr>
        <w:rPr>
          <w:b/>
          <w:bCs/>
          <w:noProof/>
        </w:rPr>
      </w:sdtEndPr>
      <w:sdtContent>
        <w:p w14:paraId="0D9916F6" w14:textId="5E963B48" w:rsidR="00EE3C5C" w:rsidRDefault="00EE3C5C" w:rsidP="00A964D1">
          <w:r>
            <w:t>Contents</w:t>
          </w:r>
        </w:p>
        <w:p w14:paraId="0A2265FE" w14:textId="3D86A76F" w:rsidR="007E6D5B" w:rsidRDefault="00EE3C5C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kern w:val="2"/>
              <w:lang w:eastAsia="en-GB"/>
              <w14:ligatures w14:val="standardContextual"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183519261" w:history="1">
            <w:r w:rsidR="007E6D5B" w:rsidRPr="002A63B9">
              <w:rPr>
                <w:rStyle w:val="Hyperlink"/>
                <w:noProof/>
              </w:rPr>
              <w:t>Keywords</w:t>
            </w:r>
            <w:r w:rsidR="007E6D5B">
              <w:rPr>
                <w:noProof/>
                <w:webHidden/>
              </w:rPr>
              <w:tab/>
            </w:r>
            <w:r w:rsidR="007E6D5B">
              <w:rPr>
                <w:noProof/>
                <w:webHidden/>
              </w:rPr>
              <w:fldChar w:fldCharType="begin"/>
            </w:r>
            <w:r w:rsidR="007E6D5B">
              <w:rPr>
                <w:noProof/>
                <w:webHidden/>
              </w:rPr>
              <w:instrText xml:space="preserve"> PAGEREF _Toc183519261 \h </w:instrText>
            </w:r>
            <w:r w:rsidR="007E6D5B">
              <w:rPr>
                <w:noProof/>
                <w:webHidden/>
              </w:rPr>
            </w:r>
            <w:r w:rsidR="007E6D5B">
              <w:rPr>
                <w:noProof/>
                <w:webHidden/>
              </w:rPr>
              <w:fldChar w:fldCharType="separate"/>
            </w:r>
            <w:r w:rsidR="007E6D5B">
              <w:rPr>
                <w:noProof/>
                <w:webHidden/>
              </w:rPr>
              <w:t>3</w:t>
            </w:r>
            <w:r w:rsidR="007E6D5B">
              <w:rPr>
                <w:noProof/>
                <w:webHidden/>
              </w:rPr>
              <w:fldChar w:fldCharType="end"/>
            </w:r>
          </w:hyperlink>
        </w:p>
        <w:p w14:paraId="64AF7127" w14:textId="6CEF1951" w:rsidR="007E6D5B" w:rsidRDefault="007E6D5B">
          <w:pPr>
            <w:pStyle w:val="TOC1"/>
            <w:tabs>
              <w:tab w:val="left" w:pos="440"/>
              <w:tab w:val="right" w:leader="dot" w:pos="9016"/>
            </w:tabs>
            <w:rPr>
              <w:rFonts w:eastAsiaTheme="minorEastAsia"/>
              <w:noProof/>
              <w:kern w:val="2"/>
              <w:lang w:eastAsia="en-GB"/>
              <w14:ligatures w14:val="standardContextual"/>
            </w:rPr>
          </w:pPr>
          <w:hyperlink w:anchor="_Toc183519262" w:history="1">
            <w:r w:rsidRPr="002A63B9">
              <w:rPr>
                <w:rStyle w:val="Hyperlink"/>
                <w:noProof/>
              </w:rPr>
              <w:t>1</w:t>
            </w:r>
            <w:r>
              <w:rPr>
                <w:rFonts w:eastAsiaTheme="minorEastAsia"/>
                <w:noProof/>
                <w:kern w:val="2"/>
                <w:lang w:eastAsia="en-GB"/>
                <w14:ligatures w14:val="standardContextual"/>
              </w:rPr>
              <w:tab/>
            </w:r>
            <w:r w:rsidRPr="002A63B9">
              <w:rPr>
                <w:rStyle w:val="Hyperlink"/>
                <w:noProof/>
              </w:rPr>
              <w:t>Introduction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_Toc183519262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994C1A1" w14:textId="4FD67751" w:rsidR="007E6D5B" w:rsidRDefault="007E6D5B">
          <w:pPr>
            <w:pStyle w:val="TOC2"/>
            <w:tabs>
              <w:tab w:val="left" w:pos="880"/>
              <w:tab w:val="right" w:leader="dot" w:pos="9016"/>
            </w:tabs>
            <w:rPr>
              <w:rFonts w:eastAsiaTheme="minorEastAsia"/>
              <w:noProof/>
              <w:kern w:val="2"/>
              <w:lang w:eastAsia="en-GB"/>
              <w14:ligatures w14:val="standardContextual"/>
            </w:rPr>
          </w:pPr>
          <w:hyperlink w:anchor="_Toc183519263" w:history="1">
            <w:r w:rsidRPr="002A63B9">
              <w:rPr>
                <w:rStyle w:val="Hyperlink"/>
                <w:noProof/>
              </w:rPr>
              <w:t>1.1</w:t>
            </w:r>
            <w:r>
              <w:rPr>
                <w:rFonts w:eastAsiaTheme="minorEastAsia"/>
                <w:noProof/>
                <w:kern w:val="2"/>
                <w:lang w:eastAsia="en-GB"/>
                <w14:ligatures w14:val="standardContextual"/>
              </w:rPr>
              <w:tab/>
            </w:r>
            <w:r w:rsidRPr="002A63B9">
              <w:rPr>
                <w:rStyle w:val="Hyperlink"/>
                <w:noProof/>
              </w:rPr>
              <w:t>Theory and Background Information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_Toc183519263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AD51CE0" w14:textId="6A3115BE" w:rsidR="007E6D5B" w:rsidRDefault="007E6D5B">
          <w:pPr>
            <w:pStyle w:val="TOC1"/>
            <w:tabs>
              <w:tab w:val="left" w:pos="440"/>
              <w:tab w:val="right" w:leader="dot" w:pos="9016"/>
            </w:tabs>
            <w:rPr>
              <w:rFonts w:eastAsiaTheme="minorEastAsia"/>
              <w:noProof/>
              <w:kern w:val="2"/>
              <w:lang w:eastAsia="en-GB"/>
              <w14:ligatures w14:val="standardContextual"/>
            </w:rPr>
          </w:pPr>
          <w:hyperlink w:anchor="_Toc183519264" w:history="1">
            <w:r w:rsidRPr="002A63B9">
              <w:rPr>
                <w:rStyle w:val="Hyperlink"/>
                <w:noProof/>
              </w:rPr>
              <w:t>2</w:t>
            </w:r>
            <w:r>
              <w:rPr>
                <w:rFonts w:eastAsiaTheme="minorEastAsia"/>
                <w:noProof/>
                <w:kern w:val="2"/>
                <w:lang w:eastAsia="en-GB"/>
                <w14:ligatures w14:val="standardContextual"/>
              </w:rPr>
              <w:tab/>
            </w:r>
            <w:r w:rsidRPr="002A63B9">
              <w:rPr>
                <w:rStyle w:val="Hyperlink"/>
                <w:noProof/>
              </w:rPr>
              <w:t>Results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_Toc183519264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CC1799D" w14:textId="7907B0BF" w:rsidR="007E6D5B" w:rsidRDefault="007E6D5B">
          <w:pPr>
            <w:pStyle w:val="TOC2"/>
            <w:tabs>
              <w:tab w:val="left" w:pos="880"/>
              <w:tab w:val="right" w:leader="dot" w:pos="9016"/>
            </w:tabs>
            <w:rPr>
              <w:rFonts w:eastAsiaTheme="minorEastAsia"/>
              <w:noProof/>
              <w:kern w:val="2"/>
              <w:lang w:eastAsia="en-GB"/>
              <w14:ligatures w14:val="standardContextual"/>
            </w:rPr>
          </w:pPr>
          <w:hyperlink w:anchor="_Toc183519265" w:history="1">
            <w:r w:rsidRPr="002A63B9">
              <w:rPr>
                <w:rStyle w:val="Hyperlink"/>
                <w:noProof/>
              </w:rPr>
              <w:t>2.1</w:t>
            </w:r>
            <w:r>
              <w:rPr>
                <w:rFonts w:eastAsiaTheme="minorEastAsia"/>
                <w:noProof/>
                <w:kern w:val="2"/>
                <w:lang w:eastAsia="en-GB"/>
                <w14:ligatures w14:val="standardContextual"/>
              </w:rPr>
              <w:tab/>
            </w:r>
            <w:r w:rsidRPr="002A63B9">
              <w:rPr>
                <w:rStyle w:val="Hyperlink"/>
                <w:noProof/>
              </w:rPr>
              <w:t>Results for Rates of Reaction versus Molar Concentration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_Toc183519265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5637DBD" w14:textId="1EAFFAB8" w:rsidR="007E6D5B" w:rsidRDefault="007E6D5B">
          <w:pPr>
            <w:pStyle w:val="TOC2"/>
            <w:tabs>
              <w:tab w:val="left" w:pos="880"/>
              <w:tab w:val="right" w:leader="dot" w:pos="9016"/>
            </w:tabs>
            <w:rPr>
              <w:rFonts w:eastAsiaTheme="minorEastAsia"/>
              <w:noProof/>
              <w:kern w:val="2"/>
              <w:lang w:eastAsia="en-GB"/>
              <w14:ligatures w14:val="standardContextual"/>
            </w:rPr>
          </w:pPr>
          <w:hyperlink w:anchor="_Toc183519266" w:history="1">
            <w:r w:rsidRPr="002A63B9">
              <w:rPr>
                <w:rStyle w:val="Hyperlink"/>
                <w:noProof/>
              </w:rPr>
              <w:t>2.2</w:t>
            </w:r>
            <w:r>
              <w:rPr>
                <w:rFonts w:eastAsiaTheme="minorEastAsia"/>
                <w:noProof/>
                <w:kern w:val="2"/>
                <w:lang w:eastAsia="en-GB"/>
                <w14:ligatures w14:val="standardContextual"/>
              </w:rPr>
              <w:tab/>
            </w:r>
            <w:r w:rsidRPr="002A63B9">
              <w:rPr>
                <w:rStyle w:val="Hyperlink"/>
                <w:noProof/>
              </w:rPr>
              <w:t>Results for Rates of Reaction versus Temperature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_Toc183519266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4DB7F51" w14:textId="6E2B6DFD" w:rsidR="007E6D5B" w:rsidRDefault="007E6D5B">
          <w:pPr>
            <w:pStyle w:val="TOC2"/>
            <w:tabs>
              <w:tab w:val="left" w:pos="880"/>
              <w:tab w:val="right" w:leader="dot" w:pos="9016"/>
            </w:tabs>
            <w:rPr>
              <w:rFonts w:eastAsiaTheme="minorEastAsia"/>
              <w:noProof/>
              <w:kern w:val="2"/>
              <w:lang w:eastAsia="en-GB"/>
              <w14:ligatures w14:val="standardContextual"/>
            </w:rPr>
          </w:pPr>
          <w:hyperlink w:anchor="_Toc183519267" w:history="1">
            <w:r w:rsidRPr="002A63B9">
              <w:rPr>
                <w:rStyle w:val="Hyperlink"/>
                <w:noProof/>
              </w:rPr>
              <w:t>2.3</w:t>
            </w:r>
            <w:r>
              <w:rPr>
                <w:rFonts w:eastAsiaTheme="minorEastAsia"/>
                <w:noProof/>
                <w:kern w:val="2"/>
                <w:lang w:eastAsia="en-GB"/>
                <w14:ligatures w14:val="standardContextual"/>
              </w:rPr>
              <w:tab/>
            </w:r>
            <w:r w:rsidRPr="002A63B9">
              <w:rPr>
                <w:rStyle w:val="Hyperlink"/>
                <w:noProof/>
              </w:rPr>
              <w:t>Results for Rates of Reaction versus Surface Area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_Toc183519267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3B04774" w14:textId="266F9045" w:rsidR="007E6D5B" w:rsidRDefault="007E6D5B">
          <w:pPr>
            <w:pStyle w:val="TOC2"/>
            <w:tabs>
              <w:tab w:val="left" w:pos="880"/>
              <w:tab w:val="right" w:leader="dot" w:pos="9016"/>
            </w:tabs>
            <w:rPr>
              <w:rFonts w:eastAsiaTheme="minorEastAsia"/>
              <w:noProof/>
              <w:kern w:val="2"/>
              <w:lang w:eastAsia="en-GB"/>
              <w14:ligatures w14:val="standardContextual"/>
            </w:rPr>
          </w:pPr>
          <w:hyperlink w:anchor="_Toc183519268" w:history="1">
            <w:r w:rsidRPr="002A63B9">
              <w:rPr>
                <w:rStyle w:val="Hyperlink"/>
                <w:noProof/>
              </w:rPr>
              <w:t>2.4</w:t>
            </w:r>
            <w:r>
              <w:rPr>
                <w:rFonts w:eastAsiaTheme="minorEastAsia"/>
                <w:noProof/>
                <w:kern w:val="2"/>
                <w:lang w:eastAsia="en-GB"/>
                <w14:ligatures w14:val="standardContextual"/>
              </w:rPr>
              <w:tab/>
            </w:r>
            <w:r w:rsidRPr="002A63B9">
              <w:rPr>
                <w:rStyle w:val="Hyperlink"/>
                <w:noProof/>
              </w:rPr>
              <w:t>Duration of Reactions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_Toc183519268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9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CB1FEE3" w14:textId="541D42E7" w:rsidR="007E6D5B" w:rsidRDefault="007E6D5B">
          <w:pPr>
            <w:pStyle w:val="TOC1"/>
            <w:tabs>
              <w:tab w:val="left" w:pos="440"/>
              <w:tab w:val="right" w:leader="dot" w:pos="9016"/>
            </w:tabs>
            <w:rPr>
              <w:rFonts w:eastAsiaTheme="minorEastAsia"/>
              <w:noProof/>
              <w:kern w:val="2"/>
              <w:lang w:eastAsia="en-GB"/>
              <w14:ligatures w14:val="standardContextual"/>
            </w:rPr>
          </w:pPr>
          <w:hyperlink w:anchor="_Toc183519269" w:history="1">
            <w:r w:rsidRPr="002A63B9">
              <w:rPr>
                <w:rStyle w:val="Hyperlink"/>
                <w:noProof/>
              </w:rPr>
              <w:t>3</w:t>
            </w:r>
            <w:r>
              <w:rPr>
                <w:rFonts w:eastAsiaTheme="minorEastAsia"/>
                <w:noProof/>
                <w:kern w:val="2"/>
                <w:lang w:eastAsia="en-GB"/>
                <w14:ligatures w14:val="standardContextual"/>
              </w:rPr>
              <w:tab/>
            </w:r>
            <w:r w:rsidRPr="002A63B9">
              <w:rPr>
                <w:rStyle w:val="Hyperlink"/>
                <w:noProof/>
              </w:rPr>
              <w:t>Discussion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_Toc183519269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10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38C2AD3" w14:textId="7890DA85" w:rsidR="007E6D5B" w:rsidRDefault="007E6D5B">
          <w:pPr>
            <w:pStyle w:val="TOC2"/>
            <w:tabs>
              <w:tab w:val="left" w:pos="880"/>
              <w:tab w:val="right" w:leader="dot" w:pos="9016"/>
            </w:tabs>
            <w:rPr>
              <w:rFonts w:eastAsiaTheme="minorEastAsia"/>
              <w:noProof/>
              <w:kern w:val="2"/>
              <w:lang w:eastAsia="en-GB"/>
              <w14:ligatures w14:val="standardContextual"/>
            </w:rPr>
          </w:pPr>
          <w:hyperlink w:anchor="_Toc183519270" w:history="1">
            <w:r w:rsidRPr="002A63B9">
              <w:rPr>
                <w:rStyle w:val="Hyperlink"/>
                <w:noProof/>
              </w:rPr>
              <w:t>3.1</w:t>
            </w:r>
            <w:r>
              <w:rPr>
                <w:rFonts w:eastAsiaTheme="minorEastAsia"/>
                <w:noProof/>
                <w:kern w:val="2"/>
                <w:lang w:eastAsia="en-GB"/>
                <w14:ligatures w14:val="standardContextual"/>
              </w:rPr>
              <w:tab/>
            </w:r>
            <w:r w:rsidRPr="002A63B9">
              <w:rPr>
                <w:rStyle w:val="Hyperlink"/>
                <w:noProof/>
              </w:rPr>
              <w:t>Interpretation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_Toc183519270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10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353AAC3" w14:textId="617FFDE6" w:rsidR="007E6D5B" w:rsidRDefault="007E6D5B">
          <w:pPr>
            <w:pStyle w:val="TOC2"/>
            <w:tabs>
              <w:tab w:val="left" w:pos="880"/>
              <w:tab w:val="right" w:leader="dot" w:pos="9016"/>
            </w:tabs>
            <w:rPr>
              <w:rFonts w:eastAsiaTheme="minorEastAsia"/>
              <w:noProof/>
              <w:kern w:val="2"/>
              <w:lang w:eastAsia="en-GB"/>
              <w14:ligatures w14:val="standardContextual"/>
            </w:rPr>
          </w:pPr>
          <w:hyperlink w:anchor="_Toc183519271" w:history="1">
            <w:r w:rsidRPr="002A63B9">
              <w:rPr>
                <w:rStyle w:val="Hyperlink"/>
                <w:noProof/>
              </w:rPr>
              <w:t>3.2</w:t>
            </w:r>
            <w:r>
              <w:rPr>
                <w:rFonts w:eastAsiaTheme="minorEastAsia"/>
                <w:noProof/>
                <w:kern w:val="2"/>
                <w:lang w:eastAsia="en-GB"/>
                <w14:ligatures w14:val="standardContextual"/>
              </w:rPr>
              <w:tab/>
            </w:r>
            <w:r w:rsidRPr="002A63B9">
              <w:rPr>
                <w:rStyle w:val="Hyperlink"/>
                <w:noProof/>
              </w:rPr>
              <w:t>Relevance to OME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_Toc183519271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11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BCAA09B" w14:textId="0524F977" w:rsidR="007E6D5B" w:rsidRDefault="007E6D5B">
          <w:pPr>
            <w:pStyle w:val="TOC1"/>
            <w:tabs>
              <w:tab w:val="left" w:pos="440"/>
              <w:tab w:val="right" w:leader="dot" w:pos="9016"/>
            </w:tabs>
            <w:rPr>
              <w:rFonts w:eastAsiaTheme="minorEastAsia"/>
              <w:noProof/>
              <w:kern w:val="2"/>
              <w:lang w:eastAsia="en-GB"/>
              <w14:ligatures w14:val="standardContextual"/>
            </w:rPr>
          </w:pPr>
          <w:hyperlink w:anchor="_Toc183519272" w:history="1">
            <w:r w:rsidRPr="002A63B9">
              <w:rPr>
                <w:rStyle w:val="Hyperlink"/>
                <w:noProof/>
              </w:rPr>
              <w:t>4</w:t>
            </w:r>
            <w:r>
              <w:rPr>
                <w:rFonts w:eastAsiaTheme="minorEastAsia"/>
                <w:noProof/>
                <w:kern w:val="2"/>
                <w:lang w:eastAsia="en-GB"/>
                <w14:ligatures w14:val="standardContextual"/>
              </w:rPr>
              <w:tab/>
            </w:r>
            <w:r w:rsidRPr="002A63B9">
              <w:rPr>
                <w:rStyle w:val="Hyperlink"/>
                <w:noProof/>
              </w:rPr>
              <w:t>Conclusions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_Toc183519272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11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78022C4" w14:textId="045C876E" w:rsidR="007E6D5B" w:rsidRDefault="007E6D5B">
          <w:pPr>
            <w:pStyle w:val="TOC1"/>
            <w:tabs>
              <w:tab w:val="left" w:pos="440"/>
              <w:tab w:val="right" w:leader="dot" w:pos="9016"/>
            </w:tabs>
            <w:rPr>
              <w:rFonts w:eastAsiaTheme="minorEastAsia"/>
              <w:noProof/>
              <w:kern w:val="2"/>
              <w:lang w:eastAsia="en-GB"/>
              <w14:ligatures w14:val="standardContextual"/>
            </w:rPr>
          </w:pPr>
          <w:hyperlink w:anchor="_Toc183519273" w:history="1">
            <w:r w:rsidRPr="002A63B9">
              <w:rPr>
                <w:rStyle w:val="Hyperlink"/>
                <w:noProof/>
              </w:rPr>
              <w:t>5</w:t>
            </w:r>
            <w:r>
              <w:rPr>
                <w:rFonts w:eastAsiaTheme="minorEastAsia"/>
                <w:noProof/>
                <w:kern w:val="2"/>
                <w:lang w:eastAsia="en-GB"/>
                <w14:ligatures w14:val="standardContextual"/>
              </w:rPr>
              <w:tab/>
            </w:r>
            <w:r w:rsidRPr="002A63B9">
              <w:rPr>
                <w:rStyle w:val="Hyperlink"/>
                <w:noProof/>
              </w:rPr>
              <w:t>Annex A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_Toc183519273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9C29C7C" w14:textId="21637179" w:rsidR="007E6D5B" w:rsidRDefault="007E6D5B">
          <w:pPr>
            <w:pStyle w:val="TOC2"/>
            <w:tabs>
              <w:tab w:val="left" w:pos="880"/>
              <w:tab w:val="right" w:leader="dot" w:pos="9016"/>
            </w:tabs>
            <w:rPr>
              <w:rFonts w:eastAsiaTheme="minorEastAsia"/>
              <w:noProof/>
              <w:kern w:val="2"/>
              <w:lang w:eastAsia="en-GB"/>
              <w14:ligatures w14:val="standardContextual"/>
            </w:rPr>
          </w:pPr>
          <w:hyperlink w:anchor="_Toc183519274" w:history="1">
            <w:r w:rsidRPr="002A63B9">
              <w:rPr>
                <w:rStyle w:val="Hyperlink"/>
                <w:noProof/>
              </w:rPr>
              <w:t>5.1</w:t>
            </w:r>
            <w:r>
              <w:rPr>
                <w:rFonts w:eastAsiaTheme="minorEastAsia"/>
                <w:noProof/>
                <w:kern w:val="2"/>
                <w:lang w:eastAsia="en-GB"/>
                <w14:ligatures w14:val="standardContextual"/>
              </w:rPr>
              <w:tab/>
            </w:r>
            <w:r w:rsidRPr="002A63B9">
              <w:rPr>
                <w:rStyle w:val="Hyperlink"/>
                <w:noProof/>
              </w:rPr>
              <w:t>List of equipment utilised in current study.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_Toc183519274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9FA0E5F" w14:textId="35AF78C7" w:rsidR="007E6D5B" w:rsidRDefault="007E6D5B">
          <w:pPr>
            <w:pStyle w:val="TOC2"/>
            <w:tabs>
              <w:tab w:val="left" w:pos="880"/>
              <w:tab w:val="right" w:leader="dot" w:pos="9016"/>
            </w:tabs>
            <w:rPr>
              <w:rFonts w:eastAsiaTheme="minorEastAsia"/>
              <w:noProof/>
              <w:kern w:val="2"/>
              <w:lang w:eastAsia="en-GB"/>
              <w14:ligatures w14:val="standardContextual"/>
            </w:rPr>
          </w:pPr>
          <w:hyperlink w:anchor="_Toc183519275" w:history="1">
            <w:r w:rsidRPr="002A63B9">
              <w:rPr>
                <w:rStyle w:val="Hyperlink"/>
                <w:noProof/>
              </w:rPr>
              <w:t>5.2</w:t>
            </w:r>
            <w:r>
              <w:rPr>
                <w:rFonts w:eastAsiaTheme="minorEastAsia"/>
                <w:noProof/>
                <w:kern w:val="2"/>
                <w:lang w:eastAsia="en-GB"/>
                <w14:ligatures w14:val="standardContextual"/>
              </w:rPr>
              <w:tab/>
            </w:r>
            <w:r w:rsidRPr="002A63B9">
              <w:rPr>
                <w:rStyle w:val="Hyperlink"/>
                <w:noProof/>
              </w:rPr>
              <w:t>Experimental Procedure.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_Toc183519275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9063DBD" w14:textId="1F84109B" w:rsidR="007E6D5B" w:rsidRDefault="007E6D5B">
          <w:pPr>
            <w:pStyle w:val="TOC3"/>
            <w:tabs>
              <w:tab w:val="left" w:pos="1320"/>
              <w:tab w:val="right" w:leader="dot" w:pos="9016"/>
            </w:tabs>
            <w:rPr>
              <w:rFonts w:eastAsiaTheme="minorEastAsia"/>
              <w:noProof/>
              <w:kern w:val="2"/>
              <w:lang w:eastAsia="en-GB"/>
              <w14:ligatures w14:val="standardContextual"/>
            </w:rPr>
          </w:pPr>
          <w:hyperlink w:anchor="_Toc183519276" w:history="1">
            <w:r w:rsidRPr="002A63B9">
              <w:rPr>
                <w:rStyle w:val="Hyperlink"/>
                <w:noProof/>
              </w:rPr>
              <w:t>5.2.1</w:t>
            </w:r>
            <w:r>
              <w:rPr>
                <w:rFonts w:eastAsiaTheme="minorEastAsia"/>
                <w:noProof/>
                <w:kern w:val="2"/>
                <w:lang w:eastAsia="en-GB"/>
                <w14:ligatures w14:val="standardContextual"/>
              </w:rPr>
              <w:tab/>
            </w:r>
            <w:r w:rsidRPr="002A63B9">
              <w:rPr>
                <w:rStyle w:val="Hyperlink"/>
                <w:noProof/>
              </w:rPr>
              <w:t>Experimental Procedure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_Toc183519276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F7B2C70" w14:textId="53C66ECF" w:rsidR="007E6D5B" w:rsidRDefault="007E6D5B">
          <w:pPr>
            <w:pStyle w:val="TOC2"/>
            <w:tabs>
              <w:tab w:val="left" w:pos="880"/>
              <w:tab w:val="right" w:leader="dot" w:pos="9016"/>
            </w:tabs>
            <w:rPr>
              <w:rFonts w:eastAsiaTheme="minorEastAsia"/>
              <w:noProof/>
              <w:kern w:val="2"/>
              <w:lang w:eastAsia="en-GB"/>
              <w14:ligatures w14:val="standardContextual"/>
            </w:rPr>
          </w:pPr>
          <w:hyperlink w:anchor="_Toc183519277" w:history="1">
            <w:r w:rsidRPr="002A63B9">
              <w:rPr>
                <w:rStyle w:val="Hyperlink"/>
                <w:noProof/>
              </w:rPr>
              <w:t>5.3</w:t>
            </w:r>
            <w:r>
              <w:rPr>
                <w:rFonts w:eastAsiaTheme="minorEastAsia"/>
                <w:noProof/>
                <w:kern w:val="2"/>
                <w:lang w:eastAsia="en-GB"/>
                <w14:ligatures w14:val="standardContextual"/>
              </w:rPr>
              <w:tab/>
            </w:r>
            <w:r w:rsidRPr="002A63B9">
              <w:rPr>
                <w:rStyle w:val="Hyperlink"/>
                <w:noProof/>
              </w:rPr>
              <w:t>Scans of Laboratory Data Sheet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_Toc183519277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364A80B" w14:textId="569EE961" w:rsidR="007E6D5B" w:rsidRDefault="007E6D5B">
          <w:pPr>
            <w:pStyle w:val="TOC1"/>
            <w:tabs>
              <w:tab w:val="left" w:pos="440"/>
              <w:tab w:val="right" w:leader="dot" w:pos="9016"/>
            </w:tabs>
            <w:rPr>
              <w:rFonts w:eastAsiaTheme="minorEastAsia"/>
              <w:noProof/>
              <w:kern w:val="2"/>
              <w:lang w:eastAsia="en-GB"/>
              <w14:ligatures w14:val="standardContextual"/>
            </w:rPr>
          </w:pPr>
          <w:hyperlink w:anchor="_Toc183519278" w:history="1">
            <w:r w:rsidRPr="002A63B9">
              <w:rPr>
                <w:rStyle w:val="Hyperlink"/>
                <w:noProof/>
              </w:rPr>
              <w:t>6</w:t>
            </w:r>
            <w:r>
              <w:rPr>
                <w:rFonts w:eastAsiaTheme="minorEastAsia"/>
                <w:noProof/>
                <w:kern w:val="2"/>
                <w:lang w:eastAsia="en-GB"/>
                <w14:ligatures w14:val="standardContextual"/>
              </w:rPr>
              <w:tab/>
            </w:r>
            <w:r w:rsidRPr="002A63B9">
              <w:rPr>
                <w:rStyle w:val="Hyperlink"/>
                <w:noProof/>
              </w:rPr>
              <w:t>Annex B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_Toc183519278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20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78F824B" w14:textId="1A433EB0" w:rsidR="007E6D5B" w:rsidRDefault="007E6D5B">
          <w:pPr>
            <w:pStyle w:val="TOC2"/>
            <w:tabs>
              <w:tab w:val="left" w:pos="880"/>
              <w:tab w:val="right" w:leader="dot" w:pos="9016"/>
            </w:tabs>
            <w:rPr>
              <w:rFonts w:eastAsiaTheme="minorEastAsia"/>
              <w:noProof/>
              <w:kern w:val="2"/>
              <w:lang w:eastAsia="en-GB"/>
              <w14:ligatures w14:val="standardContextual"/>
            </w:rPr>
          </w:pPr>
          <w:hyperlink w:anchor="_Toc183519279" w:history="1">
            <w:r w:rsidRPr="002A63B9">
              <w:rPr>
                <w:rStyle w:val="Hyperlink"/>
                <w:noProof/>
              </w:rPr>
              <w:t>6.1</w:t>
            </w:r>
            <w:r>
              <w:rPr>
                <w:rFonts w:eastAsiaTheme="minorEastAsia"/>
                <w:noProof/>
                <w:kern w:val="2"/>
                <w:lang w:eastAsia="en-GB"/>
                <w14:ligatures w14:val="standardContextual"/>
              </w:rPr>
              <w:tab/>
            </w:r>
            <w:r w:rsidRPr="002A63B9">
              <w:rPr>
                <w:rStyle w:val="Hyperlink"/>
                <w:noProof/>
              </w:rPr>
              <w:t>References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_Toc183519279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20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5128B19" w14:textId="278637FC" w:rsidR="00EE3C5C" w:rsidRDefault="00EE3C5C">
          <w:r>
            <w:rPr>
              <w:b/>
              <w:bCs/>
              <w:noProof/>
            </w:rPr>
            <w:fldChar w:fldCharType="end"/>
          </w:r>
        </w:p>
      </w:sdtContent>
    </w:sdt>
    <w:p w14:paraId="7B16A9A8" w14:textId="060DCC3D" w:rsidR="007E6D5B" w:rsidRDefault="00A964D1">
      <w:pPr>
        <w:pStyle w:val="TableofFigures"/>
        <w:tabs>
          <w:tab w:val="right" w:leader="dot" w:pos="9016"/>
        </w:tabs>
        <w:rPr>
          <w:rFonts w:eastAsiaTheme="minorEastAsia"/>
          <w:noProof/>
          <w:kern w:val="2"/>
          <w:lang w:eastAsia="en-GB"/>
          <w14:ligatures w14:val="standardContextual"/>
        </w:rPr>
      </w:pPr>
      <w:r>
        <w:fldChar w:fldCharType="begin"/>
      </w:r>
      <w:r>
        <w:instrText xml:space="preserve"> TOC \h \z \c "Figure" </w:instrText>
      </w:r>
      <w:r>
        <w:fldChar w:fldCharType="separate"/>
      </w:r>
      <w:hyperlink w:anchor="_Toc183519280" w:history="1">
        <w:r w:rsidR="007E6D5B" w:rsidRPr="007F253F">
          <w:rPr>
            <w:rStyle w:val="Hyperlink"/>
            <w:noProof/>
          </w:rPr>
          <w:t>Figure 1 – The Periodic Table.</w:t>
        </w:r>
        <w:r w:rsidR="007E6D5B">
          <w:rPr>
            <w:noProof/>
            <w:webHidden/>
          </w:rPr>
          <w:tab/>
        </w:r>
        <w:r w:rsidR="007E6D5B">
          <w:rPr>
            <w:noProof/>
            <w:webHidden/>
          </w:rPr>
          <w:fldChar w:fldCharType="begin"/>
        </w:r>
        <w:r w:rsidR="007E6D5B">
          <w:rPr>
            <w:noProof/>
            <w:webHidden/>
          </w:rPr>
          <w:instrText xml:space="preserve"> PAGEREF _Toc183519280 \h </w:instrText>
        </w:r>
        <w:r w:rsidR="007E6D5B">
          <w:rPr>
            <w:noProof/>
            <w:webHidden/>
          </w:rPr>
        </w:r>
        <w:r w:rsidR="007E6D5B">
          <w:rPr>
            <w:noProof/>
            <w:webHidden/>
          </w:rPr>
          <w:fldChar w:fldCharType="separate"/>
        </w:r>
        <w:r w:rsidR="007E6D5B">
          <w:rPr>
            <w:noProof/>
            <w:webHidden/>
          </w:rPr>
          <w:t>4</w:t>
        </w:r>
        <w:r w:rsidR="007E6D5B">
          <w:rPr>
            <w:noProof/>
            <w:webHidden/>
          </w:rPr>
          <w:fldChar w:fldCharType="end"/>
        </w:r>
      </w:hyperlink>
    </w:p>
    <w:p w14:paraId="2F779D2D" w14:textId="7128ADB5" w:rsidR="007E6D5B" w:rsidRDefault="007E6D5B">
      <w:pPr>
        <w:pStyle w:val="TableofFigures"/>
        <w:tabs>
          <w:tab w:val="right" w:leader="dot" w:pos="9016"/>
        </w:tabs>
        <w:rPr>
          <w:rFonts w:eastAsiaTheme="minorEastAsia"/>
          <w:noProof/>
          <w:kern w:val="2"/>
          <w:lang w:eastAsia="en-GB"/>
          <w14:ligatures w14:val="standardContextual"/>
        </w:rPr>
      </w:pPr>
      <w:hyperlink w:anchor="_Toc183519281" w:history="1">
        <w:r w:rsidRPr="007F253F">
          <w:rPr>
            <w:rStyle w:val="Hyperlink"/>
            <w:noProof/>
          </w:rPr>
          <w:t>Figure 2 – Physical properties of Magnesium.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_Toc183519281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4</w:t>
        </w:r>
        <w:r>
          <w:rPr>
            <w:noProof/>
            <w:webHidden/>
          </w:rPr>
          <w:fldChar w:fldCharType="end"/>
        </w:r>
      </w:hyperlink>
    </w:p>
    <w:p w14:paraId="1AD586AA" w14:textId="4F7AEB5B" w:rsidR="007E6D5B" w:rsidRDefault="007E6D5B">
      <w:pPr>
        <w:pStyle w:val="TableofFigures"/>
        <w:tabs>
          <w:tab w:val="right" w:leader="dot" w:pos="9016"/>
        </w:tabs>
        <w:rPr>
          <w:rFonts w:eastAsiaTheme="minorEastAsia"/>
          <w:noProof/>
          <w:kern w:val="2"/>
          <w:lang w:eastAsia="en-GB"/>
          <w14:ligatures w14:val="standardContextual"/>
        </w:rPr>
      </w:pPr>
      <w:hyperlink w:anchor="_Toc183519282" w:history="1">
        <w:r w:rsidRPr="007F253F">
          <w:rPr>
            <w:rStyle w:val="Hyperlink"/>
            <w:noProof/>
          </w:rPr>
          <w:t>Figure 3 - Effect of Concentration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_Toc183519282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6</w:t>
        </w:r>
        <w:r>
          <w:rPr>
            <w:noProof/>
            <w:webHidden/>
          </w:rPr>
          <w:fldChar w:fldCharType="end"/>
        </w:r>
      </w:hyperlink>
    </w:p>
    <w:p w14:paraId="0C9BEDE5" w14:textId="547CA7AE" w:rsidR="007E6D5B" w:rsidRDefault="007E6D5B">
      <w:pPr>
        <w:pStyle w:val="TableofFigures"/>
        <w:tabs>
          <w:tab w:val="right" w:leader="dot" w:pos="9016"/>
        </w:tabs>
        <w:rPr>
          <w:rFonts w:eastAsiaTheme="minorEastAsia"/>
          <w:noProof/>
          <w:kern w:val="2"/>
          <w:lang w:eastAsia="en-GB"/>
          <w14:ligatures w14:val="standardContextual"/>
        </w:rPr>
      </w:pPr>
      <w:hyperlink w:anchor="_Toc183519283" w:history="1">
        <w:r w:rsidRPr="007F253F">
          <w:rPr>
            <w:rStyle w:val="Hyperlink"/>
            <w:noProof/>
          </w:rPr>
          <w:t>Figure 4 - Effect of Temperature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_Toc183519283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7</w:t>
        </w:r>
        <w:r>
          <w:rPr>
            <w:noProof/>
            <w:webHidden/>
          </w:rPr>
          <w:fldChar w:fldCharType="end"/>
        </w:r>
      </w:hyperlink>
    </w:p>
    <w:p w14:paraId="55021E44" w14:textId="74A3A521" w:rsidR="007E6D5B" w:rsidRDefault="007E6D5B">
      <w:pPr>
        <w:pStyle w:val="TableofFigures"/>
        <w:tabs>
          <w:tab w:val="right" w:leader="dot" w:pos="9016"/>
        </w:tabs>
        <w:rPr>
          <w:rFonts w:eastAsiaTheme="minorEastAsia"/>
          <w:noProof/>
          <w:kern w:val="2"/>
          <w:lang w:eastAsia="en-GB"/>
          <w14:ligatures w14:val="standardContextual"/>
        </w:rPr>
      </w:pPr>
      <w:hyperlink w:anchor="_Toc183519284" w:history="1">
        <w:r w:rsidRPr="007F253F">
          <w:rPr>
            <w:rStyle w:val="Hyperlink"/>
            <w:noProof/>
          </w:rPr>
          <w:t>Figure 5 - Effect of Surface Area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_Toc183519284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8</w:t>
        </w:r>
        <w:r>
          <w:rPr>
            <w:noProof/>
            <w:webHidden/>
          </w:rPr>
          <w:fldChar w:fldCharType="end"/>
        </w:r>
      </w:hyperlink>
    </w:p>
    <w:p w14:paraId="4D4FF9C2" w14:textId="231AA769" w:rsidR="007E6D5B" w:rsidRDefault="007E6D5B">
      <w:pPr>
        <w:pStyle w:val="TableofFigures"/>
        <w:tabs>
          <w:tab w:val="right" w:leader="dot" w:pos="9016"/>
        </w:tabs>
        <w:rPr>
          <w:rFonts w:eastAsiaTheme="minorEastAsia"/>
          <w:noProof/>
          <w:kern w:val="2"/>
          <w:lang w:eastAsia="en-GB"/>
          <w14:ligatures w14:val="standardContextual"/>
        </w:rPr>
      </w:pPr>
      <w:hyperlink w:anchor="_Toc183519285" w:history="1">
        <w:r w:rsidRPr="007F253F">
          <w:rPr>
            <w:rStyle w:val="Hyperlink"/>
            <w:noProof/>
          </w:rPr>
          <w:t>Figure 6 - Overview of Experimental Data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_Toc183519285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10</w:t>
        </w:r>
        <w:r>
          <w:rPr>
            <w:noProof/>
            <w:webHidden/>
          </w:rPr>
          <w:fldChar w:fldCharType="end"/>
        </w:r>
      </w:hyperlink>
    </w:p>
    <w:p w14:paraId="102D6644" w14:textId="4DF356A2" w:rsidR="007E6D5B" w:rsidRDefault="007E6D5B">
      <w:pPr>
        <w:pStyle w:val="TableofFigures"/>
        <w:tabs>
          <w:tab w:val="right" w:leader="dot" w:pos="9016"/>
        </w:tabs>
        <w:rPr>
          <w:rFonts w:eastAsiaTheme="minorEastAsia"/>
          <w:noProof/>
          <w:kern w:val="2"/>
          <w:lang w:eastAsia="en-GB"/>
          <w14:ligatures w14:val="standardContextual"/>
        </w:rPr>
      </w:pPr>
      <w:hyperlink w:anchor="_Toc183519286" w:history="1">
        <w:r w:rsidRPr="007F253F">
          <w:rPr>
            <w:rStyle w:val="Hyperlink"/>
            <w:noProof/>
          </w:rPr>
          <w:t>Figure 7 - Apparatus used to perform rate of reaction measurements.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_Toc183519286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13</w:t>
        </w:r>
        <w:r>
          <w:rPr>
            <w:noProof/>
            <w:webHidden/>
          </w:rPr>
          <w:fldChar w:fldCharType="end"/>
        </w:r>
      </w:hyperlink>
    </w:p>
    <w:p w14:paraId="38B8E990" w14:textId="41D69D54" w:rsidR="007E6D5B" w:rsidRDefault="007E6D5B">
      <w:pPr>
        <w:pStyle w:val="TableofFigures"/>
        <w:tabs>
          <w:tab w:val="right" w:leader="dot" w:pos="9016"/>
        </w:tabs>
        <w:rPr>
          <w:rFonts w:eastAsiaTheme="minorEastAsia"/>
          <w:noProof/>
          <w:kern w:val="2"/>
          <w:lang w:eastAsia="en-GB"/>
          <w14:ligatures w14:val="standardContextual"/>
        </w:rPr>
      </w:pPr>
      <w:hyperlink w:anchor="_Toc183519287" w:history="1">
        <w:r w:rsidRPr="007F253F">
          <w:rPr>
            <w:rStyle w:val="Hyperlink"/>
            <w:noProof/>
          </w:rPr>
          <w:t>Figure 8 – Effect of Concentration Laboratory Data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_Toc183519287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14</w:t>
        </w:r>
        <w:r>
          <w:rPr>
            <w:noProof/>
            <w:webHidden/>
          </w:rPr>
          <w:fldChar w:fldCharType="end"/>
        </w:r>
      </w:hyperlink>
    </w:p>
    <w:p w14:paraId="28E50F42" w14:textId="544DE3B4" w:rsidR="007E6D5B" w:rsidRDefault="007E6D5B">
      <w:pPr>
        <w:pStyle w:val="TableofFigures"/>
        <w:tabs>
          <w:tab w:val="right" w:leader="dot" w:pos="9016"/>
        </w:tabs>
        <w:rPr>
          <w:rFonts w:eastAsiaTheme="minorEastAsia"/>
          <w:noProof/>
          <w:kern w:val="2"/>
          <w:lang w:eastAsia="en-GB"/>
          <w14:ligatures w14:val="standardContextual"/>
        </w:rPr>
      </w:pPr>
      <w:hyperlink w:anchor="_Toc183519288" w:history="1">
        <w:r w:rsidRPr="007F253F">
          <w:rPr>
            <w:rStyle w:val="Hyperlink"/>
            <w:noProof/>
          </w:rPr>
          <w:t>Figure 9 - Effect of Temperature Laboratory Data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_Toc183519288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15</w:t>
        </w:r>
        <w:r>
          <w:rPr>
            <w:noProof/>
            <w:webHidden/>
          </w:rPr>
          <w:fldChar w:fldCharType="end"/>
        </w:r>
      </w:hyperlink>
    </w:p>
    <w:p w14:paraId="76871790" w14:textId="79F55453" w:rsidR="007E6D5B" w:rsidRDefault="007E6D5B">
      <w:pPr>
        <w:pStyle w:val="TableofFigures"/>
        <w:tabs>
          <w:tab w:val="right" w:leader="dot" w:pos="9016"/>
        </w:tabs>
        <w:rPr>
          <w:rFonts w:eastAsiaTheme="minorEastAsia"/>
          <w:noProof/>
          <w:kern w:val="2"/>
          <w:lang w:eastAsia="en-GB"/>
          <w14:ligatures w14:val="standardContextual"/>
        </w:rPr>
      </w:pPr>
      <w:hyperlink w:anchor="_Toc183519289" w:history="1">
        <w:r w:rsidRPr="007F253F">
          <w:rPr>
            <w:rStyle w:val="Hyperlink"/>
            <w:noProof/>
          </w:rPr>
          <w:t>Figure 10 - Effect of Surface Area Laboratory Data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_Toc183519289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16</w:t>
        </w:r>
        <w:r>
          <w:rPr>
            <w:noProof/>
            <w:webHidden/>
          </w:rPr>
          <w:fldChar w:fldCharType="end"/>
        </w:r>
      </w:hyperlink>
    </w:p>
    <w:p w14:paraId="379FDF2E" w14:textId="6ED0DFF7" w:rsidR="007E6D5B" w:rsidRDefault="007E6D5B">
      <w:pPr>
        <w:pStyle w:val="TableofFigures"/>
        <w:tabs>
          <w:tab w:val="right" w:leader="dot" w:pos="9016"/>
        </w:tabs>
        <w:rPr>
          <w:rFonts w:eastAsiaTheme="minorEastAsia"/>
          <w:noProof/>
          <w:kern w:val="2"/>
          <w:lang w:eastAsia="en-GB"/>
          <w14:ligatures w14:val="standardContextual"/>
        </w:rPr>
      </w:pPr>
      <w:hyperlink w:anchor="_Toc183519290" w:history="1">
        <w:r w:rsidRPr="007F253F">
          <w:rPr>
            <w:rStyle w:val="Hyperlink"/>
            <w:noProof/>
          </w:rPr>
          <w:t>Figure 11 – Experiment 1 Graph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_Toc183519290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17</w:t>
        </w:r>
        <w:r>
          <w:rPr>
            <w:noProof/>
            <w:webHidden/>
          </w:rPr>
          <w:fldChar w:fldCharType="end"/>
        </w:r>
      </w:hyperlink>
    </w:p>
    <w:p w14:paraId="0B41C8E5" w14:textId="47391044" w:rsidR="007E6D5B" w:rsidRDefault="007E6D5B">
      <w:pPr>
        <w:pStyle w:val="TableofFigures"/>
        <w:tabs>
          <w:tab w:val="right" w:leader="dot" w:pos="9016"/>
        </w:tabs>
        <w:rPr>
          <w:rFonts w:eastAsiaTheme="minorEastAsia"/>
          <w:noProof/>
          <w:kern w:val="2"/>
          <w:lang w:eastAsia="en-GB"/>
          <w14:ligatures w14:val="standardContextual"/>
        </w:rPr>
      </w:pPr>
      <w:hyperlink w:anchor="_Toc183519291" w:history="1">
        <w:r w:rsidRPr="007F253F">
          <w:rPr>
            <w:rStyle w:val="Hyperlink"/>
            <w:noProof/>
          </w:rPr>
          <w:t>Figure 12 – Experiment 2 Graph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_Toc183519291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18</w:t>
        </w:r>
        <w:r>
          <w:rPr>
            <w:noProof/>
            <w:webHidden/>
          </w:rPr>
          <w:fldChar w:fldCharType="end"/>
        </w:r>
      </w:hyperlink>
    </w:p>
    <w:p w14:paraId="75C4C338" w14:textId="706F044A" w:rsidR="007E6D5B" w:rsidRDefault="007E6D5B">
      <w:pPr>
        <w:pStyle w:val="TableofFigures"/>
        <w:tabs>
          <w:tab w:val="right" w:leader="dot" w:pos="9016"/>
        </w:tabs>
        <w:rPr>
          <w:rFonts w:eastAsiaTheme="minorEastAsia"/>
          <w:noProof/>
          <w:kern w:val="2"/>
          <w:lang w:eastAsia="en-GB"/>
          <w14:ligatures w14:val="standardContextual"/>
        </w:rPr>
      </w:pPr>
      <w:hyperlink w:anchor="_Toc183519292" w:history="1">
        <w:r w:rsidRPr="007F253F">
          <w:rPr>
            <w:rStyle w:val="Hyperlink"/>
            <w:noProof/>
          </w:rPr>
          <w:t>Figure 13 – Experiment 3 Graph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_Toc183519292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19</w:t>
        </w:r>
        <w:r>
          <w:rPr>
            <w:noProof/>
            <w:webHidden/>
          </w:rPr>
          <w:fldChar w:fldCharType="end"/>
        </w:r>
      </w:hyperlink>
    </w:p>
    <w:p w14:paraId="6198F204" w14:textId="188226DE" w:rsidR="008705E2" w:rsidRDefault="00A964D1">
      <w:r>
        <w:fldChar w:fldCharType="end"/>
      </w:r>
    </w:p>
    <w:p w14:paraId="721D4D06" w14:textId="31EE8FAA" w:rsidR="007E6D5B" w:rsidRDefault="008705E2">
      <w:pPr>
        <w:pStyle w:val="TableofFigures"/>
        <w:tabs>
          <w:tab w:val="right" w:leader="dot" w:pos="9016"/>
        </w:tabs>
        <w:rPr>
          <w:rFonts w:eastAsiaTheme="minorEastAsia"/>
          <w:noProof/>
          <w:kern w:val="2"/>
          <w:lang w:eastAsia="en-GB"/>
          <w14:ligatures w14:val="standardContextual"/>
        </w:rPr>
      </w:pPr>
      <w:r>
        <w:fldChar w:fldCharType="begin"/>
      </w:r>
      <w:r>
        <w:instrText xml:space="preserve"> TOC \h \z \c "Table" </w:instrText>
      </w:r>
      <w:r>
        <w:fldChar w:fldCharType="separate"/>
      </w:r>
      <w:hyperlink w:anchor="_Toc183519293" w:history="1">
        <w:r w:rsidR="007E6D5B" w:rsidRPr="006C0850">
          <w:rPr>
            <w:rStyle w:val="Hyperlink"/>
            <w:noProof/>
          </w:rPr>
          <w:t>Table 1 - Rates of gas generation vs Concentration</w:t>
        </w:r>
        <w:r w:rsidR="007E6D5B">
          <w:rPr>
            <w:noProof/>
            <w:webHidden/>
          </w:rPr>
          <w:tab/>
        </w:r>
        <w:r w:rsidR="007E6D5B">
          <w:rPr>
            <w:noProof/>
            <w:webHidden/>
          </w:rPr>
          <w:fldChar w:fldCharType="begin"/>
        </w:r>
        <w:r w:rsidR="007E6D5B">
          <w:rPr>
            <w:noProof/>
            <w:webHidden/>
          </w:rPr>
          <w:instrText xml:space="preserve"> PAGEREF _Toc183519293 \h </w:instrText>
        </w:r>
        <w:r w:rsidR="007E6D5B">
          <w:rPr>
            <w:noProof/>
            <w:webHidden/>
          </w:rPr>
        </w:r>
        <w:r w:rsidR="007E6D5B">
          <w:rPr>
            <w:noProof/>
            <w:webHidden/>
          </w:rPr>
          <w:fldChar w:fldCharType="separate"/>
        </w:r>
        <w:r w:rsidR="007E6D5B">
          <w:rPr>
            <w:noProof/>
            <w:webHidden/>
          </w:rPr>
          <w:t>6</w:t>
        </w:r>
        <w:r w:rsidR="007E6D5B">
          <w:rPr>
            <w:noProof/>
            <w:webHidden/>
          </w:rPr>
          <w:fldChar w:fldCharType="end"/>
        </w:r>
      </w:hyperlink>
    </w:p>
    <w:p w14:paraId="6920E453" w14:textId="59BFDC35" w:rsidR="007E6D5B" w:rsidRDefault="007E6D5B">
      <w:pPr>
        <w:pStyle w:val="TableofFigures"/>
        <w:tabs>
          <w:tab w:val="right" w:leader="dot" w:pos="9016"/>
        </w:tabs>
        <w:rPr>
          <w:rFonts w:eastAsiaTheme="minorEastAsia"/>
          <w:noProof/>
          <w:kern w:val="2"/>
          <w:lang w:eastAsia="en-GB"/>
          <w14:ligatures w14:val="standardContextual"/>
        </w:rPr>
      </w:pPr>
      <w:hyperlink w:anchor="_Toc183519294" w:history="1">
        <w:r w:rsidRPr="006C0850">
          <w:rPr>
            <w:rStyle w:val="Hyperlink"/>
            <w:noProof/>
          </w:rPr>
          <w:t>Table 2 - Rates of gas generation vs Temperature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_Toc183519294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7</w:t>
        </w:r>
        <w:r>
          <w:rPr>
            <w:noProof/>
            <w:webHidden/>
          </w:rPr>
          <w:fldChar w:fldCharType="end"/>
        </w:r>
      </w:hyperlink>
    </w:p>
    <w:p w14:paraId="2DE43BD0" w14:textId="4CE186B1" w:rsidR="007E6D5B" w:rsidRDefault="007E6D5B">
      <w:pPr>
        <w:pStyle w:val="TableofFigures"/>
        <w:tabs>
          <w:tab w:val="right" w:leader="dot" w:pos="9016"/>
        </w:tabs>
        <w:rPr>
          <w:rFonts w:eastAsiaTheme="minorEastAsia"/>
          <w:noProof/>
          <w:kern w:val="2"/>
          <w:lang w:eastAsia="en-GB"/>
          <w14:ligatures w14:val="standardContextual"/>
        </w:rPr>
      </w:pPr>
      <w:hyperlink w:anchor="_Toc183519295" w:history="1">
        <w:r w:rsidRPr="006C0850">
          <w:rPr>
            <w:rStyle w:val="Hyperlink"/>
            <w:noProof/>
          </w:rPr>
          <w:t>Table 3 - Rates of surface area vs Temperature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_Toc183519295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8</w:t>
        </w:r>
        <w:r>
          <w:rPr>
            <w:noProof/>
            <w:webHidden/>
          </w:rPr>
          <w:fldChar w:fldCharType="end"/>
        </w:r>
      </w:hyperlink>
    </w:p>
    <w:p w14:paraId="59DBB606" w14:textId="27D7777A" w:rsidR="00EE3C5C" w:rsidRDefault="008705E2">
      <w:r>
        <w:fldChar w:fldCharType="end"/>
      </w:r>
      <w:r w:rsidR="00EE3C5C">
        <w:br w:type="page"/>
      </w:r>
    </w:p>
    <w:p w14:paraId="00416385" w14:textId="6ECD4F10" w:rsidR="008705E2" w:rsidRPr="00B03D29" w:rsidRDefault="008705E2" w:rsidP="008705E2">
      <w:pPr>
        <w:pStyle w:val="Heading1"/>
        <w:numPr>
          <w:ilvl w:val="0"/>
          <w:numId w:val="0"/>
        </w:numPr>
      </w:pPr>
      <w:bookmarkStart w:id="0" w:name="_Toc183519261"/>
      <w:r w:rsidRPr="00091B0A">
        <w:lastRenderedPageBreak/>
        <w:t>Keywords</w:t>
      </w:r>
      <w:bookmarkEnd w:id="0"/>
    </w:p>
    <w:p w14:paraId="555F0814" w14:textId="183B01B4" w:rsidR="008705E2" w:rsidRPr="00AC0806" w:rsidRDefault="00816FBE" w:rsidP="008705E2">
      <w:r w:rsidRPr="00536F11">
        <w:t xml:space="preserve">Laboratory testing, </w:t>
      </w:r>
      <w:r w:rsidR="00CD1E06" w:rsidRPr="00536F11">
        <w:t>Kinetics</w:t>
      </w:r>
      <w:r w:rsidR="00CD1E06">
        <w:t xml:space="preserve">, Rates of Reaction, Concentration, </w:t>
      </w:r>
      <w:r w:rsidR="00D66EC5">
        <w:t>Particle Size</w:t>
      </w:r>
    </w:p>
    <w:p w14:paraId="03142208" w14:textId="5B457595" w:rsidR="00EE3C5C" w:rsidRPr="00AC0806" w:rsidRDefault="005266EC" w:rsidP="008705E2">
      <w:pPr>
        <w:pStyle w:val="Heading1"/>
      </w:pPr>
      <w:bookmarkStart w:id="1" w:name="_Toc183519262"/>
      <w:r w:rsidRPr="00AC0806">
        <w:t>Introduction</w:t>
      </w:r>
      <w:bookmarkEnd w:id="1"/>
    </w:p>
    <w:p w14:paraId="2C297500" w14:textId="5A0F175B" w:rsidR="00EE3C5C" w:rsidRPr="00FA1516" w:rsidRDefault="00EE3C5C" w:rsidP="00EE3C5C"/>
    <w:p w14:paraId="1ACD7FAB" w14:textId="64F68ACF" w:rsidR="00F57229" w:rsidRDefault="00584B24" w:rsidP="00EE3C5C">
      <w:r w:rsidRPr="00FA1516">
        <w:t xml:space="preserve">This report </w:t>
      </w:r>
      <w:r w:rsidR="006532E9" w:rsidRPr="00FA1516">
        <w:t>sets out the</w:t>
      </w:r>
      <w:r w:rsidR="007E5B8D" w:rsidRPr="00FA1516">
        <w:t xml:space="preserve"> experimental</w:t>
      </w:r>
      <w:r w:rsidR="006532E9" w:rsidRPr="00FA1516">
        <w:t xml:space="preserve"> procedure and</w:t>
      </w:r>
      <w:r w:rsidR="007E5B8D" w:rsidRPr="00FA1516">
        <w:t xml:space="preserve"> resulting </w:t>
      </w:r>
      <w:r w:rsidR="006B7970" w:rsidRPr="00FA1516">
        <w:t>determination of the</w:t>
      </w:r>
      <w:r w:rsidR="00523C5A" w:rsidRPr="00FA1516">
        <w:t xml:space="preserve"> </w:t>
      </w:r>
      <w:r w:rsidR="00A6038C" w:rsidRPr="00FA1516">
        <w:t>rates of reaction between Magnesium and Hydrochloric Acid in various concentrations</w:t>
      </w:r>
      <w:r w:rsidR="00AC4F6F">
        <w:t xml:space="preserve"> under defined conditions</w:t>
      </w:r>
      <w:r w:rsidR="00F57229">
        <w:t xml:space="preserve">. The aim of the experiment is to show that rates of chemical reaction can be affected by </w:t>
      </w:r>
      <w:proofErr w:type="gramStart"/>
      <w:r w:rsidR="00F57229">
        <w:t>a number of</w:t>
      </w:r>
      <w:proofErr w:type="gramEnd"/>
      <w:r w:rsidR="00F57229">
        <w:t xml:space="preserve"> varia</w:t>
      </w:r>
      <w:r w:rsidR="00CC53B3">
        <w:t xml:space="preserve">bles, some of which will be explored </w:t>
      </w:r>
      <w:r w:rsidR="00C416D3">
        <w:t>herein.</w:t>
      </w:r>
    </w:p>
    <w:p w14:paraId="7BA8442F" w14:textId="39509F28" w:rsidR="002205B3" w:rsidRDefault="00DB2F71" w:rsidP="00EE3C5C">
      <w:r>
        <w:t xml:space="preserve">To adequately </w:t>
      </w:r>
      <w:r w:rsidR="00493451">
        <w:t>determine the effects of rates of reaction</w:t>
      </w:r>
      <w:r w:rsidR="005042D0">
        <w:t xml:space="preserve">, the experimental design in Annex A was followed. </w:t>
      </w:r>
      <w:r w:rsidR="006F6E97">
        <w:t xml:space="preserve">Rates of Reaction can be affected </w:t>
      </w:r>
      <w:r w:rsidR="00A54CCA">
        <w:t>by a multitude of variables</w:t>
      </w:r>
      <w:r w:rsidR="00AD7D54">
        <w:t xml:space="preserve">, some of which will be explored in this report. </w:t>
      </w:r>
      <w:r w:rsidR="006C4440">
        <w:t xml:space="preserve">Specifically, two variables will be explored, namely </w:t>
      </w:r>
      <w:r w:rsidR="00BC5F25">
        <w:t xml:space="preserve">the effect of </w:t>
      </w:r>
      <w:r w:rsidR="006C4440">
        <w:t>temperature and</w:t>
      </w:r>
      <w:r w:rsidR="00BC5F25">
        <w:t xml:space="preserve"> of particle size</w:t>
      </w:r>
      <w:r w:rsidR="000147C5">
        <w:t>, or surface area</w:t>
      </w:r>
      <w:r w:rsidR="00E75A61">
        <w:t xml:space="preserve">. </w:t>
      </w:r>
      <w:r w:rsidR="00B836A4">
        <w:t xml:space="preserve">With more energy applied to the reaction </w:t>
      </w:r>
      <w:r w:rsidR="00987AC7">
        <w:t xml:space="preserve">or the increase in surface area for </w:t>
      </w:r>
      <w:r w:rsidR="00CC5DD5">
        <w:t>greater interaction between molecules, it is believed that the rate of reaction will increase.</w:t>
      </w:r>
      <w:r w:rsidR="00213CDB">
        <w:t xml:space="preserve"> </w:t>
      </w:r>
    </w:p>
    <w:p w14:paraId="0FE2822E" w14:textId="77777777" w:rsidR="00B462EA" w:rsidRDefault="00B462EA" w:rsidP="009374F4"/>
    <w:p w14:paraId="52B0186B" w14:textId="06397B46" w:rsidR="00B462EA" w:rsidRDefault="00B462EA" w:rsidP="00B462EA">
      <w:pPr>
        <w:pStyle w:val="Heading2"/>
      </w:pPr>
      <w:bookmarkStart w:id="2" w:name="_Toc183519263"/>
      <w:r>
        <w:t xml:space="preserve">Theory and </w:t>
      </w:r>
      <w:r w:rsidR="004415BC">
        <w:t>Background Information</w:t>
      </w:r>
      <w:bookmarkEnd w:id="2"/>
    </w:p>
    <w:p w14:paraId="7CB50D0D" w14:textId="77777777" w:rsidR="004415BC" w:rsidRDefault="004415BC" w:rsidP="004415BC"/>
    <w:p w14:paraId="6239EBAE" w14:textId="77777777" w:rsidR="00A7091E" w:rsidRDefault="00F527D7" w:rsidP="004415BC">
      <w:r w:rsidRPr="00F527D7">
        <w:t xml:space="preserve">Rates of reaction </w:t>
      </w:r>
      <w:r w:rsidR="004C4129">
        <w:t xml:space="preserve">is a fundamental </w:t>
      </w:r>
      <w:r w:rsidR="002C6119">
        <w:t>concept in science, specifically chemistry</w:t>
      </w:r>
      <w:r w:rsidR="00B90CC7">
        <w:t xml:space="preserve"> and it involves the </w:t>
      </w:r>
      <w:r w:rsidR="00DE576E">
        <w:t>measurement of how quickly reactants are transformed to products within a chemical reaction</w:t>
      </w:r>
      <w:r w:rsidR="00687957">
        <w:t xml:space="preserve">. </w:t>
      </w:r>
      <w:r w:rsidR="00C84580">
        <w:t>The speed</w:t>
      </w:r>
      <w:r w:rsidR="00D26E19">
        <w:t xml:space="preserve"> of reaction</w:t>
      </w:r>
      <w:r w:rsidR="00687957">
        <w:t xml:space="preserve"> can be broadly broken down </w:t>
      </w:r>
      <w:r w:rsidR="004D570B">
        <w:t xml:space="preserve">into </w:t>
      </w:r>
      <w:r w:rsidR="001C611C">
        <w:t>three speeds, slow, medium</w:t>
      </w:r>
      <w:r w:rsidR="003D3F93">
        <w:t>,</w:t>
      </w:r>
      <w:r w:rsidR="001C611C">
        <w:t xml:space="preserve"> and fast. Slow rates of reaction can be described </w:t>
      </w:r>
      <w:r w:rsidR="00B5568B">
        <w:t xml:space="preserve">as reactions found in nature like erosion of sedimentary rock or the rusting of metal. Medium rates </w:t>
      </w:r>
      <w:r w:rsidR="0069756F">
        <w:t xml:space="preserve">of reaction </w:t>
      </w:r>
      <w:r w:rsidR="002929D1">
        <w:t xml:space="preserve">could be considered by a combustion reaction of burning wood, and fast rates of reaction can be seen in </w:t>
      </w:r>
      <w:r w:rsidR="003D3F93">
        <w:t xml:space="preserve">molecular explosive materials. </w:t>
      </w:r>
      <w:r w:rsidR="00FA02B6">
        <w:t xml:space="preserve">Rates of reaction a </w:t>
      </w:r>
      <w:r w:rsidR="00C45014">
        <w:t xml:space="preserve">commonly expressed by a change of concentration of the reactants within the </w:t>
      </w:r>
      <w:r w:rsidR="00BD4F9E">
        <w:t>reaction</w:t>
      </w:r>
      <w:r w:rsidR="00C45014">
        <w:t xml:space="preserve"> with respect to </w:t>
      </w:r>
      <w:r w:rsidR="00BD4F9E">
        <w:t xml:space="preserve">a unit of </w:t>
      </w:r>
      <w:r w:rsidR="00C45014">
        <w:t>time</w:t>
      </w:r>
      <w:r w:rsidR="00BD4F9E">
        <w:t xml:space="preserve">, relevant to the speed for example. Years for slow rates, </w:t>
      </w:r>
      <w:proofErr w:type="gramStart"/>
      <w:r w:rsidR="0055670F">
        <w:t>minutes</w:t>
      </w:r>
      <w:proofErr w:type="gramEnd"/>
      <w:r w:rsidR="0055670F">
        <w:t xml:space="preserve"> or hours for medium and seconds for fast rates.</w:t>
      </w:r>
    </w:p>
    <w:p w14:paraId="3265C1BE" w14:textId="534C2B0F" w:rsidR="004B2AC0" w:rsidRDefault="00F674D1">
      <w:r>
        <w:t xml:space="preserve">In the current study, various solutions of hydrochloric acid will be reacted with </w:t>
      </w:r>
      <w:r w:rsidR="00355AEA">
        <w:t>magnesium in diff</w:t>
      </w:r>
      <w:r w:rsidR="00355AEA" w:rsidRPr="00FA78B1">
        <w:t>erent forms</w:t>
      </w:r>
      <w:r w:rsidR="00360AE2" w:rsidRPr="00FA78B1">
        <w:t xml:space="preserve"> to compare how each </w:t>
      </w:r>
      <w:r w:rsidR="00C25E45" w:rsidRPr="00FA78B1">
        <w:t xml:space="preserve">react under given scenarios. </w:t>
      </w:r>
      <w:r w:rsidR="00E56ED6">
        <w:t xml:space="preserve">The balanced equation for the reaction is given as </w:t>
      </w:r>
      <w:proofErr w:type="gramStart"/>
      <w:r w:rsidR="00E56ED6">
        <w:t>follows;</w:t>
      </w:r>
      <w:proofErr w:type="gramEnd"/>
    </w:p>
    <w:p w14:paraId="15294328" w14:textId="77777777" w:rsidR="002F0FC5" w:rsidRDefault="002F0FC5"/>
    <w:p w14:paraId="686037D1" w14:textId="1456E665" w:rsidR="00E56ED6" w:rsidRPr="00F121B1" w:rsidRDefault="00000000">
      <w:pPr>
        <w:rPr>
          <w:rFonts w:eastAsiaTheme="minorEastAsia"/>
        </w:rPr>
      </w:pPr>
      <m:oMathPara>
        <m:oMath>
          <m:sSub>
            <m:sSubPr>
              <m:ctrlPr>
                <w:rPr>
                  <w:rFonts w:ascii="Cambria Math" w:hAnsi="Cambria Math"/>
                  <w:i/>
                </w:rPr>
              </m:ctrlPr>
            </m:sSubPr>
            <m:e>
              <m:r>
                <w:rPr>
                  <w:rFonts w:ascii="Cambria Math" w:hAnsi="Cambria Math"/>
                </w:rPr>
                <m:t>2HCl</m:t>
              </m:r>
            </m:e>
            <m:sub>
              <m:d>
                <m:dPr>
                  <m:ctrlPr>
                    <w:rPr>
                      <w:rFonts w:ascii="Cambria Math" w:hAnsi="Cambria Math"/>
                      <w:i/>
                    </w:rPr>
                  </m:ctrlPr>
                </m:dPr>
                <m:e>
                  <m:r>
                    <w:rPr>
                      <w:rFonts w:ascii="Cambria Math" w:hAnsi="Cambria Math"/>
                    </w:rPr>
                    <m:t>Aq</m:t>
                  </m:r>
                </m:e>
              </m:d>
            </m:sub>
          </m:sSub>
          <m:r>
            <w:rPr>
              <w:rFonts w:ascii="Cambria Math" w:hAnsi="Cambria Math"/>
            </w:rPr>
            <m:t xml:space="preserve">+ </m:t>
          </m:r>
          <m:sSub>
            <m:sSubPr>
              <m:ctrlPr>
                <w:rPr>
                  <w:rFonts w:ascii="Cambria Math" w:hAnsi="Cambria Math"/>
                  <w:i/>
                </w:rPr>
              </m:ctrlPr>
            </m:sSubPr>
            <m:e>
              <m:r>
                <w:rPr>
                  <w:rFonts w:ascii="Cambria Math" w:hAnsi="Cambria Math"/>
                </w:rPr>
                <m:t>Mg</m:t>
              </m:r>
            </m:e>
            <m:sub>
              <m:r>
                <w:rPr>
                  <w:rFonts w:ascii="Cambria Math" w:hAnsi="Cambria Math"/>
                </w:rPr>
                <m:t>(s)</m:t>
              </m:r>
            </m:sub>
          </m:sSub>
          <m:r>
            <w:rPr>
              <w:rFonts w:ascii="Cambria Math" w:hAnsi="Cambria Math"/>
            </w:rPr>
            <m:t xml:space="preserve">→ </m:t>
          </m:r>
          <m:sSub>
            <m:sSubPr>
              <m:ctrlPr>
                <w:rPr>
                  <w:rFonts w:ascii="Cambria Math" w:hAnsi="Cambria Math"/>
                  <w:i/>
                </w:rPr>
              </m:ctrlPr>
            </m:sSubPr>
            <m:e>
              <m:r>
                <w:rPr>
                  <w:rFonts w:ascii="Cambria Math" w:hAnsi="Cambria Math"/>
                </w:rPr>
                <m:t>MgCl</m:t>
              </m:r>
            </m:e>
            <m:sub>
              <m:r>
                <w:rPr>
                  <w:rFonts w:ascii="Cambria Math" w:hAnsi="Cambria Math"/>
                </w:rPr>
                <m:t>2 (Aq)</m:t>
              </m:r>
            </m:sub>
          </m:sSub>
          <m:r>
            <w:rPr>
              <w:rFonts w:ascii="Cambria Math" w:hAnsi="Cambria Math"/>
            </w:rPr>
            <m:t xml:space="preserve">+ </m:t>
          </m:r>
          <m:sSub>
            <m:sSubPr>
              <m:ctrlPr>
                <w:rPr>
                  <w:rFonts w:ascii="Cambria Math" w:hAnsi="Cambria Math"/>
                  <w:i/>
                </w:rPr>
              </m:ctrlPr>
            </m:sSubPr>
            <m:e>
              <m:r>
                <w:rPr>
                  <w:rFonts w:ascii="Cambria Math" w:hAnsi="Cambria Math"/>
                </w:rPr>
                <m:t>H</m:t>
              </m:r>
            </m:e>
            <m:sub>
              <m:r>
                <w:rPr>
                  <w:rFonts w:ascii="Cambria Math" w:hAnsi="Cambria Math"/>
                </w:rPr>
                <m:t>2 (g)</m:t>
              </m:r>
            </m:sub>
          </m:sSub>
        </m:oMath>
      </m:oMathPara>
    </w:p>
    <w:p w14:paraId="33502A79" w14:textId="4DE21195" w:rsidR="00F121B1" w:rsidRPr="004446E8" w:rsidRDefault="00F121B1" w:rsidP="00F121B1">
      <w:pPr>
        <w:pStyle w:val="Caption"/>
        <w:jc w:val="center"/>
        <w:rPr>
          <w:rFonts w:eastAsiaTheme="minorEastAsia"/>
        </w:rPr>
      </w:pPr>
      <w:r>
        <w:t xml:space="preserve">Equation </w:t>
      </w:r>
      <w:r>
        <w:fldChar w:fldCharType="begin"/>
      </w:r>
      <w:r>
        <w:instrText xml:space="preserve"> SEQ Equation \* ARABIC </w:instrText>
      </w:r>
      <w:r>
        <w:fldChar w:fldCharType="separate"/>
      </w:r>
      <w:r w:rsidR="007E6D5B">
        <w:rPr>
          <w:noProof/>
        </w:rPr>
        <w:t>1</w:t>
      </w:r>
      <w:r>
        <w:fldChar w:fldCharType="end"/>
      </w:r>
      <w:r>
        <w:t xml:space="preserve"> - Balanced equation for reactions</w:t>
      </w:r>
    </w:p>
    <w:p w14:paraId="6F5C9AC7" w14:textId="4EAAC398" w:rsidR="004446E8" w:rsidRDefault="004446E8">
      <w:pPr>
        <w:rPr>
          <w:rFonts w:eastAsiaTheme="minorEastAsia"/>
        </w:rPr>
      </w:pPr>
      <w:r>
        <w:rPr>
          <w:rFonts w:eastAsiaTheme="minorEastAsia"/>
        </w:rPr>
        <w:br w:type="page"/>
      </w:r>
    </w:p>
    <w:p w14:paraId="56817A98" w14:textId="43B98BB9" w:rsidR="00F80C02" w:rsidRPr="00FA78B1" w:rsidRDefault="00FE78EC" w:rsidP="00EE3C5C">
      <w:r w:rsidRPr="00FA78B1">
        <w:rPr>
          <w:noProof/>
        </w:rPr>
        <w:lastRenderedPageBreak/>
        <mc:AlternateContent>
          <mc:Choice Requires="wps">
            <w:drawing>
              <wp:anchor distT="45720" distB="45720" distL="114300" distR="114300" simplePos="0" relativeHeight="251681792" behindDoc="0" locked="0" layoutInCell="1" allowOverlap="1" wp14:anchorId="1F31249C" wp14:editId="62081F7B">
                <wp:simplePos x="0" y="0"/>
                <wp:positionH relativeFrom="margin">
                  <wp:align>center</wp:align>
                </wp:positionH>
                <wp:positionV relativeFrom="paragraph">
                  <wp:posOffset>488315</wp:posOffset>
                </wp:positionV>
                <wp:extent cx="3473450" cy="1365250"/>
                <wp:effectExtent l="0" t="0" r="12700" b="25400"/>
                <wp:wrapTopAndBottom/>
                <wp:docPr id="21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3473450" cy="136525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5983DE59" w14:textId="3C77E782" w:rsidR="00BC1BF8" w:rsidRDefault="00BC1BF8">
                            <w:r>
                              <w:rPr>
                                <w:noProof/>
                              </w:rPr>
                              <w:drawing>
                                <wp:inline distT="0" distB="0" distL="0" distR="0" wp14:anchorId="709E8635" wp14:editId="393B0AF5">
                                  <wp:extent cx="3403600" cy="1761839"/>
                                  <wp:effectExtent l="0" t="0" r="6350" b="0"/>
                                  <wp:docPr id="1888350388" name="Picture 1888350388"/>
                                  <wp:cNvGraphicFramePr>
                                    <a:graphicFrameLocks xmlns:a="http://schemas.openxmlformats.org/drawingml/2006/main" noChangeAspect="1"/>
                                  </wp:cNvGraphicFramePr>
                                  <a:graphic xmlns:a="http://schemas.openxmlformats.org/drawingml/2006/main">
                                    <a:graphicData uri="http://schemas.openxmlformats.org/drawingml/2006/picture">
                                      <pic:pic xmlns:pic="http://schemas.openxmlformats.org/drawingml/2006/picture">
                                        <pic:nvPicPr>
                                          <pic:cNvPr id="1" name=""/>
                                          <pic:cNvPicPr/>
                                        </pic:nvPicPr>
                                        <pic:blipFill>
                                          <a:blip r:embed="rId8"/>
                                          <a:stretch>
                                            <a:fillRect/>
                                          </a:stretch>
                                        </pic:blipFill>
                                        <pic:spPr>
                                          <a:xfrm>
                                            <a:off x="0" y="0"/>
                                            <a:ext cx="3455216" cy="1788557"/>
                                          </a:xfrm>
                                          <a:prstGeom prst="rect">
                                            <a:avLst/>
                                          </a:prstGeom>
                                        </pic:spPr>
                                      </pic:pic>
                                    </a:graphicData>
                                  </a:graphic>
                                </wp:inline>
                              </w:drawing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1F31249C" id="_x0000_t202" coordsize="21600,21600" o:spt="202" path="m,l,21600r21600,l21600,xe">
                <v:stroke joinstyle="miter"/>
                <v:path gradientshapeok="t" o:connecttype="rect"/>
              </v:shapetype>
              <v:shape id="Text Box 2" o:spid="_x0000_s1026" type="#_x0000_t202" style="position:absolute;margin-left:0;margin-top:38.45pt;width:273.5pt;height:107.5pt;z-index:251681792;visibility:visible;mso-wrap-style:square;mso-width-percent:0;mso-height-percent:0;mso-wrap-distance-left:9pt;mso-wrap-distance-top:3.6pt;mso-wrap-distance-right:9pt;mso-wrap-distance-bottom:3.6pt;mso-position-horizontal:center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">
                <v:textbox>
                  <w:txbxContent>
                    <w:p w14:paraId="5983DE59" w14:textId="3C77E782" w:rsidR="00BC1BF8" w:rsidRDefault="00BC1BF8">
                      <w:r>
                        <w:rPr>
                          <w:noProof/>
                        </w:rPr>
                        <w:drawing>
                          <wp:inline distT="0" distB="0" distL="0" distR="0" wp14:anchorId="709E8635" wp14:editId="393B0AF5">
                            <wp:extent cx="3403600" cy="1761839"/>
                            <wp:effectExtent l="0" t="0" r="6350" b="0"/>
                            <wp:docPr id="1888350388" name="Picture 1888350388"/>
                            <wp:cNvGraphicFramePr>
                              <a:graphicFrameLocks xmlns:a="http://schemas.openxmlformats.org/drawingml/2006/main" noChangeAspect="1"/>
                            </wp:cNvGraphicFramePr>
                            <a:graphic xmlns:a="http://schemas.openxmlformats.org/drawingml/2006/main">
                              <a:graphicData uri="http://schemas.openxmlformats.org/drawingml/2006/picture">
                                <pic:pic xmlns:pic="http://schemas.openxmlformats.org/drawingml/2006/picture">
                                  <pic:nvPicPr>
                                    <pic:cNvPr id="1" name=""/>
                                    <pic:cNvPicPr/>
                                  </pic:nvPicPr>
                                  <pic:blipFill>
                                    <a:blip r:embed="rId9"/>
                                    <a:stretch>
                                      <a:fillRect/>
                                    </a:stretch>
                                  </pic:blipFill>
                                  <pic:spPr>
                                    <a:xfrm>
                                      <a:off x="0" y="0"/>
                                      <a:ext cx="3455216" cy="1788557"/>
                                    </a:xfrm>
                                    <a:prstGeom prst="rect">
                                      <a:avLst/>
                                    </a:prstGeom>
                                  </pic:spPr>
                                </pic:pic>
                              </a:graphicData>
                            </a:graphic>
                          </wp:inline>
                        </w:drawing>
                      </w:r>
                    </w:p>
                  </w:txbxContent>
                </v:textbox>
                <w10:wrap type="topAndBottom" anchorx="margin"/>
              </v:shape>
            </w:pict>
          </mc:Fallback>
        </mc:AlternateContent>
      </w:r>
      <w:r w:rsidR="00F80C02" w:rsidRPr="00FA78B1">
        <w:t>Th</w:t>
      </w:r>
      <w:r w:rsidR="00467A3A" w:rsidRPr="00FA78B1">
        <w:t xml:space="preserve">e </w:t>
      </w:r>
      <w:r w:rsidR="000008F4" w:rsidRPr="00FA78B1">
        <w:t>elements used in the experiment are taken f</w:t>
      </w:r>
      <w:r w:rsidR="00D72210" w:rsidRPr="00FA78B1">
        <w:t>r</w:t>
      </w:r>
      <w:r w:rsidR="000008F4" w:rsidRPr="00FA78B1">
        <w:t xml:space="preserve">om the full collection that is currently </w:t>
      </w:r>
      <w:r w:rsidR="00D65E4B" w:rsidRPr="00FA78B1">
        <w:t xml:space="preserve">known to us </w:t>
      </w:r>
      <w:r w:rsidR="00DF475A" w:rsidRPr="00083584">
        <w:t>[</w:t>
      </w:r>
      <w:r w:rsidR="00AA0556" w:rsidRPr="00083584">
        <w:t>1</w:t>
      </w:r>
      <w:r w:rsidR="00DF475A" w:rsidRPr="00083584">
        <w:t>]</w:t>
      </w:r>
      <w:r w:rsidR="00DF475A" w:rsidRPr="00FA78B1">
        <w:t xml:space="preserve"> </w:t>
      </w:r>
      <w:r w:rsidR="00D65E4B" w:rsidRPr="00FA78B1">
        <w:t>and represented in</w:t>
      </w:r>
      <w:r w:rsidR="00467A3A" w:rsidRPr="00FA78B1">
        <w:t xml:space="preserve"> </w:t>
      </w:r>
      <w:r w:rsidR="0009097A" w:rsidRPr="00FA78B1">
        <w:fldChar w:fldCharType="begin"/>
      </w:r>
      <w:r w:rsidR="0009097A" w:rsidRPr="00FA78B1">
        <w:instrText xml:space="preserve"> REF _Ref169777298 \h </w:instrText>
      </w:r>
      <w:r w:rsidR="00C7091B" w:rsidRPr="00FA78B1">
        <w:instrText xml:space="preserve"> \* MERGEFORMAT </w:instrText>
      </w:r>
      <w:r w:rsidR="0009097A" w:rsidRPr="00FA78B1">
        <w:fldChar w:fldCharType="separate"/>
      </w:r>
      <w:r w:rsidR="007E6D5B" w:rsidRPr="00FA78B1">
        <w:t xml:space="preserve">Figure </w:t>
      </w:r>
      <w:r w:rsidR="007E6D5B">
        <w:rPr>
          <w:noProof/>
        </w:rPr>
        <w:t>1</w:t>
      </w:r>
      <w:r w:rsidR="0009097A" w:rsidRPr="00FA78B1">
        <w:fldChar w:fldCharType="end"/>
      </w:r>
      <w:r w:rsidR="00F80C02" w:rsidRPr="00FA78B1">
        <w:t xml:space="preserve"> </w:t>
      </w:r>
      <w:proofErr w:type="gramStart"/>
      <w:r w:rsidR="00F80C02" w:rsidRPr="00FA78B1">
        <w:t>below;</w:t>
      </w:r>
      <w:proofErr w:type="gramEnd"/>
    </w:p>
    <w:p w14:paraId="18D588F2" w14:textId="0D328E9B" w:rsidR="008705E2" w:rsidRPr="00FA78B1" w:rsidRDefault="008705E2" w:rsidP="00EE3C5C"/>
    <w:p w14:paraId="5CB95B58" w14:textId="6E73B0B6" w:rsidR="008705E2" w:rsidRPr="00FA78B1" w:rsidRDefault="008705E2" w:rsidP="008705E2">
      <w:pPr>
        <w:pStyle w:val="Caption"/>
        <w:jc w:val="center"/>
      </w:pPr>
      <w:bookmarkStart w:id="3" w:name="_Ref169777298"/>
      <w:bookmarkStart w:id="4" w:name="_Toc183519280"/>
      <w:r w:rsidRPr="00FA78B1">
        <w:t xml:space="preserve">Figure </w:t>
      </w:r>
      <w:r w:rsidRPr="00FA78B1">
        <w:fldChar w:fldCharType="begin"/>
      </w:r>
      <w:r w:rsidRPr="00FA78B1">
        <w:instrText xml:space="preserve"> SEQ Figure \* ARABIC </w:instrText>
      </w:r>
      <w:r w:rsidRPr="00FA78B1">
        <w:fldChar w:fldCharType="separate"/>
      </w:r>
      <w:r w:rsidR="007E6D5B">
        <w:rPr>
          <w:noProof/>
        </w:rPr>
        <w:t>1</w:t>
      </w:r>
      <w:r w:rsidRPr="00FA78B1">
        <w:rPr>
          <w:noProof/>
        </w:rPr>
        <w:fldChar w:fldCharType="end"/>
      </w:r>
      <w:bookmarkEnd w:id="3"/>
      <w:r w:rsidRPr="00FA78B1">
        <w:t xml:space="preserve"> </w:t>
      </w:r>
      <w:r w:rsidR="0034462C" w:rsidRPr="00FA78B1">
        <w:t>–</w:t>
      </w:r>
      <w:r w:rsidRPr="00FA78B1">
        <w:t xml:space="preserve"> </w:t>
      </w:r>
      <w:r w:rsidR="00AF5559" w:rsidRPr="00FA78B1">
        <w:t>The Periodic Table</w:t>
      </w:r>
      <w:r w:rsidR="009320C9" w:rsidRPr="00FA78B1">
        <w:t>.</w:t>
      </w:r>
      <w:bookmarkEnd w:id="4"/>
    </w:p>
    <w:p w14:paraId="58BAF045" w14:textId="1C2CA49B" w:rsidR="006A428E" w:rsidRPr="00687C92" w:rsidRDefault="00EC1A64" w:rsidP="00EE3C5C">
      <w:r w:rsidRPr="00FA78B1">
        <w:rPr>
          <w:noProof/>
        </w:rPr>
        <mc:AlternateContent>
          <mc:Choice Requires="wps">
            <w:drawing>
              <wp:anchor distT="45720" distB="45720" distL="114300" distR="114300" simplePos="0" relativeHeight="251683840" behindDoc="0" locked="0" layoutInCell="1" allowOverlap="1" wp14:anchorId="31220E5A" wp14:editId="0257A626">
                <wp:simplePos x="0" y="0"/>
                <wp:positionH relativeFrom="margin">
                  <wp:align>center</wp:align>
                </wp:positionH>
                <wp:positionV relativeFrom="paragraph">
                  <wp:posOffset>301890</wp:posOffset>
                </wp:positionV>
                <wp:extent cx="3195955" cy="1328420"/>
                <wp:effectExtent l="0" t="0" r="23495" b="24130"/>
                <wp:wrapTopAndBottom/>
                <wp:docPr id="4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3195955" cy="132842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56457F5B" w14:textId="7D1A7B18" w:rsidR="00275587" w:rsidRDefault="00BA45F2">
                            <w:r>
                              <w:rPr>
                                <w:noProof/>
                              </w:rPr>
                              <w:drawing>
                                <wp:inline distT="0" distB="0" distL="0" distR="0" wp14:anchorId="7BF14F30" wp14:editId="26B69E50">
                                  <wp:extent cx="3019630" cy="1190445"/>
                                  <wp:effectExtent l="0" t="0" r="0" b="0"/>
                                  <wp:docPr id="676687096" name="Picture 1"/>
                                  <wp:cNvGraphicFramePr>
                                    <a:graphicFrameLocks xmlns:a="http://schemas.openxmlformats.org/drawingml/2006/main" noChangeAspect="1"/>
                                  </wp:cNvGraphicFramePr>
                                  <a:graphic xmlns:a="http://schemas.openxmlformats.org/drawingml/2006/main">
                                    <a:graphicData uri="http://schemas.openxmlformats.org/drawingml/2006/picture">
                                      <pic:pic xmlns:pic="http://schemas.openxmlformats.org/drawingml/2006/picture">
                                        <pic:nvPicPr>
                                          <pic:cNvPr id="1758922855" name=""/>
                                          <pic:cNvPicPr/>
                                        </pic:nvPicPr>
                                        <pic:blipFill>
                                          <a:blip r:embed="rId10"/>
                                          <a:stretch>
                                            <a:fillRect/>
                                          </a:stretch>
                                        </pic:blipFill>
                                        <pic:spPr>
                                          <a:xfrm>
                                            <a:off x="0" y="0"/>
                                            <a:ext cx="3029838" cy="1194470"/>
                                          </a:xfrm>
                                          <a:prstGeom prst="rect">
                                            <a:avLst/>
                                          </a:prstGeom>
                                        </pic:spPr>
                                      </pic:pic>
                                    </a:graphicData>
                                  </a:graphic>
                                </wp:inline>
                              </w:drawing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1220E5A" id="_x0000_s1027" type="#_x0000_t202" style="position:absolute;margin-left:0;margin-top:23.75pt;width:251.65pt;height:104.6pt;z-index:251683840;visibility:visible;mso-wrap-style:square;mso-width-percent:0;mso-height-percent:0;mso-wrap-distance-left:9pt;mso-wrap-distance-top:3.6pt;mso-wrap-distance-right:9pt;mso-wrap-distance-bottom:3.6pt;mso-position-horizontal:center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">
                <v:textbox>
                  <w:txbxContent>
                    <w:p w14:paraId="56457F5B" w14:textId="7D1A7B18" w:rsidR="00275587" w:rsidRDefault="00BA45F2">
                      <w:r>
                        <w:rPr>
                          <w:noProof/>
                        </w:rPr>
                        <w:drawing>
                          <wp:inline distT="0" distB="0" distL="0" distR="0" wp14:anchorId="7BF14F30" wp14:editId="26B69E50">
                            <wp:extent cx="3019630" cy="1190445"/>
                            <wp:effectExtent l="0" t="0" r="0" b="0"/>
                            <wp:docPr id="676687096" name="Picture 1"/>
                            <wp:cNvGraphicFramePr>
                              <a:graphicFrameLocks xmlns:a="http://schemas.openxmlformats.org/drawingml/2006/main" noChangeAspect="1"/>
                            </wp:cNvGraphicFramePr>
                            <a:graphic xmlns:a="http://schemas.openxmlformats.org/drawingml/2006/main">
                              <a:graphicData uri="http://schemas.openxmlformats.org/drawingml/2006/picture">
                                <pic:pic xmlns:pic="http://schemas.openxmlformats.org/drawingml/2006/picture">
                                  <pic:nvPicPr>
                                    <pic:cNvPr id="1758922855" name=""/>
                                    <pic:cNvPicPr/>
                                  </pic:nvPicPr>
                                  <pic:blipFill>
                                    <a:blip r:embed="rId11"/>
                                    <a:stretch>
                                      <a:fillRect/>
                                    </a:stretch>
                                  </pic:blipFill>
                                  <pic:spPr>
                                    <a:xfrm>
                                      <a:off x="0" y="0"/>
                                      <a:ext cx="3029838" cy="1194470"/>
                                    </a:xfrm>
                                    <a:prstGeom prst="rect">
                                      <a:avLst/>
                                    </a:prstGeom>
                                  </pic:spPr>
                                </pic:pic>
                              </a:graphicData>
                            </a:graphic>
                          </wp:inline>
                        </w:drawing>
                      </w:r>
                    </w:p>
                  </w:txbxContent>
                </v:textbox>
                <w10:wrap type="topAndBottom" anchorx="margin"/>
              </v:shape>
            </w:pict>
          </mc:Fallback>
        </mc:AlternateContent>
      </w:r>
      <w:r w:rsidR="00EF77D6" w:rsidRPr="00FA78B1">
        <w:t>The area</w:t>
      </w:r>
      <w:r w:rsidR="00460522" w:rsidRPr="00FA78B1">
        <w:t xml:space="preserve"> of interest from Figure </w:t>
      </w:r>
      <w:r w:rsidR="006068D8" w:rsidRPr="00FA78B1">
        <w:t>1</w:t>
      </w:r>
      <w:r w:rsidR="00173607" w:rsidRPr="00FA78B1">
        <w:t xml:space="preserve"> </w:t>
      </w:r>
      <w:r w:rsidR="00A75E2C" w:rsidRPr="00FA78B1">
        <w:t xml:space="preserve">are that of the metals, </w:t>
      </w:r>
      <w:r w:rsidR="00273CA7" w:rsidRPr="00FA78B1">
        <w:t>in</w:t>
      </w:r>
      <w:r w:rsidR="00A75E2C" w:rsidRPr="00FA78B1">
        <w:t xml:space="preserve"> period</w:t>
      </w:r>
      <w:r w:rsidR="00273CA7" w:rsidRPr="00FA78B1">
        <w:t xml:space="preserve"> two</w:t>
      </w:r>
      <w:r w:rsidR="00AD6F80" w:rsidRPr="00FA78B1">
        <w:t>, namely magnesium.</w:t>
      </w:r>
      <w:r w:rsidR="00A75E2C" w:rsidRPr="00FA78B1">
        <w:t xml:space="preserve"> </w:t>
      </w:r>
    </w:p>
    <w:p w14:paraId="2319540F" w14:textId="2BE8CEE8" w:rsidR="006A428E" w:rsidRDefault="00D0001A" w:rsidP="00D0001A">
      <w:pPr>
        <w:pStyle w:val="Caption"/>
        <w:jc w:val="center"/>
      </w:pPr>
      <w:bookmarkStart w:id="5" w:name="_Toc183519281"/>
      <w:r w:rsidRPr="00687C92">
        <w:t xml:space="preserve">Figure </w:t>
      </w:r>
      <w:r w:rsidRPr="00687C92">
        <w:fldChar w:fldCharType="begin"/>
      </w:r>
      <w:r w:rsidRPr="00687C92">
        <w:instrText xml:space="preserve"> SEQ Figure \* ARABIC </w:instrText>
      </w:r>
      <w:r w:rsidRPr="00687C92">
        <w:fldChar w:fldCharType="separate"/>
      </w:r>
      <w:r w:rsidR="007E6D5B">
        <w:rPr>
          <w:noProof/>
        </w:rPr>
        <w:t>2</w:t>
      </w:r>
      <w:r w:rsidRPr="00687C92">
        <w:rPr>
          <w:noProof/>
        </w:rPr>
        <w:fldChar w:fldCharType="end"/>
      </w:r>
      <w:r w:rsidRPr="00687C92">
        <w:t xml:space="preserve"> </w:t>
      </w:r>
      <w:r w:rsidR="00095245" w:rsidRPr="00687C92">
        <w:t>–</w:t>
      </w:r>
      <w:r w:rsidRPr="00687C92">
        <w:t xml:space="preserve"> </w:t>
      </w:r>
      <w:r w:rsidR="002E75A7" w:rsidRPr="00687C92">
        <w:t>Physical p</w:t>
      </w:r>
      <w:r w:rsidR="00095245" w:rsidRPr="00687C92">
        <w:t xml:space="preserve">roperties of </w:t>
      </w:r>
      <w:r w:rsidR="009162D0">
        <w:t>Magnesium</w:t>
      </w:r>
      <w:r w:rsidR="00206A2D" w:rsidRPr="00687C92">
        <w:t>.</w:t>
      </w:r>
      <w:bookmarkEnd w:id="5"/>
    </w:p>
    <w:p w14:paraId="7749763B" w14:textId="77777777" w:rsidR="00D715FE" w:rsidRDefault="00AD6F80" w:rsidP="00AD6F80">
      <w:r>
        <w:t xml:space="preserve">For the purpose of this report, where the experiment duration is expected to be completed within minutes </w:t>
      </w:r>
      <w:r w:rsidR="00D715FE">
        <w:t xml:space="preserve">rates of reaction will be given in seconds by the </w:t>
      </w:r>
      <w:proofErr w:type="gramStart"/>
      <w:r w:rsidR="00D715FE">
        <w:t>equation;</w:t>
      </w:r>
      <w:proofErr w:type="gramEnd"/>
      <w:r w:rsidR="00D715FE">
        <w:t xml:space="preserve"> </w:t>
      </w:r>
    </w:p>
    <w:p w14:paraId="25E4EEAE" w14:textId="77777777" w:rsidR="002F0FC5" w:rsidRDefault="002F0FC5" w:rsidP="00AD6F80"/>
    <w:p w14:paraId="1EF7FDE5" w14:textId="23164586" w:rsidR="00D715FE" w:rsidRPr="0027646D" w:rsidRDefault="00000000" w:rsidP="00AD6F80">
      <w:pPr>
        <w:rPr>
          <w:rFonts w:eastAsiaTheme="minorEastAsia"/>
        </w:rPr>
      </w:pPr>
      <m:oMathPara>
        <m:oMath>
          <m:f>
            <m:fPr>
              <m:ctrlPr>
                <w:rPr>
                  <w:rFonts w:ascii="Cambria Math" w:hAnsi="Cambria Math"/>
                  <w:i/>
                </w:rPr>
              </m:ctrlPr>
            </m:fPr>
            <m:num>
              <m:sSub>
                <m:sSubPr>
                  <m:ctrlPr>
                    <w:rPr>
                      <w:rFonts w:ascii="Cambria Math" w:hAnsi="Cambria Math"/>
                      <w:i/>
                    </w:rPr>
                  </m:ctrlPr>
                </m:sSubPr>
                <m:e>
                  <m:r>
                    <w:rPr>
                      <w:rFonts w:ascii="Cambria Math" w:hAnsi="Cambria Math"/>
                    </w:rPr>
                    <m:t>ΔV</m:t>
                  </m:r>
                </m:e>
                <m:sub>
                  <m:r>
                    <w:rPr>
                      <w:rFonts w:ascii="Cambria Math" w:hAnsi="Cambria Math"/>
                    </w:rPr>
                    <m:t>H2</m:t>
                  </m:r>
                </m:sub>
              </m:sSub>
            </m:num>
            <m:den>
              <m:r>
                <w:rPr>
                  <w:rFonts w:ascii="Cambria Math" w:hAnsi="Cambria Math"/>
                </w:rPr>
                <m:t>Δt</m:t>
              </m:r>
            </m:den>
          </m:f>
          <m:r>
            <w:rPr>
              <w:rFonts w:ascii="Cambria Math" w:hAnsi="Cambria Math"/>
            </w:rPr>
            <m:t xml:space="preserve">= </m:t>
          </m:r>
          <m:f>
            <m:fPr>
              <m:ctrlPr>
                <w:rPr>
                  <w:rFonts w:ascii="Cambria Math" w:hAnsi="Cambria Math"/>
                  <w:i/>
                </w:rPr>
              </m:ctrlPr>
            </m:fPr>
            <m:num>
              <m:sSub>
                <m:sSubPr>
                  <m:ctrlPr>
                    <w:rPr>
                      <w:rFonts w:ascii="Cambria Math" w:hAnsi="Cambria Math"/>
                      <w:i/>
                    </w:rPr>
                  </m:ctrlPr>
                </m:sSubPr>
                <m:e>
                  <m:r>
                    <w:rPr>
                      <w:rFonts w:ascii="Cambria Math" w:hAnsi="Cambria Math"/>
                    </w:rPr>
                    <m:t>y</m:t>
                  </m:r>
                </m:e>
                <m:sub>
                  <m:r>
                    <w:rPr>
                      <w:rFonts w:ascii="Cambria Math" w:hAnsi="Cambria Math"/>
                    </w:rPr>
                    <m:t>2</m:t>
                  </m:r>
                </m:sub>
              </m:sSub>
              <m:r>
                <w:rPr>
                  <w:rFonts w:ascii="Cambria Math" w:hAnsi="Cambria Math"/>
                </w:rPr>
                <m:t xml:space="preserve">- </m:t>
              </m:r>
              <m:sSub>
                <m:sSubPr>
                  <m:ctrlPr>
                    <w:rPr>
                      <w:rFonts w:ascii="Cambria Math" w:hAnsi="Cambria Math"/>
                      <w:i/>
                    </w:rPr>
                  </m:ctrlPr>
                </m:sSubPr>
                <m:e>
                  <m:r>
                    <w:rPr>
                      <w:rFonts w:ascii="Cambria Math" w:hAnsi="Cambria Math"/>
                    </w:rPr>
                    <m:t>y</m:t>
                  </m:r>
                </m:e>
                <m:sub>
                  <m:r>
                    <w:rPr>
                      <w:rFonts w:ascii="Cambria Math" w:hAnsi="Cambria Math"/>
                    </w:rPr>
                    <m:t>1</m:t>
                  </m:r>
                </m:sub>
              </m:sSub>
            </m:num>
            <m:den>
              <m:sSub>
                <m:sSubPr>
                  <m:ctrlPr>
                    <w:rPr>
                      <w:rFonts w:ascii="Cambria Math" w:hAnsi="Cambria Math"/>
                      <w:i/>
                    </w:rPr>
                  </m:ctrlPr>
                </m:sSubPr>
                <m:e>
                  <m:r>
                    <w:rPr>
                      <w:rFonts w:ascii="Cambria Math" w:hAnsi="Cambria Math"/>
                    </w:rPr>
                    <m:t>x</m:t>
                  </m:r>
                </m:e>
                <m:sub>
                  <m:r>
                    <w:rPr>
                      <w:rFonts w:ascii="Cambria Math" w:hAnsi="Cambria Math"/>
                    </w:rPr>
                    <m:t>2</m:t>
                  </m:r>
                </m:sub>
              </m:sSub>
              <m:r>
                <w:rPr>
                  <w:rFonts w:ascii="Cambria Math" w:hAnsi="Cambria Math"/>
                </w:rPr>
                <m:t xml:space="preserve">- </m:t>
              </m:r>
              <m:sSub>
                <m:sSubPr>
                  <m:ctrlPr>
                    <w:rPr>
                      <w:rFonts w:ascii="Cambria Math" w:hAnsi="Cambria Math"/>
                      <w:i/>
                    </w:rPr>
                  </m:ctrlPr>
                </m:sSubPr>
                <m:e>
                  <m:r>
                    <w:rPr>
                      <w:rFonts w:ascii="Cambria Math" w:hAnsi="Cambria Math"/>
                    </w:rPr>
                    <m:t>x</m:t>
                  </m:r>
                </m:e>
                <m:sub>
                  <m:r>
                    <w:rPr>
                      <w:rFonts w:ascii="Cambria Math" w:hAnsi="Cambria Math"/>
                    </w:rPr>
                    <m:t>1</m:t>
                  </m:r>
                </m:sub>
              </m:sSub>
            </m:den>
          </m:f>
          <m:r>
            <w:rPr>
              <w:rFonts w:ascii="Cambria Math" w:hAnsi="Cambria Math"/>
            </w:rPr>
            <m:t xml:space="preserve"> (</m:t>
          </m:r>
          <m:sSup>
            <m:sSupPr>
              <m:ctrlPr>
                <w:rPr>
                  <w:rFonts w:ascii="Cambria Math" w:hAnsi="Cambria Math"/>
                  <w:i/>
                </w:rPr>
              </m:ctrlPr>
            </m:sSupPr>
            <m:e>
              <m:r>
                <w:rPr>
                  <w:rFonts w:ascii="Cambria Math" w:hAnsi="Cambria Math"/>
                </w:rPr>
                <m:t>cm</m:t>
              </m:r>
            </m:e>
            <m:sup>
              <m:r>
                <w:rPr>
                  <w:rFonts w:ascii="Cambria Math" w:hAnsi="Cambria Math"/>
                </w:rPr>
                <m:t>3</m:t>
              </m:r>
            </m:sup>
          </m:sSup>
          <m:r>
            <w:rPr>
              <w:rFonts w:ascii="Cambria Math" w:hAnsi="Cambria Math"/>
            </w:rPr>
            <m:t>.</m:t>
          </m:r>
          <m:sSup>
            <m:sSupPr>
              <m:ctrlPr>
                <w:rPr>
                  <w:rFonts w:ascii="Cambria Math" w:hAnsi="Cambria Math"/>
                  <w:i/>
                </w:rPr>
              </m:ctrlPr>
            </m:sSupPr>
            <m:e>
              <m:r>
                <w:rPr>
                  <w:rFonts w:ascii="Cambria Math" w:hAnsi="Cambria Math"/>
                </w:rPr>
                <m:t>s</m:t>
              </m:r>
            </m:e>
            <m:sup>
              <m:r>
                <w:rPr>
                  <w:rFonts w:ascii="Cambria Math" w:hAnsi="Cambria Math"/>
                </w:rPr>
                <m:t>-1</m:t>
              </m:r>
            </m:sup>
          </m:sSup>
          <m:r>
            <w:rPr>
              <w:rFonts w:ascii="Cambria Math" w:hAnsi="Cambria Math"/>
            </w:rPr>
            <m:t>)</m:t>
          </m:r>
        </m:oMath>
      </m:oMathPara>
    </w:p>
    <w:p w14:paraId="0F11FFA2" w14:textId="37DBAB28" w:rsidR="0027646D" w:rsidRDefault="0027646D" w:rsidP="0027646D">
      <w:pPr>
        <w:pStyle w:val="Caption"/>
        <w:jc w:val="center"/>
      </w:pPr>
      <w:r>
        <w:t xml:space="preserve">Equation </w:t>
      </w:r>
      <w:r>
        <w:fldChar w:fldCharType="begin"/>
      </w:r>
      <w:r>
        <w:instrText xml:space="preserve"> SEQ Equation \* ARABIC </w:instrText>
      </w:r>
      <w:r>
        <w:fldChar w:fldCharType="separate"/>
      </w:r>
      <w:r w:rsidR="007E6D5B">
        <w:rPr>
          <w:noProof/>
        </w:rPr>
        <w:t>2</w:t>
      </w:r>
      <w:r>
        <w:fldChar w:fldCharType="end"/>
      </w:r>
      <w:r>
        <w:t xml:space="preserve"> - Determination of reaction rate</w:t>
      </w:r>
    </w:p>
    <w:p w14:paraId="003FC98D" w14:textId="1128C850" w:rsidR="00AD6F80" w:rsidRDefault="00AD6F80" w:rsidP="00AD6F80">
      <w:r>
        <w:t xml:space="preserve"> </w:t>
      </w:r>
      <w:r w:rsidR="0027646D">
        <w:tab/>
        <w:t xml:space="preserve">Where: </w:t>
      </w:r>
    </w:p>
    <w:p w14:paraId="43075E75" w14:textId="6B0219A4" w:rsidR="00D70814" w:rsidRDefault="00D70814" w:rsidP="00AD6F80">
      <w:r>
        <w:tab/>
      </w:r>
      <w:r>
        <w:rPr>
          <w:rFonts w:ascii="GreekS" w:hAnsi="GreekS" w:cs="GreekS"/>
        </w:rPr>
        <w:t>Δ</w:t>
      </w:r>
      <w:r>
        <w:t>V - delta change in Volume of gas (cm</w:t>
      </w:r>
      <w:r w:rsidRPr="00D70814">
        <w:rPr>
          <w:vertAlign w:val="superscript"/>
        </w:rPr>
        <w:t>3</w:t>
      </w:r>
      <w:r>
        <w:t>)</w:t>
      </w:r>
    </w:p>
    <w:p w14:paraId="7F5772FE" w14:textId="520B32EE" w:rsidR="00D70814" w:rsidRDefault="00D70814" w:rsidP="00AD6F80">
      <w:r>
        <w:tab/>
      </w:r>
      <w:proofErr w:type="spellStart"/>
      <w:r>
        <w:rPr>
          <w:rFonts w:ascii="GreekS" w:hAnsi="GreekS" w:cs="GreekS"/>
        </w:rPr>
        <w:t>Δ</w:t>
      </w:r>
      <w:r>
        <w:t>t</w:t>
      </w:r>
      <w:proofErr w:type="spellEnd"/>
      <w:r>
        <w:t xml:space="preserve"> – delta change in time (s)</w:t>
      </w:r>
    </w:p>
    <w:p w14:paraId="2E0CDA3D" w14:textId="1B9B2B60" w:rsidR="00D70814" w:rsidRDefault="00D70814" w:rsidP="00AD6F80">
      <w:r>
        <w:tab/>
      </w:r>
      <w:r w:rsidR="00A7061B">
        <w:t>Y – y coordinate of plot</w:t>
      </w:r>
    </w:p>
    <w:p w14:paraId="4CDCABEE" w14:textId="0E917B2D" w:rsidR="00A7061B" w:rsidRDefault="00A7061B" w:rsidP="00AD6F80">
      <w:r>
        <w:tab/>
        <w:t>X – x coordinate of plot</w:t>
      </w:r>
    </w:p>
    <w:p w14:paraId="08E8D713" w14:textId="77777777" w:rsidR="004446E8" w:rsidRDefault="004446E8">
      <w:r>
        <w:br w:type="page"/>
      </w:r>
    </w:p>
    <w:p w14:paraId="53750ECF" w14:textId="79F00B27" w:rsidR="00A47F63" w:rsidRDefault="0063572B" w:rsidP="00AD6F80">
      <w:r>
        <w:lastRenderedPageBreak/>
        <w:t xml:space="preserve">The </w:t>
      </w:r>
      <w:r w:rsidR="00290FD3">
        <w:t>r</w:t>
      </w:r>
      <w:r w:rsidR="00A1759B">
        <w:t>ate of</w:t>
      </w:r>
      <w:r w:rsidR="00290FD3">
        <w:t xml:space="preserve"> any</w:t>
      </w:r>
      <w:r w:rsidR="00A1759B">
        <w:t xml:space="preserve"> reaction can be affected</w:t>
      </w:r>
      <w:r w:rsidR="00290FD3">
        <w:t xml:space="preserve"> </w:t>
      </w:r>
      <w:r w:rsidR="004661CC">
        <w:t>by</w:t>
      </w:r>
      <w:r w:rsidR="00290FD3">
        <w:t xml:space="preserve"> a multitude</w:t>
      </w:r>
      <w:r w:rsidR="004661CC">
        <w:t xml:space="preserve"> of variables, however only three will be investigated in this study. </w:t>
      </w:r>
      <w:r w:rsidR="006C5C5F">
        <w:t xml:space="preserve">These variables under investigation </w:t>
      </w:r>
      <w:r w:rsidR="00A47F63">
        <w:t xml:space="preserve">here </w:t>
      </w:r>
      <w:proofErr w:type="gramStart"/>
      <w:r w:rsidR="00A47F63">
        <w:t>are;</w:t>
      </w:r>
      <w:proofErr w:type="gramEnd"/>
    </w:p>
    <w:p w14:paraId="40C27CF0" w14:textId="1C0F419A" w:rsidR="00AD6F80" w:rsidRDefault="00A47F63" w:rsidP="00A47F63">
      <w:pPr>
        <w:pStyle w:val="ListParagraph"/>
        <w:numPr>
          <w:ilvl w:val="0"/>
          <w:numId w:val="14"/>
        </w:numPr>
      </w:pPr>
      <w:r>
        <w:t>The concentration of the hydrochloric acid</w:t>
      </w:r>
    </w:p>
    <w:p w14:paraId="12B6DCBA" w14:textId="14966D16" w:rsidR="00A47F63" w:rsidRDefault="00A47F63" w:rsidP="00A47F63">
      <w:pPr>
        <w:pStyle w:val="ListParagraph"/>
        <w:numPr>
          <w:ilvl w:val="0"/>
          <w:numId w:val="14"/>
        </w:numPr>
      </w:pPr>
      <w:r>
        <w:t xml:space="preserve">The </w:t>
      </w:r>
      <w:r w:rsidR="002B28A1">
        <w:t>temperature of the hydrochloric acid and</w:t>
      </w:r>
    </w:p>
    <w:p w14:paraId="5DF22785" w14:textId="3893E757" w:rsidR="002B28A1" w:rsidRDefault="002B28A1" w:rsidP="00A47F63">
      <w:pPr>
        <w:pStyle w:val="ListParagraph"/>
        <w:numPr>
          <w:ilvl w:val="0"/>
          <w:numId w:val="14"/>
        </w:numPr>
      </w:pPr>
      <w:r>
        <w:t>The surface area of the magnesium</w:t>
      </w:r>
    </w:p>
    <w:p w14:paraId="0696E889" w14:textId="12D73DCB" w:rsidR="00D038F9" w:rsidRDefault="00D038F9" w:rsidP="00D038F9">
      <w:r>
        <w:t>Each of the variables are dictated by collision theory</w:t>
      </w:r>
      <w:r w:rsidR="009C7988">
        <w:t xml:space="preserve"> </w:t>
      </w:r>
      <w:r w:rsidR="009C7988" w:rsidRPr="00777A84">
        <w:t>[</w:t>
      </w:r>
      <w:r w:rsidR="00777A84" w:rsidRPr="00777A84">
        <w:t>2</w:t>
      </w:r>
      <w:r w:rsidR="009C7988" w:rsidRPr="00777A84">
        <w:t>]</w:t>
      </w:r>
      <w:r>
        <w:t>, or rather the</w:t>
      </w:r>
      <w:r w:rsidR="00E81890">
        <w:t xml:space="preserve"> speed of</w:t>
      </w:r>
      <w:r>
        <w:t xml:space="preserve"> interaction of the molecules at the atomic level. </w:t>
      </w:r>
      <w:r w:rsidR="0009167B">
        <w:t xml:space="preserve">It is expected that by increasing the </w:t>
      </w:r>
      <w:r w:rsidR="00A90148">
        <w:t xml:space="preserve">associated </w:t>
      </w:r>
      <w:r w:rsidR="0009167B">
        <w:t>energy within the reaction (e.g. increase in temperature or concentration</w:t>
      </w:r>
      <w:r w:rsidR="00E56EB3">
        <w:t>) the comparable rates will increase.</w:t>
      </w:r>
      <w:r w:rsidR="00A90148">
        <w:t xml:space="preserve"> Similarly, by increasing the surface area of the reactant (or conversely reducing the particle size)</w:t>
      </w:r>
      <w:r w:rsidR="00BC7A91">
        <w:t xml:space="preserve"> it is also expected that the observed rate will increase.</w:t>
      </w:r>
    </w:p>
    <w:p w14:paraId="354AC55F" w14:textId="57F5A1D0" w:rsidR="004602EA" w:rsidRDefault="00B60E1B" w:rsidP="00D038F9">
      <w:r>
        <w:t xml:space="preserve">Rates of reaction </w:t>
      </w:r>
      <w:r w:rsidR="00FA5AC5">
        <w:t xml:space="preserve">can </w:t>
      </w:r>
      <w:r>
        <w:t>be</w:t>
      </w:r>
      <w:r w:rsidR="00E32050">
        <w:t xml:space="preserve"> </w:t>
      </w:r>
      <w:r w:rsidR="008B010F">
        <w:t xml:space="preserve">characterised by their effect </w:t>
      </w:r>
      <w:r w:rsidR="000F6D98">
        <w:t>of the reactants. For reactants in solution</w:t>
      </w:r>
      <w:r w:rsidR="005F0CAF">
        <w:t xml:space="preserve">, the rate constant </w:t>
      </w:r>
      <w:r w:rsidR="00613457">
        <w:t xml:space="preserve">is affected by </w:t>
      </w:r>
      <w:r w:rsidR="00D41C7D">
        <w:t>concentration</w:t>
      </w:r>
      <w:r w:rsidR="00F471C5">
        <w:t xml:space="preserve"> and </w:t>
      </w:r>
      <w:r w:rsidR="005D5E71">
        <w:t xml:space="preserve">can be divided into three categories. </w:t>
      </w:r>
    </w:p>
    <w:p w14:paraId="2F031535" w14:textId="507CA9E1" w:rsidR="00300B0C" w:rsidRDefault="007D4FBE" w:rsidP="007D4FBE">
      <w:pPr>
        <w:pStyle w:val="ListParagraph"/>
        <w:numPr>
          <w:ilvl w:val="0"/>
          <w:numId w:val="15"/>
        </w:numPr>
      </w:pPr>
      <w:r>
        <w:t>0</w:t>
      </w:r>
      <w:r w:rsidRPr="007D4FBE">
        <w:rPr>
          <w:vertAlign w:val="superscript"/>
        </w:rPr>
        <w:t>th</w:t>
      </w:r>
      <w:r>
        <w:t xml:space="preserve"> Order </w:t>
      </w:r>
      <w:r w:rsidR="009F74AE">
        <w:t>–</w:t>
      </w:r>
      <w:r>
        <w:t xml:space="preserve"> </w:t>
      </w:r>
      <w:r w:rsidR="009F74AE">
        <w:t>Reactions of this nature mean that if the quantity of reactants were to be double</w:t>
      </w:r>
      <w:r w:rsidR="00300B0C">
        <w:t>d, the subsequent rate would not be affected have a gradient of 0</w:t>
      </w:r>
      <w:r w:rsidR="00DE45A8">
        <w:t>.</w:t>
      </w:r>
    </w:p>
    <w:p w14:paraId="192353C5" w14:textId="43C20A29" w:rsidR="00F44770" w:rsidRDefault="00300B0C" w:rsidP="007D4FBE">
      <w:pPr>
        <w:pStyle w:val="ListParagraph"/>
        <w:numPr>
          <w:ilvl w:val="0"/>
          <w:numId w:val="15"/>
        </w:numPr>
      </w:pPr>
      <w:r>
        <w:t>1</w:t>
      </w:r>
      <w:r w:rsidRPr="00300B0C">
        <w:rPr>
          <w:vertAlign w:val="superscript"/>
        </w:rPr>
        <w:t>st</w:t>
      </w:r>
      <w:r>
        <w:t xml:space="preserve"> Order. Reactions of this nature mean that </w:t>
      </w:r>
      <w:r w:rsidR="0027431F">
        <w:t>if the quantity of the reactants were to be doubled</w:t>
      </w:r>
      <w:r w:rsidR="00F44770">
        <w:t>, the observed rate would also double and would have a linear increase</w:t>
      </w:r>
      <w:r w:rsidR="00DE45A8">
        <w:t xml:space="preserve">. </w:t>
      </w:r>
    </w:p>
    <w:p w14:paraId="7FBB97C0" w14:textId="2A7D0E59" w:rsidR="007D4FBE" w:rsidRDefault="00F44770" w:rsidP="007D4FBE">
      <w:pPr>
        <w:pStyle w:val="ListParagraph"/>
        <w:numPr>
          <w:ilvl w:val="0"/>
          <w:numId w:val="15"/>
        </w:numPr>
      </w:pPr>
      <w:r>
        <w:t>2</w:t>
      </w:r>
      <w:r w:rsidRPr="00F44770">
        <w:rPr>
          <w:vertAlign w:val="superscript"/>
        </w:rPr>
        <w:t>nd</w:t>
      </w:r>
      <w:r>
        <w:t xml:space="preserve"> Order - </w:t>
      </w:r>
      <w:r w:rsidR="002C3CA1">
        <w:t>Reactions of this nature mean that if the quantity of the reactants were to be doubled, then the observe</w:t>
      </w:r>
      <w:r w:rsidR="00A841FC">
        <w:t>d</w:t>
      </w:r>
      <w:r w:rsidR="002C3CA1">
        <w:t xml:space="preserve"> rate would increase </w:t>
      </w:r>
      <w:r w:rsidR="00C43A54">
        <w:t>by a factor of 4.</w:t>
      </w:r>
    </w:p>
    <w:p w14:paraId="4F7A0B02" w14:textId="77777777" w:rsidR="00B4616E" w:rsidRDefault="00B4616E" w:rsidP="00B4616E">
      <w:r>
        <w:t>All experimental t</w:t>
      </w:r>
      <w:r w:rsidRPr="007917CC">
        <w:t>rials were conducted as a group exercise, the group consisting of the Author, A. Clarke &amp; S. Deane</w:t>
      </w:r>
    </w:p>
    <w:p w14:paraId="7E33E028" w14:textId="77777777" w:rsidR="00B4616E" w:rsidRDefault="00B4616E" w:rsidP="00B4616E"/>
    <w:p w14:paraId="1F9F8862" w14:textId="3B80B78D" w:rsidR="00C65EFA" w:rsidRDefault="00C65EFA">
      <w:pPr>
        <w:rPr>
          <w:highlight w:val="yellow"/>
        </w:rPr>
      </w:pPr>
      <w:r>
        <w:rPr>
          <w:highlight w:val="yellow"/>
        </w:rPr>
        <w:br w:type="page"/>
      </w:r>
    </w:p>
    <w:p w14:paraId="5A7A8110" w14:textId="23744343" w:rsidR="00EE3C5C" w:rsidRPr="00400866" w:rsidRDefault="009E130F" w:rsidP="00EE3C5C">
      <w:pPr>
        <w:pStyle w:val="Heading1"/>
      </w:pPr>
      <w:bookmarkStart w:id="6" w:name="_Toc183519264"/>
      <w:r w:rsidRPr="00400866">
        <w:lastRenderedPageBreak/>
        <w:t>Results</w:t>
      </w:r>
      <w:bookmarkEnd w:id="6"/>
    </w:p>
    <w:p w14:paraId="4B135A1D" w14:textId="77777777" w:rsidR="002A71D6" w:rsidRDefault="00ED71B4" w:rsidP="00ED71B4">
      <w:pPr>
        <w:pStyle w:val="Heading2"/>
      </w:pPr>
      <w:bookmarkStart w:id="7" w:name="_Toc183519265"/>
      <w:r>
        <w:t>Results for Rate</w:t>
      </w:r>
      <w:r w:rsidR="002A71D6">
        <w:t>s</w:t>
      </w:r>
      <w:r>
        <w:t xml:space="preserve"> of</w:t>
      </w:r>
      <w:r w:rsidR="002A71D6">
        <w:t xml:space="preserve"> Reaction versus Molar Concentration</w:t>
      </w:r>
      <w:bookmarkEnd w:id="7"/>
    </w:p>
    <w:p w14:paraId="3812DE49" w14:textId="765C337B" w:rsidR="008661E3" w:rsidRDefault="008661E3" w:rsidP="002A71D6"/>
    <w:p w14:paraId="4D3316DD" w14:textId="651A6B18" w:rsidR="00CD41C0" w:rsidRDefault="00186C63" w:rsidP="0026270B">
      <w:r>
        <w:rPr>
          <w:noProof/>
        </w:rPr>
        <mc:AlternateContent>
          <mc:Choice Requires="wps">
            <w:drawing>
              <wp:anchor distT="45720" distB="45720" distL="114300" distR="114300" simplePos="0" relativeHeight="251694080" behindDoc="0" locked="0" layoutInCell="1" allowOverlap="1" wp14:anchorId="2D519E7B" wp14:editId="782F2CCD">
                <wp:simplePos x="0" y="0"/>
                <wp:positionH relativeFrom="margin">
                  <wp:align>right</wp:align>
                </wp:positionH>
                <wp:positionV relativeFrom="paragraph">
                  <wp:posOffset>835660</wp:posOffset>
                </wp:positionV>
                <wp:extent cx="5710555" cy="3812540"/>
                <wp:effectExtent l="0" t="0" r="23495" b="16510"/>
                <wp:wrapTopAndBottom/>
                <wp:docPr id="803134314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5710555" cy="381287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005C4D16" w14:textId="2DD57D90" w:rsidR="0037225A" w:rsidRDefault="00156A25">
                            <w:r>
                              <w:rPr>
                                <w:noProof/>
                              </w:rPr>
                              <w:drawing>
                                <wp:inline distT="0" distB="0" distL="0" distR="0" wp14:anchorId="723EC384" wp14:editId="6439F7C3">
                                  <wp:extent cx="5589917" cy="3726612"/>
                                  <wp:effectExtent l="0" t="0" r="10795" b="7620"/>
                                  <wp:docPr id="1877735130" name="Chart 1">
                                    <a:extLst xmlns:a="http://schemas.openxmlformats.org/drawingml/2006/main">
                                      <a:ext uri="{FF2B5EF4-FFF2-40B4-BE49-F238E27FC236}">
                                        <a16:creationId xmlns:a16="http://schemas.microsoft.com/office/drawing/2014/main" id="{719E0486-E50D-938A-4E4E-5C8883595430}"/>
                                      </a:ext>
                                    </a:extLst>
                                  </wp:docPr>
                                  <wp:cNvGraphicFramePr/>
                                  <a:graphic xmlns:a="http://schemas.openxmlformats.org/drawingml/2006/main">
                                    <a:graphicData uri="http://schemas.openxmlformats.org/drawingml/2006/chart">
                                      <c:chart xmlns:c="http://schemas.openxmlformats.org/drawingml/2006/chart" xmlns:r="http://schemas.openxmlformats.org/officeDocument/2006/relationships" r:id="rId12"/>
                                    </a:graphicData>
                                  </a:graphic>
                                </wp:inline>
                              </w:drawing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2D519E7B" id="_x0000_s1028" type="#_x0000_t202" style="position:absolute;margin-left:398.45pt;margin-top:65.8pt;width:449.65pt;height:300.2pt;z-index:251694080;visibility:visible;mso-wrap-style:square;mso-width-percent:0;mso-height-percent:0;mso-wrap-distance-left:9pt;mso-wrap-distance-top:3.6pt;mso-wrap-distance-right:9pt;mso-wrap-distance-bottom:3.6pt;mso-position-horizontal:right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">
                <v:textbox>
                  <w:txbxContent>
                    <w:p w14:paraId="005C4D16" w14:textId="2DD57D90" w:rsidR="0037225A" w:rsidRDefault="00156A25">
                      <w:r>
                        <w:rPr>
                          <w:noProof/>
                        </w:rPr>
                        <w:drawing>
                          <wp:inline distT="0" distB="0" distL="0" distR="0" wp14:anchorId="723EC384" wp14:editId="6439F7C3">
                            <wp:extent cx="5589917" cy="3726612"/>
                            <wp:effectExtent l="0" t="0" r="10795" b="7620"/>
                            <wp:docPr id="1877735130" name="Chart 1">
                              <a:extLst xmlns:a="http://schemas.openxmlformats.org/drawingml/2006/main">
                                <a:ext uri="{FF2B5EF4-FFF2-40B4-BE49-F238E27FC236}">
                                  <a16:creationId xmlns:a16="http://schemas.microsoft.com/office/drawing/2014/main" id="{719E0486-E50D-938A-4E4E-5C8883595430}"/>
                                </a:ext>
                              </a:extLst>
                            </wp:docPr>
                            <wp:cNvGraphicFramePr/>
                            <a:graphic xmlns:a="http://schemas.openxmlformats.org/drawingml/2006/main">
                              <a:graphicData uri="http://schemas.openxmlformats.org/drawingml/2006/chart">
                                <c:chart xmlns:c="http://schemas.openxmlformats.org/drawingml/2006/chart" xmlns:r="http://schemas.openxmlformats.org/officeDocument/2006/relationships" r:id="rId13"/>
                              </a:graphicData>
                            </a:graphic>
                          </wp:inline>
                        </w:drawing>
                      </w:r>
                    </w:p>
                  </w:txbxContent>
                </v:textbox>
                <w10:wrap type="topAndBottom" anchorx="margin"/>
              </v:shape>
            </w:pict>
          </mc:Fallback>
        </mc:AlternateContent>
      </w:r>
      <w:r w:rsidR="00CD41C0">
        <w:t xml:space="preserve">A total of three experimental runs were performed </w:t>
      </w:r>
      <w:r w:rsidR="00482934">
        <w:t>to the plan set out in Annex 5</w:t>
      </w:r>
      <w:r w:rsidR="009B401F">
        <w:t xml:space="preserve">. The first variable </w:t>
      </w:r>
      <w:r w:rsidR="00546699">
        <w:t xml:space="preserve">investigated </w:t>
      </w:r>
      <w:r w:rsidR="00FF0626">
        <w:t xml:space="preserve">the effect </w:t>
      </w:r>
      <w:r w:rsidR="004D671D">
        <w:t>of increasing molar concentration of Hydrochloric acid</w:t>
      </w:r>
      <w:r w:rsidR="00426C70">
        <w:t xml:space="preserve">, whilst maintaining all other variables as far as was possible. The results are detailed </w:t>
      </w:r>
      <w:proofErr w:type="gramStart"/>
      <w:r w:rsidR="00426C70">
        <w:t>below</w:t>
      </w:r>
      <w:r w:rsidR="00EE2284">
        <w:t>;</w:t>
      </w:r>
      <w:proofErr w:type="gramEnd"/>
    </w:p>
    <w:p w14:paraId="2DDC968D" w14:textId="0B18A1A3" w:rsidR="00EE2284" w:rsidRDefault="00156A25" w:rsidP="00821802">
      <w:pPr>
        <w:pStyle w:val="Caption"/>
        <w:jc w:val="center"/>
      </w:pPr>
      <w:bookmarkStart w:id="8" w:name="_Toc183519282"/>
      <w:r>
        <w:t xml:space="preserve">Figure </w:t>
      </w:r>
      <w:r>
        <w:fldChar w:fldCharType="begin"/>
      </w:r>
      <w:r>
        <w:instrText xml:space="preserve"> SEQ Figure \* ARABIC </w:instrText>
      </w:r>
      <w:r>
        <w:fldChar w:fldCharType="separate"/>
      </w:r>
      <w:r w:rsidR="007E6D5B">
        <w:rPr>
          <w:noProof/>
        </w:rPr>
        <w:t>3</w:t>
      </w:r>
      <w:r>
        <w:fldChar w:fldCharType="end"/>
      </w:r>
      <w:r>
        <w:t xml:space="preserve"> - Effect of </w:t>
      </w:r>
      <w:r w:rsidR="00821802">
        <w:t>Concentration</w:t>
      </w:r>
      <w:bookmarkEnd w:id="8"/>
    </w:p>
    <w:p w14:paraId="1FC0DE51" w14:textId="252DAB33" w:rsidR="00821802" w:rsidRDefault="006207A2" w:rsidP="00821802">
      <w:r>
        <w:t xml:space="preserve">For each molar concentration that was tested, </w:t>
      </w:r>
      <w:r w:rsidR="00697EF2">
        <w:t>the gradient of hydrogen gas generation was analysed at three time points. First at T</w:t>
      </w:r>
      <w:r w:rsidR="00C47470" w:rsidRPr="00C47470">
        <w:rPr>
          <w:vertAlign w:val="subscript"/>
        </w:rPr>
        <w:t>0</w:t>
      </w:r>
      <w:r w:rsidR="00C47470">
        <w:t xml:space="preserve">, at the </w:t>
      </w:r>
      <w:r w:rsidR="003A4717">
        <w:t>point where the rate is at its greatest</w:t>
      </w:r>
      <w:r w:rsidR="00781305">
        <w:t xml:space="preserve"> or the instantaneous rate</w:t>
      </w:r>
      <w:r w:rsidR="003A4717">
        <w:t>, then T</w:t>
      </w:r>
      <w:r w:rsidR="003A4717" w:rsidRPr="003A4717">
        <w:rPr>
          <w:vertAlign w:val="subscript"/>
        </w:rPr>
        <w:t>1</w:t>
      </w:r>
      <w:r w:rsidR="003A4717">
        <w:t xml:space="preserve"> at 50%</w:t>
      </w:r>
      <w:r w:rsidR="001532EF">
        <w:t xml:space="preserve"> of the reaction duration and finally at the end </w:t>
      </w:r>
      <w:r w:rsidR="00914087">
        <w:t>point of the reaction, T</w:t>
      </w:r>
      <w:r w:rsidR="00914087" w:rsidRPr="00914087">
        <w:rPr>
          <w:vertAlign w:val="subscript"/>
        </w:rPr>
        <w:t>3</w:t>
      </w:r>
      <w:r w:rsidR="00914087">
        <w:t xml:space="preserve">, where the </w:t>
      </w:r>
      <w:r w:rsidR="00BC03B1">
        <w:t xml:space="preserve">reaction </w:t>
      </w:r>
      <w:r w:rsidR="007B5C0C">
        <w:t xml:space="preserve">has run to completion. </w:t>
      </w:r>
    </w:p>
    <w:tbl>
      <w:tblPr>
        <w:tblStyle w:val="TableGrid"/>
        <w:tblpPr w:leftFromText="180" w:rightFromText="180" w:vertAnchor="text" w:horzAnchor="margin" w:tblpXSpec="center" w:tblpY="26"/>
        <w:tblW w:w="9046" w:type="dxa"/>
        <w:jc w:val="center"/>
        <w:tblLook w:val="04A0" w:firstRow="1" w:lastRow="0" w:firstColumn="1" w:lastColumn="0" w:noHBand="0" w:noVBand="1"/>
      </w:tblPr>
      <w:tblGrid>
        <w:gridCol w:w="2261"/>
        <w:gridCol w:w="2261"/>
        <w:gridCol w:w="2261"/>
        <w:gridCol w:w="2263"/>
      </w:tblGrid>
      <w:tr w:rsidR="00141289" w14:paraId="38E79A38" w14:textId="77777777" w:rsidTr="00643534">
        <w:trPr>
          <w:trHeight w:val="418"/>
          <w:jc w:val="center"/>
        </w:trPr>
        <w:tc>
          <w:tcPr>
            <w:tcW w:w="2261" w:type="dxa"/>
            <w:vMerge w:val="restart"/>
            <w:shd w:val="clear" w:color="auto" w:fill="CCFFFF"/>
          </w:tcPr>
          <w:p w14:paraId="25E99901" w14:textId="77777777" w:rsidR="00141289" w:rsidRDefault="00141289" w:rsidP="00643534">
            <w:pPr>
              <w:jc w:val="center"/>
            </w:pPr>
            <w:r>
              <w:t>Gradient Point</w:t>
            </w:r>
          </w:p>
        </w:tc>
        <w:tc>
          <w:tcPr>
            <w:tcW w:w="6785" w:type="dxa"/>
            <w:gridSpan w:val="3"/>
            <w:shd w:val="clear" w:color="auto" w:fill="CCFFFF"/>
          </w:tcPr>
          <w:p w14:paraId="0D9F7210" w14:textId="0170F4E7" w:rsidR="00141289" w:rsidRDefault="00141289" w:rsidP="00643534">
            <w:pPr>
              <w:jc w:val="center"/>
            </w:pPr>
            <w:r>
              <w:t>Molar Concentration</w:t>
            </w:r>
            <w:r w:rsidR="009A026A">
              <w:t xml:space="preserve"> and Hydrogen Genera</w:t>
            </w:r>
            <w:r w:rsidR="00FD6B7E">
              <w:t>tion (cm</w:t>
            </w:r>
            <w:r w:rsidR="00FD6B7E" w:rsidRPr="00FD6B7E">
              <w:rPr>
                <w:vertAlign w:val="superscript"/>
              </w:rPr>
              <w:t>3</w:t>
            </w:r>
            <w:r w:rsidR="00FD6B7E">
              <w:t>.s</w:t>
            </w:r>
            <w:r w:rsidR="00FD6B7E" w:rsidRPr="00FD6B7E">
              <w:rPr>
                <w:vertAlign w:val="superscript"/>
              </w:rPr>
              <w:t>-1</w:t>
            </w:r>
            <w:r w:rsidR="00FD6B7E">
              <w:t>)</w:t>
            </w:r>
          </w:p>
        </w:tc>
      </w:tr>
      <w:tr w:rsidR="00141289" w14:paraId="20A2D1F6" w14:textId="77777777" w:rsidTr="00643534">
        <w:trPr>
          <w:trHeight w:val="221"/>
          <w:jc w:val="center"/>
        </w:trPr>
        <w:tc>
          <w:tcPr>
            <w:tcW w:w="2261" w:type="dxa"/>
            <w:vMerge/>
          </w:tcPr>
          <w:p w14:paraId="281417FC" w14:textId="77777777" w:rsidR="00141289" w:rsidRDefault="00141289" w:rsidP="00643534">
            <w:pPr>
              <w:jc w:val="center"/>
            </w:pPr>
          </w:p>
        </w:tc>
        <w:tc>
          <w:tcPr>
            <w:tcW w:w="2261" w:type="dxa"/>
            <w:shd w:val="clear" w:color="auto" w:fill="CCFFFF"/>
          </w:tcPr>
          <w:p w14:paraId="25E8D685" w14:textId="77777777" w:rsidR="00141289" w:rsidRDefault="00141289" w:rsidP="00643534">
            <w:pPr>
              <w:jc w:val="center"/>
            </w:pPr>
            <w:r>
              <w:t>1.0M</w:t>
            </w:r>
          </w:p>
        </w:tc>
        <w:tc>
          <w:tcPr>
            <w:tcW w:w="2261" w:type="dxa"/>
            <w:shd w:val="clear" w:color="auto" w:fill="CCFFFF"/>
          </w:tcPr>
          <w:p w14:paraId="707A7A17" w14:textId="77777777" w:rsidR="00141289" w:rsidRDefault="00141289" w:rsidP="00643534">
            <w:pPr>
              <w:jc w:val="center"/>
            </w:pPr>
            <w:r>
              <w:t>1.5M</w:t>
            </w:r>
          </w:p>
        </w:tc>
        <w:tc>
          <w:tcPr>
            <w:tcW w:w="2263" w:type="dxa"/>
            <w:shd w:val="clear" w:color="auto" w:fill="CCFFFF"/>
          </w:tcPr>
          <w:p w14:paraId="25AAB307" w14:textId="77777777" w:rsidR="00141289" w:rsidRDefault="00141289" w:rsidP="00643534">
            <w:pPr>
              <w:jc w:val="center"/>
            </w:pPr>
            <w:r>
              <w:t>2.0M</w:t>
            </w:r>
          </w:p>
        </w:tc>
      </w:tr>
      <w:tr w:rsidR="00141289" w14:paraId="72EE08F9" w14:textId="77777777" w:rsidTr="00643534">
        <w:trPr>
          <w:trHeight w:val="418"/>
          <w:jc w:val="center"/>
        </w:trPr>
        <w:tc>
          <w:tcPr>
            <w:tcW w:w="2261" w:type="dxa"/>
            <w:shd w:val="clear" w:color="auto" w:fill="FFFFCC"/>
          </w:tcPr>
          <w:p w14:paraId="215D899C" w14:textId="4BD215D3" w:rsidR="00141289" w:rsidRPr="00781305" w:rsidRDefault="00141289" w:rsidP="00643534">
            <w:pPr>
              <w:jc w:val="center"/>
            </w:pPr>
            <w:r>
              <w:t>T</w:t>
            </w:r>
            <w:r w:rsidRPr="00C93890">
              <w:rPr>
                <w:vertAlign w:val="subscript"/>
              </w:rPr>
              <w:t>0</w:t>
            </w:r>
          </w:p>
        </w:tc>
        <w:tc>
          <w:tcPr>
            <w:tcW w:w="2261" w:type="dxa"/>
            <w:shd w:val="clear" w:color="auto" w:fill="FFFFCC"/>
            <w:vAlign w:val="center"/>
          </w:tcPr>
          <w:p w14:paraId="1C74E4D7" w14:textId="259C5517" w:rsidR="00141289" w:rsidRDefault="00643534" w:rsidP="00643534">
            <w:pPr>
              <w:jc w:val="center"/>
            </w:pPr>
            <w:r>
              <w:t>0.7</w:t>
            </w:r>
            <w:r w:rsidR="00D9233E">
              <w:t>0</w:t>
            </w:r>
          </w:p>
        </w:tc>
        <w:tc>
          <w:tcPr>
            <w:tcW w:w="2261" w:type="dxa"/>
            <w:shd w:val="clear" w:color="auto" w:fill="FFFFCC"/>
            <w:vAlign w:val="center"/>
          </w:tcPr>
          <w:p w14:paraId="4B7BC44D" w14:textId="7071DF3C" w:rsidR="00141289" w:rsidRDefault="00643534" w:rsidP="00643534">
            <w:pPr>
              <w:jc w:val="center"/>
            </w:pPr>
            <w:r>
              <w:t>2.3</w:t>
            </w:r>
          </w:p>
        </w:tc>
        <w:tc>
          <w:tcPr>
            <w:tcW w:w="2263" w:type="dxa"/>
            <w:shd w:val="clear" w:color="auto" w:fill="FFFFCC"/>
            <w:vAlign w:val="center"/>
          </w:tcPr>
          <w:p w14:paraId="6626A0A7" w14:textId="4EB1A726" w:rsidR="00141289" w:rsidRDefault="00643534" w:rsidP="00643534">
            <w:pPr>
              <w:jc w:val="center"/>
            </w:pPr>
            <w:r>
              <w:t>3.7</w:t>
            </w:r>
          </w:p>
        </w:tc>
      </w:tr>
      <w:tr w:rsidR="00141289" w14:paraId="5EDDBE0F" w14:textId="77777777" w:rsidTr="00643534">
        <w:trPr>
          <w:trHeight w:val="396"/>
          <w:jc w:val="center"/>
        </w:trPr>
        <w:tc>
          <w:tcPr>
            <w:tcW w:w="2261" w:type="dxa"/>
            <w:shd w:val="clear" w:color="auto" w:fill="FFFFCC"/>
          </w:tcPr>
          <w:p w14:paraId="30DB1E49" w14:textId="77777777" w:rsidR="00141289" w:rsidRDefault="00141289" w:rsidP="00643534">
            <w:pPr>
              <w:jc w:val="center"/>
            </w:pPr>
            <w:r>
              <w:t>T</w:t>
            </w:r>
            <w:r w:rsidRPr="00C93890">
              <w:rPr>
                <w:vertAlign w:val="subscript"/>
              </w:rPr>
              <w:t>1</w:t>
            </w:r>
          </w:p>
        </w:tc>
        <w:tc>
          <w:tcPr>
            <w:tcW w:w="2261" w:type="dxa"/>
            <w:shd w:val="clear" w:color="auto" w:fill="FFFFCC"/>
            <w:vAlign w:val="center"/>
          </w:tcPr>
          <w:p w14:paraId="6125AAAA" w14:textId="378933FD" w:rsidR="00141289" w:rsidRDefault="00D9233E" w:rsidP="00643534">
            <w:pPr>
              <w:jc w:val="center"/>
            </w:pPr>
            <w:r>
              <w:t>0.88</w:t>
            </w:r>
          </w:p>
        </w:tc>
        <w:tc>
          <w:tcPr>
            <w:tcW w:w="2261" w:type="dxa"/>
            <w:shd w:val="clear" w:color="auto" w:fill="FFFFCC"/>
            <w:vAlign w:val="center"/>
          </w:tcPr>
          <w:p w14:paraId="7D1114EB" w14:textId="01B78E3E" w:rsidR="00141289" w:rsidRDefault="00D9233E" w:rsidP="00643534">
            <w:pPr>
              <w:jc w:val="center"/>
            </w:pPr>
            <w:r>
              <w:t>0.95</w:t>
            </w:r>
          </w:p>
        </w:tc>
        <w:tc>
          <w:tcPr>
            <w:tcW w:w="2263" w:type="dxa"/>
            <w:shd w:val="clear" w:color="auto" w:fill="FFFFCC"/>
            <w:vAlign w:val="center"/>
          </w:tcPr>
          <w:p w14:paraId="135C816C" w14:textId="1F17425A" w:rsidR="00141289" w:rsidRDefault="00D9233E" w:rsidP="00643534">
            <w:pPr>
              <w:jc w:val="center"/>
            </w:pPr>
            <w:r>
              <w:t>1.28</w:t>
            </w:r>
          </w:p>
        </w:tc>
      </w:tr>
      <w:tr w:rsidR="00141289" w14:paraId="42A0C272" w14:textId="77777777" w:rsidTr="00643534">
        <w:trPr>
          <w:trHeight w:val="396"/>
          <w:jc w:val="center"/>
        </w:trPr>
        <w:tc>
          <w:tcPr>
            <w:tcW w:w="2261" w:type="dxa"/>
            <w:shd w:val="clear" w:color="auto" w:fill="FFFFCC"/>
          </w:tcPr>
          <w:p w14:paraId="7BD13DA2" w14:textId="77777777" w:rsidR="00141289" w:rsidRDefault="00141289" w:rsidP="00643534">
            <w:pPr>
              <w:jc w:val="center"/>
            </w:pPr>
            <w:r>
              <w:t>T</w:t>
            </w:r>
            <w:r w:rsidRPr="00C93890">
              <w:rPr>
                <w:vertAlign w:val="subscript"/>
              </w:rPr>
              <w:t>2</w:t>
            </w:r>
          </w:p>
        </w:tc>
        <w:tc>
          <w:tcPr>
            <w:tcW w:w="2261" w:type="dxa"/>
            <w:shd w:val="clear" w:color="auto" w:fill="FFFFCC"/>
            <w:vAlign w:val="center"/>
          </w:tcPr>
          <w:p w14:paraId="2536572E" w14:textId="5C44AA71" w:rsidR="00141289" w:rsidRDefault="00D9233E" w:rsidP="00643534">
            <w:pPr>
              <w:jc w:val="center"/>
            </w:pPr>
            <w:r>
              <w:t>0.70</w:t>
            </w:r>
          </w:p>
        </w:tc>
        <w:tc>
          <w:tcPr>
            <w:tcW w:w="2261" w:type="dxa"/>
            <w:shd w:val="clear" w:color="auto" w:fill="FFFFCC"/>
            <w:vAlign w:val="center"/>
          </w:tcPr>
          <w:p w14:paraId="30BB45C5" w14:textId="14A49FD4" w:rsidR="00141289" w:rsidRDefault="00ED71B4" w:rsidP="00643534">
            <w:pPr>
              <w:jc w:val="center"/>
            </w:pPr>
            <w:r>
              <w:t>0.56</w:t>
            </w:r>
          </w:p>
        </w:tc>
        <w:tc>
          <w:tcPr>
            <w:tcW w:w="2263" w:type="dxa"/>
            <w:shd w:val="clear" w:color="auto" w:fill="FFFFCC"/>
            <w:vAlign w:val="center"/>
          </w:tcPr>
          <w:p w14:paraId="1B706A0A" w14:textId="11B549C9" w:rsidR="00141289" w:rsidRDefault="00ED71B4" w:rsidP="00643534">
            <w:pPr>
              <w:jc w:val="center"/>
            </w:pPr>
            <w:r>
              <w:t>0.93</w:t>
            </w:r>
          </w:p>
        </w:tc>
      </w:tr>
    </w:tbl>
    <w:p w14:paraId="67021841" w14:textId="7520FBDF" w:rsidR="007B5C0C" w:rsidRDefault="004C7D2B" w:rsidP="004C7D2B">
      <w:pPr>
        <w:pStyle w:val="Caption"/>
        <w:jc w:val="center"/>
      </w:pPr>
      <w:bookmarkStart w:id="9" w:name="_Toc183519293"/>
      <w:r>
        <w:t xml:space="preserve">Table </w:t>
      </w:r>
      <w:r>
        <w:fldChar w:fldCharType="begin"/>
      </w:r>
      <w:r>
        <w:instrText xml:space="preserve"> SEQ Table \* ARABIC </w:instrText>
      </w:r>
      <w:r>
        <w:fldChar w:fldCharType="separate"/>
      </w:r>
      <w:r w:rsidR="007E6D5B">
        <w:rPr>
          <w:noProof/>
        </w:rPr>
        <w:t>1</w:t>
      </w:r>
      <w:r>
        <w:fldChar w:fldCharType="end"/>
      </w:r>
      <w:r>
        <w:t xml:space="preserve"> - Rates of gas generation vs Concentration</w:t>
      </w:r>
      <w:bookmarkEnd w:id="9"/>
    </w:p>
    <w:p w14:paraId="26F3836F" w14:textId="77777777" w:rsidR="007B5C0C" w:rsidRDefault="007B5C0C" w:rsidP="00821802"/>
    <w:p w14:paraId="17CBF5E7" w14:textId="77777777" w:rsidR="00821802" w:rsidRPr="00821802" w:rsidRDefault="00821802" w:rsidP="00821802"/>
    <w:p w14:paraId="199841C0" w14:textId="1D3625E3" w:rsidR="001D79E3" w:rsidRDefault="004225A7" w:rsidP="001D79E3">
      <w:pPr>
        <w:pStyle w:val="Heading2"/>
      </w:pPr>
      <w:bookmarkStart w:id="10" w:name="_Toc183519266"/>
      <w:r w:rsidRPr="006B123A">
        <w:lastRenderedPageBreak/>
        <w:t>Results for</w:t>
      </w:r>
      <w:r w:rsidR="006B123A" w:rsidRPr="006B123A">
        <w:t xml:space="preserve"> Rates of Reaction versus Temperature</w:t>
      </w:r>
      <w:bookmarkEnd w:id="10"/>
    </w:p>
    <w:p w14:paraId="39E4035E" w14:textId="77777777" w:rsidR="006B123A" w:rsidRDefault="006B123A" w:rsidP="006B123A"/>
    <w:p w14:paraId="0BAB89AB" w14:textId="293AA8C6" w:rsidR="000A0CC4" w:rsidRDefault="000A0CC4" w:rsidP="000A0CC4">
      <w:r>
        <w:rPr>
          <w:noProof/>
        </w:rPr>
        <mc:AlternateContent>
          <mc:Choice Requires="wps">
            <w:drawing>
              <wp:anchor distT="45720" distB="45720" distL="114300" distR="114300" simplePos="0" relativeHeight="251696128" behindDoc="0" locked="0" layoutInCell="1" allowOverlap="1" wp14:anchorId="29F58EDF" wp14:editId="1C5C90D8">
                <wp:simplePos x="0" y="0"/>
                <wp:positionH relativeFrom="margin">
                  <wp:align>right</wp:align>
                </wp:positionH>
                <wp:positionV relativeFrom="paragraph">
                  <wp:posOffset>652780</wp:posOffset>
                </wp:positionV>
                <wp:extent cx="5718810" cy="3709035"/>
                <wp:effectExtent l="0" t="0" r="15240" b="24765"/>
                <wp:wrapTopAndBottom/>
                <wp:docPr id="1129876505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5718810" cy="3709358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000C24C2" w14:textId="073D72DE" w:rsidR="000A0CC4" w:rsidRDefault="00A65F38">
                            <w:r>
                              <w:rPr>
                                <w:noProof/>
                              </w:rPr>
                              <w:drawing>
                                <wp:inline distT="0" distB="0" distL="0" distR="0" wp14:anchorId="5B6C6AAA" wp14:editId="17EFDEE6">
                                  <wp:extent cx="5633049" cy="3597215"/>
                                  <wp:effectExtent l="0" t="0" r="6350" b="3810"/>
                                  <wp:docPr id="1347890127" name="Chart 1">
                                    <a:extLst xmlns:a="http://schemas.openxmlformats.org/drawingml/2006/main">
                                      <a:ext uri="{FF2B5EF4-FFF2-40B4-BE49-F238E27FC236}">
                                        <a16:creationId xmlns:a16="http://schemas.microsoft.com/office/drawing/2014/main" id="{76D6749D-6B3C-538A-DC2E-D969F6290C65}"/>
                                      </a:ext>
                                    </a:extLst>
                                  </wp:docPr>
                                  <wp:cNvGraphicFramePr/>
                                  <a:graphic xmlns:a="http://schemas.openxmlformats.org/drawingml/2006/main">
                                    <a:graphicData uri="http://schemas.openxmlformats.org/drawingml/2006/chart">
                                      <c:chart xmlns:c="http://schemas.openxmlformats.org/drawingml/2006/chart" xmlns:r="http://schemas.openxmlformats.org/officeDocument/2006/relationships" r:id="rId14"/>
                                    </a:graphicData>
                                  </a:graphic>
                                </wp:inline>
                              </w:drawing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29F58EDF" id="_x0000_s1029" type="#_x0000_t202" style="position:absolute;margin-left:399.1pt;margin-top:51.4pt;width:450.3pt;height:292.05pt;z-index:251696128;visibility:visible;mso-wrap-style:square;mso-width-percent:0;mso-height-percent:0;mso-wrap-distance-left:9pt;mso-wrap-distance-top:3.6pt;mso-wrap-distance-right:9pt;mso-wrap-distance-bottom:3.6pt;mso-position-horizontal:right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">
                <v:textbox>
                  <w:txbxContent>
                    <w:p w14:paraId="000C24C2" w14:textId="073D72DE" w:rsidR="000A0CC4" w:rsidRDefault="00A65F38">
                      <w:r>
                        <w:rPr>
                          <w:noProof/>
                        </w:rPr>
                        <w:drawing>
                          <wp:inline distT="0" distB="0" distL="0" distR="0" wp14:anchorId="5B6C6AAA" wp14:editId="17EFDEE6">
                            <wp:extent cx="5633049" cy="3597215"/>
                            <wp:effectExtent l="0" t="0" r="6350" b="3810"/>
                            <wp:docPr id="1347890127" name="Chart 1">
                              <a:extLst xmlns:a="http://schemas.openxmlformats.org/drawingml/2006/main">
                                <a:ext uri="{FF2B5EF4-FFF2-40B4-BE49-F238E27FC236}">
                                  <a16:creationId xmlns:a16="http://schemas.microsoft.com/office/drawing/2014/main" id="{76D6749D-6B3C-538A-DC2E-D969F6290C65}"/>
                                </a:ext>
                              </a:extLst>
                            </wp:docPr>
                            <wp:cNvGraphicFramePr/>
                            <a:graphic xmlns:a="http://schemas.openxmlformats.org/drawingml/2006/main">
                              <a:graphicData uri="http://schemas.openxmlformats.org/drawingml/2006/chart">
                                <c:chart xmlns:c="http://schemas.openxmlformats.org/drawingml/2006/chart" xmlns:r="http://schemas.openxmlformats.org/officeDocument/2006/relationships" r:id="rId15"/>
                              </a:graphicData>
                            </a:graphic>
                          </wp:inline>
                        </w:drawing>
                      </w:r>
                    </w:p>
                  </w:txbxContent>
                </v:textbox>
                <w10:wrap type="topAndBottom" anchorx="margin"/>
              </v:shape>
            </w:pict>
          </mc:Fallback>
        </mc:AlternateContent>
      </w:r>
      <w:r w:rsidR="006B123A">
        <w:t xml:space="preserve">The second experimental </w:t>
      </w:r>
      <w:r w:rsidR="00BC30B6">
        <w:t xml:space="preserve">set up </w:t>
      </w:r>
      <w:r w:rsidR="00571DD4">
        <w:t xml:space="preserve">amended the variable </w:t>
      </w:r>
      <w:r w:rsidR="006E388B">
        <w:t xml:space="preserve">from molar concentration to changes of temperature. </w:t>
      </w:r>
      <w:r>
        <w:t xml:space="preserve">The results are detailed </w:t>
      </w:r>
      <w:proofErr w:type="gramStart"/>
      <w:r>
        <w:t>below;</w:t>
      </w:r>
      <w:proofErr w:type="gramEnd"/>
    </w:p>
    <w:p w14:paraId="4ECD25A2" w14:textId="50A6C423" w:rsidR="000A0CC4" w:rsidRDefault="000A0CC4" w:rsidP="000A0CC4">
      <w:pPr>
        <w:pStyle w:val="Caption"/>
        <w:jc w:val="center"/>
      </w:pPr>
      <w:bookmarkStart w:id="11" w:name="_Toc183519283"/>
      <w:r>
        <w:t xml:space="preserve">Figure </w:t>
      </w:r>
      <w:r>
        <w:fldChar w:fldCharType="begin"/>
      </w:r>
      <w:r>
        <w:instrText xml:space="preserve"> SEQ Figure \* ARABIC </w:instrText>
      </w:r>
      <w:r>
        <w:fldChar w:fldCharType="separate"/>
      </w:r>
      <w:r w:rsidR="007E6D5B">
        <w:rPr>
          <w:noProof/>
        </w:rPr>
        <w:t>4</w:t>
      </w:r>
      <w:r>
        <w:fldChar w:fldCharType="end"/>
      </w:r>
      <w:r>
        <w:t xml:space="preserve"> - Effect of </w:t>
      </w:r>
      <w:r w:rsidR="00114C91">
        <w:t>Temperature</w:t>
      </w:r>
      <w:bookmarkEnd w:id="11"/>
    </w:p>
    <w:p w14:paraId="2F29A0C1" w14:textId="2A2C1EBA" w:rsidR="000A0CC4" w:rsidRDefault="000A0CC4" w:rsidP="000A0CC4">
      <w:r>
        <w:t xml:space="preserve">For each </w:t>
      </w:r>
      <w:r w:rsidR="00A65F38">
        <w:t>temperature</w:t>
      </w:r>
      <w:r>
        <w:t xml:space="preserve"> that was tested, the gradient of hydrogen gas generation was analysed at three time points. First at T</w:t>
      </w:r>
      <w:r w:rsidRPr="00C47470">
        <w:rPr>
          <w:vertAlign w:val="subscript"/>
        </w:rPr>
        <w:t>0</w:t>
      </w:r>
      <w:r>
        <w:t>, at the point where the rate is at its greatest or the instantaneous rate, then T</w:t>
      </w:r>
      <w:r w:rsidRPr="003A4717">
        <w:rPr>
          <w:vertAlign w:val="subscript"/>
        </w:rPr>
        <w:t>1</w:t>
      </w:r>
      <w:r>
        <w:t xml:space="preserve"> at 50% of the reaction duration and finally at the end point of the reaction, T</w:t>
      </w:r>
      <w:r w:rsidRPr="00914087">
        <w:rPr>
          <w:vertAlign w:val="subscript"/>
        </w:rPr>
        <w:t>3</w:t>
      </w:r>
      <w:r>
        <w:t xml:space="preserve">, where the reaction has run to completion. </w:t>
      </w:r>
    </w:p>
    <w:tbl>
      <w:tblPr>
        <w:tblStyle w:val="TableGrid"/>
        <w:tblpPr w:leftFromText="180" w:rightFromText="180" w:vertAnchor="text" w:horzAnchor="margin" w:tblpXSpec="center" w:tblpY="26"/>
        <w:tblW w:w="9046" w:type="dxa"/>
        <w:jc w:val="center"/>
        <w:tblLook w:val="04A0" w:firstRow="1" w:lastRow="0" w:firstColumn="1" w:lastColumn="0" w:noHBand="0" w:noVBand="1"/>
      </w:tblPr>
      <w:tblGrid>
        <w:gridCol w:w="2261"/>
        <w:gridCol w:w="2261"/>
        <w:gridCol w:w="2261"/>
        <w:gridCol w:w="2263"/>
      </w:tblGrid>
      <w:tr w:rsidR="000A0CC4" w14:paraId="339D54F7" w14:textId="77777777" w:rsidTr="00DF3F61">
        <w:trPr>
          <w:trHeight w:val="418"/>
          <w:jc w:val="center"/>
        </w:trPr>
        <w:tc>
          <w:tcPr>
            <w:tcW w:w="2261" w:type="dxa"/>
            <w:vMerge w:val="restart"/>
            <w:shd w:val="clear" w:color="auto" w:fill="CCFFFF"/>
          </w:tcPr>
          <w:p w14:paraId="6B08CAFA" w14:textId="77777777" w:rsidR="000A0CC4" w:rsidRDefault="000A0CC4" w:rsidP="00DF3F61">
            <w:pPr>
              <w:jc w:val="center"/>
            </w:pPr>
            <w:r>
              <w:t>Gradient Point</w:t>
            </w:r>
          </w:p>
        </w:tc>
        <w:tc>
          <w:tcPr>
            <w:tcW w:w="6785" w:type="dxa"/>
            <w:gridSpan w:val="3"/>
            <w:shd w:val="clear" w:color="auto" w:fill="CCFFFF"/>
          </w:tcPr>
          <w:p w14:paraId="4B5FC1DF" w14:textId="5A640B9D" w:rsidR="000A0CC4" w:rsidRDefault="00652FD2" w:rsidP="00DF3F61">
            <w:pPr>
              <w:jc w:val="center"/>
            </w:pPr>
            <w:r>
              <w:t>Temperature</w:t>
            </w:r>
            <w:r w:rsidR="000A0CC4">
              <w:t xml:space="preserve"> and Hydrogen Generation (cm</w:t>
            </w:r>
            <w:r w:rsidR="000A0CC4" w:rsidRPr="00FD6B7E">
              <w:rPr>
                <w:vertAlign w:val="superscript"/>
              </w:rPr>
              <w:t>3</w:t>
            </w:r>
            <w:r w:rsidR="000A0CC4">
              <w:t>.s</w:t>
            </w:r>
            <w:r w:rsidR="000A0CC4" w:rsidRPr="00FD6B7E">
              <w:rPr>
                <w:vertAlign w:val="superscript"/>
              </w:rPr>
              <w:t>-1</w:t>
            </w:r>
            <w:r w:rsidR="000A0CC4">
              <w:t>)</w:t>
            </w:r>
          </w:p>
        </w:tc>
      </w:tr>
      <w:tr w:rsidR="000A0CC4" w14:paraId="7162AFFD" w14:textId="77777777" w:rsidTr="00DF3F61">
        <w:trPr>
          <w:trHeight w:val="221"/>
          <w:jc w:val="center"/>
        </w:trPr>
        <w:tc>
          <w:tcPr>
            <w:tcW w:w="2261" w:type="dxa"/>
            <w:vMerge/>
          </w:tcPr>
          <w:p w14:paraId="35D1501D" w14:textId="77777777" w:rsidR="000A0CC4" w:rsidRDefault="000A0CC4" w:rsidP="00DF3F61">
            <w:pPr>
              <w:jc w:val="center"/>
            </w:pPr>
          </w:p>
        </w:tc>
        <w:tc>
          <w:tcPr>
            <w:tcW w:w="2261" w:type="dxa"/>
            <w:shd w:val="clear" w:color="auto" w:fill="CCFFFF"/>
          </w:tcPr>
          <w:p w14:paraId="39FB2DD8" w14:textId="11B64854" w:rsidR="000A0CC4" w:rsidRDefault="00652FD2" w:rsidP="00DF3F61">
            <w:pPr>
              <w:jc w:val="center"/>
            </w:pPr>
            <w:r>
              <w:t>35°C</w:t>
            </w:r>
          </w:p>
        </w:tc>
        <w:tc>
          <w:tcPr>
            <w:tcW w:w="2261" w:type="dxa"/>
            <w:shd w:val="clear" w:color="auto" w:fill="CCFFFF"/>
          </w:tcPr>
          <w:p w14:paraId="741A91FB" w14:textId="7985F2D5" w:rsidR="000A0CC4" w:rsidRDefault="00652FD2" w:rsidP="00DF3F61">
            <w:pPr>
              <w:jc w:val="center"/>
            </w:pPr>
            <w:r>
              <w:t>45°C</w:t>
            </w:r>
          </w:p>
        </w:tc>
        <w:tc>
          <w:tcPr>
            <w:tcW w:w="2263" w:type="dxa"/>
            <w:shd w:val="clear" w:color="auto" w:fill="CCFFFF"/>
          </w:tcPr>
          <w:p w14:paraId="3A5F3435" w14:textId="620DFA49" w:rsidR="000A0CC4" w:rsidRDefault="00652FD2" w:rsidP="00DF3F61">
            <w:pPr>
              <w:jc w:val="center"/>
            </w:pPr>
            <w:r>
              <w:t>55°C</w:t>
            </w:r>
          </w:p>
        </w:tc>
      </w:tr>
      <w:tr w:rsidR="000A0CC4" w14:paraId="424ABB45" w14:textId="77777777" w:rsidTr="00DF3F61">
        <w:trPr>
          <w:trHeight w:val="418"/>
          <w:jc w:val="center"/>
        </w:trPr>
        <w:tc>
          <w:tcPr>
            <w:tcW w:w="2261" w:type="dxa"/>
            <w:shd w:val="clear" w:color="auto" w:fill="FFFFCC"/>
          </w:tcPr>
          <w:p w14:paraId="72067BD6" w14:textId="77777777" w:rsidR="000A0CC4" w:rsidRPr="00781305" w:rsidRDefault="000A0CC4" w:rsidP="00DF3F61">
            <w:pPr>
              <w:jc w:val="center"/>
            </w:pPr>
            <w:r>
              <w:t>T</w:t>
            </w:r>
            <w:r w:rsidRPr="00C93890">
              <w:rPr>
                <w:vertAlign w:val="subscript"/>
              </w:rPr>
              <w:t>0</w:t>
            </w:r>
          </w:p>
        </w:tc>
        <w:tc>
          <w:tcPr>
            <w:tcW w:w="2261" w:type="dxa"/>
            <w:shd w:val="clear" w:color="auto" w:fill="FFFFCC"/>
            <w:vAlign w:val="center"/>
          </w:tcPr>
          <w:p w14:paraId="7DC9B58D" w14:textId="4A964A2B" w:rsidR="000A0CC4" w:rsidRDefault="00652FD2" w:rsidP="00DF3F61">
            <w:pPr>
              <w:jc w:val="center"/>
            </w:pPr>
            <w:r>
              <w:t>0.8</w:t>
            </w:r>
          </w:p>
        </w:tc>
        <w:tc>
          <w:tcPr>
            <w:tcW w:w="2261" w:type="dxa"/>
            <w:shd w:val="clear" w:color="auto" w:fill="FFFFCC"/>
            <w:vAlign w:val="center"/>
          </w:tcPr>
          <w:p w14:paraId="3E46E952" w14:textId="1C8C211F" w:rsidR="000A0CC4" w:rsidRDefault="00652FD2" w:rsidP="00DF3F61">
            <w:pPr>
              <w:jc w:val="center"/>
            </w:pPr>
            <w:r>
              <w:t>0.9</w:t>
            </w:r>
          </w:p>
        </w:tc>
        <w:tc>
          <w:tcPr>
            <w:tcW w:w="2263" w:type="dxa"/>
            <w:shd w:val="clear" w:color="auto" w:fill="FFFFCC"/>
            <w:vAlign w:val="center"/>
          </w:tcPr>
          <w:p w14:paraId="4171B572" w14:textId="08462E3B" w:rsidR="000A0CC4" w:rsidRDefault="00652FD2" w:rsidP="00DF3F61">
            <w:pPr>
              <w:jc w:val="center"/>
            </w:pPr>
            <w:r>
              <w:t>1.3</w:t>
            </w:r>
          </w:p>
        </w:tc>
      </w:tr>
      <w:tr w:rsidR="000A0CC4" w14:paraId="75D7486D" w14:textId="77777777" w:rsidTr="00DF3F61">
        <w:trPr>
          <w:trHeight w:val="396"/>
          <w:jc w:val="center"/>
        </w:trPr>
        <w:tc>
          <w:tcPr>
            <w:tcW w:w="2261" w:type="dxa"/>
            <w:shd w:val="clear" w:color="auto" w:fill="FFFFCC"/>
          </w:tcPr>
          <w:p w14:paraId="47FF0C46" w14:textId="77777777" w:rsidR="000A0CC4" w:rsidRDefault="000A0CC4" w:rsidP="00DF3F61">
            <w:pPr>
              <w:jc w:val="center"/>
            </w:pPr>
            <w:r>
              <w:t>T</w:t>
            </w:r>
            <w:r w:rsidRPr="00C93890">
              <w:rPr>
                <w:vertAlign w:val="subscript"/>
              </w:rPr>
              <w:t>1</w:t>
            </w:r>
          </w:p>
        </w:tc>
        <w:tc>
          <w:tcPr>
            <w:tcW w:w="2261" w:type="dxa"/>
            <w:shd w:val="clear" w:color="auto" w:fill="FFFFCC"/>
            <w:vAlign w:val="center"/>
          </w:tcPr>
          <w:p w14:paraId="1E86BAD7" w14:textId="01365DD4" w:rsidR="000A0CC4" w:rsidRDefault="00455403" w:rsidP="00DF3F61">
            <w:pPr>
              <w:jc w:val="center"/>
            </w:pPr>
            <w:r>
              <w:t>0.28</w:t>
            </w:r>
          </w:p>
        </w:tc>
        <w:tc>
          <w:tcPr>
            <w:tcW w:w="2261" w:type="dxa"/>
            <w:shd w:val="clear" w:color="auto" w:fill="FFFFCC"/>
            <w:vAlign w:val="center"/>
          </w:tcPr>
          <w:p w14:paraId="31BA82AD" w14:textId="40A4F5B8" w:rsidR="000A0CC4" w:rsidRDefault="00455403" w:rsidP="00DF3F61">
            <w:pPr>
              <w:jc w:val="center"/>
            </w:pPr>
            <w:r>
              <w:t>0.39</w:t>
            </w:r>
          </w:p>
        </w:tc>
        <w:tc>
          <w:tcPr>
            <w:tcW w:w="2263" w:type="dxa"/>
            <w:shd w:val="clear" w:color="auto" w:fill="FFFFCC"/>
            <w:vAlign w:val="center"/>
          </w:tcPr>
          <w:p w14:paraId="5B340601" w14:textId="6830AF72" w:rsidR="000A0CC4" w:rsidRDefault="00455403" w:rsidP="00DF3F61">
            <w:pPr>
              <w:jc w:val="center"/>
            </w:pPr>
            <w:r>
              <w:t>0.48</w:t>
            </w:r>
          </w:p>
        </w:tc>
      </w:tr>
      <w:tr w:rsidR="000A0CC4" w14:paraId="12AD2425" w14:textId="77777777" w:rsidTr="00DF3F61">
        <w:trPr>
          <w:trHeight w:val="396"/>
          <w:jc w:val="center"/>
        </w:trPr>
        <w:tc>
          <w:tcPr>
            <w:tcW w:w="2261" w:type="dxa"/>
            <w:shd w:val="clear" w:color="auto" w:fill="FFFFCC"/>
          </w:tcPr>
          <w:p w14:paraId="5F02654C" w14:textId="77777777" w:rsidR="000A0CC4" w:rsidRDefault="000A0CC4" w:rsidP="00DF3F61">
            <w:pPr>
              <w:jc w:val="center"/>
            </w:pPr>
            <w:r>
              <w:t>T</w:t>
            </w:r>
            <w:r w:rsidRPr="00C93890">
              <w:rPr>
                <w:vertAlign w:val="subscript"/>
              </w:rPr>
              <w:t>2</w:t>
            </w:r>
          </w:p>
        </w:tc>
        <w:tc>
          <w:tcPr>
            <w:tcW w:w="2261" w:type="dxa"/>
            <w:shd w:val="clear" w:color="auto" w:fill="FFFFCC"/>
            <w:vAlign w:val="center"/>
          </w:tcPr>
          <w:p w14:paraId="79F4FD6E" w14:textId="21ABB838" w:rsidR="000A0CC4" w:rsidRDefault="00455403" w:rsidP="00DF3F61">
            <w:pPr>
              <w:jc w:val="center"/>
            </w:pPr>
            <w:r>
              <w:t>0.17</w:t>
            </w:r>
          </w:p>
        </w:tc>
        <w:tc>
          <w:tcPr>
            <w:tcW w:w="2261" w:type="dxa"/>
            <w:shd w:val="clear" w:color="auto" w:fill="FFFFCC"/>
            <w:vAlign w:val="center"/>
          </w:tcPr>
          <w:p w14:paraId="46AB6995" w14:textId="71A75B20" w:rsidR="000A0CC4" w:rsidRDefault="00455403" w:rsidP="00DF3F61">
            <w:pPr>
              <w:jc w:val="center"/>
            </w:pPr>
            <w:r>
              <w:t>0.24</w:t>
            </w:r>
          </w:p>
        </w:tc>
        <w:tc>
          <w:tcPr>
            <w:tcW w:w="2263" w:type="dxa"/>
            <w:shd w:val="clear" w:color="auto" w:fill="FFFFCC"/>
            <w:vAlign w:val="center"/>
          </w:tcPr>
          <w:p w14:paraId="38FE6673" w14:textId="7AB7D0B8" w:rsidR="000A0CC4" w:rsidRDefault="00455403" w:rsidP="00DF3F61">
            <w:pPr>
              <w:jc w:val="center"/>
            </w:pPr>
            <w:r>
              <w:t>0.30</w:t>
            </w:r>
          </w:p>
        </w:tc>
      </w:tr>
    </w:tbl>
    <w:p w14:paraId="1750552B" w14:textId="5E26BB59" w:rsidR="000A0CC4" w:rsidRDefault="000A0CC4" w:rsidP="000A0CC4">
      <w:pPr>
        <w:pStyle w:val="Caption"/>
        <w:jc w:val="center"/>
      </w:pPr>
      <w:bookmarkStart w:id="12" w:name="_Toc183519294"/>
      <w:r>
        <w:t xml:space="preserve">Table </w:t>
      </w:r>
      <w:r>
        <w:fldChar w:fldCharType="begin"/>
      </w:r>
      <w:r>
        <w:instrText xml:space="preserve"> SEQ Table \* ARABIC </w:instrText>
      </w:r>
      <w:r>
        <w:fldChar w:fldCharType="separate"/>
      </w:r>
      <w:r w:rsidR="007E6D5B">
        <w:rPr>
          <w:noProof/>
        </w:rPr>
        <w:t>2</w:t>
      </w:r>
      <w:r>
        <w:fldChar w:fldCharType="end"/>
      </w:r>
      <w:r>
        <w:t xml:space="preserve"> - Rates of gas generation vs </w:t>
      </w:r>
      <w:r w:rsidR="00114C91">
        <w:t>Temperature</w:t>
      </w:r>
      <w:bookmarkEnd w:id="12"/>
    </w:p>
    <w:p w14:paraId="52CE23A9" w14:textId="2F97AD26" w:rsidR="00114C91" w:rsidRDefault="00114C91">
      <w:r>
        <w:br w:type="page"/>
      </w:r>
    </w:p>
    <w:p w14:paraId="6776E06C" w14:textId="41B78B5F" w:rsidR="00114C91" w:rsidRDefault="00114C91" w:rsidP="00114C91">
      <w:pPr>
        <w:pStyle w:val="Heading2"/>
      </w:pPr>
      <w:bookmarkStart w:id="13" w:name="_Toc183519267"/>
      <w:r w:rsidRPr="006B123A">
        <w:lastRenderedPageBreak/>
        <w:t xml:space="preserve">Results for Rates of Reaction versus </w:t>
      </w:r>
      <w:r w:rsidR="003E241D">
        <w:t>Surface Area</w:t>
      </w:r>
      <w:bookmarkEnd w:id="13"/>
    </w:p>
    <w:p w14:paraId="568C8818" w14:textId="77777777" w:rsidR="00114C91" w:rsidRDefault="00114C91" w:rsidP="00114C91"/>
    <w:p w14:paraId="684DDA08" w14:textId="3F0C8C58" w:rsidR="00114C91" w:rsidRDefault="00114C91" w:rsidP="00114C91">
      <w:r>
        <w:rPr>
          <w:noProof/>
        </w:rPr>
        <mc:AlternateContent>
          <mc:Choice Requires="wps">
            <w:drawing>
              <wp:anchor distT="45720" distB="45720" distL="114300" distR="114300" simplePos="0" relativeHeight="251698176" behindDoc="0" locked="0" layoutInCell="1" allowOverlap="1" wp14:anchorId="4F71AF86" wp14:editId="5767753B">
                <wp:simplePos x="0" y="0"/>
                <wp:positionH relativeFrom="margin">
                  <wp:align>right</wp:align>
                </wp:positionH>
                <wp:positionV relativeFrom="paragraph">
                  <wp:posOffset>652780</wp:posOffset>
                </wp:positionV>
                <wp:extent cx="5718810" cy="3709035"/>
                <wp:effectExtent l="0" t="0" r="15240" b="24765"/>
                <wp:wrapTopAndBottom/>
                <wp:docPr id="2079639172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5718810" cy="3709358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321F928A" w14:textId="56FC662C" w:rsidR="00114C91" w:rsidRDefault="00815071" w:rsidP="00114C91">
                            <w:r>
                              <w:rPr>
                                <w:noProof/>
                              </w:rPr>
                              <w:drawing>
                                <wp:inline distT="0" distB="0" distL="0" distR="0" wp14:anchorId="2BE87B7B" wp14:editId="5DC55F07">
                                  <wp:extent cx="5623560" cy="3674853"/>
                                  <wp:effectExtent l="0" t="0" r="15240" b="1905"/>
                                  <wp:docPr id="1108748216" name="Chart 1">
                                    <a:extLst xmlns:a="http://schemas.openxmlformats.org/drawingml/2006/main">
                                      <a:ext uri="{FF2B5EF4-FFF2-40B4-BE49-F238E27FC236}">
                                        <a16:creationId xmlns:a16="http://schemas.microsoft.com/office/drawing/2014/main" id="{0AF586AB-F4A3-88E1-819C-509FFAD25443}"/>
                                      </a:ext>
                                    </a:extLst>
                                  </wp:docPr>
                                  <wp:cNvGraphicFramePr/>
                                  <a:graphic xmlns:a="http://schemas.openxmlformats.org/drawingml/2006/main">
                                    <a:graphicData uri="http://schemas.openxmlformats.org/drawingml/2006/chart">
                                      <c:chart xmlns:c="http://schemas.openxmlformats.org/drawingml/2006/chart" xmlns:r="http://schemas.openxmlformats.org/officeDocument/2006/relationships" r:id="rId16"/>
                                    </a:graphicData>
                                  </a:graphic>
                                </wp:inline>
                              </w:drawing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4F71AF86" id="_x0000_s1030" type="#_x0000_t202" style="position:absolute;margin-left:399.1pt;margin-top:51.4pt;width:450.3pt;height:292.05pt;z-index:251698176;visibility:visible;mso-wrap-style:square;mso-width-percent:0;mso-height-percent:0;mso-wrap-distance-left:9pt;mso-wrap-distance-top:3.6pt;mso-wrap-distance-right:9pt;mso-wrap-distance-bottom:3.6pt;mso-position-horizontal:right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">
                <v:textbox>
                  <w:txbxContent>
                    <w:p w14:paraId="321F928A" w14:textId="56FC662C" w:rsidR="00114C91" w:rsidRDefault="00815071" w:rsidP="00114C91">
                      <w:r>
                        <w:rPr>
                          <w:noProof/>
                        </w:rPr>
                        <w:drawing>
                          <wp:inline distT="0" distB="0" distL="0" distR="0" wp14:anchorId="2BE87B7B" wp14:editId="5DC55F07">
                            <wp:extent cx="5623560" cy="3674853"/>
                            <wp:effectExtent l="0" t="0" r="15240" b="1905"/>
                            <wp:docPr id="1108748216" name="Chart 1">
                              <a:extLst xmlns:a="http://schemas.openxmlformats.org/drawingml/2006/main">
                                <a:ext uri="{FF2B5EF4-FFF2-40B4-BE49-F238E27FC236}">
                                  <a16:creationId xmlns:a16="http://schemas.microsoft.com/office/drawing/2014/main" id="{0AF586AB-F4A3-88E1-819C-509FFAD25443}"/>
                                </a:ext>
                              </a:extLst>
                            </wp:docPr>
                            <wp:cNvGraphicFramePr/>
                            <a:graphic xmlns:a="http://schemas.openxmlformats.org/drawingml/2006/main">
                              <a:graphicData uri="http://schemas.openxmlformats.org/drawingml/2006/chart">
                                <c:chart xmlns:c="http://schemas.openxmlformats.org/drawingml/2006/chart" xmlns:r="http://schemas.openxmlformats.org/officeDocument/2006/relationships" r:id="rId17"/>
                              </a:graphicData>
                            </a:graphic>
                          </wp:inline>
                        </w:drawing>
                      </w:r>
                    </w:p>
                  </w:txbxContent>
                </v:textbox>
                <w10:wrap type="topAndBottom" anchorx="margin"/>
              </v:shape>
            </w:pict>
          </mc:Fallback>
        </mc:AlternateContent>
      </w:r>
      <w:r>
        <w:t xml:space="preserve">The </w:t>
      </w:r>
      <w:r w:rsidR="003E241D">
        <w:t>third</w:t>
      </w:r>
      <w:r>
        <w:t xml:space="preserve"> experimental set up amended the variable from </w:t>
      </w:r>
      <w:r w:rsidR="003E241D">
        <w:t>temperature</w:t>
      </w:r>
      <w:r>
        <w:t xml:space="preserve"> to change of </w:t>
      </w:r>
      <w:r w:rsidR="00D60FDC">
        <w:t>surface area of the reactant</w:t>
      </w:r>
      <w:r>
        <w:t xml:space="preserve">. The results are detailed </w:t>
      </w:r>
      <w:proofErr w:type="gramStart"/>
      <w:r>
        <w:t>below;</w:t>
      </w:r>
      <w:proofErr w:type="gramEnd"/>
    </w:p>
    <w:p w14:paraId="0DB25288" w14:textId="62E2EDD1" w:rsidR="00114C91" w:rsidRDefault="00114C91" w:rsidP="00114C91">
      <w:pPr>
        <w:pStyle w:val="Caption"/>
        <w:jc w:val="center"/>
      </w:pPr>
      <w:bookmarkStart w:id="14" w:name="_Toc183519284"/>
      <w:r>
        <w:t xml:space="preserve">Figure </w:t>
      </w:r>
      <w:r>
        <w:fldChar w:fldCharType="begin"/>
      </w:r>
      <w:r>
        <w:instrText xml:space="preserve"> SEQ Figure \* ARABIC </w:instrText>
      </w:r>
      <w:r>
        <w:fldChar w:fldCharType="separate"/>
      </w:r>
      <w:r w:rsidR="007E6D5B">
        <w:rPr>
          <w:noProof/>
        </w:rPr>
        <w:t>5</w:t>
      </w:r>
      <w:r>
        <w:fldChar w:fldCharType="end"/>
      </w:r>
      <w:r>
        <w:t xml:space="preserve"> - Effect of </w:t>
      </w:r>
      <w:r w:rsidR="00D60FDC">
        <w:t>Surface Area</w:t>
      </w:r>
      <w:bookmarkEnd w:id="14"/>
    </w:p>
    <w:p w14:paraId="0D14D4EC" w14:textId="77777777" w:rsidR="00114C91" w:rsidRDefault="00114C91" w:rsidP="00114C91">
      <w:r>
        <w:t>For each temperature that was tested, the gradient of hydrogen gas generation was analysed at three time points. First at T</w:t>
      </w:r>
      <w:r w:rsidRPr="00C47470">
        <w:rPr>
          <w:vertAlign w:val="subscript"/>
        </w:rPr>
        <w:t>0</w:t>
      </w:r>
      <w:r>
        <w:t>, at the point where the rate is at its greatest or the instantaneous rate, then T</w:t>
      </w:r>
      <w:r w:rsidRPr="003A4717">
        <w:rPr>
          <w:vertAlign w:val="subscript"/>
        </w:rPr>
        <w:t>1</w:t>
      </w:r>
      <w:r>
        <w:t xml:space="preserve"> at 50% of the reaction duration and finally at the end point of the reaction, T</w:t>
      </w:r>
      <w:r w:rsidRPr="00914087">
        <w:rPr>
          <w:vertAlign w:val="subscript"/>
        </w:rPr>
        <w:t>3</w:t>
      </w:r>
      <w:r>
        <w:t xml:space="preserve">, where the reaction has run to completion. </w:t>
      </w:r>
    </w:p>
    <w:tbl>
      <w:tblPr>
        <w:tblStyle w:val="TableGrid"/>
        <w:tblW w:w="9016" w:type="dxa"/>
        <w:tblLook w:val="04A0" w:firstRow="1" w:lastRow="0" w:firstColumn="1" w:lastColumn="0" w:noHBand="0" w:noVBand="1"/>
      </w:tblPr>
      <w:tblGrid>
        <w:gridCol w:w="4508"/>
        <w:gridCol w:w="4508"/>
      </w:tblGrid>
      <w:tr w:rsidR="00036BC5" w14:paraId="726A2C12" w14:textId="77777777" w:rsidTr="00036BC5">
        <w:tc>
          <w:tcPr>
            <w:tcW w:w="4508" w:type="dxa"/>
            <w:shd w:val="clear" w:color="auto" w:fill="CCFFFF"/>
          </w:tcPr>
          <w:p w14:paraId="69009D16" w14:textId="3A78E817" w:rsidR="00036BC5" w:rsidRDefault="00036BC5" w:rsidP="00036BC5">
            <w:pPr>
              <w:jc w:val="center"/>
            </w:pPr>
            <w:r>
              <w:t>Gradient Point</w:t>
            </w:r>
          </w:p>
        </w:tc>
        <w:tc>
          <w:tcPr>
            <w:tcW w:w="4508" w:type="dxa"/>
            <w:shd w:val="clear" w:color="auto" w:fill="CCFFFF"/>
          </w:tcPr>
          <w:p w14:paraId="566817E9" w14:textId="141D2D1F" w:rsidR="00036BC5" w:rsidRDefault="00036BC5" w:rsidP="00036BC5">
            <w:pPr>
              <w:jc w:val="center"/>
            </w:pPr>
            <w:r>
              <w:t>Hydrogen Generation (cm</w:t>
            </w:r>
            <w:r w:rsidRPr="00036BC5">
              <w:rPr>
                <w:vertAlign w:val="superscript"/>
              </w:rPr>
              <w:t>3</w:t>
            </w:r>
            <w:r>
              <w:t>.s</w:t>
            </w:r>
            <w:r w:rsidRPr="00036BC5">
              <w:rPr>
                <w:vertAlign w:val="superscript"/>
              </w:rPr>
              <w:t>-1</w:t>
            </w:r>
            <w:r>
              <w:t>)</w:t>
            </w:r>
          </w:p>
        </w:tc>
      </w:tr>
      <w:tr w:rsidR="00036BC5" w14:paraId="5F5E5927" w14:textId="77777777" w:rsidTr="00036BC5">
        <w:tc>
          <w:tcPr>
            <w:tcW w:w="4508" w:type="dxa"/>
            <w:shd w:val="clear" w:color="auto" w:fill="FFFFCC"/>
          </w:tcPr>
          <w:p w14:paraId="34E3DAB6" w14:textId="4B6C88BB" w:rsidR="00036BC5" w:rsidRDefault="00036BC5" w:rsidP="00036BC5">
            <w:pPr>
              <w:jc w:val="center"/>
            </w:pPr>
            <w:r>
              <w:t>T</w:t>
            </w:r>
            <w:r w:rsidRPr="00C93890">
              <w:rPr>
                <w:vertAlign w:val="subscript"/>
              </w:rPr>
              <w:t>0</w:t>
            </w:r>
          </w:p>
        </w:tc>
        <w:tc>
          <w:tcPr>
            <w:tcW w:w="4508" w:type="dxa"/>
            <w:shd w:val="clear" w:color="auto" w:fill="FFFFCC"/>
          </w:tcPr>
          <w:p w14:paraId="02931376" w14:textId="018C41A2" w:rsidR="00036BC5" w:rsidRDefault="003E7BFC" w:rsidP="00036BC5">
            <w:pPr>
              <w:jc w:val="center"/>
            </w:pPr>
            <w:r>
              <w:t>1.50</w:t>
            </w:r>
          </w:p>
        </w:tc>
      </w:tr>
      <w:tr w:rsidR="00036BC5" w14:paraId="2B31FD67" w14:textId="77777777" w:rsidTr="00036BC5">
        <w:tc>
          <w:tcPr>
            <w:tcW w:w="4508" w:type="dxa"/>
            <w:shd w:val="clear" w:color="auto" w:fill="FFFFCC"/>
          </w:tcPr>
          <w:p w14:paraId="693999BC" w14:textId="1DC647A0" w:rsidR="00036BC5" w:rsidRDefault="00036BC5" w:rsidP="00036BC5">
            <w:pPr>
              <w:jc w:val="center"/>
            </w:pPr>
            <w:r>
              <w:t>T</w:t>
            </w:r>
            <w:r w:rsidRPr="00C93890">
              <w:rPr>
                <w:vertAlign w:val="subscript"/>
              </w:rPr>
              <w:t>1</w:t>
            </w:r>
          </w:p>
        </w:tc>
        <w:tc>
          <w:tcPr>
            <w:tcW w:w="4508" w:type="dxa"/>
            <w:shd w:val="clear" w:color="auto" w:fill="FFFFCC"/>
          </w:tcPr>
          <w:p w14:paraId="27B378E7" w14:textId="1D30B7CB" w:rsidR="00036BC5" w:rsidRDefault="003E7BFC" w:rsidP="00036BC5">
            <w:pPr>
              <w:jc w:val="center"/>
            </w:pPr>
            <w:r>
              <w:t>0.60</w:t>
            </w:r>
          </w:p>
        </w:tc>
      </w:tr>
      <w:tr w:rsidR="00036BC5" w14:paraId="375458B6" w14:textId="77777777" w:rsidTr="00036BC5">
        <w:tc>
          <w:tcPr>
            <w:tcW w:w="4508" w:type="dxa"/>
            <w:shd w:val="clear" w:color="auto" w:fill="FFFFCC"/>
          </w:tcPr>
          <w:p w14:paraId="33B958E4" w14:textId="5AB688DC" w:rsidR="00036BC5" w:rsidRDefault="00036BC5" w:rsidP="00036BC5">
            <w:pPr>
              <w:jc w:val="center"/>
            </w:pPr>
            <w:r>
              <w:t>T</w:t>
            </w:r>
            <w:r w:rsidRPr="00C93890">
              <w:rPr>
                <w:vertAlign w:val="subscript"/>
              </w:rPr>
              <w:t>2</w:t>
            </w:r>
          </w:p>
        </w:tc>
        <w:tc>
          <w:tcPr>
            <w:tcW w:w="4508" w:type="dxa"/>
            <w:shd w:val="clear" w:color="auto" w:fill="FFFFCC"/>
          </w:tcPr>
          <w:p w14:paraId="381FCEFC" w14:textId="645A4043" w:rsidR="00036BC5" w:rsidRDefault="003E7BFC" w:rsidP="00036BC5">
            <w:pPr>
              <w:jc w:val="center"/>
            </w:pPr>
            <w:r>
              <w:t>0.34</w:t>
            </w:r>
          </w:p>
        </w:tc>
      </w:tr>
    </w:tbl>
    <w:p w14:paraId="2EC4D024" w14:textId="72A30488" w:rsidR="00114C91" w:rsidRDefault="00114C91" w:rsidP="00114C91">
      <w:pPr>
        <w:pStyle w:val="Caption"/>
        <w:jc w:val="center"/>
      </w:pPr>
      <w:bookmarkStart w:id="15" w:name="_Toc183519295"/>
      <w:r>
        <w:t xml:space="preserve">Table </w:t>
      </w:r>
      <w:r>
        <w:fldChar w:fldCharType="begin"/>
      </w:r>
      <w:r>
        <w:instrText xml:space="preserve"> SEQ Table \* ARABIC </w:instrText>
      </w:r>
      <w:r>
        <w:fldChar w:fldCharType="separate"/>
      </w:r>
      <w:r w:rsidR="007E6D5B">
        <w:rPr>
          <w:noProof/>
        </w:rPr>
        <w:t>3</w:t>
      </w:r>
      <w:r>
        <w:fldChar w:fldCharType="end"/>
      </w:r>
      <w:r>
        <w:t xml:space="preserve"> - Rates of </w:t>
      </w:r>
      <w:r w:rsidR="00CF00F7">
        <w:t>surface area</w:t>
      </w:r>
      <w:r>
        <w:t xml:space="preserve"> vs Temperature</w:t>
      </w:r>
      <w:bookmarkEnd w:id="15"/>
    </w:p>
    <w:p w14:paraId="68DA5D39" w14:textId="4D51E1B9" w:rsidR="002835F6" w:rsidRDefault="002835F6">
      <w:r>
        <w:br w:type="page"/>
      </w:r>
    </w:p>
    <w:p w14:paraId="594D5EF5" w14:textId="1B1AC869" w:rsidR="000A0CC4" w:rsidRDefault="00CF00F7" w:rsidP="002835F6">
      <w:pPr>
        <w:pStyle w:val="Heading2"/>
      </w:pPr>
      <w:bookmarkStart w:id="16" w:name="_Toc183519268"/>
      <w:r>
        <w:lastRenderedPageBreak/>
        <w:t xml:space="preserve">Duration of </w:t>
      </w:r>
      <w:r w:rsidR="00C22022">
        <w:t>Reaction</w:t>
      </w:r>
      <w:r w:rsidR="00714E7B">
        <w:t>s</w:t>
      </w:r>
      <w:bookmarkEnd w:id="16"/>
    </w:p>
    <w:p w14:paraId="725A23AA" w14:textId="77777777" w:rsidR="00714E7B" w:rsidRDefault="00714E7B" w:rsidP="00714E7B"/>
    <w:p w14:paraId="1DE0F496" w14:textId="7286E47C" w:rsidR="00714E7B" w:rsidRDefault="00A13D07" w:rsidP="00714E7B">
      <w:r>
        <w:t xml:space="preserve">The duration of each reaction was timed </w:t>
      </w:r>
      <w:r w:rsidR="006D0BE1">
        <w:t xml:space="preserve">based on no </w:t>
      </w:r>
      <w:r w:rsidR="002F0FC5">
        <w:t>visible</w:t>
      </w:r>
      <w:r w:rsidR="006D0BE1">
        <w:t xml:space="preserve"> evidence of hydrogen gas generation</w:t>
      </w:r>
      <w:r w:rsidR="009E35C0">
        <w:t xml:space="preserve"> from the magnesium samples</w:t>
      </w:r>
      <w:r w:rsidR="00DC0638">
        <w:t xml:space="preserve"> being further generated</w:t>
      </w:r>
      <w:r w:rsidR="009E35C0">
        <w:t xml:space="preserve">. </w:t>
      </w:r>
      <w:r w:rsidR="00714201">
        <w:t>From these observations</w:t>
      </w:r>
      <w:r w:rsidR="00E94192">
        <w:t xml:space="preserve">, </w:t>
      </w:r>
      <w:r w:rsidR="00DC0638">
        <w:t>cal</w:t>
      </w:r>
      <w:r w:rsidR="008938CE">
        <w:t xml:space="preserve">culations were undertaken to determine the instantaneous rate, the </w:t>
      </w:r>
      <w:r w:rsidR="006A0EA6">
        <w:t xml:space="preserve">rate of reaction at the mid-point of the reaction and finally the </w:t>
      </w:r>
      <w:r w:rsidR="00D964C1">
        <w:t>average rate of the whole reaction</w:t>
      </w:r>
      <w:r w:rsidR="005B6588">
        <w:t>.</w:t>
      </w:r>
      <w:r w:rsidR="00D964C1">
        <w:t xml:space="preserve"> </w:t>
      </w:r>
    </w:p>
    <w:p w14:paraId="03A8B9A6" w14:textId="14333C48" w:rsidR="000F73FA" w:rsidRDefault="005B6588" w:rsidP="00714E7B">
      <w:r>
        <w:t>To</w:t>
      </w:r>
      <w:r w:rsidR="009155C1">
        <w:t xml:space="preserve"> do this, Equation 2 was utilised for each </w:t>
      </w:r>
      <w:r w:rsidR="000A1FC0">
        <w:t>data point for each experiment</w:t>
      </w:r>
      <w:r w:rsidR="001A2D03">
        <w:t>, giving</w:t>
      </w:r>
      <w:r w:rsidR="001C0414">
        <w:t xml:space="preserve"> the data in Tables 1 – 3. </w:t>
      </w:r>
      <w:r w:rsidR="00091C36">
        <w:t xml:space="preserve">An example of the calculations is given </w:t>
      </w:r>
      <w:r w:rsidR="007C6C82">
        <w:t>in Equation 3</w:t>
      </w:r>
      <w:r w:rsidR="00091C36">
        <w:t xml:space="preserve"> for the instantaneous rate </w:t>
      </w:r>
      <w:r w:rsidR="000F73FA">
        <w:t>of the 1.0M concentration at ambient temperature.</w:t>
      </w:r>
    </w:p>
    <w:p w14:paraId="515710D8" w14:textId="7AE6C5A1" w:rsidR="009155C1" w:rsidRPr="00714E7B" w:rsidRDefault="009155C1" w:rsidP="00714E7B"/>
    <w:p w14:paraId="05FBE317" w14:textId="23BF8F76" w:rsidR="00B62569" w:rsidRPr="0040043A" w:rsidRDefault="00000000" w:rsidP="0026270B">
      <w:pPr>
        <w:rPr>
          <w:rFonts w:eastAsiaTheme="minorEastAsia"/>
        </w:rPr>
      </w:pPr>
      <m:oMathPara>
        <m:oMath>
          <m:f>
            <m:fPr>
              <m:ctrlPr>
                <w:rPr>
                  <w:rFonts w:ascii="Cambria Math" w:hAnsi="Cambria Math"/>
                  <w:i/>
                </w:rPr>
              </m:ctrlPr>
            </m:fPr>
            <m:num>
              <m:sSub>
                <m:sSubPr>
                  <m:ctrlPr>
                    <w:rPr>
                      <w:rFonts w:ascii="Cambria Math" w:hAnsi="Cambria Math"/>
                      <w:i/>
                    </w:rPr>
                  </m:ctrlPr>
                </m:sSubPr>
                <m:e>
                  <m:r>
                    <w:rPr>
                      <w:rFonts w:ascii="Cambria Math" w:hAnsi="Cambria Math"/>
                    </w:rPr>
                    <m:t>ΔV</m:t>
                  </m:r>
                </m:e>
                <m:sub>
                  <m:r>
                    <w:rPr>
                      <w:rFonts w:ascii="Cambria Math" w:hAnsi="Cambria Math"/>
                    </w:rPr>
                    <m:t>H2</m:t>
                  </m:r>
                </m:sub>
              </m:sSub>
            </m:num>
            <m:den>
              <m:r>
                <w:rPr>
                  <w:rFonts w:ascii="Cambria Math" w:hAnsi="Cambria Math"/>
                </w:rPr>
                <m:t>Δt</m:t>
              </m:r>
            </m:den>
          </m:f>
          <m:r>
            <w:rPr>
              <w:rFonts w:ascii="Cambria Math" w:hAnsi="Cambria Math"/>
            </w:rPr>
            <m:t xml:space="preserve">= </m:t>
          </m:r>
          <m:f>
            <m:fPr>
              <m:ctrlPr>
                <w:rPr>
                  <w:rFonts w:ascii="Cambria Math" w:hAnsi="Cambria Math"/>
                  <w:i/>
                </w:rPr>
              </m:ctrlPr>
            </m:fPr>
            <m:num>
              <m:r>
                <w:rPr>
                  <w:rFonts w:ascii="Cambria Math" w:hAnsi="Cambria Math"/>
                </w:rPr>
                <m:t>15- 0</m:t>
              </m:r>
            </m:num>
            <m:den>
              <m:r>
                <w:rPr>
                  <w:rFonts w:ascii="Cambria Math" w:hAnsi="Cambria Math"/>
                </w:rPr>
                <m:t>10- 0</m:t>
              </m:r>
            </m:den>
          </m:f>
          <m:r>
            <w:rPr>
              <w:rFonts w:ascii="Cambria Math" w:hAnsi="Cambria Math"/>
            </w:rPr>
            <m:t>=</m:t>
          </m:r>
          <m:f>
            <m:fPr>
              <m:ctrlPr>
                <w:rPr>
                  <w:rFonts w:ascii="Cambria Math" w:hAnsi="Cambria Math"/>
                  <w:i/>
                </w:rPr>
              </m:ctrlPr>
            </m:fPr>
            <m:num>
              <m:r>
                <w:rPr>
                  <w:rFonts w:ascii="Cambria Math" w:hAnsi="Cambria Math"/>
                </w:rPr>
                <m:t>15</m:t>
              </m:r>
            </m:num>
            <m:den>
              <m:r>
                <w:rPr>
                  <w:rFonts w:ascii="Cambria Math" w:hAnsi="Cambria Math"/>
                </w:rPr>
                <m:t>10</m:t>
              </m:r>
            </m:den>
          </m:f>
          <m:r>
            <w:rPr>
              <w:rFonts w:ascii="Cambria Math" w:hAnsi="Cambria Math"/>
            </w:rPr>
            <m:t>=1.5 (</m:t>
          </m:r>
          <m:sSup>
            <m:sSupPr>
              <m:ctrlPr>
                <w:rPr>
                  <w:rFonts w:ascii="Cambria Math" w:hAnsi="Cambria Math"/>
                  <w:i/>
                </w:rPr>
              </m:ctrlPr>
            </m:sSupPr>
            <m:e>
              <m:r>
                <w:rPr>
                  <w:rFonts w:ascii="Cambria Math" w:hAnsi="Cambria Math"/>
                </w:rPr>
                <m:t>cm</m:t>
              </m:r>
            </m:e>
            <m:sup>
              <m:r>
                <w:rPr>
                  <w:rFonts w:ascii="Cambria Math" w:hAnsi="Cambria Math"/>
                </w:rPr>
                <m:t>3</m:t>
              </m:r>
            </m:sup>
          </m:sSup>
          <m:r>
            <w:rPr>
              <w:rFonts w:ascii="Cambria Math" w:hAnsi="Cambria Math"/>
            </w:rPr>
            <m:t>.</m:t>
          </m:r>
          <m:sSup>
            <m:sSupPr>
              <m:ctrlPr>
                <w:rPr>
                  <w:rFonts w:ascii="Cambria Math" w:hAnsi="Cambria Math"/>
                  <w:i/>
                </w:rPr>
              </m:ctrlPr>
            </m:sSupPr>
            <m:e>
              <m:r>
                <w:rPr>
                  <w:rFonts w:ascii="Cambria Math" w:hAnsi="Cambria Math"/>
                </w:rPr>
                <m:t>s</m:t>
              </m:r>
            </m:e>
            <m:sup>
              <m:r>
                <w:rPr>
                  <w:rFonts w:ascii="Cambria Math" w:hAnsi="Cambria Math"/>
                </w:rPr>
                <m:t>-1</m:t>
              </m:r>
            </m:sup>
          </m:sSup>
          <m:r>
            <w:rPr>
              <w:rFonts w:ascii="Cambria Math" w:hAnsi="Cambria Math"/>
            </w:rPr>
            <m:t>)</m:t>
          </m:r>
        </m:oMath>
      </m:oMathPara>
    </w:p>
    <w:p w14:paraId="319C5E9B" w14:textId="4087C87D" w:rsidR="0040043A" w:rsidRDefault="0040043A" w:rsidP="0040043A">
      <w:pPr>
        <w:pStyle w:val="Caption"/>
        <w:jc w:val="center"/>
      </w:pPr>
      <w:r>
        <w:t xml:space="preserve">Equation </w:t>
      </w:r>
      <w:r>
        <w:fldChar w:fldCharType="begin"/>
      </w:r>
      <w:r>
        <w:instrText xml:space="preserve"> SEQ Equation \* ARABIC </w:instrText>
      </w:r>
      <w:r>
        <w:fldChar w:fldCharType="separate"/>
      </w:r>
      <w:r w:rsidR="007E6D5B">
        <w:rPr>
          <w:noProof/>
        </w:rPr>
        <w:t>3</w:t>
      </w:r>
      <w:r>
        <w:fldChar w:fldCharType="end"/>
      </w:r>
      <w:r>
        <w:t xml:space="preserve"> - Example calculation for rates of reaction.</w:t>
      </w:r>
    </w:p>
    <w:p w14:paraId="3939612B" w14:textId="6C43DF81" w:rsidR="00DD04AC" w:rsidRDefault="00DD04AC">
      <w:pPr>
        <w:rPr>
          <w:highlight w:val="yellow"/>
        </w:rPr>
      </w:pPr>
      <w:r>
        <w:rPr>
          <w:highlight w:val="yellow"/>
        </w:rPr>
        <w:br w:type="page"/>
      </w:r>
    </w:p>
    <w:p w14:paraId="2140BBE7" w14:textId="57106A93" w:rsidR="00EE3C5C" w:rsidRPr="005504F3" w:rsidRDefault="009E130F" w:rsidP="00EE3C5C">
      <w:pPr>
        <w:pStyle w:val="Heading1"/>
      </w:pPr>
      <w:bookmarkStart w:id="17" w:name="_Toc183519269"/>
      <w:r w:rsidRPr="005504F3">
        <w:lastRenderedPageBreak/>
        <w:t>Discussion</w:t>
      </w:r>
      <w:bookmarkEnd w:id="17"/>
    </w:p>
    <w:p w14:paraId="78CF7409" w14:textId="64A9F9C2" w:rsidR="00EE3C5C" w:rsidRPr="005504F3" w:rsidRDefault="00B519AE" w:rsidP="00A964D1">
      <w:pPr>
        <w:pStyle w:val="Heading2"/>
      </w:pPr>
      <w:bookmarkStart w:id="18" w:name="_Ref172534016"/>
      <w:bookmarkStart w:id="19" w:name="_Toc183519270"/>
      <w:r w:rsidRPr="005504F3">
        <w:t>Interpretation</w:t>
      </w:r>
      <w:bookmarkEnd w:id="18"/>
      <w:bookmarkEnd w:id="19"/>
    </w:p>
    <w:p w14:paraId="050DBAF4" w14:textId="77777777" w:rsidR="0026270B" w:rsidRPr="00F26E11" w:rsidRDefault="0026270B" w:rsidP="00A964D1"/>
    <w:p w14:paraId="02692BB7" w14:textId="480619AD" w:rsidR="00F26E11" w:rsidRDefault="00F20B3F" w:rsidP="008B0758">
      <w:pPr>
        <w:pStyle w:val="NormalWeb"/>
        <w:rPr>
          <w:rFonts w:asciiTheme="minorHAnsi" w:eastAsiaTheme="minorHAnsi" w:hAnsiTheme="minorHAnsi" w:cstheme="minorBidi"/>
          <w:sz w:val="22"/>
          <w:szCs w:val="22"/>
          <w:highlight w:val="yellow"/>
          <w:lang w:eastAsia="en-US"/>
        </w:rPr>
      </w:pPr>
      <w:r w:rsidRPr="00F20B3F">
        <w:rPr>
          <w:rFonts w:asciiTheme="minorHAnsi" w:eastAsiaTheme="minorHAnsi" w:hAnsiTheme="minorHAnsi" w:cstheme="minorBidi"/>
          <w:sz w:val="22"/>
          <w:szCs w:val="22"/>
          <w:lang w:eastAsia="en-US"/>
        </w:rPr>
        <w:t xml:space="preserve">There were </w:t>
      </w:r>
      <w:r w:rsidR="00064223" w:rsidRPr="00F20B3F">
        <w:rPr>
          <w:rFonts w:asciiTheme="minorHAnsi" w:eastAsiaTheme="minorHAnsi" w:hAnsiTheme="minorHAnsi" w:cstheme="minorBidi"/>
          <w:sz w:val="22"/>
          <w:szCs w:val="22"/>
          <w:lang w:eastAsia="en-US"/>
        </w:rPr>
        <w:t>several</w:t>
      </w:r>
      <w:r w:rsidRPr="00F20B3F">
        <w:rPr>
          <w:rFonts w:asciiTheme="minorHAnsi" w:eastAsiaTheme="minorHAnsi" w:hAnsiTheme="minorHAnsi" w:cstheme="minorBidi"/>
          <w:sz w:val="22"/>
          <w:szCs w:val="22"/>
          <w:lang w:eastAsia="en-US"/>
        </w:rPr>
        <w:t xml:space="preserve"> </w:t>
      </w:r>
      <w:r>
        <w:rPr>
          <w:rFonts w:asciiTheme="minorHAnsi" w:eastAsiaTheme="minorHAnsi" w:hAnsiTheme="minorHAnsi" w:cstheme="minorBidi"/>
          <w:sz w:val="22"/>
          <w:szCs w:val="22"/>
          <w:lang w:eastAsia="en-US"/>
        </w:rPr>
        <w:t xml:space="preserve">errors involved during the </w:t>
      </w:r>
      <w:r w:rsidR="002767A3">
        <w:rPr>
          <w:rFonts w:asciiTheme="minorHAnsi" w:eastAsiaTheme="minorHAnsi" w:hAnsiTheme="minorHAnsi" w:cstheme="minorBidi"/>
          <w:sz w:val="22"/>
          <w:szCs w:val="22"/>
          <w:lang w:eastAsia="en-US"/>
        </w:rPr>
        <w:t xml:space="preserve">testing phase across the various experiments, all of which </w:t>
      </w:r>
      <w:r w:rsidR="003A5C7F">
        <w:rPr>
          <w:rFonts w:asciiTheme="minorHAnsi" w:eastAsiaTheme="minorHAnsi" w:hAnsiTheme="minorHAnsi" w:cstheme="minorBidi"/>
          <w:sz w:val="22"/>
          <w:szCs w:val="22"/>
          <w:lang w:eastAsia="en-US"/>
        </w:rPr>
        <w:t xml:space="preserve">were down to human error. </w:t>
      </w:r>
      <w:r w:rsidR="00637E75">
        <w:rPr>
          <w:rFonts w:asciiTheme="minorHAnsi" w:eastAsiaTheme="minorHAnsi" w:hAnsiTheme="minorHAnsi" w:cstheme="minorBidi"/>
          <w:sz w:val="22"/>
          <w:szCs w:val="22"/>
          <w:lang w:eastAsia="en-US"/>
        </w:rPr>
        <w:t>Specifically, d</w:t>
      </w:r>
      <w:r w:rsidR="00336D62">
        <w:rPr>
          <w:rFonts w:asciiTheme="minorHAnsi" w:eastAsiaTheme="minorHAnsi" w:hAnsiTheme="minorHAnsi" w:cstheme="minorBidi"/>
          <w:sz w:val="22"/>
          <w:szCs w:val="22"/>
          <w:lang w:eastAsia="en-US"/>
        </w:rPr>
        <w:t xml:space="preserve">uring the 1.0M HCl </w:t>
      </w:r>
      <w:r w:rsidR="009D779D">
        <w:rPr>
          <w:rFonts w:asciiTheme="minorHAnsi" w:eastAsiaTheme="minorHAnsi" w:hAnsiTheme="minorHAnsi" w:cstheme="minorBidi"/>
          <w:sz w:val="22"/>
          <w:szCs w:val="22"/>
          <w:lang w:eastAsia="en-US"/>
        </w:rPr>
        <w:t xml:space="preserve">the quantity of hydrogen generation </w:t>
      </w:r>
      <w:r w:rsidR="007E1E2F">
        <w:rPr>
          <w:rFonts w:asciiTheme="minorHAnsi" w:eastAsiaTheme="minorHAnsi" w:hAnsiTheme="minorHAnsi" w:cstheme="minorBidi"/>
          <w:sz w:val="22"/>
          <w:szCs w:val="22"/>
          <w:lang w:eastAsia="en-US"/>
        </w:rPr>
        <w:t xml:space="preserve">was misread on the scale of the gas syringe giving the </w:t>
      </w:r>
      <w:r w:rsidR="00E537BB">
        <w:rPr>
          <w:rFonts w:asciiTheme="minorHAnsi" w:eastAsiaTheme="minorHAnsi" w:hAnsiTheme="minorHAnsi" w:cstheme="minorBidi"/>
          <w:sz w:val="22"/>
          <w:szCs w:val="22"/>
          <w:lang w:eastAsia="en-US"/>
        </w:rPr>
        <w:t>different shape to the upward curve obser</w:t>
      </w:r>
      <w:r w:rsidR="00B65686">
        <w:rPr>
          <w:rFonts w:asciiTheme="minorHAnsi" w:eastAsiaTheme="minorHAnsi" w:hAnsiTheme="minorHAnsi" w:cstheme="minorBidi"/>
          <w:sz w:val="22"/>
          <w:szCs w:val="22"/>
          <w:lang w:eastAsia="en-US"/>
        </w:rPr>
        <w:t xml:space="preserve">ved in the other experiments. </w:t>
      </w:r>
      <w:r w:rsidR="000123C5">
        <w:rPr>
          <w:rFonts w:asciiTheme="minorHAnsi" w:eastAsiaTheme="minorHAnsi" w:hAnsiTheme="minorHAnsi" w:cstheme="minorBidi"/>
          <w:sz w:val="22"/>
          <w:szCs w:val="22"/>
          <w:lang w:eastAsia="en-US"/>
        </w:rPr>
        <w:t xml:space="preserve">Similar human error occurred in the </w:t>
      </w:r>
      <w:r w:rsidR="000C108D">
        <w:rPr>
          <w:rFonts w:asciiTheme="minorHAnsi" w:eastAsiaTheme="minorHAnsi" w:hAnsiTheme="minorHAnsi" w:cstheme="minorBidi"/>
          <w:sz w:val="22"/>
          <w:szCs w:val="22"/>
          <w:lang w:eastAsia="en-US"/>
        </w:rPr>
        <w:t>next sequential experiment using the 1.5M</w:t>
      </w:r>
      <w:r w:rsidR="002F3861">
        <w:rPr>
          <w:rFonts w:asciiTheme="minorHAnsi" w:eastAsiaTheme="minorHAnsi" w:hAnsiTheme="minorHAnsi" w:cstheme="minorBidi"/>
          <w:sz w:val="22"/>
          <w:szCs w:val="22"/>
          <w:lang w:eastAsia="en-US"/>
        </w:rPr>
        <w:t xml:space="preserve"> </w:t>
      </w:r>
      <w:r w:rsidR="000759CB">
        <w:rPr>
          <w:rFonts w:asciiTheme="minorHAnsi" w:eastAsiaTheme="minorHAnsi" w:hAnsiTheme="minorHAnsi" w:cstheme="minorBidi"/>
          <w:sz w:val="22"/>
          <w:szCs w:val="22"/>
          <w:lang w:eastAsia="en-US"/>
        </w:rPr>
        <w:t xml:space="preserve">solution </w:t>
      </w:r>
      <w:r w:rsidR="002F3861">
        <w:rPr>
          <w:rFonts w:asciiTheme="minorHAnsi" w:eastAsiaTheme="minorHAnsi" w:hAnsiTheme="minorHAnsi" w:cstheme="minorBidi"/>
          <w:sz w:val="22"/>
          <w:szCs w:val="22"/>
          <w:lang w:eastAsia="en-US"/>
        </w:rPr>
        <w:t xml:space="preserve">whereby the magnesium ribbon </w:t>
      </w:r>
      <w:r w:rsidR="008E7B38">
        <w:rPr>
          <w:rFonts w:asciiTheme="minorHAnsi" w:eastAsiaTheme="minorHAnsi" w:hAnsiTheme="minorHAnsi" w:cstheme="minorBidi"/>
          <w:sz w:val="22"/>
          <w:szCs w:val="22"/>
          <w:lang w:eastAsia="en-US"/>
        </w:rPr>
        <w:t xml:space="preserve">was not </w:t>
      </w:r>
      <w:r w:rsidR="008B4CFE">
        <w:rPr>
          <w:rFonts w:asciiTheme="minorHAnsi" w:eastAsiaTheme="minorHAnsi" w:hAnsiTheme="minorHAnsi" w:cstheme="minorBidi"/>
          <w:sz w:val="22"/>
          <w:szCs w:val="22"/>
          <w:lang w:eastAsia="en-US"/>
        </w:rPr>
        <w:t xml:space="preserve">completely </w:t>
      </w:r>
      <w:r w:rsidR="00121658">
        <w:rPr>
          <w:rFonts w:asciiTheme="minorHAnsi" w:eastAsiaTheme="minorHAnsi" w:hAnsiTheme="minorHAnsi" w:cstheme="minorBidi"/>
          <w:sz w:val="22"/>
          <w:szCs w:val="22"/>
          <w:lang w:eastAsia="en-US"/>
        </w:rPr>
        <w:t xml:space="preserve">submerged. This was not immediately observed </w:t>
      </w:r>
      <w:r w:rsidR="00FE545D">
        <w:rPr>
          <w:rFonts w:asciiTheme="minorHAnsi" w:eastAsiaTheme="minorHAnsi" w:hAnsiTheme="minorHAnsi" w:cstheme="minorBidi"/>
          <w:sz w:val="22"/>
          <w:szCs w:val="22"/>
          <w:lang w:eastAsia="en-US"/>
        </w:rPr>
        <w:t>and once rectified</w:t>
      </w:r>
      <w:r w:rsidR="002171CF">
        <w:rPr>
          <w:rFonts w:asciiTheme="minorHAnsi" w:eastAsiaTheme="minorHAnsi" w:hAnsiTheme="minorHAnsi" w:cstheme="minorBidi"/>
          <w:sz w:val="22"/>
          <w:szCs w:val="22"/>
          <w:lang w:eastAsia="en-US"/>
        </w:rPr>
        <w:t xml:space="preserve"> mean</w:t>
      </w:r>
      <w:r w:rsidR="00EE301A">
        <w:rPr>
          <w:rFonts w:asciiTheme="minorHAnsi" w:eastAsiaTheme="minorHAnsi" w:hAnsiTheme="minorHAnsi" w:cstheme="minorBidi"/>
          <w:sz w:val="22"/>
          <w:szCs w:val="22"/>
          <w:lang w:eastAsia="en-US"/>
        </w:rPr>
        <w:t>t</w:t>
      </w:r>
      <w:r w:rsidR="002171CF">
        <w:rPr>
          <w:rFonts w:asciiTheme="minorHAnsi" w:eastAsiaTheme="minorHAnsi" w:hAnsiTheme="minorHAnsi" w:cstheme="minorBidi"/>
          <w:sz w:val="22"/>
          <w:szCs w:val="22"/>
          <w:lang w:eastAsia="en-US"/>
        </w:rPr>
        <w:t xml:space="preserve"> that the total</w:t>
      </w:r>
      <w:r w:rsidR="00EE301A">
        <w:rPr>
          <w:rFonts w:asciiTheme="minorHAnsi" w:eastAsiaTheme="minorHAnsi" w:hAnsiTheme="minorHAnsi" w:cstheme="minorBidi"/>
          <w:sz w:val="22"/>
          <w:szCs w:val="22"/>
          <w:lang w:eastAsia="en-US"/>
        </w:rPr>
        <w:t xml:space="preserve"> gas generation </w:t>
      </w:r>
      <w:r w:rsidR="00AF6474">
        <w:rPr>
          <w:rFonts w:asciiTheme="minorHAnsi" w:eastAsiaTheme="minorHAnsi" w:hAnsiTheme="minorHAnsi" w:cstheme="minorBidi"/>
          <w:sz w:val="22"/>
          <w:szCs w:val="22"/>
          <w:lang w:eastAsia="en-US"/>
        </w:rPr>
        <w:t>was much lower than the other experiments.</w:t>
      </w:r>
    </w:p>
    <w:bookmarkStart w:id="20" w:name="_Toc183519285"/>
    <w:p w14:paraId="457E75C2" w14:textId="0F7B21A6" w:rsidR="00AD6B63" w:rsidRDefault="00B65686" w:rsidP="00B6516F">
      <w:pPr>
        <w:pStyle w:val="Caption"/>
        <w:jc w:val="center"/>
        <w:rPr>
          <w:sz w:val="22"/>
          <w:szCs w:val="22"/>
          <w:highlight w:val="yellow"/>
        </w:rPr>
      </w:pPr>
      <w:r w:rsidRPr="00F20B3F">
        <w:rPr>
          <w:noProof/>
          <w:sz w:val="22"/>
          <w:szCs w:val="22"/>
        </w:rPr>
        <mc:AlternateContent>
          <mc:Choice Requires="wps">
            <w:drawing>
              <wp:anchor distT="45720" distB="45720" distL="114300" distR="114300" simplePos="0" relativeHeight="251700224" behindDoc="0" locked="0" layoutInCell="1" allowOverlap="1" wp14:anchorId="5BB52E14" wp14:editId="6F5C4452">
                <wp:simplePos x="0" y="0"/>
                <wp:positionH relativeFrom="margin">
                  <wp:align>left</wp:align>
                </wp:positionH>
                <wp:positionV relativeFrom="paragraph">
                  <wp:posOffset>181059</wp:posOffset>
                </wp:positionV>
                <wp:extent cx="5684520" cy="3778250"/>
                <wp:effectExtent l="0" t="0" r="11430" b="12700"/>
                <wp:wrapTopAndBottom/>
                <wp:docPr id="99801819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5684520" cy="377825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09E47897" w14:textId="1A6186CB" w:rsidR="00AD6B63" w:rsidRDefault="00B13002">
                            <w:r w:rsidRPr="00B13002">
                              <w:rPr>
                                <w:noProof/>
                              </w:rPr>
                              <w:drawing>
                                <wp:inline distT="0" distB="0" distL="0" distR="0" wp14:anchorId="141ED2FE" wp14:editId="05785B88">
                                  <wp:extent cx="5676181" cy="3708638"/>
                                  <wp:effectExtent l="0" t="0" r="1270" b="6350"/>
                                  <wp:docPr id="1200632550" name="Picture 1"/>
                                  <wp:cNvGraphicFramePr>
                                    <a:graphicFrameLocks xmlns:a="http://schemas.openxmlformats.org/drawingml/2006/main" noChangeAspect="1"/>
                                  </wp:cNvGraphicFramePr>
                                  <a:graphic xmlns:a="http://schemas.openxmlformats.org/drawingml/2006/main">
                                    <a:graphicData uri="http://schemas.openxmlformats.org/drawingml/2006/picture">
                                      <pic:pic xmlns:pic="http://schemas.openxmlformats.org/drawingml/2006/picture">
                                        <pic:nvPicPr>
                                          <pic:cNvPr id="0" name="Picture 1"/>
                                          <pic:cNvPicPr>
                                            <a:picLocks noChangeAspect="1" noChangeArrowheads="1"/>
                                          </pic:cNvPicPr>
                                        </pic:nvPicPr>
                                        <pic:blipFill>
                                          <a:blip r:embed="rId18">
                                            <a:extLst>
                                              <a:ext uri="{28A0092B-C50C-407E-A947-70E740481C1C}">
                                                <a14:useLocalDpi xmlns:a14="http://schemas.microsoft.com/office/drawing/2010/main" val="0"/>
                                              </a:ext>
                                            </a:extLst>
                                          </a:blip>
                                          <a:srcRect/>
                                          <a:stretch>
                                            <a:fillRect/>
                                          </a:stretch>
                                        </pic:blipFill>
                                        <pic:spPr bwMode="auto">
                                          <a:xfrm>
                                            <a:off x="0" y="0"/>
                                            <a:ext cx="5682653" cy="3712866"/>
                                          </a:xfrm>
                                          <a:prstGeom prst="rect">
                                            <a:avLst/>
                                          </a:prstGeom>
                                          <a:noFill/>
                                          <a:ln>
                                            <a:noFill/>
                                          </a:ln>
                                        </pic:spPr>
                                      </pic:pic>
                                    </a:graphicData>
                                  </a:graphic>
                                </wp:inline>
                              </w:drawing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5BB52E14" id="_x0000_s1031" type="#_x0000_t202" style="position:absolute;left:0;text-align:left;margin-left:0;margin-top:14.25pt;width:447.6pt;height:297.5pt;z-index:251700224;visibility:visible;mso-wrap-style:square;mso-width-percent:0;mso-height-percent:0;mso-wrap-distance-left:9pt;mso-wrap-distance-top:3.6pt;mso-wrap-distance-right:9pt;mso-wrap-distance-bottom:3.6pt;mso-position-horizontal:left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">
                <v:textbox>
                  <w:txbxContent>
                    <w:p w14:paraId="09E47897" w14:textId="1A6186CB" w:rsidR="00AD6B63" w:rsidRDefault="00B13002">
                      <w:r w:rsidRPr="00B13002">
                        <w:drawing>
                          <wp:inline distT="0" distB="0" distL="0" distR="0" wp14:anchorId="141ED2FE" wp14:editId="05785B88">
                            <wp:extent cx="5676181" cy="3708638"/>
                            <wp:effectExtent l="0" t="0" r="1270" b="6350"/>
                            <wp:docPr id="1200632550" name="Picture 1"/>
                            <wp:cNvGraphicFramePr>
                              <a:graphicFrameLocks xmlns:a="http://schemas.openxmlformats.org/drawingml/2006/main" noChangeAspect="1"/>
                            </wp:cNvGraphicFramePr>
                            <a:graphic xmlns:a="http://schemas.openxmlformats.org/drawingml/2006/main">
                              <a:graphicData uri="http://schemas.openxmlformats.org/drawingml/2006/picture">
                                <pic:pic xmlns:pic="http://schemas.openxmlformats.org/drawingml/2006/picture">
                                  <pic:nvPicPr>
                                    <pic:cNvPr id="0" name="Picture 1"/>
                                    <pic:cNvPicPr>
                                      <a:picLocks noChangeAspect="1" noChangeArrowheads="1"/>
                                    </pic:cNvPicPr>
                                  </pic:nvPicPr>
                                  <pic:blipFill>
                                    <a:blip r:embed="rId19">
                                      <a:extLst>
                                        <a:ext uri="{28A0092B-C50C-407E-A947-70E740481C1C}">
                                          <a14:useLocalDpi xmlns:a14="http://schemas.microsoft.com/office/drawing/2010/main" val="0"/>
                                        </a:ext>
                                      </a:extLst>
                                    </a:blip>
                                    <a:srcRect/>
                                    <a:stretch>
                                      <a:fillRect/>
                                    </a:stretch>
                                  </pic:blipFill>
                                  <pic:spPr bwMode="auto">
                                    <a:xfrm>
                                      <a:off x="0" y="0"/>
                                      <a:ext cx="5682653" cy="3712866"/>
                                    </a:xfrm>
                                    <a:prstGeom prst="rect">
                                      <a:avLst/>
                                    </a:prstGeom>
                                    <a:noFill/>
                                    <a:ln>
                                      <a:noFill/>
                                    </a:ln>
                                  </pic:spPr>
                                </pic:pic>
                              </a:graphicData>
                            </a:graphic>
                          </wp:inline>
                        </w:drawing>
                      </w:r>
                    </w:p>
                  </w:txbxContent>
                </v:textbox>
                <w10:wrap type="topAndBottom" anchorx="margin"/>
              </v:shape>
            </w:pict>
          </mc:Fallback>
        </mc:AlternateContent>
      </w:r>
      <w:r w:rsidR="00B6516F">
        <w:t xml:space="preserve">Figure </w:t>
      </w:r>
      <w:r w:rsidR="00B6516F">
        <w:fldChar w:fldCharType="begin"/>
      </w:r>
      <w:r w:rsidR="00B6516F">
        <w:instrText xml:space="preserve"> SEQ Figure \* ARABIC </w:instrText>
      </w:r>
      <w:r w:rsidR="00B6516F">
        <w:fldChar w:fldCharType="separate"/>
      </w:r>
      <w:r w:rsidR="007E6D5B">
        <w:rPr>
          <w:noProof/>
        </w:rPr>
        <w:t>6</w:t>
      </w:r>
      <w:r w:rsidR="00B6516F">
        <w:fldChar w:fldCharType="end"/>
      </w:r>
      <w:r w:rsidR="00B6516F">
        <w:t xml:space="preserve"> - Overview of Experimental Data</w:t>
      </w:r>
      <w:bookmarkEnd w:id="20"/>
    </w:p>
    <w:p w14:paraId="67B0A8FF" w14:textId="2A9B3230" w:rsidR="00AD6B63" w:rsidRDefault="00D27791" w:rsidP="008B0758">
      <w:pPr>
        <w:pStyle w:val="NormalWeb"/>
        <w:rPr>
          <w:rFonts w:asciiTheme="minorHAnsi" w:eastAsiaTheme="minorHAnsi" w:hAnsiTheme="minorHAnsi" w:cstheme="minorBidi"/>
          <w:sz w:val="22"/>
          <w:szCs w:val="22"/>
          <w:lang w:eastAsia="en-US"/>
        </w:rPr>
      </w:pPr>
      <w:r>
        <w:rPr>
          <w:rFonts w:asciiTheme="minorHAnsi" w:eastAsiaTheme="minorHAnsi" w:hAnsiTheme="minorHAnsi" w:cstheme="minorBidi"/>
          <w:sz w:val="22"/>
          <w:szCs w:val="22"/>
          <w:lang w:eastAsia="en-US"/>
        </w:rPr>
        <w:t xml:space="preserve">The </w:t>
      </w:r>
      <w:r w:rsidR="00E92657">
        <w:rPr>
          <w:rFonts w:asciiTheme="minorHAnsi" w:eastAsiaTheme="minorHAnsi" w:hAnsiTheme="minorHAnsi" w:cstheme="minorBidi"/>
          <w:sz w:val="22"/>
          <w:szCs w:val="22"/>
          <w:lang w:eastAsia="en-US"/>
        </w:rPr>
        <w:t xml:space="preserve">students were assured before performing the experiment that the magnesium ribbon and powdered samples supplied were an average of </w:t>
      </w:r>
      <w:r w:rsidR="00F2029C">
        <w:rPr>
          <w:rFonts w:asciiTheme="minorHAnsi" w:eastAsiaTheme="minorHAnsi" w:hAnsiTheme="minorHAnsi" w:cstheme="minorBidi"/>
          <w:sz w:val="22"/>
          <w:szCs w:val="22"/>
          <w:lang w:eastAsia="en-US"/>
        </w:rPr>
        <w:t>0.0895g</w:t>
      </w:r>
      <w:r w:rsidR="00F602AF">
        <w:rPr>
          <w:rFonts w:asciiTheme="minorHAnsi" w:eastAsiaTheme="minorHAnsi" w:hAnsiTheme="minorHAnsi" w:cstheme="minorBidi"/>
          <w:sz w:val="22"/>
          <w:szCs w:val="22"/>
          <w:lang w:eastAsia="en-US"/>
        </w:rPr>
        <w:t>.</w:t>
      </w:r>
      <w:r w:rsidR="00F2029C">
        <w:rPr>
          <w:rFonts w:asciiTheme="minorHAnsi" w:eastAsiaTheme="minorHAnsi" w:hAnsiTheme="minorHAnsi" w:cstheme="minorBidi"/>
          <w:sz w:val="22"/>
          <w:szCs w:val="22"/>
          <w:lang w:eastAsia="en-US"/>
        </w:rPr>
        <w:t xml:space="preserve"> </w:t>
      </w:r>
      <w:r w:rsidR="00F602AF">
        <w:rPr>
          <w:rFonts w:asciiTheme="minorHAnsi" w:eastAsiaTheme="minorHAnsi" w:hAnsiTheme="minorHAnsi" w:cstheme="minorBidi"/>
          <w:sz w:val="22"/>
          <w:szCs w:val="22"/>
          <w:lang w:eastAsia="en-US"/>
        </w:rPr>
        <w:t>A</w:t>
      </w:r>
      <w:r w:rsidR="00F2029C">
        <w:rPr>
          <w:rFonts w:asciiTheme="minorHAnsi" w:eastAsiaTheme="minorHAnsi" w:hAnsiTheme="minorHAnsi" w:cstheme="minorBidi"/>
          <w:sz w:val="22"/>
          <w:szCs w:val="22"/>
          <w:lang w:eastAsia="en-US"/>
        </w:rPr>
        <w:t>lthough this was not independently verified</w:t>
      </w:r>
      <w:r w:rsidR="001D5E39">
        <w:rPr>
          <w:rFonts w:asciiTheme="minorHAnsi" w:eastAsiaTheme="minorHAnsi" w:hAnsiTheme="minorHAnsi" w:cstheme="minorBidi"/>
          <w:sz w:val="22"/>
          <w:szCs w:val="22"/>
          <w:lang w:eastAsia="en-US"/>
        </w:rPr>
        <w:t>, meaning any variation in the mass of Magnesium would lead to changes in the amount of gas generated</w:t>
      </w:r>
      <w:r w:rsidR="002A10AD">
        <w:rPr>
          <w:rFonts w:asciiTheme="minorHAnsi" w:eastAsiaTheme="minorHAnsi" w:hAnsiTheme="minorHAnsi" w:cstheme="minorBidi"/>
          <w:sz w:val="22"/>
          <w:szCs w:val="22"/>
          <w:lang w:eastAsia="en-US"/>
        </w:rPr>
        <w:t xml:space="preserve">. These differences can be clearly seen in Figure 6 with peak volumes </w:t>
      </w:r>
      <w:r w:rsidR="00E61745">
        <w:rPr>
          <w:rFonts w:asciiTheme="minorHAnsi" w:eastAsiaTheme="minorHAnsi" w:hAnsiTheme="minorHAnsi" w:cstheme="minorBidi"/>
          <w:sz w:val="22"/>
          <w:szCs w:val="22"/>
          <w:lang w:eastAsia="en-US"/>
        </w:rPr>
        <w:t>fluctuating between the tests.</w:t>
      </w:r>
    </w:p>
    <w:p w14:paraId="5B4AB849" w14:textId="56CF4828" w:rsidR="00A4671F" w:rsidRDefault="00BB1A41" w:rsidP="008B0758">
      <w:pPr>
        <w:pStyle w:val="NormalWeb"/>
        <w:rPr>
          <w:rFonts w:asciiTheme="minorHAnsi" w:eastAsiaTheme="minorHAnsi" w:hAnsiTheme="minorHAnsi" w:cstheme="minorBidi"/>
          <w:sz w:val="22"/>
          <w:szCs w:val="22"/>
          <w:lang w:eastAsia="en-US"/>
        </w:rPr>
      </w:pPr>
      <w:r>
        <w:rPr>
          <w:rFonts w:asciiTheme="minorHAnsi" w:eastAsiaTheme="minorHAnsi" w:hAnsiTheme="minorHAnsi" w:cstheme="minorBidi"/>
          <w:sz w:val="22"/>
          <w:szCs w:val="22"/>
          <w:lang w:eastAsia="en-US"/>
        </w:rPr>
        <w:t>In broad terms</w:t>
      </w:r>
      <w:r w:rsidR="00FC71EE">
        <w:rPr>
          <w:rFonts w:asciiTheme="minorHAnsi" w:eastAsiaTheme="minorHAnsi" w:hAnsiTheme="minorHAnsi" w:cstheme="minorBidi"/>
          <w:sz w:val="22"/>
          <w:szCs w:val="22"/>
          <w:lang w:eastAsia="en-US"/>
        </w:rPr>
        <w:t>,</w:t>
      </w:r>
      <w:r>
        <w:rPr>
          <w:rFonts w:asciiTheme="minorHAnsi" w:eastAsiaTheme="minorHAnsi" w:hAnsiTheme="minorHAnsi" w:cstheme="minorBidi"/>
          <w:sz w:val="22"/>
          <w:szCs w:val="22"/>
          <w:lang w:eastAsia="en-US"/>
        </w:rPr>
        <w:t xml:space="preserve"> changing a variable </w:t>
      </w:r>
      <w:r w:rsidR="007D3F34">
        <w:rPr>
          <w:rFonts w:asciiTheme="minorHAnsi" w:eastAsiaTheme="minorHAnsi" w:hAnsiTheme="minorHAnsi" w:cstheme="minorBidi"/>
          <w:sz w:val="22"/>
          <w:szCs w:val="22"/>
          <w:lang w:eastAsia="en-US"/>
        </w:rPr>
        <w:t>did follow the expectation that observed rates of reaction would increase</w:t>
      </w:r>
      <w:r w:rsidR="00FC71EE">
        <w:rPr>
          <w:rFonts w:asciiTheme="minorHAnsi" w:eastAsiaTheme="minorHAnsi" w:hAnsiTheme="minorHAnsi" w:cstheme="minorBidi"/>
          <w:sz w:val="22"/>
          <w:szCs w:val="22"/>
          <w:lang w:eastAsia="en-US"/>
        </w:rPr>
        <w:t>.</w:t>
      </w:r>
      <w:r w:rsidR="007D3F34">
        <w:rPr>
          <w:rFonts w:asciiTheme="minorHAnsi" w:eastAsiaTheme="minorHAnsi" w:hAnsiTheme="minorHAnsi" w:cstheme="minorBidi"/>
          <w:sz w:val="22"/>
          <w:szCs w:val="22"/>
          <w:lang w:eastAsia="en-US"/>
        </w:rPr>
        <w:t xml:space="preserve"> By increasing the molar concentration of the HCl solution, the </w:t>
      </w:r>
      <w:r w:rsidR="00755493">
        <w:rPr>
          <w:rFonts w:asciiTheme="minorHAnsi" w:eastAsiaTheme="minorHAnsi" w:hAnsiTheme="minorHAnsi" w:cstheme="minorBidi"/>
          <w:sz w:val="22"/>
          <w:szCs w:val="22"/>
          <w:lang w:eastAsia="en-US"/>
        </w:rPr>
        <w:t xml:space="preserve">instantaneous rates </w:t>
      </w:r>
      <w:r w:rsidR="00FC71EE">
        <w:rPr>
          <w:rFonts w:asciiTheme="minorHAnsi" w:eastAsiaTheme="minorHAnsi" w:hAnsiTheme="minorHAnsi" w:cstheme="minorBidi"/>
          <w:sz w:val="22"/>
          <w:szCs w:val="22"/>
          <w:lang w:eastAsia="en-US"/>
        </w:rPr>
        <w:t xml:space="preserve">increased from </w:t>
      </w:r>
      <w:r w:rsidR="00A239CA">
        <w:rPr>
          <w:rFonts w:asciiTheme="minorHAnsi" w:eastAsiaTheme="minorHAnsi" w:hAnsiTheme="minorHAnsi" w:cstheme="minorBidi"/>
          <w:sz w:val="22"/>
          <w:szCs w:val="22"/>
          <w:lang w:eastAsia="en-US"/>
        </w:rPr>
        <w:t>0.7 cm</w:t>
      </w:r>
      <w:r w:rsidR="00A239CA" w:rsidRPr="003F5DCE">
        <w:rPr>
          <w:rFonts w:asciiTheme="minorHAnsi" w:eastAsiaTheme="minorHAnsi" w:hAnsiTheme="minorHAnsi" w:cstheme="minorBidi"/>
          <w:sz w:val="22"/>
          <w:szCs w:val="22"/>
          <w:vertAlign w:val="superscript"/>
          <w:lang w:eastAsia="en-US"/>
        </w:rPr>
        <w:t>3</w:t>
      </w:r>
      <w:r w:rsidR="00A239CA">
        <w:rPr>
          <w:rFonts w:asciiTheme="minorHAnsi" w:eastAsiaTheme="minorHAnsi" w:hAnsiTheme="minorHAnsi" w:cstheme="minorBidi"/>
          <w:sz w:val="22"/>
          <w:szCs w:val="22"/>
          <w:lang w:eastAsia="en-US"/>
        </w:rPr>
        <w:t>.s</w:t>
      </w:r>
      <w:r w:rsidR="00A239CA" w:rsidRPr="003F5DCE">
        <w:rPr>
          <w:rFonts w:asciiTheme="minorHAnsi" w:eastAsiaTheme="minorHAnsi" w:hAnsiTheme="minorHAnsi" w:cstheme="minorBidi"/>
          <w:sz w:val="22"/>
          <w:szCs w:val="22"/>
          <w:vertAlign w:val="superscript"/>
          <w:lang w:eastAsia="en-US"/>
        </w:rPr>
        <w:t>-1</w:t>
      </w:r>
      <w:r w:rsidR="00A239CA">
        <w:rPr>
          <w:rFonts w:asciiTheme="minorHAnsi" w:eastAsiaTheme="minorHAnsi" w:hAnsiTheme="minorHAnsi" w:cstheme="minorBidi"/>
          <w:sz w:val="22"/>
          <w:szCs w:val="22"/>
          <w:lang w:eastAsia="en-US"/>
        </w:rPr>
        <w:t xml:space="preserve"> to 3.7</w:t>
      </w:r>
      <w:r w:rsidR="003F5DCE">
        <w:rPr>
          <w:rFonts w:asciiTheme="minorHAnsi" w:eastAsiaTheme="minorHAnsi" w:hAnsiTheme="minorHAnsi" w:cstheme="minorBidi"/>
          <w:sz w:val="22"/>
          <w:szCs w:val="22"/>
          <w:lang w:eastAsia="en-US"/>
        </w:rPr>
        <w:t xml:space="preserve"> cm</w:t>
      </w:r>
      <w:r w:rsidR="003F5DCE" w:rsidRPr="003F5DCE">
        <w:rPr>
          <w:rFonts w:asciiTheme="minorHAnsi" w:eastAsiaTheme="minorHAnsi" w:hAnsiTheme="minorHAnsi" w:cstheme="minorBidi"/>
          <w:sz w:val="22"/>
          <w:szCs w:val="22"/>
          <w:vertAlign w:val="superscript"/>
          <w:lang w:eastAsia="en-US"/>
        </w:rPr>
        <w:t>3</w:t>
      </w:r>
      <w:r w:rsidR="003F5DCE">
        <w:rPr>
          <w:rFonts w:asciiTheme="minorHAnsi" w:eastAsiaTheme="minorHAnsi" w:hAnsiTheme="minorHAnsi" w:cstheme="minorBidi"/>
          <w:sz w:val="22"/>
          <w:szCs w:val="22"/>
          <w:lang w:eastAsia="en-US"/>
        </w:rPr>
        <w:t>.s</w:t>
      </w:r>
      <w:r w:rsidR="003F5DCE" w:rsidRPr="003F5DCE">
        <w:rPr>
          <w:rFonts w:asciiTheme="minorHAnsi" w:eastAsiaTheme="minorHAnsi" w:hAnsiTheme="minorHAnsi" w:cstheme="minorBidi"/>
          <w:sz w:val="22"/>
          <w:szCs w:val="22"/>
          <w:vertAlign w:val="superscript"/>
          <w:lang w:eastAsia="en-US"/>
        </w:rPr>
        <w:t>-1</w:t>
      </w:r>
      <w:r w:rsidR="004B6BAA">
        <w:rPr>
          <w:rFonts w:asciiTheme="minorHAnsi" w:eastAsiaTheme="minorHAnsi" w:hAnsiTheme="minorHAnsi" w:cstheme="minorBidi"/>
          <w:sz w:val="22"/>
          <w:szCs w:val="22"/>
          <w:lang w:eastAsia="en-US"/>
        </w:rPr>
        <w:t xml:space="preserve">. Similarly, the </w:t>
      </w:r>
      <w:r w:rsidR="00440A21">
        <w:rPr>
          <w:rFonts w:asciiTheme="minorHAnsi" w:eastAsiaTheme="minorHAnsi" w:hAnsiTheme="minorHAnsi" w:cstheme="minorBidi"/>
          <w:sz w:val="22"/>
          <w:szCs w:val="22"/>
          <w:lang w:eastAsia="en-US"/>
        </w:rPr>
        <w:t>average of the duration of the experiment increased from 0.70 cm</w:t>
      </w:r>
      <w:r w:rsidR="00440A21" w:rsidRPr="003F5DCE">
        <w:rPr>
          <w:rFonts w:asciiTheme="minorHAnsi" w:eastAsiaTheme="minorHAnsi" w:hAnsiTheme="minorHAnsi" w:cstheme="minorBidi"/>
          <w:sz w:val="22"/>
          <w:szCs w:val="22"/>
          <w:vertAlign w:val="superscript"/>
          <w:lang w:eastAsia="en-US"/>
        </w:rPr>
        <w:t>3</w:t>
      </w:r>
      <w:r w:rsidR="00440A21">
        <w:rPr>
          <w:rFonts w:asciiTheme="minorHAnsi" w:eastAsiaTheme="minorHAnsi" w:hAnsiTheme="minorHAnsi" w:cstheme="minorBidi"/>
          <w:sz w:val="22"/>
          <w:szCs w:val="22"/>
          <w:lang w:eastAsia="en-US"/>
        </w:rPr>
        <w:t>.s</w:t>
      </w:r>
      <w:r w:rsidR="00440A21" w:rsidRPr="003F5DCE">
        <w:rPr>
          <w:rFonts w:asciiTheme="minorHAnsi" w:eastAsiaTheme="minorHAnsi" w:hAnsiTheme="minorHAnsi" w:cstheme="minorBidi"/>
          <w:sz w:val="22"/>
          <w:szCs w:val="22"/>
          <w:vertAlign w:val="superscript"/>
          <w:lang w:eastAsia="en-US"/>
        </w:rPr>
        <w:t>-1</w:t>
      </w:r>
      <w:r w:rsidR="003F5DCE">
        <w:rPr>
          <w:rFonts w:asciiTheme="minorHAnsi" w:eastAsiaTheme="minorHAnsi" w:hAnsiTheme="minorHAnsi" w:cstheme="minorBidi"/>
          <w:sz w:val="22"/>
          <w:szCs w:val="22"/>
          <w:vertAlign w:val="superscript"/>
          <w:lang w:eastAsia="en-US"/>
        </w:rPr>
        <w:t xml:space="preserve"> </w:t>
      </w:r>
      <w:r w:rsidR="00440A21">
        <w:rPr>
          <w:rFonts w:asciiTheme="minorHAnsi" w:eastAsiaTheme="minorHAnsi" w:hAnsiTheme="minorHAnsi" w:cstheme="minorBidi"/>
          <w:sz w:val="22"/>
          <w:szCs w:val="22"/>
          <w:lang w:eastAsia="en-US"/>
        </w:rPr>
        <w:t>to 0.93 cm</w:t>
      </w:r>
      <w:r w:rsidR="00440A21" w:rsidRPr="003F5DCE">
        <w:rPr>
          <w:rFonts w:asciiTheme="minorHAnsi" w:eastAsiaTheme="minorHAnsi" w:hAnsiTheme="minorHAnsi" w:cstheme="minorBidi"/>
          <w:sz w:val="22"/>
          <w:szCs w:val="22"/>
          <w:vertAlign w:val="superscript"/>
          <w:lang w:eastAsia="en-US"/>
        </w:rPr>
        <w:t>3</w:t>
      </w:r>
      <w:r w:rsidR="00440A21">
        <w:rPr>
          <w:rFonts w:asciiTheme="minorHAnsi" w:eastAsiaTheme="minorHAnsi" w:hAnsiTheme="minorHAnsi" w:cstheme="minorBidi"/>
          <w:sz w:val="22"/>
          <w:szCs w:val="22"/>
          <w:lang w:eastAsia="en-US"/>
        </w:rPr>
        <w:t>.s</w:t>
      </w:r>
      <w:r w:rsidR="00440A21" w:rsidRPr="003F5DCE">
        <w:rPr>
          <w:rFonts w:asciiTheme="minorHAnsi" w:eastAsiaTheme="minorHAnsi" w:hAnsiTheme="minorHAnsi" w:cstheme="minorBidi"/>
          <w:sz w:val="22"/>
          <w:szCs w:val="22"/>
          <w:vertAlign w:val="superscript"/>
          <w:lang w:eastAsia="en-US"/>
        </w:rPr>
        <w:t>-1</w:t>
      </w:r>
      <w:r w:rsidR="00A4671F">
        <w:rPr>
          <w:rFonts w:asciiTheme="minorHAnsi" w:eastAsiaTheme="minorHAnsi" w:hAnsiTheme="minorHAnsi" w:cstheme="minorBidi"/>
          <w:sz w:val="22"/>
          <w:szCs w:val="22"/>
          <w:lang w:eastAsia="en-US"/>
        </w:rPr>
        <w:t xml:space="preserve"> as can be seen in Table 1.</w:t>
      </w:r>
    </w:p>
    <w:p w14:paraId="6184A1F1" w14:textId="259616FE" w:rsidR="00BB1A41" w:rsidRDefault="00A4671F" w:rsidP="008B0758">
      <w:pPr>
        <w:pStyle w:val="NormalWeb"/>
        <w:rPr>
          <w:rFonts w:asciiTheme="minorHAnsi" w:eastAsiaTheme="minorHAnsi" w:hAnsiTheme="minorHAnsi" w:cstheme="minorBidi"/>
          <w:sz w:val="22"/>
          <w:szCs w:val="22"/>
          <w:lang w:eastAsia="en-US"/>
        </w:rPr>
      </w:pPr>
      <w:r>
        <w:rPr>
          <w:rFonts w:asciiTheme="minorHAnsi" w:eastAsiaTheme="minorHAnsi" w:hAnsiTheme="minorHAnsi" w:cstheme="minorBidi"/>
          <w:sz w:val="22"/>
          <w:szCs w:val="22"/>
          <w:lang w:eastAsia="en-US"/>
        </w:rPr>
        <w:t>In Experiment</w:t>
      </w:r>
      <w:r w:rsidR="00440A21">
        <w:rPr>
          <w:rFonts w:asciiTheme="minorHAnsi" w:eastAsiaTheme="minorHAnsi" w:hAnsiTheme="minorHAnsi" w:cstheme="minorBidi"/>
          <w:sz w:val="22"/>
          <w:szCs w:val="22"/>
          <w:lang w:eastAsia="en-US"/>
        </w:rPr>
        <w:t xml:space="preserve"> </w:t>
      </w:r>
      <w:r>
        <w:rPr>
          <w:rFonts w:asciiTheme="minorHAnsi" w:eastAsiaTheme="minorHAnsi" w:hAnsiTheme="minorHAnsi" w:cstheme="minorBidi"/>
          <w:sz w:val="22"/>
          <w:szCs w:val="22"/>
          <w:lang w:eastAsia="en-US"/>
        </w:rPr>
        <w:t>2 where temperature was the variable under investigation</w:t>
      </w:r>
      <w:r w:rsidR="00630EF4">
        <w:rPr>
          <w:rFonts w:asciiTheme="minorHAnsi" w:eastAsiaTheme="minorHAnsi" w:hAnsiTheme="minorHAnsi" w:cstheme="minorBidi"/>
          <w:sz w:val="22"/>
          <w:szCs w:val="22"/>
          <w:lang w:eastAsia="en-US"/>
        </w:rPr>
        <w:t xml:space="preserve">, Figure 6 again shows the </w:t>
      </w:r>
      <w:r w:rsidR="00977DC0">
        <w:rPr>
          <w:rFonts w:asciiTheme="minorHAnsi" w:eastAsiaTheme="minorHAnsi" w:hAnsiTheme="minorHAnsi" w:cstheme="minorBidi"/>
          <w:sz w:val="22"/>
          <w:szCs w:val="22"/>
          <w:lang w:eastAsia="en-US"/>
        </w:rPr>
        <w:t xml:space="preserve">rates increasing with increased temperature, this is seen as the slope of the curves </w:t>
      </w:r>
      <w:r w:rsidR="002C07FE">
        <w:rPr>
          <w:rFonts w:asciiTheme="minorHAnsi" w:eastAsiaTheme="minorHAnsi" w:hAnsiTheme="minorHAnsi" w:cstheme="minorBidi"/>
          <w:sz w:val="22"/>
          <w:szCs w:val="22"/>
          <w:lang w:eastAsia="en-US"/>
        </w:rPr>
        <w:t xml:space="preserve">at the beginning </w:t>
      </w:r>
      <w:r w:rsidR="002C07FE">
        <w:rPr>
          <w:rFonts w:asciiTheme="minorHAnsi" w:eastAsiaTheme="minorHAnsi" w:hAnsiTheme="minorHAnsi" w:cstheme="minorBidi"/>
          <w:sz w:val="22"/>
          <w:szCs w:val="22"/>
          <w:lang w:eastAsia="en-US"/>
        </w:rPr>
        <w:lastRenderedPageBreak/>
        <w:t>of reaction get steeper and the curve shifts to the left of the graph. Instantaneous rates increased from 0.8</w:t>
      </w:r>
      <w:r w:rsidR="002C07FE" w:rsidRPr="002C07FE">
        <w:rPr>
          <w:rFonts w:asciiTheme="minorHAnsi" w:eastAsiaTheme="minorHAnsi" w:hAnsiTheme="minorHAnsi" w:cstheme="minorBidi"/>
          <w:sz w:val="22"/>
          <w:szCs w:val="22"/>
          <w:lang w:eastAsia="en-US"/>
        </w:rPr>
        <w:t xml:space="preserve"> </w:t>
      </w:r>
      <w:r w:rsidR="002C07FE">
        <w:rPr>
          <w:rFonts w:asciiTheme="minorHAnsi" w:eastAsiaTheme="minorHAnsi" w:hAnsiTheme="minorHAnsi" w:cstheme="minorBidi"/>
          <w:sz w:val="22"/>
          <w:szCs w:val="22"/>
          <w:lang w:eastAsia="en-US"/>
        </w:rPr>
        <w:t>cm</w:t>
      </w:r>
      <w:r w:rsidR="002C07FE" w:rsidRPr="003F5DCE">
        <w:rPr>
          <w:rFonts w:asciiTheme="minorHAnsi" w:eastAsiaTheme="minorHAnsi" w:hAnsiTheme="minorHAnsi" w:cstheme="minorBidi"/>
          <w:sz w:val="22"/>
          <w:szCs w:val="22"/>
          <w:vertAlign w:val="superscript"/>
          <w:lang w:eastAsia="en-US"/>
        </w:rPr>
        <w:t>3</w:t>
      </w:r>
      <w:r w:rsidR="002C07FE">
        <w:rPr>
          <w:rFonts w:asciiTheme="minorHAnsi" w:eastAsiaTheme="minorHAnsi" w:hAnsiTheme="minorHAnsi" w:cstheme="minorBidi"/>
          <w:sz w:val="22"/>
          <w:szCs w:val="22"/>
          <w:lang w:eastAsia="en-US"/>
        </w:rPr>
        <w:t>.s</w:t>
      </w:r>
      <w:r w:rsidR="002C07FE" w:rsidRPr="003F5DCE">
        <w:rPr>
          <w:rFonts w:asciiTheme="minorHAnsi" w:eastAsiaTheme="minorHAnsi" w:hAnsiTheme="minorHAnsi" w:cstheme="minorBidi"/>
          <w:sz w:val="22"/>
          <w:szCs w:val="22"/>
          <w:vertAlign w:val="superscript"/>
          <w:lang w:eastAsia="en-US"/>
        </w:rPr>
        <w:t>-1</w:t>
      </w:r>
      <w:r>
        <w:rPr>
          <w:rFonts w:asciiTheme="minorHAnsi" w:eastAsiaTheme="minorHAnsi" w:hAnsiTheme="minorHAnsi" w:cstheme="minorBidi"/>
          <w:sz w:val="22"/>
          <w:szCs w:val="22"/>
          <w:lang w:eastAsia="en-US"/>
        </w:rPr>
        <w:t xml:space="preserve"> </w:t>
      </w:r>
      <w:r w:rsidR="002C07FE">
        <w:rPr>
          <w:rFonts w:asciiTheme="minorHAnsi" w:eastAsiaTheme="minorHAnsi" w:hAnsiTheme="minorHAnsi" w:cstheme="minorBidi"/>
          <w:sz w:val="22"/>
          <w:szCs w:val="22"/>
          <w:lang w:eastAsia="en-US"/>
        </w:rPr>
        <w:t>to 1.3</w:t>
      </w:r>
      <w:r w:rsidR="002C07FE" w:rsidRPr="002C07FE">
        <w:rPr>
          <w:rFonts w:asciiTheme="minorHAnsi" w:eastAsiaTheme="minorHAnsi" w:hAnsiTheme="minorHAnsi" w:cstheme="minorBidi"/>
          <w:sz w:val="22"/>
          <w:szCs w:val="22"/>
          <w:lang w:eastAsia="en-US"/>
        </w:rPr>
        <w:t xml:space="preserve"> </w:t>
      </w:r>
      <w:r w:rsidR="002C07FE">
        <w:rPr>
          <w:rFonts w:asciiTheme="minorHAnsi" w:eastAsiaTheme="minorHAnsi" w:hAnsiTheme="minorHAnsi" w:cstheme="minorBidi"/>
          <w:sz w:val="22"/>
          <w:szCs w:val="22"/>
          <w:lang w:eastAsia="en-US"/>
        </w:rPr>
        <w:t>cm</w:t>
      </w:r>
      <w:r w:rsidR="002C07FE" w:rsidRPr="003F5DCE">
        <w:rPr>
          <w:rFonts w:asciiTheme="minorHAnsi" w:eastAsiaTheme="minorHAnsi" w:hAnsiTheme="minorHAnsi" w:cstheme="minorBidi"/>
          <w:sz w:val="22"/>
          <w:szCs w:val="22"/>
          <w:vertAlign w:val="superscript"/>
          <w:lang w:eastAsia="en-US"/>
        </w:rPr>
        <w:t>3</w:t>
      </w:r>
      <w:r w:rsidR="002C07FE">
        <w:rPr>
          <w:rFonts w:asciiTheme="minorHAnsi" w:eastAsiaTheme="minorHAnsi" w:hAnsiTheme="minorHAnsi" w:cstheme="minorBidi"/>
          <w:sz w:val="22"/>
          <w:szCs w:val="22"/>
          <w:lang w:eastAsia="en-US"/>
        </w:rPr>
        <w:t>.s</w:t>
      </w:r>
      <w:r w:rsidR="002C07FE" w:rsidRPr="003F5DCE">
        <w:rPr>
          <w:rFonts w:asciiTheme="minorHAnsi" w:eastAsiaTheme="minorHAnsi" w:hAnsiTheme="minorHAnsi" w:cstheme="minorBidi"/>
          <w:sz w:val="22"/>
          <w:szCs w:val="22"/>
          <w:vertAlign w:val="superscript"/>
          <w:lang w:eastAsia="en-US"/>
        </w:rPr>
        <w:t>-1</w:t>
      </w:r>
      <w:r w:rsidR="002C07FE">
        <w:rPr>
          <w:rFonts w:asciiTheme="minorHAnsi" w:eastAsiaTheme="minorHAnsi" w:hAnsiTheme="minorHAnsi" w:cstheme="minorBidi"/>
          <w:sz w:val="22"/>
          <w:szCs w:val="22"/>
          <w:vertAlign w:val="superscript"/>
          <w:lang w:eastAsia="en-US"/>
        </w:rPr>
        <w:t xml:space="preserve"> </w:t>
      </w:r>
      <w:r w:rsidR="002C07FE">
        <w:rPr>
          <w:rFonts w:asciiTheme="minorHAnsi" w:eastAsiaTheme="minorHAnsi" w:hAnsiTheme="minorHAnsi" w:cstheme="minorBidi"/>
          <w:sz w:val="22"/>
          <w:szCs w:val="22"/>
          <w:lang w:eastAsia="en-US"/>
        </w:rPr>
        <w:t>and the average rates increased from 0.17</w:t>
      </w:r>
      <w:r w:rsidR="002C07FE" w:rsidRPr="002C07FE">
        <w:rPr>
          <w:rFonts w:asciiTheme="minorHAnsi" w:eastAsiaTheme="minorHAnsi" w:hAnsiTheme="minorHAnsi" w:cstheme="minorBidi"/>
          <w:sz w:val="22"/>
          <w:szCs w:val="22"/>
          <w:lang w:eastAsia="en-US"/>
        </w:rPr>
        <w:t xml:space="preserve"> </w:t>
      </w:r>
      <w:r w:rsidR="002C07FE">
        <w:rPr>
          <w:rFonts w:asciiTheme="minorHAnsi" w:eastAsiaTheme="minorHAnsi" w:hAnsiTheme="minorHAnsi" w:cstheme="minorBidi"/>
          <w:sz w:val="22"/>
          <w:szCs w:val="22"/>
          <w:lang w:eastAsia="en-US"/>
        </w:rPr>
        <w:t>cm</w:t>
      </w:r>
      <w:r w:rsidR="002C07FE" w:rsidRPr="003F5DCE">
        <w:rPr>
          <w:rFonts w:asciiTheme="minorHAnsi" w:eastAsiaTheme="minorHAnsi" w:hAnsiTheme="minorHAnsi" w:cstheme="minorBidi"/>
          <w:sz w:val="22"/>
          <w:szCs w:val="22"/>
          <w:vertAlign w:val="superscript"/>
          <w:lang w:eastAsia="en-US"/>
        </w:rPr>
        <w:t>3</w:t>
      </w:r>
      <w:r w:rsidR="002C07FE">
        <w:rPr>
          <w:rFonts w:asciiTheme="minorHAnsi" w:eastAsiaTheme="minorHAnsi" w:hAnsiTheme="minorHAnsi" w:cstheme="minorBidi"/>
          <w:sz w:val="22"/>
          <w:szCs w:val="22"/>
          <w:lang w:eastAsia="en-US"/>
        </w:rPr>
        <w:t>.s</w:t>
      </w:r>
      <w:r w:rsidR="002C07FE" w:rsidRPr="003F5DCE">
        <w:rPr>
          <w:rFonts w:asciiTheme="minorHAnsi" w:eastAsiaTheme="minorHAnsi" w:hAnsiTheme="minorHAnsi" w:cstheme="minorBidi"/>
          <w:sz w:val="22"/>
          <w:szCs w:val="22"/>
          <w:vertAlign w:val="superscript"/>
          <w:lang w:eastAsia="en-US"/>
        </w:rPr>
        <w:t>-1</w:t>
      </w:r>
      <w:r w:rsidR="002C07FE">
        <w:rPr>
          <w:rFonts w:asciiTheme="minorHAnsi" w:eastAsiaTheme="minorHAnsi" w:hAnsiTheme="minorHAnsi" w:cstheme="minorBidi"/>
          <w:sz w:val="22"/>
          <w:szCs w:val="22"/>
          <w:vertAlign w:val="superscript"/>
          <w:lang w:eastAsia="en-US"/>
        </w:rPr>
        <w:t xml:space="preserve"> </w:t>
      </w:r>
      <w:r w:rsidR="002C07FE">
        <w:rPr>
          <w:rFonts w:asciiTheme="minorHAnsi" w:eastAsiaTheme="minorHAnsi" w:hAnsiTheme="minorHAnsi" w:cstheme="minorBidi"/>
          <w:sz w:val="22"/>
          <w:szCs w:val="22"/>
          <w:lang w:eastAsia="en-US"/>
        </w:rPr>
        <w:t>to 0.30 cm</w:t>
      </w:r>
      <w:r w:rsidR="002C07FE" w:rsidRPr="003F5DCE">
        <w:rPr>
          <w:rFonts w:asciiTheme="minorHAnsi" w:eastAsiaTheme="minorHAnsi" w:hAnsiTheme="minorHAnsi" w:cstheme="minorBidi"/>
          <w:sz w:val="22"/>
          <w:szCs w:val="22"/>
          <w:vertAlign w:val="superscript"/>
          <w:lang w:eastAsia="en-US"/>
        </w:rPr>
        <w:t>3</w:t>
      </w:r>
      <w:r w:rsidR="002C07FE">
        <w:rPr>
          <w:rFonts w:asciiTheme="minorHAnsi" w:eastAsiaTheme="minorHAnsi" w:hAnsiTheme="minorHAnsi" w:cstheme="minorBidi"/>
          <w:sz w:val="22"/>
          <w:szCs w:val="22"/>
          <w:lang w:eastAsia="en-US"/>
        </w:rPr>
        <w:t>.s</w:t>
      </w:r>
      <w:r w:rsidR="002C07FE" w:rsidRPr="003F5DCE">
        <w:rPr>
          <w:rFonts w:asciiTheme="minorHAnsi" w:eastAsiaTheme="minorHAnsi" w:hAnsiTheme="minorHAnsi" w:cstheme="minorBidi"/>
          <w:sz w:val="22"/>
          <w:szCs w:val="22"/>
          <w:vertAlign w:val="superscript"/>
          <w:lang w:eastAsia="en-US"/>
        </w:rPr>
        <w:t>-1</w:t>
      </w:r>
      <w:r w:rsidR="002C07FE">
        <w:rPr>
          <w:rFonts w:asciiTheme="minorHAnsi" w:eastAsiaTheme="minorHAnsi" w:hAnsiTheme="minorHAnsi" w:cstheme="minorBidi"/>
          <w:sz w:val="22"/>
          <w:szCs w:val="22"/>
          <w:lang w:eastAsia="en-US"/>
        </w:rPr>
        <w:t xml:space="preserve"> </w:t>
      </w:r>
      <w:r w:rsidR="00587717">
        <w:rPr>
          <w:rFonts w:asciiTheme="minorHAnsi" w:eastAsiaTheme="minorHAnsi" w:hAnsiTheme="minorHAnsi" w:cstheme="minorBidi"/>
          <w:sz w:val="22"/>
          <w:szCs w:val="22"/>
          <w:lang w:eastAsia="en-US"/>
        </w:rPr>
        <w:t>as shown in Figure 2.</w:t>
      </w:r>
    </w:p>
    <w:p w14:paraId="7AB652E8" w14:textId="77777777" w:rsidR="008902A9" w:rsidRDefault="001821DB" w:rsidP="008B0758">
      <w:pPr>
        <w:pStyle w:val="NormalWeb"/>
        <w:rPr>
          <w:rFonts w:asciiTheme="minorHAnsi" w:eastAsiaTheme="minorHAnsi" w:hAnsiTheme="minorHAnsi" w:cstheme="minorBidi"/>
          <w:sz w:val="22"/>
          <w:szCs w:val="22"/>
          <w:lang w:eastAsia="en-US"/>
        </w:rPr>
      </w:pPr>
      <w:r>
        <w:rPr>
          <w:rFonts w:asciiTheme="minorHAnsi" w:eastAsiaTheme="minorHAnsi" w:hAnsiTheme="minorHAnsi" w:cstheme="minorBidi"/>
          <w:sz w:val="22"/>
          <w:szCs w:val="22"/>
          <w:lang w:eastAsia="en-US"/>
        </w:rPr>
        <w:t>I</w:t>
      </w:r>
      <w:r w:rsidR="00F56455">
        <w:rPr>
          <w:rFonts w:asciiTheme="minorHAnsi" w:eastAsiaTheme="minorHAnsi" w:hAnsiTheme="minorHAnsi" w:cstheme="minorBidi"/>
          <w:sz w:val="22"/>
          <w:szCs w:val="22"/>
          <w:lang w:eastAsia="en-US"/>
        </w:rPr>
        <w:t>n</w:t>
      </w:r>
      <w:r>
        <w:rPr>
          <w:rFonts w:asciiTheme="minorHAnsi" w:eastAsiaTheme="minorHAnsi" w:hAnsiTheme="minorHAnsi" w:cstheme="minorBidi"/>
          <w:sz w:val="22"/>
          <w:szCs w:val="22"/>
          <w:lang w:eastAsia="en-US"/>
        </w:rPr>
        <w:t xml:space="preserve"> the final experiment where the surface area of the magnesium was the variable, </w:t>
      </w:r>
      <w:r w:rsidR="00982ABC">
        <w:rPr>
          <w:rFonts w:asciiTheme="minorHAnsi" w:eastAsiaTheme="minorHAnsi" w:hAnsiTheme="minorHAnsi" w:cstheme="minorBidi"/>
          <w:sz w:val="22"/>
          <w:szCs w:val="22"/>
          <w:lang w:eastAsia="en-US"/>
        </w:rPr>
        <w:t xml:space="preserve">the instantaneous rate was seen to be </w:t>
      </w:r>
      <w:r w:rsidR="00F56455">
        <w:rPr>
          <w:rFonts w:asciiTheme="minorHAnsi" w:eastAsiaTheme="minorHAnsi" w:hAnsiTheme="minorHAnsi" w:cstheme="minorBidi"/>
          <w:sz w:val="22"/>
          <w:szCs w:val="22"/>
          <w:lang w:eastAsia="en-US"/>
        </w:rPr>
        <w:t>1.50 cm</w:t>
      </w:r>
      <w:r w:rsidR="00F56455" w:rsidRPr="003F5DCE">
        <w:rPr>
          <w:rFonts w:asciiTheme="minorHAnsi" w:eastAsiaTheme="minorHAnsi" w:hAnsiTheme="minorHAnsi" w:cstheme="minorBidi"/>
          <w:sz w:val="22"/>
          <w:szCs w:val="22"/>
          <w:vertAlign w:val="superscript"/>
          <w:lang w:eastAsia="en-US"/>
        </w:rPr>
        <w:t>3</w:t>
      </w:r>
      <w:r w:rsidR="00F56455">
        <w:rPr>
          <w:rFonts w:asciiTheme="minorHAnsi" w:eastAsiaTheme="minorHAnsi" w:hAnsiTheme="minorHAnsi" w:cstheme="minorBidi"/>
          <w:sz w:val="22"/>
          <w:szCs w:val="22"/>
          <w:lang w:eastAsia="en-US"/>
        </w:rPr>
        <w:t>.s</w:t>
      </w:r>
      <w:r w:rsidR="00F56455" w:rsidRPr="003F5DCE">
        <w:rPr>
          <w:rFonts w:asciiTheme="minorHAnsi" w:eastAsiaTheme="minorHAnsi" w:hAnsiTheme="minorHAnsi" w:cstheme="minorBidi"/>
          <w:sz w:val="22"/>
          <w:szCs w:val="22"/>
          <w:vertAlign w:val="superscript"/>
          <w:lang w:eastAsia="en-US"/>
        </w:rPr>
        <w:t>-1</w:t>
      </w:r>
      <w:r w:rsidR="00982ABC">
        <w:rPr>
          <w:rFonts w:asciiTheme="minorHAnsi" w:eastAsiaTheme="minorHAnsi" w:hAnsiTheme="minorHAnsi" w:cstheme="minorBidi"/>
          <w:sz w:val="22"/>
          <w:szCs w:val="22"/>
          <w:lang w:eastAsia="en-US"/>
        </w:rPr>
        <w:t xml:space="preserve"> </w:t>
      </w:r>
      <w:r w:rsidR="00F56455">
        <w:rPr>
          <w:rFonts w:asciiTheme="minorHAnsi" w:eastAsiaTheme="minorHAnsi" w:hAnsiTheme="minorHAnsi" w:cstheme="minorBidi"/>
          <w:sz w:val="22"/>
          <w:szCs w:val="22"/>
          <w:lang w:eastAsia="en-US"/>
        </w:rPr>
        <w:t>and the average of the entire reaction was             0.34 cm</w:t>
      </w:r>
      <w:r w:rsidR="00F56455" w:rsidRPr="003F5DCE">
        <w:rPr>
          <w:rFonts w:asciiTheme="minorHAnsi" w:eastAsiaTheme="minorHAnsi" w:hAnsiTheme="minorHAnsi" w:cstheme="minorBidi"/>
          <w:sz w:val="22"/>
          <w:szCs w:val="22"/>
          <w:vertAlign w:val="superscript"/>
          <w:lang w:eastAsia="en-US"/>
        </w:rPr>
        <w:t>3</w:t>
      </w:r>
      <w:r w:rsidR="00F56455">
        <w:rPr>
          <w:rFonts w:asciiTheme="minorHAnsi" w:eastAsiaTheme="minorHAnsi" w:hAnsiTheme="minorHAnsi" w:cstheme="minorBidi"/>
          <w:sz w:val="22"/>
          <w:szCs w:val="22"/>
          <w:lang w:eastAsia="en-US"/>
        </w:rPr>
        <w:t>.s</w:t>
      </w:r>
      <w:r w:rsidR="00F56455" w:rsidRPr="003F5DCE">
        <w:rPr>
          <w:rFonts w:asciiTheme="minorHAnsi" w:eastAsiaTheme="minorHAnsi" w:hAnsiTheme="minorHAnsi" w:cstheme="minorBidi"/>
          <w:sz w:val="22"/>
          <w:szCs w:val="22"/>
          <w:vertAlign w:val="superscript"/>
          <w:lang w:eastAsia="en-US"/>
        </w:rPr>
        <w:t>-1</w:t>
      </w:r>
      <w:r w:rsidR="00F56455">
        <w:rPr>
          <w:rFonts w:asciiTheme="minorHAnsi" w:eastAsiaTheme="minorHAnsi" w:hAnsiTheme="minorHAnsi" w:cstheme="minorBidi"/>
          <w:sz w:val="22"/>
          <w:szCs w:val="22"/>
          <w:lang w:eastAsia="en-US"/>
        </w:rPr>
        <w:t xml:space="preserve"> shown in the table 3. In comparison the first experiment at ambient temperature using a single strip of magnesium, the instantaneous rate has </w:t>
      </w:r>
      <w:r w:rsidR="009D5D8A">
        <w:rPr>
          <w:rFonts w:asciiTheme="minorHAnsi" w:eastAsiaTheme="minorHAnsi" w:hAnsiTheme="minorHAnsi" w:cstheme="minorBidi"/>
          <w:sz w:val="22"/>
          <w:szCs w:val="22"/>
          <w:lang w:eastAsia="en-US"/>
        </w:rPr>
        <w:t xml:space="preserve">over doubled that of the former </w:t>
      </w:r>
      <w:r w:rsidR="009B1D79">
        <w:rPr>
          <w:rFonts w:asciiTheme="minorHAnsi" w:eastAsiaTheme="minorHAnsi" w:hAnsiTheme="minorHAnsi" w:cstheme="minorBidi"/>
          <w:sz w:val="22"/>
          <w:szCs w:val="22"/>
          <w:lang w:eastAsia="en-US"/>
        </w:rPr>
        <w:t>at 0.7</w:t>
      </w:r>
      <w:r w:rsidR="009B1D79" w:rsidRPr="009B1D79">
        <w:rPr>
          <w:rFonts w:asciiTheme="minorHAnsi" w:eastAsiaTheme="minorHAnsi" w:hAnsiTheme="minorHAnsi" w:cstheme="minorBidi"/>
          <w:sz w:val="22"/>
          <w:szCs w:val="22"/>
          <w:lang w:eastAsia="en-US"/>
        </w:rPr>
        <w:t xml:space="preserve"> </w:t>
      </w:r>
      <w:r w:rsidR="009B1D79">
        <w:rPr>
          <w:rFonts w:asciiTheme="minorHAnsi" w:eastAsiaTheme="minorHAnsi" w:hAnsiTheme="minorHAnsi" w:cstheme="minorBidi"/>
          <w:sz w:val="22"/>
          <w:szCs w:val="22"/>
          <w:lang w:eastAsia="en-US"/>
        </w:rPr>
        <w:t>cm</w:t>
      </w:r>
      <w:r w:rsidR="009B1D79" w:rsidRPr="003F5DCE">
        <w:rPr>
          <w:rFonts w:asciiTheme="minorHAnsi" w:eastAsiaTheme="minorHAnsi" w:hAnsiTheme="minorHAnsi" w:cstheme="minorBidi"/>
          <w:sz w:val="22"/>
          <w:szCs w:val="22"/>
          <w:vertAlign w:val="superscript"/>
          <w:lang w:eastAsia="en-US"/>
        </w:rPr>
        <w:t>3</w:t>
      </w:r>
      <w:r w:rsidR="009B1D79">
        <w:rPr>
          <w:rFonts w:asciiTheme="minorHAnsi" w:eastAsiaTheme="minorHAnsi" w:hAnsiTheme="minorHAnsi" w:cstheme="minorBidi"/>
          <w:sz w:val="22"/>
          <w:szCs w:val="22"/>
          <w:lang w:eastAsia="en-US"/>
        </w:rPr>
        <w:t>.s</w:t>
      </w:r>
      <w:r w:rsidR="009B1D79" w:rsidRPr="003F5DCE">
        <w:rPr>
          <w:rFonts w:asciiTheme="minorHAnsi" w:eastAsiaTheme="minorHAnsi" w:hAnsiTheme="minorHAnsi" w:cstheme="minorBidi"/>
          <w:sz w:val="22"/>
          <w:szCs w:val="22"/>
          <w:vertAlign w:val="superscript"/>
          <w:lang w:eastAsia="en-US"/>
        </w:rPr>
        <w:t>-1</w:t>
      </w:r>
      <w:r w:rsidR="009B1D79">
        <w:rPr>
          <w:rFonts w:asciiTheme="minorHAnsi" w:eastAsiaTheme="minorHAnsi" w:hAnsiTheme="minorHAnsi" w:cstheme="minorBidi"/>
          <w:sz w:val="22"/>
          <w:szCs w:val="22"/>
          <w:lang w:eastAsia="en-US"/>
        </w:rPr>
        <w:t xml:space="preserve">. Expectation </w:t>
      </w:r>
      <w:r w:rsidR="000B714F">
        <w:rPr>
          <w:rFonts w:asciiTheme="minorHAnsi" w:eastAsiaTheme="minorHAnsi" w:hAnsiTheme="minorHAnsi" w:cstheme="minorBidi"/>
          <w:sz w:val="22"/>
          <w:szCs w:val="22"/>
          <w:lang w:eastAsia="en-US"/>
        </w:rPr>
        <w:t>of this comparison on surface area would suggest that the increase in</w:t>
      </w:r>
      <w:r w:rsidR="002B55AD">
        <w:rPr>
          <w:rFonts w:asciiTheme="minorHAnsi" w:eastAsiaTheme="minorHAnsi" w:hAnsiTheme="minorHAnsi" w:cstheme="minorBidi"/>
          <w:sz w:val="22"/>
          <w:szCs w:val="22"/>
          <w:lang w:eastAsia="en-US"/>
        </w:rPr>
        <w:t xml:space="preserve"> surface</w:t>
      </w:r>
      <w:r w:rsidR="000B714F">
        <w:rPr>
          <w:rFonts w:asciiTheme="minorHAnsi" w:eastAsiaTheme="minorHAnsi" w:hAnsiTheme="minorHAnsi" w:cstheme="minorBidi"/>
          <w:sz w:val="22"/>
          <w:szCs w:val="22"/>
          <w:lang w:eastAsia="en-US"/>
        </w:rPr>
        <w:t xml:space="preserve"> area</w:t>
      </w:r>
      <w:r w:rsidR="002B55AD">
        <w:rPr>
          <w:rFonts w:asciiTheme="minorHAnsi" w:eastAsiaTheme="minorHAnsi" w:hAnsiTheme="minorHAnsi" w:cstheme="minorBidi"/>
          <w:sz w:val="22"/>
          <w:szCs w:val="22"/>
          <w:lang w:eastAsia="en-US"/>
        </w:rPr>
        <w:t xml:space="preserve"> would lead to a quicker rate and quicker completion of the reaction, unfortunately that was not observed and believed to be due to the experimental </w:t>
      </w:r>
      <w:r w:rsidR="00CF1F12">
        <w:rPr>
          <w:rFonts w:asciiTheme="minorHAnsi" w:eastAsiaTheme="minorHAnsi" w:hAnsiTheme="minorHAnsi" w:cstheme="minorBidi"/>
          <w:sz w:val="22"/>
          <w:szCs w:val="22"/>
          <w:lang w:eastAsia="en-US"/>
        </w:rPr>
        <w:t xml:space="preserve">errors described previously. </w:t>
      </w:r>
    </w:p>
    <w:p w14:paraId="11617DB6" w14:textId="4764DF54" w:rsidR="00F25F97" w:rsidRDefault="008902A9" w:rsidP="0062629E">
      <w:pPr>
        <w:pStyle w:val="NormalWeb"/>
      </w:pPr>
      <w:r>
        <w:rPr>
          <w:rFonts w:asciiTheme="minorHAnsi" w:eastAsiaTheme="minorHAnsi" w:hAnsiTheme="minorHAnsi" w:cstheme="minorBidi"/>
          <w:sz w:val="22"/>
          <w:szCs w:val="22"/>
          <w:lang w:eastAsia="en-US"/>
        </w:rPr>
        <w:t>In an ideal scenario,</w:t>
      </w:r>
      <w:r w:rsidR="003E2B1A">
        <w:rPr>
          <w:rFonts w:asciiTheme="minorHAnsi" w:eastAsiaTheme="minorHAnsi" w:hAnsiTheme="minorHAnsi" w:cstheme="minorBidi"/>
          <w:sz w:val="22"/>
          <w:szCs w:val="22"/>
          <w:lang w:eastAsia="en-US"/>
        </w:rPr>
        <w:t xml:space="preserve"> the experiments conducted within this report would have taken place in a sealed system to allow </w:t>
      </w:r>
      <w:r w:rsidR="008D0A23">
        <w:rPr>
          <w:rFonts w:asciiTheme="minorHAnsi" w:eastAsiaTheme="minorHAnsi" w:hAnsiTheme="minorHAnsi" w:cstheme="minorBidi"/>
          <w:sz w:val="22"/>
          <w:szCs w:val="22"/>
          <w:lang w:eastAsia="en-US"/>
        </w:rPr>
        <w:t>reduction in errors</w:t>
      </w:r>
      <w:r w:rsidR="00F935B9">
        <w:rPr>
          <w:rFonts w:asciiTheme="minorHAnsi" w:eastAsiaTheme="minorHAnsi" w:hAnsiTheme="minorHAnsi" w:cstheme="minorBidi"/>
          <w:sz w:val="22"/>
          <w:szCs w:val="22"/>
          <w:lang w:eastAsia="en-US"/>
        </w:rPr>
        <w:t xml:space="preserve">, namely loss of liberated hydrogen gas. </w:t>
      </w:r>
      <w:r w:rsidR="008313AE">
        <w:rPr>
          <w:rFonts w:asciiTheme="minorHAnsi" w:eastAsiaTheme="minorHAnsi" w:hAnsiTheme="minorHAnsi" w:cstheme="minorBidi"/>
          <w:sz w:val="22"/>
          <w:szCs w:val="22"/>
          <w:lang w:eastAsia="en-US"/>
        </w:rPr>
        <w:t xml:space="preserve">Further controls in </w:t>
      </w:r>
      <w:r w:rsidR="00D70C40">
        <w:rPr>
          <w:rFonts w:asciiTheme="minorHAnsi" w:eastAsiaTheme="minorHAnsi" w:hAnsiTheme="minorHAnsi" w:cstheme="minorBidi"/>
          <w:sz w:val="22"/>
          <w:szCs w:val="22"/>
          <w:lang w:eastAsia="en-US"/>
        </w:rPr>
        <w:t>accuracy of mass added and purity of the magnesium would also be beneficial.</w:t>
      </w:r>
    </w:p>
    <w:p w14:paraId="1A4CDC83" w14:textId="049DBBFA" w:rsidR="00403CBE" w:rsidRPr="003221C3" w:rsidRDefault="00700FC9" w:rsidP="000E3035">
      <w:pPr>
        <w:pStyle w:val="Heading2"/>
      </w:pPr>
      <w:bookmarkStart w:id="21" w:name="_Ref172536608"/>
      <w:bookmarkStart w:id="22" w:name="_Toc183519271"/>
      <w:r w:rsidRPr="003221C3">
        <w:t>Relevance to OME</w:t>
      </w:r>
      <w:bookmarkEnd w:id="21"/>
      <w:bookmarkEnd w:id="22"/>
    </w:p>
    <w:p w14:paraId="41413429" w14:textId="77777777" w:rsidR="00E62D7B" w:rsidRPr="007B35E3" w:rsidRDefault="00E62D7B" w:rsidP="00E62D7B"/>
    <w:p w14:paraId="5CA7D5DE" w14:textId="4D44D16B" w:rsidR="007B35E3" w:rsidRDefault="007B35E3" w:rsidP="00E62D7B">
      <w:r w:rsidRPr="007B35E3">
        <w:t xml:space="preserve">The use </w:t>
      </w:r>
      <w:r w:rsidR="001301CD">
        <w:t xml:space="preserve">of rates of reaction </w:t>
      </w:r>
      <w:r w:rsidR="0073320A">
        <w:t xml:space="preserve">is an important </w:t>
      </w:r>
      <w:r w:rsidR="005542EE">
        <w:t>parameter in world of OME. It is part</w:t>
      </w:r>
      <w:r w:rsidR="00265C00">
        <w:t>icularly use</w:t>
      </w:r>
      <w:r w:rsidR="00156E06">
        <w:t>ful in the use of Rocket Motors</w:t>
      </w:r>
      <w:r w:rsidR="00022B2A">
        <w:t xml:space="preserve"> </w:t>
      </w:r>
      <w:r w:rsidR="00022B2A" w:rsidRPr="00F5450F">
        <w:t>[</w:t>
      </w:r>
      <w:r w:rsidR="00F5450F" w:rsidRPr="00F5450F">
        <w:t>3</w:t>
      </w:r>
      <w:r w:rsidR="00363893">
        <w:t>, 4, 5</w:t>
      </w:r>
      <w:r w:rsidR="00DC6A25">
        <w:t>, 6</w:t>
      </w:r>
      <w:r w:rsidR="00022B2A" w:rsidRPr="00F5450F">
        <w:t>}</w:t>
      </w:r>
      <w:r w:rsidR="00AC73B6">
        <w:t xml:space="preserve"> as the </w:t>
      </w:r>
      <w:r w:rsidR="00243B91">
        <w:t xml:space="preserve">rates </w:t>
      </w:r>
      <w:r w:rsidR="001E05D1">
        <w:t xml:space="preserve">of reaction of the </w:t>
      </w:r>
      <w:r w:rsidR="006E3922">
        <w:t xml:space="preserve">propellant mixtures directly influences </w:t>
      </w:r>
      <w:r w:rsidR="007A5E70">
        <w:t xml:space="preserve">the amount of high temperature gas that is produced and therefore the amount of thrust generated in accordance with Newtons’ Third Law. </w:t>
      </w:r>
      <w:r w:rsidR="00FB39D7">
        <w:t xml:space="preserve">For rocket motors that use </w:t>
      </w:r>
      <w:r w:rsidR="004F2000">
        <w:t>liquid-based</w:t>
      </w:r>
      <w:r w:rsidR="009A3C11">
        <w:t xml:space="preserve"> propellants</w:t>
      </w:r>
      <w:r w:rsidR="002A58A6">
        <w:t>, the variables considered in this report are of particular interest</w:t>
      </w:r>
      <w:r w:rsidR="000474A7">
        <w:t>, as th</w:t>
      </w:r>
      <w:r w:rsidR="00E50CF2">
        <w:t>ese mixtures can be adjusted to suit</w:t>
      </w:r>
      <w:r w:rsidR="00D06A63">
        <w:t xml:space="preserve"> specific </w:t>
      </w:r>
      <w:r w:rsidR="00E50CF2">
        <w:t>applications.</w:t>
      </w:r>
    </w:p>
    <w:p w14:paraId="76C8BA96" w14:textId="7DAAB7C0" w:rsidR="00234888" w:rsidRPr="0050551E" w:rsidRDefault="0001372F" w:rsidP="00E62D7B">
      <w:r>
        <w:t xml:space="preserve">Double base propellants are also used in small arm </w:t>
      </w:r>
      <w:r w:rsidR="00326DC5">
        <w:t>calibres and</w:t>
      </w:r>
      <w:r w:rsidR="00247BD4">
        <w:t xml:space="preserve"> are heavily influenced by their particle size distribution [</w:t>
      </w:r>
      <w:r w:rsidR="00F75AEC">
        <w:t>4</w:t>
      </w:r>
      <w:r w:rsidR="00247BD4">
        <w:t>] (</w:t>
      </w:r>
      <w:r w:rsidR="00D83BF5">
        <w:t xml:space="preserve">known as grain size). </w:t>
      </w:r>
      <w:r w:rsidR="007D2338">
        <w:t>Changes in grain size affect the rate of hot gas generation in a gun barrel</w:t>
      </w:r>
      <w:r w:rsidR="005B40A7">
        <w:t xml:space="preserve">, which can lead </w:t>
      </w:r>
      <w:r w:rsidR="00326DC5">
        <w:t xml:space="preserve">to excessive temperatures in the barrel reducing the overall lifespan of the </w:t>
      </w:r>
      <w:r w:rsidR="00374126">
        <w:t xml:space="preserve">equipment. This deterioration can be mitigated with the addition </w:t>
      </w:r>
      <w:r w:rsidR="001018F6">
        <w:t>of additives</w:t>
      </w:r>
      <w:r w:rsidR="005B51A9">
        <w:t xml:space="preserve">, which may perform more than one function. </w:t>
      </w:r>
      <w:r w:rsidR="00AA4DE0">
        <w:t xml:space="preserve">An example of such an additive is </w:t>
      </w:r>
      <w:proofErr w:type="spellStart"/>
      <w:r w:rsidR="006E43BB">
        <w:t>Carbamite</w:t>
      </w:r>
      <w:proofErr w:type="spellEnd"/>
      <w:r w:rsidR="006E43BB">
        <w:t>, which can be used a</w:t>
      </w:r>
      <w:r w:rsidR="000A72B4">
        <w:t>s a</w:t>
      </w:r>
      <w:r w:rsidR="006E43BB">
        <w:t xml:space="preserve"> stabiliser, plasticiser</w:t>
      </w:r>
      <w:r w:rsidR="00F75AEC">
        <w:t xml:space="preserve"> and surface coolant</w:t>
      </w:r>
      <w:r w:rsidR="00BD0AE4">
        <w:t xml:space="preserve"> based on </w:t>
      </w:r>
      <w:r w:rsidR="00C5090F">
        <w:t>proposed application</w:t>
      </w:r>
      <w:r w:rsidR="00F75AEC">
        <w:t xml:space="preserve">. </w:t>
      </w:r>
      <w:r w:rsidR="001018F6">
        <w:t xml:space="preserve"> </w:t>
      </w:r>
    </w:p>
    <w:p w14:paraId="68E2694B" w14:textId="468C9A74" w:rsidR="001300C7" w:rsidRPr="004F08A4" w:rsidRDefault="001300C7" w:rsidP="001300C7">
      <w:pPr>
        <w:pStyle w:val="Heading1"/>
      </w:pPr>
      <w:bookmarkStart w:id="23" w:name="_Toc183519272"/>
      <w:r w:rsidRPr="004F08A4">
        <w:t>Con</w:t>
      </w:r>
      <w:r w:rsidR="00F35AE4" w:rsidRPr="004F08A4">
        <w:t>clusions</w:t>
      </w:r>
      <w:bookmarkEnd w:id="23"/>
    </w:p>
    <w:p w14:paraId="1884E418" w14:textId="77777777" w:rsidR="006321AA" w:rsidRDefault="006321AA" w:rsidP="00F35AE4"/>
    <w:p w14:paraId="5FDB91DF" w14:textId="221DF29A" w:rsidR="00B933BA" w:rsidRPr="001448A7" w:rsidRDefault="001C7D0D" w:rsidP="00F35AE4">
      <w:r>
        <w:t xml:space="preserve">The laboratory </w:t>
      </w:r>
      <w:r w:rsidR="006321AA">
        <w:t xml:space="preserve">experiments have been a useful tool and experience for Author to better </w:t>
      </w:r>
      <w:r w:rsidR="000618B8">
        <w:t xml:space="preserve">relate the chemistry and mathematics of rates of reaction in a </w:t>
      </w:r>
      <w:r w:rsidR="005E38CE">
        <w:t>real-world</w:t>
      </w:r>
      <w:r w:rsidR="000618B8">
        <w:t xml:space="preserve"> context.</w:t>
      </w:r>
      <w:r w:rsidR="008130A5">
        <w:t xml:space="preserve"> With a greater </w:t>
      </w:r>
      <w:r w:rsidR="00C722E7">
        <w:t xml:space="preserve">attention to detail and care from the Author the levels of experimental error </w:t>
      </w:r>
      <w:r w:rsidR="007C541F">
        <w:t xml:space="preserve">in the first and second experiments would have </w:t>
      </w:r>
      <w:r w:rsidR="0020513D">
        <w:t xml:space="preserve">been reduced and given better correlation to the hypothesis outlined in the </w:t>
      </w:r>
      <w:r w:rsidR="001303D4">
        <w:t>introduction</w:t>
      </w:r>
      <w:r w:rsidR="0020513D">
        <w:t xml:space="preserve">. </w:t>
      </w:r>
      <w:r w:rsidR="0020768D">
        <w:t xml:space="preserve">It would be of a benefit to repeat this experimental procedure in the future </w:t>
      </w:r>
      <w:r w:rsidR="00855F31">
        <w:t xml:space="preserve">with these </w:t>
      </w:r>
      <w:r w:rsidR="00855F31" w:rsidRPr="001448A7">
        <w:t>observations in mind and compare to the figures</w:t>
      </w:r>
      <w:r w:rsidR="001303D4" w:rsidRPr="001448A7">
        <w:t xml:space="preserve"> and findings</w:t>
      </w:r>
      <w:r w:rsidR="00855F31" w:rsidRPr="001448A7">
        <w:t xml:space="preserve"> obtained in this study. </w:t>
      </w:r>
    </w:p>
    <w:p w14:paraId="4DBE3C95" w14:textId="41468C79" w:rsidR="001448A7" w:rsidRDefault="002C7F92" w:rsidP="00F35AE4">
      <w:r w:rsidRPr="001448A7">
        <w:t xml:space="preserve">Understanding </w:t>
      </w:r>
      <w:r w:rsidR="00D32227" w:rsidRPr="001448A7">
        <w:t>rates of reaction</w:t>
      </w:r>
      <w:r w:rsidRPr="001448A7">
        <w:t xml:space="preserve"> of a given material and how that can be used functionally to better </w:t>
      </w:r>
      <w:r w:rsidR="00CC44F7" w:rsidRPr="001448A7">
        <w:t>form a product</w:t>
      </w:r>
      <w:r w:rsidR="00E861DC" w:rsidRPr="001448A7">
        <w:t xml:space="preserve"> to function reliably and safely has been of great benefit.</w:t>
      </w:r>
      <w:r w:rsidR="00CC44F7" w:rsidRPr="001448A7">
        <w:t xml:space="preserve"> Refe</w:t>
      </w:r>
      <w:r w:rsidR="00045BD4" w:rsidRPr="001448A7">
        <w:t xml:space="preserve">rence </w:t>
      </w:r>
      <w:r w:rsidR="00391509" w:rsidRPr="001448A7">
        <w:t>4</w:t>
      </w:r>
      <w:r w:rsidR="00045BD4" w:rsidRPr="001448A7">
        <w:t xml:space="preserve"> has been a great source of how this principle has been used </w:t>
      </w:r>
      <w:r w:rsidR="00391509" w:rsidRPr="001448A7">
        <w:t>across industry</w:t>
      </w:r>
      <w:r w:rsidR="00045BD4" w:rsidRPr="001448A7">
        <w:t xml:space="preserve">. </w:t>
      </w:r>
    </w:p>
    <w:p w14:paraId="4A87DE17" w14:textId="77777777" w:rsidR="001448A7" w:rsidRDefault="001448A7">
      <w:r>
        <w:br w:type="page"/>
      </w:r>
    </w:p>
    <w:p w14:paraId="7A4284C5" w14:textId="67323075" w:rsidR="008705E2" w:rsidRPr="00071B2D" w:rsidRDefault="003E2AD1" w:rsidP="00745258">
      <w:pPr>
        <w:pStyle w:val="append"/>
      </w:pPr>
      <w:bookmarkStart w:id="24" w:name="_Toc183519273"/>
      <w:r w:rsidRPr="00071B2D">
        <w:lastRenderedPageBreak/>
        <w:t xml:space="preserve">Annex </w:t>
      </w:r>
      <w:r w:rsidR="00E7281C" w:rsidRPr="00071B2D">
        <w:t>A</w:t>
      </w:r>
      <w:bookmarkEnd w:id="24"/>
    </w:p>
    <w:p w14:paraId="2FBFBE5A" w14:textId="08A7D960" w:rsidR="007668ED" w:rsidRPr="008477C1" w:rsidRDefault="008B1C2E" w:rsidP="007668ED">
      <w:pPr>
        <w:pStyle w:val="Heading2"/>
      </w:pPr>
      <w:bookmarkStart w:id="25" w:name="_Toc183519274"/>
      <w:r w:rsidRPr="008477C1">
        <w:t xml:space="preserve">List of </w:t>
      </w:r>
      <w:r w:rsidR="0063372B" w:rsidRPr="008477C1">
        <w:t>equipment utilised in current study.</w:t>
      </w:r>
      <w:bookmarkEnd w:id="25"/>
    </w:p>
    <w:p w14:paraId="4204C324" w14:textId="77777777" w:rsidR="00E82B0D" w:rsidRPr="008477C1" w:rsidRDefault="00E82B0D" w:rsidP="00E82B0D"/>
    <w:p w14:paraId="1B84CF85" w14:textId="2FD7B21D" w:rsidR="008F7BBB" w:rsidRPr="003B1CF4" w:rsidRDefault="008F7BBB" w:rsidP="00E82B0D">
      <w:r w:rsidRPr="003B1CF4">
        <w:t xml:space="preserve">Below is a list of the apparatus to be used in the laboratory experiment, it is also represented </w:t>
      </w:r>
      <w:r w:rsidR="008477C1" w:rsidRPr="003B1CF4">
        <w:t xml:space="preserve">in </w:t>
      </w:r>
      <w:r w:rsidR="00C66E43" w:rsidRPr="003B1CF4">
        <w:t xml:space="preserve">Figure </w:t>
      </w:r>
      <w:proofErr w:type="gramStart"/>
      <w:r w:rsidR="0000171F" w:rsidRPr="003B1CF4">
        <w:t>4</w:t>
      </w:r>
      <w:proofErr w:type="gramEnd"/>
    </w:p>
    <w:p w14:paraId="1949F955" w14:textId="68B7FA39" w:rsidR="0063372B" w:rsidRPr="00122FDD" w:rsidRDefault="003B1CF4" w:rsidP="0063372B">
      <w:pPr>
        <w:pStyle w:val="ListParagraph"/>
        <w:numPr>
          <w:ilvl w:val="0"/>
          <w:numId w:val="3"/>
        </w:numPr>
      </w:pPr>
      <w:r w:rsidRPr="00122FDD">
        <w:t>Gas Syringe</w:t>
      </w:r>
    </w:p>
    <w:p w14:paraId="0093EFE2" w14:textId="67860C89" w:rsidR="003B1CF4" w:rsidRPr="00122FDD" w:rsidRDefault="003B1CF4" w:rsidP="0063372B">
      <w:pPr>
        <w:pStyle w:val="ListParagraph"/>
        <w:numPr>
          <w:ilvl w:val="0"/>
          <w:numId w:val="3"/>
        </w:numPr>
      </w:pPr>
      <w:r w:rsidRPr="00122FDD">
        <w:t>Long test tube with arm</w:t>
      </w:r>
    </w:p>
    <w:p w14:paraId="59DCEA5B" w14:textId="30CB6C20" w:rsidR="00B637CF" w:rsidRPr="00122FDD" w:rsidRDefault="003B1CF4" w:rsidP="0063372B">
      <w:pPr>
        <w:pStyle w:val="ListParagraph"/>
        <w:numPr>
          <w:ilvl w:val="0"/>
          <w:numId w:val="3"/>
        </w:numPr>
      </w:pPr>
      <w:r w:rsidRPr="00122FDD">
        <w:t>Rubber bung and delivery unit to fir test tube</w:t>
      </w:r>
    </w:p>
    <w:p w14:paraId="1E268A2F" w14:textId="78CF88CE" w:rsidR="003B1CF4" w:rsidRPr="00122FDD" w:rsidRDefault="003B1CF4" w:rsidP="0063372B">
      <w:pPr>
        <w:pStyle w:val="ListParagraph"/>
        <w:numPr>
          <w:ilvl w:val="0"/>
          <w:numId w:val="3"/>
        </w:numPr>
      </w:pPr>
      <w:r w:rsidRPr="00122FDD">
        <w:t>2 Large beakers for water bath and rection mixture waste</w:t>
      </w:r>
    </w:p>
    <w:p w14:paraId="06192BE7" w14:textId="55871E84" w:rsidR="003B1CF4" w:rsidRPr="00122FDD" w:rsidRDefault="003B1CF4" w:rsidP="0063372B">
      <w:pPr>
        <w:pStyle w:val="ListParagraph"/>
        <w:numPr>
          <w:ilvl w:val="0"/>
          <w:numId w:val="3"/>
        </w:numPr>
      </w:pPr>
      <w:r w:rsidRPr="00122FDD">
        <w:t>Pip</w:t>
      </w:r>
      <w:r w:rsidR="00122FDD" w:rsidRPr="00122FDD">
        <w:t xml:space="preserve">ette and pipette </w:t>
      </w:r>
      <w:proofErr w:type="gramStart"/>
      <w:r w:rsidR="00122FDD" w:rsidRPr="00122FDD">
        <w:t>filler</w:t>
      </w:r>
      <w:proofErr w:type="gramEnd"/>
    </w:p>
    <w:p w14:paraId="18FCFEDA" w14:textId="35129FDB" w:rsidR="00122FDD" w:rsidRPr="00122FDD" w:rsidRDefault="00122FDD" w:rsidP="0063372B">
      <w:pPr>
        <w:pStyle w:val="ListParagraph"/>
        <w:numPr>
          <w:ilvl w:val="0"/>
          <w:numId w:val="3"/>
        </w:numPr>
      </w:pPr>
      <w:r w:rsidRPr="00122FDD">
        <w:t>2 Clamp stands</w:t>
      </w:r>
    </w:p>
    <w:p w14:paraId="7F5F417C" w14:textId="68CC5028" w:rsidR="00B637CF" w:rsidRPr="00122FDD" w:rsidRDefault="00122FDD" w:rsidP="0063372B">
      <w:pPr>
        <w:pStyle w:val="ListParagraph"/>
        <w:numPr>
          <w:ilvl w:val="0"/>
          <w:numId w:val="3"/>
        </w:numPr>
      </w:pPr>
      <w:r w:rsidRPr="00122FDD">
        <w:t xml:space="preserve">Test tuber holder &amp; 6 test </w:t>
      </w:r>
      <w:proofErr w:type="gramStart"/>
      <w:r w:rsidRPr="00122FDD">
        <w:t>tubes</w:t>
      </w:r>
      <w:proofErr w:type="gramEnd"/>
    </w:p>
    <w:p w14:paraId="0F051917" w14:textId="452CC34A" w:rsidR="00122FDD" w:rsidRPr="00122FDD" w:rsidRDefault="00122FDD" w:rsidP="0063372B">
      <w:pPr>
        <w:pStyle w:val="ListParagraph"/>
        <w:numPr>
          <w:ilvl w:val="0"/>
          <w:numId w:val="3"/>
        </w:numPr>
      </w:pPr>
      <w:r w:rsidRPr="00122FDD">
        <w:t xml:space="preserve">Graduated </w:t>
      </w:r>
      <w:proofErr w:type="gramStart"/>
      <w:r w:rsidRPr="00122FDD">
        <w:t>cylinder</w:t>
      </w:r>
      <w:proofErr w:type="gramEnd"/>
    </w:p>
    <w:p w14:paraId="57664F19" w14:textId="5C1DD1D0" w:rsidR="00122FDD" w:rsidRPr="00122FDD" w:rsidRDefault="00122FDD" w:rsidP="0063372B">
      <w:pPr>
        <w:pStyle w:val="ListParagraph"/>
        <w:numPr>
          <w:ilvl w:val="0"/>
          <w:numId w:val="3"/>
        </w:numPr>
      </w:pPr>
      <w:r w:rsidRPr="00122FDD">
        <w:t>Digital thermometer</w:t>
      </w:r>
    </w:p>
    <w:p w14:paraId="491B04C1" w14:textId="21BE596A" w:rsidR="00122FDD" w:rsidRDefault="00122FDD" w:rsidP="0063372B">
      <w:pPr>
        <w:pStyle w:val="ListParagraph"/>
        <w:numPr>
          <w:ilvl w:val="0"/>
          <w:numId w:val="3"/>
        </w:numPr>
      </w:pPr>
      <w:r w:rsidRPr="00122FDD">
        <w:t>Ring stand &amp; Bunsen Burner</w:t>
      </w:r>
    </w:p>
    <w:p w14:paraId="73B983FF" w14:textId="77777777" w:rsidR="00122FDD" w:rsidRDefault="00122FDD" w:rsidP="00122FDD"/>
    <w:p w14:paraId="5E2D65A6" w14:textId="3A32808B" w:rsidR="00122FDD" w:rsidRDefault="00122FDD" w:rsidP="00122FDD">
      <w:r>
        <w:t xml:space="preserve">Chemicals to be used during </w:t>
      </w:r>
      <w:proofErr w:type="gramStart"/>
      <w:r>
        <w:t>experimentation;</w:t>
      </w:r>
      <w:proofErr w:type="gramEnd"/>
    </w:p>
    <w:p w14:paraId="222722F4" w14:textId="2FD8D783" w:rsidR="00122FDD" w:rsidRDefault="00122FDD" w:rsidP="00122FDD">
      <w:pPr>
        <w:pStyle w:val="ListParagraph"/>
        <w:numPr>
          <w:ilvl w:val="0"/>
          <w:numId w:val="12"/>
        </w:numPr>
      </w:pPr>
      <w:r>
        <w:t>Magnesium ribbon (approx. 4cm length)</w:t>
      </w:r>
    </w:p>
    <w:p w14:paraId="54C6BE12" w14:textId="2C99F2D0" w:rsidR="00122FDD" w:rsidRDefault="00122FDD" w:rsidP="00122FDD">
      <w:pPr>
        <w:pStyle w:val="ListParagraph"/>
        <w:numPr>
          <w:ilvl w:val="0"/>
          <w:numId w:val="12"/>
        </w:numPr>
      </w:pPr>
      <w:r>
        <w:t>Magnesium powder (same mass as ribbon)</w:t>
      </w:r>
    </w:p>
    <w:p w14:paraId="3C641F79" w14:textId="4E76BA99" w:rsidR="00122FDD" w:rsidRDefault="00122FDD" w:rsidP="00122FDD">
      <w:pPr>
        <w:pStyle w:val="ListParagraph"/>
        <w:numPr>
          <w:ilvl w:val="0"/>
          <w:numId w:val="12"/>
        </w:numPr>
      </w:pPr>
      <w:r>
        <w:t>Hydrochloric Acid (1.0M</w:t>
      </w:r>
      <w:r w:rsidR="00F5600D">
        <w:t>, 1.5M</w:t>
      </w:r>
      <w:r>
        <w:t xml:space="preserve"> &amp; 2.0M)</w:t>
      </w:r>
    </w:p>
    <w:p w14:paraId="415D192E" w14:textId="0D1CBF31" w:rsidR="00122FDD" w:rsidRPr="00122FDD" w:rsidRDefault="00122FDD" w:rsidP="00122FDD">
      <w:pPr>
        <w:pStyle w:val="ListParagraph"/>
        <w:numPr>
          <w:ilvl w:val="0"/>
          <w:numId w:val="12"/>
        </w:numPr>
      </w:pPr>
      <w:r>
        <w:t>Deionised water</w:t>
      </w:r>
    </w:p>
    <w:p w14:paraId="24D135F4" w14:textId="6D037A81" w:rsidR="002A3E2C" w:rsidRDefault="002A3E2C" w:rsidP="002A3E2C">
      <w:pPr>
        <w:rPr>
          <w:highlight w:val="yellow"/>
        </w:rPr>
      </w:pPr>
    </w:p>
    <w:p w14:paraId="3B00114B" w14:textId="3E8DB951" w:rsidR="007E5033" w:rsidRDefault="00506DE6" w:rsidP="007E5033">
      <w:pPr>
        <w:pStyle w:val="Heading2"/>
      </w:pPr>
      <w:bookmarkStart w:id="26" w:name="_Ref172095878"/>
      <w:bookmarkStart w:id="27" w:name="_Toc183519275"/>
      <w:r w:rsidRPr="00051EA3">
        <w:t>Experimental Procedure.</w:t>
      </w:r>
      <w:bookmarkEnd w:id="26"/>
      <w:bookmarkEnd w:id="27"/>
    </w:p>
    <w:p w14:paraId="0F99343D" w14:textId="77777777" w:rsidR="008E4312" w:rsidRDefault="008E4312" w:rsidP="008E4312"/>
    <w:p w14:paraId="59135236" w14:textId="7E57E5F5" w:rsidR="008E4312" w:rsidRPr="00122FDD" w:rsidRDefault="008E4312" w:rsidP="008E4312">
      <w:r w:rsidRPr="00122FDD">
        <w:t>In this experiment, the</w:t>
      </w:r>
      <w:r w:rsidR="00122FDD" w:rsidRPr="00122FDD">
        <w:t xml:space="preserve"> effects on rates of reaction have been broken down to the </w:t>
      </w:r>
      <w:r w:rsidRPr="00122FDD">
        <w:t>following measurements</w:t>
      </w:r>
      <w:r w:rsidR="008B4708" w:rsidRPr="00122FDD">
        <w:t>:</w:t>
      </w:r>
    </w:p>
    <w:p w14:paraId="7B6C7B92" w14:textId="2650EA71" w:rsidR="00122FDD" w:rsidRPr="00122FDD" w:rsidRDefault="00122FDD" w:rsidP="00122FDD">
      <w:pPr>
        <w:pStyle w:val="ListParagraph"/>
        <w:numPr>
          <w:ilvl w:val="0"/>
          <w:numId w:val="13"/>
        </w:numPr>
      </w:pPr>
      <w:r w:rsidRPr="00122FDD">
        <w:t xml:space="preserve">Experiment 1 – Effect of concentration </w:t>
      </w:r>
    </w:p>
    <w:p w14:paraId="2EAC03D5" w14:textId="46793573" w:rsidR="008B4708" w:rsidRPr="00122FDD" w:rsidRDefault="00122FDD" w:rsidP="00122FDD">
      <w:pPr>
        <w:pStyle w:val="ListParagraph"/>
        <w:numPr>
          <w:ilvl w:val="0"/>
          <w:numId w:val="13"/>
        </w:numPr>
      </w:pPr>
      <w:r w:rsidRPr="00122FDD">
        <w:t>Experiment 2 – Effect of temperature</w:t>
      </w:r>
    </w:p>
    <w:p w14:paraId="19BC3DAC" w14:textId="3AD2D0F2" w:rsidR="008B4708" w:rsidRPr="00122FDD" w:rsidRDefault="00122FDD" w:rsidP="00122FDD">
      <w:pPr>
        <w:pStyle w:val="ListParagraph"/>
        <w:numPr>
          <w:ilvl w:val="0"/>
          <w:numId w:val="13"/>
        </w:numPr>
      </w:pPr>
      <w:r w:rsidRPr="00122FDD">
        <w:t>Experiment 3 – Effect of surface area</w:t>
      </w:r>
    </w:p>
    <w:p w14:paraId="559504B9" w14:textId="50E32205" w:rsidR="00B43BC3" w:rsidRDefault="00B43BC3">
      <w:r>
        <w:br w:type="page"/>
      </w:r>
    </w:p>
    <w:p w14:paraId="15D241D7" w14:textId="26DF55B0" w:rsidR="006252E1" w:rsidRDefault="004B06F8" w:rsidP="006252E1">
      <w:pPr>
        <w:pStyle w:val="Heading3"/>
      </w:pPr>
      <w:bookmarkStart w:id="28" w:name="_Toc183519276"/>
      <w:r>
        <w:lastRenderedPageBreak/>
        <w:t>Experimental Procedure</w:t>
      </w:r>
      <w:bookmarkEnd w:id="28"/>
    </w:p>
    <w:p w14:paraId="40FEC55F" w14:textId="2ED8A8F0" w:rsidR="001228E0" w:rsidRDefault="00500A33" w:rsidP="001654E7">
      <w:pPr>
        <w:pStyle w:val="Heading4"/>
      </w:pPr>
      <w:r>
        <w:t>Effect of concentration on the speed of Hydrogen Gas evolution</w:t>
      </w:r>
    </w:p>
    <w:p w14:paraId="4F1631AA" w14:textId="77777777" w:rsidR="001654E7" w:rsidRDefault="001654E7" w:rsidP="001654E7"/>
    <w:p w14:paraId="3040B32C" w14:textId="0A9501BF" w:rsidR="001654E7" w:rsidRDefault="00130453" w:rsidP="001654E7">
      <w:r>
        <w:t>Initially, three 20.0mL solutions of hydrochloric acid were prepared</w:t>
      </w:r>
      <w:r w:rsidR="00C93199">
        <w:t xml:space="preserve"> from 2.0</w:t>
      </w:r>
      <w:r w:rsidR="00F73A94">
        <w:t xml:space="preserve"> </w:t>
      </w:r>
      <w:r w:rsidR="00C93199">
        <w:t>M</w:t>
      </w:r>
      <w:r w:rsidR="00F73A94">
        <w:t>ol</w:t>
      </w:r>
      <w:r w:rsidR="00C93199">
        <w:t xml:space="preserve"> stock. A sample of 20mL of 2.0</w:t>
      </w:r>
      <w:r w:rsidR="00F73A94">
        <w:t xml:space="preserve"> </w:t>
      </w:r>
      <w:r w:rsidR="00C93199">
        <w:t>M</w:t>
      </w:r>
      <w:r w:rsidR="00F73A94">
        <w:t>ol</w:t>
      </w:r>
      <w:r w:rsidR="00C93199">
        <w:t>, and dilutions of 1.5M</w:t>
      </w:r>
      <w:r w:rsidR="00F73A94">
        <w:t>ol and 1.0 Mol</w:t>
      </w:r>
      <w:r w:rsidR="003F7020">
        <w:t xml:space="preserve"> with deionised water via pipette </w:t>
      </w:r>
      <w:r w:rsidR="003603C8">
        <w:t>were prepared.</w:t>
      </w:r>
    </w:p>
    <w:p w14:paraId="2E08A113" w14:textId="31713DCA" w:rsidR="003603C8" w:rsidRDefault="003603C8" w:rsidP="001654E7">
      <w:r>
        <w:t>The lowe</w:t>
      </w:r>
      <w:r w:rsidR="008B512F">
        <w:t xml:space="preserve">st concentration </w:t>
      </w:r>
      <w:r w:rsidR="000B2B67">
        <w:t xml:space="preserve">is added to the test tube </w:t>
      </w:r>
      <w:r w:rsidR="007620CB">
        <w:t>fitted with the arm</w:t>
      </w:r>
      <w:r w:rsidR="00C93381">
        <w:t xml:space="preserve"> and temperature of the</w:t>
      </w:r>
      <w:r w:rsidR="00760774">
        <w:t xml:space="preserve"> liquid recorded.</w:t>
      </w:r>
      <w:r w:rsidR="007620CB">
        <w:t xml:space="preserve"> A 4cm strip of </w:t>
      </w:r>
      <w:r w:rsidR="00CE5681">
        <w:t xml:space="preserve">magnesium ribbon is added to the test tube and quickly stoppered </w:t>
      </w:r>
      <w:r w:rsidR="000023DE">
        <w:t>with a bung, and stopwatch started</w:t>
      </w:r>
      <w:r w:rsidR="00B57750">
        <w:t xml:space="preserve">. The level of gas evolution Is recorded at appropriate intervals </w:t>
      </w:r>
      <w:r w:rsidR="0064281C">
        <w:t xml:space="preserve">which was continued until </w:t>
      </w:r>
      <w:r w:rsidR="00273BA9">
        <w:t xml:space="preserve">the volume of gas in the syringe no longer increased. </w:t>
      </w:r>
      <w:r w:rsidR="00760774">
        <w:t>Upon completion</w:t>
      </w:r>
      <w:r w:rsidR="003D7FEB">
        <w:t xml:space="preserve">, the reacted mixture was </w:t>
      </w:r>
      <w:proofErr w:type="gramStart"/>
      <w:r w:rsidR="003D7FEB">
        <w:t>discarded</w:t>
      </w:r>
      <w:proofErr w:type="gramEnd"/>
      <w:r w:rsidR="00C84CBD">
        <w:t xml:space="preserve"> and equipment cleaned. </w:t>
      </w:r>
    </w:p>
    <w:p w14:paraId="4E293171" w14:textId="32196A79" w:rsidR="00C84CBD" w:rsidRPr="001654E7" w:rsidRDefault="00C84CBD" w:rsidP="001654E7">
      <w:r>
        <w:t xml:space="preserve">This was then repeated for the remaining concentrations </w:t>
      </w:r>
      <w:r w:rsidR="00DF5DE4">
        <w:t>of hydrochloric acid.</w:t>
      </w:r>
    </w:p>
    <w:p w14:paraId="4E3D451E" w14:textId="529C1F7D" w:rsidR="00A7276E" w:rsidRDefault="00041338" w:rsidP="00693C06">
      <w:r>
        <w:rPr>
          <w:noProof/>
        </w:rPr>
        <mc:AlternateContent>
          <mc:Choice Requires="wps">
            <w:drawing>
              <wp:anchor distT="45720" distB="45720" distL="114300" distR="114300" simplePos="0" relativeHeight="251687936" behindDoc="0" locked="0" layoutInCell="1" allowOverlap="1" wp14:anchorId="03E582BB" wp14:editId="4D9C0924">
                <wp:simplePos x="0" y="0"/>
                <wp:positionH relativeFrom="margin">
                  <wp:align>left</wp:align>
                </wp:positionH>
                <wp:positionV relativeFrom="paragraph">
                  <wp:posOffset>292100</wp:posOffset>
                </wp:positionV>
                <wp:extent cx="5709920" cy="2104390"/>
                <wp:effectExtent l="0" t="0" r="24130" b="10160"/>
                <wp:wrapTopAndBottom/>
                <wp:docPr id="2122344068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5709920" cy="210484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7BE55AD3" w14:textId="739E0CD0" w:rsidR="00A7276E" w:rsidRDefault="003B1CF4">
                            <w:r>
                              <w:rPr>
                                <w:noProof/>
                              </w:rPr>
                              <w:drawing>
                                <wp:inline distT="0" distB="0" distL="0" distR="0" wp14:anchorId="115E890B" wp14:editId="54362569">
                                  <wp:extent cx="5595583" cy="2035834"/>
                                  <wp:effectExtent l="0" t="0" r="5715" b="2540"/>
                                  <wp:docPr id="1905509356" name="Picture 1"/>
                                  <wp:cNvGraphicFramePr>
                                    <a:graphicFrameLocks xmlns:a="http://schemas.openxmlformats.org/drawingml/2006/main" noChangeAspect="1"/>
                                  </wp:cNvGraphicFramePr>
                                  <a:graphic xmlns:a="http://schemas.openxmlformats.org/drawingml/2006/main">
                                    <a:graphicData uri="http://schemas.openxmlformats.org/drawingml/2006/picture">
                                      <pic:pic xmlns:pic="http://schemas.openxmlformats.org/drawingml/2006/picture">
                                        <pic:nvPicPr>
                                          <pic:cNvPr id="1905509356" name=""/>
                                          <pic:cNvPicPr/>
                                        </pic:nvPicPr>
                                        <pic:blipFill>
                                          <a:blip r:embed="rId20"/>
                                          <a:stretch>
                                            <a:fillRect/>
                                          </a:stretch>
                                        </pic:blipFill>
                                        <pic:spPr>
                                          <a:xfrm>
                                            <a:off x="0" y="0"/>
                                            <a:ext cx="5684277" cy="2068104"/>
                                          </a:xfrm>
                                          <a:prstGeom prst="rect">
                                            <a:avLst/>
                                          </a:prstGeom>
                                        </pic:spPr>
                                      </pic:pic>
                                    </a:graphicData>
                                  </a:graphic>
                                </wp:inline>
                              </w:drawing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03E582BB" id="_x0000_s1032" type="#_x0000_t202" style="position:absolute;margin-left:0;margin-top:23pt;width:449.6pt;height:165.7pt;z-index:251687936;visibility:visible;mso-wrap-style:square;mso-width-percent:0;mso-height-percent:0;mso-wrap-distance-left:9pt;mso-wrap-distance-top:3.6pt;mso-wrap-distance-right:9pt;mso-wrap-distance-bottom:3.6pt;mso-position-horizontal:left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">
                <v:textbox>
                  <w:txbxContent>
                    <w:p w14:paraId="7BE55AD3" w14:textId="739E0CD0" w:rsidR="00A7276E" w:rsidRDefault="003B1CF4">
                      <w:r>
                        <w:rPr>
                          <w:noProof/>
                        </w:rPr>
                        <w:drawing>
                          <wp:inline distT="0" distB="0" distL="0" distR="0" wp14:anchorId="115E890B" wp14:editId="54362569">
                            <wp:extent cx="5595583" cy="2035834"/>
                            <wp:effectExtent l="0" t="0" r="5715" b="2540"/>
                            <wp:docPr id="1905509356" name="Picture 1"/>
                            <wp:cNvGraphicFramePr>
                              <a:graphicFrameLocks xmlns:a="http://schemas.openxmlformats.org/drawingml/2006/main" noChangeAspect="1"/>
                            </wp:cNvGraphicFramePr>
                            <a:graphic xmlns:a="http://schemas.openxmlformats.org/drawingml/2006/main">
                              <a:graphicData uri="http://schemas.openxmlformats.org/drawingml/2006/picture">
                                <pic:pic xmlns:pic="http://schemas.openxmlformats.org/drawingml/2006/picture">
                                  <pic:nvPicPr>
                                    <pic:cNvPr id="1905509356" name=""/>
                                    <pic:cNvPicPr/>
                                  </pic:nvPicPr>
                                  <pic:blipFill>
                                    <a:blip r:embed="rId21"/>
                                    <a:stretch>
                                      <a:fillRect/>
                                    </a:stretch>
                                  </pic:blipFill>
                                  <pic:spPr>
                                    <a:xfrm>
                                      <a:off x="0" y="0"/>
                                      <a:ext cx="5684277" cy="2068104"/>
                                    </a:xfrm>
                                    <a:prstGeom prst="rect">
                                      <a:avLst/>
                                    </a:prstGeom>
                                  </pic:spPr>
                                </pic:pic>
                              </a:graphicData>
                            </a:graphic>
                          </wp:inline>
                        </w:drawing>
                      </w:r>
                    </w:p>
                  </w:txbxContent>
                </v:textbox>
                <w10:wrap type="topAndBottom" anchorx="margin"/>
              </v:shape>
            </w:pict>
          </mc:Fallback>
        </mc:AlternateContent>
      </w:r>
    </w:p>
    <w:p w14:paraId="2DAA1DA4" w14:textId="7561C96B" w:rsidR="00A7276E" w:rsidRPr="002A2874" w:rsidRDefault="001C3F02" w:rsidP="001C3F02">
      <w:pPr>
        <w:pStyle w:val="Caption"/>
        <w:jc w:val="center"/>
      </w:pPr>
      <w:bookmarkStart w:id="29" w:name="_Toc183519286"/>
      <w:r>
        <w:t xml:space="preserve">Figure </w:t>
      </w:r>
      <w:r>
        <w:fldChar w:fldCharType="begin"/>
      </w:r>
      <w:r>
        <w:instrText xml:space="preserve"> SEQ Figure \* ARABIC </w:instrText>
      </w:r>
      <w:r>
        <w:fldChar w:fldCharType="separate"/>
      </w:r>
      <w:r w:rsidR="007E6D5B">
        <w:rPr>
          <w:noProof/>
        </w:rPr>
        <w:t>7</w:t>
      </w:r>
      <w:r>
        <w:fldChar w:fldCharType="end"/>
      </w:r>
      <w:r>
        <w:t xml:space="preserve"> - Apparatus used to perform </w:t>
      </w:r>
      <w:r w:rsidR="00A94E50">
        <w:t>rate of reaction</w:t>
      </w:r>
      <w:r>
        <w:t xml:space="preserve"> </w:t>
      </w:r>
      <w:r w:rsidR="00132F4F">
        <w:t>measurements.</w:t>
      </w:r>
      <w:bookmarkEnd w:id="29"/>
    </w:p>
    <w:p w14:paraId="223549E6" w14:textId="77777777" w:rsidR="00CA312E" w:rsidRPr="00CA312E" w:rsidRDefault="00CA312E" w:rsidP="004B1BD2">
      <w:pPr>
        <w:pStyle w:val="Heading4"/>
        <w:rPr>
          <w:u w:val="single"/>
        </w:rPr>
      </w:pPr>
      <w:r>
        <w:t>Effect of temperature on the speed of hydrogen gas evolution</w:t>
      </w:r>
    </w:p>
    <w:p w14:paraId="44C68644" w14:textId="7073E897" w:rsidR="00327CEB" w:rsidRPr="00CA312E" w:rsidRDefault="00327CEB" w:rsidP="00CA312E">
      <w:pPr>
        <w:pStyle w:val="Heading4"/>
        <w:numPr>
          <w:ilvl w:val="0"/>
          <w:numId w:val="0"/>
        </w:numPr>
        <w:rPr>
          <w:u w:val="single"/>
        </w:rPr>
      </w:pPr>
    </w:p>
    <w:p w14:paraId="6C215E81" w14:textId="7723913E" w:rsidR="002862BB" w:rsidRDefault="00676B09" w:rsidP="002C7947">
      <w:r>
        <w:t xml:space="preserve">A water bath was prepared </w:t>
      </w:r>
      <w:r w:rsidR="00F30783">
        <w:t>by heating water in a large beaker over a Bunsen burner</w:t>
      </w:r>
      <w:r w:rsidR="007612B5">
        <w:t xml:space="preserve"> until the water was heated to approximately 10</w:t>
      </w:r>
      <w:r w:rsidR="008E4DDB">
        <w:rPr>
          <w:rFonts w:cstheme="minorHAnsi"/>
        </w:rPr>
        <w:t>°C above that of the 1.0</w:t>
      </w:r>
      <w:r w:rsidR="00DA5DE8">
        <w:rPr>
          <w:rFonts w:cstheme="minorHAnsi"/>
        </w:rPr>
        <w:t xml:space="preserve"> Mol experiment. </w:t>
      </w:r>
      <w:r w:rsidR="00FC762A">
        <w:rPr>
          <w:rFonts w:cstheme="minorHAnsi"/>
        </w:rPr>
        <w:t xml:space="preserve">20mL of 1.0 Mol stock solution was transferred to </w:t>
      </w:r>
      <w:r w:rsidR="007B3F5B">
        <w:rPr>
          <w:rFonts w:cstheme="minorHAnsi"/>
        </w:rPr>
        <w:t xml:space="preserve">three separate test tubes. The first test tube was added to the </w:t>
      </w:r>
      <w:r w:rsidR="001B035E">
        <w:rPr>
          <w:rFonts w:cstheme="minorHAnsi"/>
        </w:rPr>
        <w:t xml:space="preserve">water bath and given time to equilibrate with the surrounding mixture. Upon equilibrium the solution was transferred to </w:t>
      </w:r>
      <w:r w:rsidR="002E3F90">
        <w:rPr>
          <w:rFonts w:cstheme="minorHAnsi"/>
        </w:rPr>
        <w:t>the test tube containing the arm</w:t>
      </w:r>
      <w:r w:rsidR="002C7947">
        <w:rPr>
          <w:rFonts w:cstheme="minorHAnsi"/>
        </w:rPr>
        <w:t xml:space="preserve">, a ribbon of magnesium was added </w:t>
      </w:r>
      <w:r w:rsidR="002A65FE">
        <w:t xml:space="preserve">and </w:t>
      </w:r>
      <w:r w:rsidR="00AB7412">
        <w:t>quickly</w:t>
      </w:r>
      <w:r w:rsidR="002A65FE">
        <w:t xml:space="preserve"> stoppered as </w:t>
      </w:r>
      <w:r w:rsidR="001A38BD">
        <w:t>previous experiment</w:t>
      </w:r>
      <w:r w:rsidR="00ED001C">
        <w:t xml:space="preserve"> with the gas evolution recorded </w:t>
      </w:r>
      <w:proofErr w:type="gramStart"/>
      <w:r w:rsidR="00ED001C">
        <w:t>at  sensible</w:t>
      </w:r>
      <w:proofErr w:type="gramEnd"/>
      <w:r w:rsidR="00ED001C">
        <w:t xml:space="preserve"> intervals. Upon completion of the reaction, </w:t>
      </w:r>
      <w:r w:rsidR="00D94DAC">
        <w:t>the wast</w:t>
      </w:r>
      <w:r w:rsidR="006F6D30">
        <w:t xml:space="preserve">e was </w:t>
      </w:r>
      <w:proofErr w:type="gramStart"/>
      <w:r w:rsidR="006F6D30">
        <w:t>removed</w:t>
      </w:r>
      <w:proofErr w:type="gramEnd"/>
      <w:r w:rsidR="006F6D30">
        <w:t xml:space="preserve"> </w:t>
      </w:r>
      <w:r w:rsidR="00203CFB">
        <w:t xml:space="preserve">and the equipment cleaned. The experimental setup was repeated a further two </w:t>
      </w:r>
      <w:r w:rsidR="00B452A9">
        <w:t>times at temperature intervals of 10</w:t>
      </w:r>
      <w:r w:rsidR="00B452A9">
        <w:rPr>
          <w:rFonts w:cstheme="minorHAnsi"/>
        </w:rPr>
        <w:t>°</w:t>
      </w:r>
      <w:r w:rsidR="00B452A9">
        <w:t>C above the previous incarnation.</w:t>
      </w:r>
    </w:p>
    <w:p w14:paraId="6AC44F0E" w14:textId="44CA88F5" w:rsidR="00DC27B8" w:rsidRDefault="00AD7B66" w:rsidP="00DC27B8">
      <w:pPr>
        <w:pStyle w:val="Heading4"/>
      </w:pPr>
      <w:r>
        <w:t xml:space="preserve">Effect of surface area of powdered magnesium on speed of hydrogen gas </w:t>
      </w:r>
      <w:proofErr w:type="spellStart"/>
      <w:r>
        <w:t>evolutoin</w:t>
      </w:r>
      <w:proofErr w:type="spellEnd"/>
      <w:r>
        <w:t xml:space="preserve"> </w:t>
      </w:r>
    </w:p>
    <w:p w14:paraId="5722F345" w14:textId="77777777" w:rsidR="00935089" w:rsidRDefault="00935089" w:rsidP="00935089"/>
    <w:p w14:paraId="27936833" w14:textId="6F8C3C3D" w:rsidR="00EB3161" w:rsidRPr="00935089" w:rsidRDefault="00EB3161" w:rsidP="00935089">
      <w:r>
        <w:t xml:space="preserve">A 20.0mL </w:t>
      </w:r>
      <w:r w:rsidR="008C6045">
        <w:t xml:space="preserve">of 1.0 Mol hydrochloric acid at room temperature </w:t>
      </w:r>
      <w:r w:rsidR="00DF54F3">
        <w:t xml:space="preserve">was transferred to the test tube fitted with the arm. The powdered magnesium was </w:t>
      </w:r>
      <w:r w:rsidR="001C58FA">
        <w:t xml:space="preserve">transferred to the test tube and quickly stoppered with the bung and syringe monitored for </w:t>
      </w:r>
      <w:r w:rsidR="00933B6E">
        <w:t>gas evolution. This continued until no visible reaction continued to occur</w:t>
      </w:r>
      <w:r w:rsidR="009B073B">
        <w:t xml:space="preserve">. On completion the reactant mixture was </w:t>
      </w:r>
      <w:proofErr w:type="gramStart"/>
      <w:r w:rsidR="009B073B">
        <w:t>discarded</w:t>
      </w:r>
      <w:proofErr w:type="gramEnd"/>
      <w:r w:rsidR="009B073B">
        <w:t xml:space="preserve"> and equipment cleaned. </w:t>
      </w:r>
    </w:p>
    <w:p w14:paraId="59B8A51D" w14:textId="06B4F642" w:rsidR="00F26BB7" w:rsidRPr="004F05BE" w:rsidRDefault="009120F9" w:rsidP="008C0D97">
      <w:pPr>
        <w:pStyle w:val="Heading2"/>
      </w:pPr>
      <w:bookmarkStart w:id="30" w:name="_Ref172035518"/>
      <w:bookmarkStart w:id="31" w:name="_Toc183519277"/>
      <w:r w:rsidRPr="004F05BE">
        <w:lastRenderedPageBreak/>
        <w:t>Scans of Laboratory Data Sheet</w:t>
      </w:r>
      <w:bookmarkEnd w:id="30"/>
      <w:bookmarkEnd w:id="31"/>
    </w:p>
    <w:p w14:paraId="35AF4675" w14:textId="1DEE58F2" w:rsidR="009120F9" w:rsidRDefault="009120F9" w:rsidP="009120F9">
      <w:pPr>
        <w:rPr>
          <w:highlight w:val="yellow"/>
        </w:rPr>
      </w:pPr>
      <w:r w:rsidRPr="009120F9">
        <w:rPr>
          <w:noProof/>
          <w:highlight w:val="yellow"/>
        </w:rPr>
        <mc:AlternateContent>
          <mc:Choice Requires="wps">
            <w:drawing>
              <wp:anchor distT="45720" distB="45720" distL="114300" distR="114300" simplePos="0" relativeHeight="251674624" behindDoc="0" locked="0" layoutInCell="1" allowOverlap="1" wp14:anchorId="4CCA0518" wp14:editId="663947FC">
                <wp:simplePos x="0" y="0"/>
                <wp:positionH relativeFrom="margin">
                  <wp:align>right</wp:align>
                </wp:positionH>
                <wp:positionV relativeFrom="paragraph">
                  <wp:posOffset>360045</wp:posOffset>
                </wp:positionV>
                <wp:extent cx="5715000" cy="7162800"/>
                <wp:effectExtent l="0" t="0" r="19050" b="19050"/>
                <wp:wrapTopAndBottom/>
                <wp:docPr id="20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5715000" cy="716280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1437B6CB" w14:textId="52274BDD" w:rsidR="009120F9" w:rsidRDefault="00CB3D4E">
                            <w:r w:rsidRPr="00CB3D4E">
                              <w:rPr>
                                <w:noProof/>
                              </w:rPr>
                              <w:drawing>
                                <wp:inline distT="0" distB="0" distL="0" distR="0" wp14:anchorId="489645A9" wp14:editId="47FB3F35">
                                  <wp:extent cx="5473065" cy="7062470"/>
                                  <wp:effectExtent l="0" t="0" r="0" b="5080"/>
                                  <wp:docPr id="972009641" name="Picture 1"/>
                                  <wp:cNvGraphicFramePr>
                                    <a:graphicFrameLocks xmlns:a="http://schemas.openxmlformats.org/drawingml/2006/main" noChangeAspect="1"/>
                                  </wp:cNvGraphicFramePr>
                                  <a:graphic xmlns:a="http://schemas.openxmlformats.org/drawingml/2006/main">
                                    <a:graphicData uri="http://schemas.openxmlformats.org/drawingml/2006/picture">
                                      <pic:pic xmlns:pic="http://schemas.openxmlformats.org/drawingml/2006/picture">
                                        <pic:nvPicPr>
                                          <pic:cNvPr id="220919312" name=""/>
                                          <pic:cNvPicPr/>
                                        </pic:nvPicPr>
                                        <pic:blipFill>
                                          <a:blip r:embed="rId22"/>
                                          <a:stretch>
                                            <a:fillRect/>
                                          </a:stretch>
                                        </pic:blipFill>
                                        <pic:spPr>
                                          <a:xfrm>
                                            <a:off x="0" y="0"/>
                                            <a:ext cx="5473065" cy="7062470"/>
                                          </a:xfrm>
                                          <a:prstGeom prst="rect">
                                            <a:avLst/>
                                          </a:prstGeom>
                                        </pic:spPr>
                                      </pic:pic>
                                    </a:graphicData>
                                  </a:graphic>
                                </wp:inline>
                              </w:drawing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4CCA0518" id="_x0000_s1033" type="#_x0000_t202" style="position:absolute;margin-left:398.8pt;margin-top:28.35pt;width:450pt;height:564pt;z-index:251674624;visibility:visible;mso-wrap-style:square;mso-width-percent:0;mso-height-percent:0;mso-wrap-distance-left:9pt;mso-wrap-distance-top:3.6pt;mso-wrap-distance-right:9pt;mso-wrap-distance-bottom:3.6pt;mso-position-horizontal:right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">
                <v:textbox>
                  <w:txbxContent>
                    <w:p w14:paraId="1437B6CB" w14:textId="52274BDD" w:rsidR="009120F9" w:rsidRDefault="00CB3D4E">
                      <w:r w:rsidRPr="00CB3D4E">
                        <w:rPr>
                          <w:noProof/>
                        </w:rPr>
                        <w:drawing>
                          <wp:inline distT="0" distB="0" distL="0" distR="0" wp14:anchorId="489645A9" wp14:editId="47FB3F35">
                            <wp:extent cx="5473065" cy="7062470"/>
                            <wp:effectExtent l="0" t="0" r="0" b="5080"/>
                            <wp:docPr id="972009641" name="Picture 1"/>
                            <wp:cNvGraphicFramePr>
                              <a:graphicFrameLocks xmlns:a="http://schemas.openxmlformats.org/drawingml/2006/main" noChangeAspect="1"/>
                            </wp:cNvGraphicFramePr>
                            <a:graphic xmlns:a="http://schemas.openxmlformats.org/drawingml/2006/main">
                              <a:graphicData uri="http://schemas.openxmlformats.org/drawingml/2006/picture">
                                <pic:pic xmlns:pic="http://schemas.openxmlformats.org/drawingml/2006/picture">
                                  <pic:nvPicPr>
                                    <pic:cNvPr id="220919312" name=""/>
                                    <pic:cNvPicPr/>
                                  </pic:nvPicPr>
                                  <pic:blipFill>
                                    <a:blip r:embed="rId23"/>
                                    <a:stretch>
                                      <a:fillRect/>
                                    </a:stretch>
                                  </pic:blipFill>
                                  <pic:spPr>
                                    <a:xfrm>
                                      <a:off x="0" y="0"/>
                                      <a:ext cx="5473065" cy="7062470"/>
                                    </a:xfrm>
                                    <a:prstGeom prst="rect">
                                      <a:avLst/>
                                    </a:prstGeom>
                                  </pic:spPr>
                                </pic:pic>
                              </a:graphicData>
                            </a:graphic>
                          </wp:inline>
                        </w:drawing>
                      </w:r>
                    </w:p>
                  </w:txbxContent>
                </v:textbox>
                <w10:wrap type="topAndBottom" anchorx="margin"/>
              </v:shape>
            </w:pict>
          </mc:Fallback>
        </mc:AlternateContent>
      </w:r>
    </w:p>
    <w:p w14:paraId="3F5A6D60" w14:textId="66FEF4B7" w:rsidR="009120F9" w:rsidRDefault="009120F9" w:rsidP="009120F9">
      <w:pPr>
        <w:pStyle w:val="Caption"/>
        <w:jc w:val="center"/>
      </w:pPr>
      <w:bookmarkStart w:id="32" w:name="_Toc183519287"/>
      <w:r>
        <w:t xml:space="preserve">Figure </w:t>
      </w:r>
      <w:r>
        <w:fldChar w:fldCharType="begin"/>
      </w:r>
      <w:r>
        <w:instrText xml:space="preserve"> SEQ Figure \* ARABIC </w:instrText>
      </w:r>
      <w:r>
        <w:fldChar w:fldCharType="separate"/>
      </w:r>
      <w:r w:rsidR="007E6D5B">
        <w:rPr>
          <w:noProof/>
        </w:rPr>
        <w:t>8</w:t>
      </w:r>
      <w:r>
        <w:rPr>
          <w:noProof/>
        </w:rPr>
        <w:fldChar w:fldCharType="end"/>
      </w:r>
      <w:r>
        <w:t xml:space="preserve"> </w:t>
      </w:r>
      <w:r w:rsidR="00CB3D4E">
        <w:t>–</w:t>
      </w:r>
      <w:r>
        <w:t xml:space="preserve"> </w:t>
      </w:r>
      <w:r w:rsidR="00CB3D4E">
        <w:t>Effect of Concentration</w:t>
      </w:r>
      <w:r>
        <w:t xml:space="preserve"> Laboratory Data</w:t>
      </w:r>
      <w:bookmarkEnd w:id="32"/>
    </w:p>
    <w:p w14:paraId="7B823CD8" w14:textId="4E652B32" w:rsidR="009120F9" w:rsidRDefault="009120F9">
      <w:pPr>
        <w:rPr>
          <w:highlight w:val="yellow"/>
        </w:rPr>
      </w:pPr>
      <w:r>
        <w:rPr>
          <w:highlight w:val="yellow"/>
        </w:rPr>
        <w:br w:type="page"/>
      </w:r>
    </w:p>
    <w:bookmarkStart w:id="33" w:name="_Toc183519288"/>
    <w:p w14:paraId="60328D86" w14:textId="5CF4FEE3" w:rsidR="009120F9" w:rsidRDefault="000B0C27" w:rsidP="009120F9">
      <w:pPr>
        <w:pStyle w:val="Caption"/>
        <w:jc w:val="center"/>
      </w:pPr>
      <w:r w:rsidRPr="009120F9">
        <w:rPr>
          <w:noProof/>
          <w:highlight w:val="yellow"/>
        </w:rPr>
        <w:lastRenderedPageBreak/>
        <mc:AlternateContent>
          <mc:Choice Requires="wps">
            <w:drawing>
              <wp:anchor distT="45720" distB="45720" distL="114300" distR="114300" simplePos="0" relativeHeight="251676672" behindDoc="0" locked="0" layoutInCell="1" allowOverlap="1" wp14:anchorId="3187815E" wp14:editId="0AD6BEE1">
                <wp:simplePos x="0" y="0"/>
                <wp:positionH relativeFrom="margin">
                  <wp:align>right</wp:align>
                </wp:positionH>
                <wp:positionV relativeFrom="paragraph">
                  <wp:posOffset>50800</wp:posOffset>
                </wp:positionV>
                <wp:extent cx="5721350" cy="8255000"/>
                <wp:effectExtent l="0" t="0" r="12700" b="12700"/>
                <wp:wrapTopAndBottom/>
                <wp:docPr id="21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5721350" cy="825500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3019B9F0" w14:textId="762857AB" w:rsidR="009120F9" w:rsidRDefault="003E1F39">
                            <w:r w:rsidRPr="003E1F39">
                              <w:rPr>
                                <w:noProof/>
                              </w:rPr>
                              <w:drawing>
                                <wp:inline distT="0" distB="0" distL="0" distR="0" wp14:anchorId="04B835B5" wp14:editId="0E9706CB">
                                  <wp:extent cx="5555411" cy="8154670"/>
                                  <wp:effectExtent l="0" t="0" r="7620" b="0"/>
                                  <wp:docPr id="289310500" name="Picture 1"/>
                                  <wp:cNvGraphicFramePr>
                                    <a:graphicFrameLocks xmlns:a="http://schemas.openxmlformats.org/drawingml/2006/main" noChangeAspect="1"/>
                                  </wp:cNvGraphicFramePr>
                                  <a:graphic xmlns:a="http://schemas.openxmlformats.org/drawingml/2006/main">
                                    <a:graphicData uri="http://schemas.openxmlformats.org/drawingml/2006/picture">
                                      <pic:pic xmlns:pic="http://schemas.openxmlformats.org/drawingml/2006/picture">
                                        <pic:nvPicPr>
                                          <pic:cNvPr id="2050692225" name=""/>
                                          <pic:cNvPicPr/>
                                        </pic:nvPicPr>
                                        <pic:blipFill>
                                          <a:blip r:embed="rId24"/>
                                          <a:stretch>
                                            <a:fillRect/>
                                          </a:stretch>
                                        </pic:blipFill>
                                        <pic:spPr>
                                          <a:xfrm>
                                            <a:off x="0" y="0"/>
                                            <a:ext cx="5556543" cy="8156331"/>
                                          </a:xfrm>
                                          <a:prstGeom prst="rect">
                                            <a:avLst/>
                                          </a:prstGeom>
                                        </pic:spPr>
                                      </pic:pic>
                                    </a:graphicData>
                                  </a:graphic>
                                </wp:inline>
                              </w:drawing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187815E" id="_x0000_s1034" type="#_x0000_t202" style="position:absolute;left:0;text-align:left;margin-left:399.3pt;margin-top:4pt;width:450.5pt;height:650pt;z-index:251676672;visibility:visible;mso-wrap-style:square;mso-width-percent:0;mso-height-percent:0;mso-wrap-distance-left:9pt;mso-wrap-distance-top:3.6pt;mso-wrap-distance-right:9pt;mso-wrap-distance-bottom:3.6pt;mso-position-horizontal:right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">
                <v:textbox>
                  <w:txbxContent>
                    <w:p w14:paraId="3019B9F0" w14:textId="762857AB" w:rsidR="009120F9" w:rsidRDefault="003E1F39">
                      <w:r w:rsidRPr="003E1F39">
                        <w:rPr>
                          <w:noProof/>
                        </w:rPr>
                        <w:drawing>
                          <wp:inline distT="0" distB="0" distL="0" distR="0" wp14:anchorId="04B835B5" wp14:editId="0E9706CB">
                            <wp:extent cx="5555411" cy="8154670"/>
                            <wp:effectExtent l="0" t="0" r="7620" b="0"/>
                            <wp:docPr id="289310500" name="Picture 1"/>
                            <wp:cNvGraphicFramePr>
                              <a:graphicFrameLocks xmlns:a="http://schemas.openxmlformats.org/drawingml/2006/main" noChangeAspect="1"/>
                            </wp:cNvGraphicFramePr>
                            <a:graphic xmlns:a="http://schemas.openxmlformats.org/drawingml/2006/main">
                              <a:graphicData uri="http://schemas.openxmlformats.org/drawingml/2006/picture">
                                <pic:pic xmlns:pic="http://schemas.openxmlformats.org/drawingml/2006/picture">
                                  <pic:nvPicPr>
                                    <pic:cNvPr id="2050692225" name=""/>
                                    <pic:cNvPicPr/>
                                  </pic:nvPicPr>
                                  <pic:blipFill>
                                    <a:blip r:embed="rId25"/>
                                    <a:stretch>
                                      <a:fillRect/>
                                    </a:stretch>
                                  </pic:blipFill>
                                  <pic:spPr>
                                    <a:xfrm>
                                      <a:off x="0" y="0"/>
                                      <a:ext cx="5556543" cy="8156331"/>
                                    </a:xfrm>
                                    <a:prstGeom prst="rect">
                                      <a:avLst/>
                                    </a:prstGeom>
                                  </pic:spPr>
                                </pic:pic>
                              </a:graphicData>
                            </a:graphic>
                          </wp:inline>
                        </w:drawing>
                      </w:r>
                    </w:p>
                  </w:txbxContent>
                </v:textbox>
                <w10:wrap type="topAndBottom" anchorx="margin"/>
              </v:shape>
            </w:pict>
          </mc:Fallback>
        </mc:AlternateContent>
      </w:r>
      <w:r w:rsidR="009120F9">
        <w:t xml:space="preserve">Figure </w:t>
      </w:r>
      <w:r>
        <w:fldChar w:fldCharType="begin"/>
      </w:r>
      <w:r>
        <w:instrText xml:space="preserve"> SEQ Figure \* ARABIC </w:instrText>
      </w:r>
      <w:r>
        <w:fldChar w:fldCharType="separate"/>
      </w:r>
      <w:r w:rsidR="007E6D5B">
        <w:rPr>
          <w:noProof/>
        </w:rPr>
        <w:t>9</w:t>
      </w:r>
      <w:r>
        <w:rPr>
          <w:noProof/>
        </w:rPr>
        <w:fldChar w:fldCharType="end"/>
      </w:r>
      <w:r w:rsidR="009120F9">
        <w:t xml:space="preserve"> - </w:t>
      </w:r>
      <w:r w:rsidR="003E1F39">
        <w:t>Effect</w:t>
      </w:r>
      <w:r w:rsidR="009120F9">
        <w:t xml:space="preserve"> of</w:t>
      </w:r>
      <w:r w:rsidR="003E1F39">
        <w:t xml:space="preserve"> Temperat</w:t>
      </w:r>
      <w:r w:rsidR="00B87148">
        <w:t>ure</w:t>
      </w:r>
      <w:r w:rsidR="009120F9">
        <w:t xml:space="preserve"> Laboratory Data</w:t>
      </w:r>
      <w:bookmarkEnd w:id="33"/>
    </w:p>
    <w:p w14:paraId="6A84B953" w14:textId="61AF72FA" w:rsidR="009120F9" w:rsidRDefault="009120F9">
      <w:r>
        <w:br w:type="page"/>
      </w:r>
    </w:p>
    <w:p w14:paraId="41F51204" w14:textId="40392AEA" w:rsidR="00B87148" w:rsidRDefault="004235BF" w:rsidP="004235BF">
      <w:pPr>
        <w:pStyle w:val="Caption"/>
        <w:jc w:val="center"/>
      </w:pPr>
      <w:bookmarkStart w:id="34" w:name="_Toc183519289"/>
      <w:r>
        <w:lastRenderedPageBreak/>
        <w:t xml:space="preserve">Figure </w:t>
      </w:r>
      <w:r>
        <w:fldChar w:fldCharType="begin"/>
      </w:r>
      <w:r>
        <w:instrText xml:space="preserve"> SEQ Figure \* ARABIC </w:instrText>
      </w:r>
      <w:r>
        <w:fldChar w:fldCharType="separate"/>
      </w:r>
      <w:r w:rsidR="007E6D5B">
        <w:rPr>
          <w:noProof/>
        </w:rPr>
        <w:t>10</w:t>
      </w:r>
      <w:r>
        <w:fldChar w:fldCharType="end"/>
      </w:r>
      <w:r>
        <w:t xml:space="preserve"> - Effect of Surface Area Laboratory Data</w:t>
      </w:r>
      <w:r w:rsidR="00B87148">
        <w:rPr>
          <w:noProof/>
        </w:rPr>
        <mc:AlternateContent>
          <mc:Choice Requires="wps">
            <w:drawing>
              <wp:anchor distT="45720" distB="45720" distL="114300" distR="114300" simplePos="0" relativeHeight="251692032" behindDoc="0" locked="0" layoutInCell="1" allowOverlap="1" wp14:anchorId="77F7DE7D" wp14:editId="35C54825">
                <wp:simplePos x="0" y="0"/>
                <wp:positionH relativeFrom="margin">
                  <wp:align>right</wp:align>
                </wp:positionH>
                <wp:positionV relativeFrom="paragraph">
                  <wp:posOffset>180975</wp:posOffset>
                </wp:positionV>
                <wp:extent cx="5701665" cy="8030845"/>
                <wp:effectExtent l="0" t="0" r="13335" b="27305"/>
                <wp:wrapTopAndBottom/>
                <wp:docPr id="1686844005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5701665" cy="8031192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53178E79" w14:textId="07B669C3" w:rsidR="00B87148" w:rsidRDefault="004235BF">
                            <w:r>
                              <w:rPr>
                                <w:noProof/>
                              </w:rPr>
                              <w:drawing>
                                <wp:inline distT="0" distB="0" distL="0" distR="0" wp14:anchorId="7C041FC6" wp14:editId="3B593DCB">
                                  <wp:extent cx="5606775" cy="7728585"/>
                                  <wp:effectExtent l="0" t="0" r="0" b="5715"/>
                                  <wp:docPr id="125303638" name="Picture 1"/>
                                  <wp:cNvGraphicFramePr>
                                    <a:graphicFrameLocks xmlns:a="http://schemas.openxmlformats.org/drawingml/2006/main" noChangeAspect="1"/>
                                  </wp:cNvGraphicFramePr>
                                  <a:graphic xmlns:a="http://schemas.openxmlformats.org/drawingml/2006/main">
                                    <a:graphicData uri="http://schemas.openxmlformats.org/drawingml/2006/picture">
                                      <pic:pic xmlns:pic="http://schemas.openxmlformats.org/drawingml/2006/picture">
                                        <pic:nvPicPr>
                                          <pic:cNvPr id="464515043" name=""/>
                                          <pic:cNvPicPr/>
                                        </pic:nvPicPr>
                                        <pic:blipFill>
                                          <a:blip r:embed="rId26"/>
                                          <a:stretch>
                                            <a:fillRect/>
                                          </a:stretch>
                                        </pic:blipFill>
                                        <pic:spPr>
                                          <a:xfrm>
                                            <a:off x="0" y="0"/>
                                            <a:ext cx="5607424" cy="7729480"/>
                                          </a:xfrm>
                                          <a:prstGeom prst="rect">
                                            <a:avLst/>
                                          </a:prstGeom>
                                        </pic:spPr>
                                      </pic:pic>
                                    </a:graphicData>
                                  </a:graphic>
                                </wp:inline>
                              </w:drawing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77F7DE7D" id="_x0000_s1035" type="#_x0000_t202" style="position:absolute;left:0;text-align:left;margin-left:397.75pt;margin-top:14.25pt;width:448.95pt;height:632.35pt;z-index:251692032;visibility:visible;mso-wrap-style:square;mso-width-percent:0;mso-height-percent:0;mso-wrap-distance-left:9pt;mso-wrap-distance-top:3.6pt;mso-wrap-distance-right:9pt;mso-wrap-distance-bottom:3.6pt;mso-position-horizontal:right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">
                <v:textbox>
                  <w:txbxContent>
                    <w:p w14:paraId="53178E79" w14:textId="07B669C3" w:rsidR="00B87148" w:rsidRDefault="004235BF">
                      <w:r>
                        <w:rPr>
                          <w:noProof/>
                        </w:rPr>
                        <w:drawing>
                          <wp:inline distT="0" distB="0" distL="0" distR="0" wp14:anchorId="7C041FC6" wp14:editId="3B593DCB">
                            <wp:extent cx="5606775" cy="7728585"/>
                            <wp:effectExtent l="0" t="0" r="0" b="5715"/>
                            <wp:docPr id="125303638" name="Picture 1"/>
                            <wp:cNvGraphicFramePr>
                              <a:graphicFrameLocks xmlns:a="http://schemas.openxmlformats.org/drawingml/2006/main" noChangeAspect="1"/>
                            </wp:cNvGraphicFramePr>
                            <a:graphic xmlns:a="http://schemas.openxmlformats.org/drawingml/2006/main">
                              <a:graphicData uri="http://schemas.openxmlformats.org/drawingml/2006/picture">
                                <pic:pic xmlns:pic="http://schemas.openxmlformats.org/drawingml/2006/picture">
                                  <pic:nvPicPr>
                                    <pic:cNvPr id="464515043" name=""/>
                                    <pic:cNvPicPr/>
                                  </pic:nvPicPr>
                                  <pic:blipFill>
                                    <a:blip r:embed="rId27"/>
                                    <a:stretch>
                                      <a:fillRect/>
                                    </a:stretch>
                                  </pic:blipFill>
                                  <pic:spPr>
                                    <a:xfrm>
                                      <a:off x="0" y="0"/>
                                      <a:ext cx="5607424" cy="7729480"/>
                                    </a:xfrm>
                                    <a:prstGeom prst="rect">
                                      <a:avLst/>
                                    </a:prstGeom>
                                  </pic:spPr>
                                </pic:pic>
                              </a:graphicData>
                            </a:graphic>
                          </wp:inline>
                        </w:drawing>
                      </w:r>
                    </w:p>
                  </w:txbxContent>
                </v:textbox>
                <w10:wrap type="topAndBottom" anchorx="margin"/>
              </v:shape>
            </w:pict>
          </mc:Fallback>
        </mc:AlternateContent>
      </w:r>
      <w:bookmarkEnd w:id="34"/>
    </w:p>
    <w:p w14:paraId="1B9E7969" w14:textId="77777777" w:rsidR="00BC27C1" w:rsidRDefault="00BC27C1">
      <w:pPr>
        <w:rPr>
          <w:highlight w:val="lightGray"/>
        </w:rPr>
        <w:sectPr w:rsidR="00BC27C1">
          <w:footerReference w:type="default" r:id="rId28"/>
          <w:pgSz w:w="11906" w:h="16838"/>
          <w:pgMar w:top="1440" w:right="1440" w:bottom="1440" w:left="1440" w:header="708" w:footer="708" w:gutter="0"/>
          <w:cols w:space="708"/>
          <w:docGrid w:linePitch="360"/>
        </w:sectPr>
      </w:pPr>
    </w:p>
    <w:p w14:paraId="758D2CC9" w14:textId="3E860D18" w:rsidR="004B5F8D" w:rsidRPr="00BC27C1" w:rsidRDefault="00BC27C1" w:rsidP="00BC27C1">
      <w:pPr>
        <w:pStyle w:val="Caption"/>
        <w:rPr>
          <w:kern w:val="2"/>
          <w14:ligatures w14:val="standardContextual"/>
        </w:rPr>
      </w:pPr>
      <w:bookmarkStart w:id="35" w:name="_Toc183519290"/>
      <w:r>
        <w:lastRenderedPageBreak/>
        <w:t xml:space="preserve">Figure </w:t>
      </w:r>
      <w:r>
        <w:fldChar w:fldCharType="begin"/>
      </w:r>
      <w:r>
        <w:instrText xml:space="preserve"> SEQ Figure \* ARABIC </w:instrText>
      </w:r>
      <w:r>
        <w:fldChar w:fldCharType="separate"/>
      </w:r>
      <w:r w:rsidR="007E6D5B">
        <w:rPr>
          <w:noProof/>
        </w:rPr>
        <w:t>11</w:t>
      </w:r>
      <w:r>
        <w:fldChar w:fldCharType="end"/>
      </w:r>
      <w:r w:rsidRPr="00BC27C1">
        <w:rPr>
          <w:noProof/>
          <w:kern w:val="2"/>
          <w14:ligatures w14:val="standardContextual"/>
        </w:rPr>
        <mc:AlternateContent>
          <mc:Choice Requires="wps">
            <w:drawing>
              <wp:anchor distT="45720" distB="45720" distL="114300" distR="114300" simplePos="0" relativeHeight="251656192" behindDoc="0" locked="0" layoutInCell="1" allowOverlap="1" wp14:anchorId="353DDDB5" wp14:editId="3421E247">
                <wp:simplePos x="0" y="0"/>
                <wp:positionH relativeFrom="margin">
                  <wp:align>right</wp:align>
                </wp:positionH>
                <wp:positionV relativeFrom="paragraph">
                  <wp:posOffset>143</wp:posOffset>
                </wp:positionV>
                <wp:extent cx="8841740" cy="5166995"/>
                <wp:effectExtent l="0" t="0" r="16510" b="14605"/>
                <wp:wrapTopAndBottom/>
                <wp:docPr id="458734064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8841740" cy="5167223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029C0491" w14:textId="4DB7B91B" w:rsidR="00331C70" w:rsidRDefault="003B1CF4">
                            <w:r>
                              <w:rPr>
                                <w:noProof/>
                              </w:rPr>
                              <w:drawing>
                                <wp:inline distT="0" distB="0" distL="0" distR="0" wp14:anchorId="1C4522E4" wp14:editId="0E8074F5">
                                  <wp:extent cx="8678174" cy="5066665"/>
                                  <wp:effectExtent l="0" t="0" r="8890" b="635"/>
                                  <wp:docPr id="697245498" name="Picture 1"/>
                                  <wp:cNvGraphicFramePr>
                                    <a:graphicFrameLocks xmlns:a="http://schemas.openxmlformats.org/drawingml/2006/main" noChangeAspect="1"/>
                                  </wp:cNvGraphicFramePr>
                                  <a:graphic xmlns:a="http://schemas.openxmlformats.org/drawingml/2006/main">
                                    <a:graphicData uri="http://schemas.openxmlformats.org/drawingml/2006/picture">
                                      <pic:pic xmlns:pic="http://schemas.openxmlformats.org/drawingml/2006/picture">
                                        <pic:nvPicPr>
                                          <pic:cNvPr id="697245498" name=""/>
                                          <pic:cNvPicPr/>
                                        </pic:nvPicPr>
                                        <pic:blipFill>
                                          <a:blip r:embed="rId29"/>
                                          <a:stretch>
                                            <a:fillRect/>
                                          </a:stretch>
                                        </pic:blipFill>
                                        <pic:spPr>
                                          <a:xfrm>
                                            <a:off x="0" y="0"/>
                                            <a:ext cx="8683533" cy="5069794"/>
                                          </a:xfrm>
                                          <a:prstGeom prst="rect">
                                            <a:avLst/>
                                          </a:prstGeom>
                                        </pic:spPr>
                                      </pic:pic>
                                    </a:graphicData>
                                  </a:graphic>
                                </wp:inline>
                              </w:drawing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53DDDB5" id="_x0000_s1036" type="#_x0000_t202" style="position:absolute;margin-left:645pt;margin-top:0;width:696.2pt;height:406.85pt;z-index:251656192;visibility:visible;mso-wrap-style:square;mso-width-percent:0;mso-height-percent:0;mso-wrap-distance-left:9pt;mso-wrap-distance-top:3.6pt;mso-wrap-distance-right:9pt;mso-wrap-distance-bottom:3.6pt;mso-position-horizontal:right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">
                <v:textbox>
                  <w:txbxContent>
                    <w:p w14:paraId="029C0491" w14:textId="4DB7B91B" w:rsidR="00331C70" w:rsidRDefault="003B1CF4">
                      <w:r>
                        <w:rPr>
                          <w:noProof/>
                        </w:rPr>
                        <w:drawing>
                          <wp:inline distT="0" distB="0" distL="0" distR="0" wp14:anchorId="1C4522E4" wp14:editId="0E8074F5">
                            <wp:extent cx="8678174" cy="5066665"/>
                            <wp:effectExtent l="0" t="0" r="8890" b="635"/>
                            <wp:docPr id="697245498" name="Picture 1"/>
                            <wp:cNvGraphicFramePr>
                              <a:graphicFrameLocks xmlns:a="http://schemas.openxmlformats.org/drawingml/2006/main" noChangeAspect="1"/>
                            </wp:cNvGraphicFramePr>
                            <a:graphic xmlns:a="http://schemas.openxmlformats.org/drawingml/2006/main">
                              <a:graphicData uri="http://schemas.openxmlformats.org/drawingml/2006/picture">
                                <pic:pic xmlns:pic="http://schemas.openxmlformats.org/drawingml/2006/picture">
                                  <pic:nvPicPr>
                                    <pic:cNvPr id="697245498" name=""/>
                                    <pic:cNvPicPr/>
                                  </pic:nvPicPr>
                                  <pic:blipFill>
                                    <a:blip r:embed="rId30"/>
                                    <a:stretch>
                                      <a:fillRect/>
                                    </a:stretch>
                                  </pic:blipFill>
                                  <pic:spPr>
                                    <a:xfrm>
                                      <a:off x="0" y="0"/>
                                      <a:ext cx="8683533" cy="5069794"/>
                                    </a:xfrm>
                                    <a:prstGeom prst="rect">
                                      <a:avLst/>
                                    </a:prstGeom>
                                  </pic:spPr>
                                </pic:pic>
                              </a:graphicData>
                            </a:graphic>
                          </wp:inline>
                        </w:drawing>
                      </w:r>
                    </w:p>
                  </w:txbxContent>
                </v:textbox>
                <w10:wrap type="topAndBottom" anchorx="margin"/>
              </v:shape>
            </w:pict>
          </mc:Fallback>
        </mc:AlternateContent>
      </w:r>
      <w:r w:rsidR="003B1CF4">
        <w:t xml:space="preserve"> – Experiment 1 Graph</w:t>
      </w:r>
      <w:bookmarkEnd w:id="35"/>
    </w:p>
    <w:p w14:paraId="429B3E5F" w14:textId="57E2ADE9" w:rsidR="004B5F8D" w:rsidRDefault="004B5F8D">
      <w:pPr>
        <w:rPr>
          <w:highlight w:val="lightGray"/>
        </w:rPr>
      </w:pPr>
      <w:r>
        <w:rPr>
          <w:highlight w:val="lightGray"/>
        </w:rPr>
        <w:br w:type="page"/>
      </w:r>
    </w:p>
    <w:p w14:paraId="7997A5A8" w14:textId="1AB270F9" w:rsidR="00331C70" w:rsidRDefault="00BC27C1" w:rsidP="00BC27C1">
      <w:pPr>
        <w:pStyle w:val="Caption"/>
        <w:rPr>
          <w:highlight w:val="lightGray"/>
        </w:rPr>
      </w:pPr>
      <w:bookmarkStart w:id="36" w:name="_Toc183519291"/>
      <w:r>
        <w:lastRenderedPageBreak/>
        <w:t xml:space="preserve">Figure </w:t>
      </w:r>
      <w:r>
        <w:fldChar w:fldCharType="begin"/>
      </w:r>
      <w:r>
        <w:instrText xml:space="preserve"> SEQ Figure \* ARABIC </w:instrText>
      </w:r>
      <w:r>
        <w:fldChar w:fldCharType="separate"/>
      </w:r>
      <w:r w:rsidR="007E6D5B">
        <w:rPr>
          <w:noProof/>
        </w:rPr>
        <w:t>12</w:t>
      </w:r>
      <w:r>
        <w:fldChar w:fldCharType="end"/>
      </w:r>
      <w:r w:rsidR="00331C70" w:rsidRPr="00331C70">
        <w:rPr>
          <w:noProof/>
          <w:highlight w:val="lightGray"/>
        </w:rPr>
        <mc:AlternateContent>
          <mc:Choice Requires="wps">
            <w:drawing>
              <wp:anchor distT="45720" distB="45720" distL="114300" distR="114300" simplePos="0" relativeHeight="251661312" behindDoc="0" locked="0" layoutInCell="1" allowOverlap="1" wp14:anchorId="0110A29A" wp14:editId="2024E202">
                <wp:simplePos x="0" y="0"/>
                <wp:positionH relativeFrom="margin">
                  <wp:align>right</wp:align>
                </wp:positionH>
                <wp:positionV relativeFrom="paragraph">
                  <wp:posOffset>288</wp:posOffset>
                </wp:positionV>
                <wp:extent cx="8841740" cy="5270500"/>
                <wp:effectExtent l="0" t="0" r="16510" b="25400"/>
                <wp:wrapTopAndBottom/>
                <wp:docPr id="1972144424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8841740" cy="527074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5424434D" w14:textId="33FABC5E" w:rsidR="00331C70" w:rsidRDefault="003B1CF4" w:rsidP="00331C70">
                            <w:r>
                              <w:rPr>
                                <w:noProof/>
                              </w:rPr>
                              <w:drawing>
                                <wp:inline distT="0" distB="0" distL="0" distR="0" wp14:anchorId="3519212A" wp14:editId="3D7D11BC">
                                  <wp:extent cx="8652294" cy="5170170"/>
                                  <wp:effectExtent l="0" t="0" r="0" b="0"/>
                                  <wp:docPr id="1422754938" name="Picture 1"/>
                                  <wp:cNvGraphicFramePr>
                                    <a:graphicFrameLocks xmlns:a="http://schemas.openxmlformats.org/drawingml/2006/main" noChangeAspect="1"/>
                                  </wp:cNvGraphicFramePr>
                                  <a:graphic xmlns:a="http://schemas.openxmlformats.org/drawingml/2006/main">
                                    <a:graphicData uri="http://schemas.openxmlformats.org/drawingml/2006/picture">
                                      <pic:pic xmlns:pic="http://schemas.openxmlformats.org/drawingml/2006/picture">
                                        <pic:nvPicPr>
                                          <pic:cNvPr id="1422754938" name=""/>
                                          <pic:cNvPicPr/>
                                        </pic:nvPicPr>
                                        <pic:blipFill>
                                          <a:blip r:embed="rId31"/>
                                          <a:stretch>
                                            <a:fillRect/>
                                          </a:stretch>
                                        </pic:blipFill>
                                        <pic:spPr>
                                          <a:xfrm>
                                            <a:off x="0" y="0"/>
                                            <a:ext cx="8662629" cy="5176345"/>
                                          </a:xfrm>
                                          <a:prstGeom prst="rect">
                                            <a:avLst/>
                                          </a:prstGeom>
                                        </pic:spPr>
                                      </pic:pic>
                                    </a:graphicData>
                                  </a:graphic>
                                </wp:inline>
                              </w:drawing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0110A29A" id="_x0000_s1037" type="#_x0000_t202" style="position:absolute;margin-left:645pt;margin-top:0;width:696.2pt;height:415pt;z-index:251661312;visibility:visible;mso-wrap-style:square;mso-width-percent:0;mso-height-percent:0;mso-wrap-distance-left:9pt;mso-wrap-distance-top:3.6pt;mso-wrap-distance-right:9pt;mso-wrap-distance-bottom:3.6pt;mso-position-horizontal:right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">
                <v:textbox>
                  <w:txbxContent>
                    <w:p w14:paraId="5424434D" w14:textId="33FABC5E" w:rsidR="00331C70" w:rsidRDefault="003B1CF4" w:rsidP="00331C70">
                      <w:r>
                        <w:rPr>
                          <w:noProof/>
                        </w:rPr>
                        <w:drawing>
                          <wp:inline distT="0" distB="0" distL="0" distR="0" wp14:anchorId="3519212A" wp14:editId="3D7D11BC">
                            <wp:extent cx="8652294" cy="5170170"/>
                            <wp:effectExtent l="0" t="0" r="0" b="0"/>
                            <wp:docPr id="1422754938" name="Picture 1"/>
                            <wp:cNvGraphicFramePr>
                              <a:graphicFrameLocks xmlns:a="http://schemas.openxmlformats.org/drawingml/2006/main" noChangeAspect="1"/>
                            </wp:cNvGraphicFramePr>
                            <a:graphic xmlns:a="http://schemas.openxmlformats.org/drawingml/2006/main">
                              <a:graphicData uri="http://schemas.openxmlformats.org/drawingml/2006/picture">
                                <pic:pic xmlns:pic="http://schemas.openxmlformats.org/drawingml/2006/picture">
                                  <pic:nvPicPr>
                                    <pic:cNvPr id="1422754938" name=""/>
                                    <pic:cNvPicPr/>
                                  </pic:nvPicPr>
                                  <pic:blipFill>
                                    <a:blip r:embed="rId32"/>
                                    <a:stretch>
                                      <a:fillRect/>
                                    </a:stretch>
                                  </pic:blipFill>
                                  <pic:spPr>
                                    <a:xfrm>
                                      <a:off x="0" y="0"/>
                                      <a:ext cx="8662629" cy="5176345"/>
                                    </a:xfrm>
                                    <a:prstGeom prst="rect">
                                      <a:avLst/>
                                    </a:prstGeom>
                                  </pic:spPr>
                                </pic:pic>
                              </a:graphicData>
                            </a:graphic>
                          </wp:inline>
                        </w:drawing>
                      </w:r>
                    </w:p>
                  </w:txbxContent>
                </v:textbox>
                <w10:wrap type="topAndBottom" anchorx="margin"/>
              </v:shape>
            </w:pict>
          </mc:Fallback>
        </mc:AlternateContent>
      </w:r>
      <w:r w:rsidR="003B1CF4">
        <w:t xml:space="preserve"> – Experiment 2 Graph</w:t>
      </w:r>
      <w:bookmarkEnd w:id="36"/>
      <w:r w:rsidR="00331C70">
        <w:rPr>
          <w:highlight w:val="lightGray"/>
        </w:rPr>
        <w:br w:type="page"/>
      </w:r>
    </w:p>
    <w:p w14:paraId="7D0406A5" w14:textId="662A960D" w:rsidR="004B5F8D" w:rsidRDefault="00BC27C1" w:rsidP="00BC27C1">
      <w:pPr>
        <w:pStyle w:val="Caption"/>
        <w:rPr>
          <w:highlight w:val="lightGray"/>
        </w:rPr>
      </w:pPr>
      <w:bookmarkStart w:id="37" w:name="_Toc183519292"/>
      <w:r>
        <w:lastRenderedPageBreak/>
        <w:t xml:space="preserve">Figure </w:t>
      </w:r>
      <w:r>
        <w:fldChar w:fldCharType="begin"/>
      </w:r>
      <w:r>
        <w:instrText xml:space="preserve"> SEQ Figure \* ARABIC </w:instrText>
      </w:r>
      <w:r>
        <w:fldChar w:fldCharType="separate"/>
      </w:r>
      <w:r w:rsidR="007E6D5B">
        <w:rPr>
          <w:noProof/>
        </w:rPr>
        <w:t>13</w:t>
      </w:r>
      <w:r>
        <w:fldChar w:fldCharType="end"/>
      </w:r>
      <w:r w:rsidR="00331C70" w:rsidRPr="00331C70">
        <w:rPr>
          <w:noProof/>
          <w:highlight w:val="lightGray"/>
        </w:rPr>
        <mc:AlternateContent>
          <mc:Choice Requires="wps">
            <w:drawing>
              <wp:anchor distT="45720" distB="45720" distL="114300" distR="114300" simplePos="0" relativeHeight="251666432" behindDoc="0" locked="0" layoutInCell="1" allowOverlap="1" wp14:anchorId="2D267D36" wp14:editId="6F2E5773">
                <wp:simplePos x="0" y="0"/>
                <wp:positionH relativeFrom="margin">
                  <wp:align>right</wp:align>
                </wp:positionH>
                <wp:positionV relativeFrom="paragraph">
                  <wp:posOffset>611</wp:posOffset>
                </wp:positionV>
                <wp:extent cx="8841740" cy="5511800"/>
                <wp:effectExtent l="0" t="0" r="16510" b="12700"/>
                <wp:wrapTopAndBottom/>
                <wp:docPr id="1253325162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8841740" cy="5512279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7C4048A9" w14:textId="743D72DD" w:rsidR="00331C70" w:rsidRDefault="003B1CF4" w:rsidP="00331C70">
                            <w:r>
                              <w:rPr>
                                <w:noProof/>
                              </w:rPr>
                              <w:drawing>
                                <wp:inline distT="0" distB="0" distL="0" distR="0" wp14:anchorId="746C76F4" wp14:editId="75790206">
                                  <wp:extent cx="8678174" cy="5411470"/>
                                  <wp:effectExtent l="0" t="0" r="8890" b="0"/>
                                  <wp:docPr id="710397765" name="Picture 1"/>
                                  <wp:cNvGraphicFramePr>
                                    <a:graphicFrameLocks xmlns:a="http://schemas.openxmlformats.org/drawingml/2006/main" noChangeAspect="1"/>
                                  </wp:cNvGraphicFramePr>
                                  <a:graphic xmlns:a="http://schemas.openxmlformats.org/drawingml/2006/main">
                                    <a:graphicData uri="http://schemas.openxmlformats.org/drawingml/2006/picture">
                                      <pic:pic xmlns:pic="http://schemas.openxmlformats.org/drawingml/2006/picture">
                                        <pic:nvPicPr>
                                          <pic:cNvPr id="710397765" name=""/>
                                          <pic:cNvPicPr/>
                                        </pic:nvPicPr>
                                        <pic:blipFill>
                                          <a:blip r:embed="rId33"/>
                                          <a:stretch>
                                            <a:fillRect/>
                                          </a:stretch>
                                        </pic:blipFill>
                                        <pic:spPr>
                                          <a:xfrm>
                                            <a:off x="0" y="0"/>
                                            <a:ext cx="8682310" cy="5414049"/>
                                          </a:xfrm>
                                          <a:prstGeom prst="rect">
                                            <a:avLst/>
                                          </a:prstGeom>
                                        </pic:spPr>
                                      </pic:pic>
                                    </a:graphicData>
                                  </a:graphic>
                                </wp:inline>
                              </w:drawing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2D267D36" id="_x0000_s1038" type="#_x0000_t202" style="position:absolute;margin-left:645pt;margin-top:.05pt;width:696.2pt;height:434pt;z-index:251666432;visibility:visible;mso-wrap-style:square;mso-width-percent:0;mso-height-percent:0;mso-wrap-distance-left:9pt;mso-wrap-distance-top:3.6pt;mso-wrap-distance-right:9pt;mso-wrap-distance-bottom:3.6pt;mso-position-horizontal:right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">
                <v:textbox>
                  <w:txbxContent>
                    <w:p w14:paraId="7C4048A9" w14:textId="743D72DD" w:rsidR="00331C70" w:rsidRDefault="003B1CF4" w:rsidP="00331C70">
                      <w:r>
                        <w:rPr>
                          <w:noProof/>
                        </w:rPr>
                        <w:drawing>
                          <wp:inline distT="0" distB="0" distL="0" distR="0" wp14:anchorId="746C76F4" wp14:editId="75790206">
                            <wp:extent cx="8678174" cy="5411470"/>
                            <wp:effectExtent l="0" t="0" r="8890" b="0"/>
                            <wp:docPr id="710397765" name="Picture 1"/>
                            <wp:cNvGraphicFramePr>
                              <a:graphicFrameLocks xmlns:a="http://schemas.openxmlformats.org/drawingml/2006/main" noChangeAspect="1"/>
                            </wp:cNvGraphicFramePr>
                            <a:graphic xmlns:a="http://schemas.openxmlformats.org/drawingml/2006/main">
                              <a:graphicData uri="http://schemas.openxmlformats.org/drawingml/2006/picture">
                                <pic:pic xmlns:pic="http://schemas.openxmlformats.org/drawingml/2006/picture">
                                  <pic:nvPicPr>
                                    <pic:cNvPr id="710397765" name=""/>
                                    <pic:cNvPicPr/>
                                  </pic:nvPicPr>
                                  <pic:blipFill>
                                    <a:blip r:embed="rId34"/>
                                    <a:stretch>
                                      <a:fillRect/>
                                    </a:stretch>
                                  </pic:blipFill>
                                  <pic:spPr>
                                    <a:xfrm>
                                      <a:off x="0" y="0"/>
                                      <a:ext cx="8682310" cy="5414049"/>
                                    </a:xfrm>
                                    <a:prstGeom prst="rect">
                                      <a:avLst/>
                                    </a:prstGeom>
                                  </pic:spPr>
                                </pic:pic>
                              </a:graphicData>
                            </a:graphic>
                          </wp:inline>
                        </w:drawing>
                      </w:r>
                    </w:p>
                  </w:txbxContent>
                </v:textbox>
                <w10:wrap type="topAndBottom" anchorx="margin"/>
              </v:shape>
            </w:pict>
          </mc:Fallback>
        </mc:AlternateContent>
      </w:r>
      <w:r w:rsidR="003B1CF4">
        <w:t xml:space="preserve"> – Experiment 3 Graph</w:t>
      </w:r>
      <w:bookmarkEnd w:id="37"/>
    </w:p>
    <w:p w14:paraId="17F90BAB" w14:textId="77777777" w:rsidR="00BC27C1" w:rsidRDefault="00BC27C1">
      <w:pPr>
        <w:rPr>
          <w:highlight w:val="lightGray"/>
        </w:rPr>
        <w:sectPr w:rsidR="00BC27C1" w:rsidSect="00BC27C1">
          <w:pgSz w:w="16838" w:h="11906" w:orient="landscape"/>
          <w:pgMar w:top="1440" w:right="1440" w:bottom="1440" w:left="1440" w:header="709" w:footer="709" w:gutter="0"/>
          <w:cols w:space="708"/>
          <w:docGrid w:linePitch="360"/>
        </w:sectPr>
      </w:pPr>
    </w:p>
    <w:p w14:paraId="1A36F967" w14:textId="2DA6B41C" w:rsidR="009120F9" w:rsidRPr="009120F9" w:rsidRDefault="009120F9" w:rsidP="009120F9">
      <w:pPr>
        <w:pStyle w:val="Caption"/>
        <w:jc w:val="center"/>
        <w:rPr>
          <w:highlight w:val="yellow"/>
        </w:rPr>
      </w:pPr>
    </w:p>
    <w:p w14:paraId="7AC09B50" w14:textId="05CE4F5D" w:rsidR="00F42DD6" w:rsidRPr="0036259F" w:rsidRDefault="007708C8" w:rsidP="007708C8">
      <w:pPr>
        <w:pStyle w:val="Heading1"/>
      </w:pPr>
      <w:bookmarkStart w:id="38" w:name="_Toc183519278"/>
      <w:r w:rsidRPr="0036259F">
        <w:t>A</w:t>
      </w:r>
      <w:r w:rsidR="00AD31ED" w:rsidRPr="0036259F">
        <w:t>nnex</w:t>
      </w:r>
      <w:r w:rsidRPr="0036259F">
        <w:t xml:space="preserve"> </w:t>
      </w:r>
      <w:r w:rsidR="005F318D" w:rsidRPr="0036259F">
        <w:t>B</w:t>
      </w:r>
      <w:bookmarkEnd w:id="38"/>
    </w:p>
    <w:p w14:paraId="5D78BE37" w14:textId="395E21DB" w:rsidR="008705E2" w:rsidRPr="0036259F" w:rsidRDefault="008705E2" w:rsidP="009D3145">
      <w:pPr>
        <w:pStyle w:val="Heading2"/>
      </w:pPr>
      <w:bookmarkStart w:id="39" w:name="_Toc183519279"/>
      <w:r w:rsidRPr="0036259F">
        <w:t>References</w:t>
      </w:r>
      <w:bookmarkEnd w:id="39"/>
    </w:p>
    <w:p w14:paraId="6C65BD01" w14:textId="77777777" w:rsidR="005E7A13" w:rsidRPr="0036259F" w:rsidRDefault="005E7A13" w:rsidP="005E7A13"/>
    <w:p w14:paraId="64592A39" w14:textId="77777777" w:rsidR="0042455A" w:rsidRPr="00CF4483" w:rsidRDefault="0042455A" w:rsidP="0042455A">
      <w:pPr>
        <w:pStyle w:val="ListParagraph"/>
        <w:numPr>
          <w:ilvl w:val="0"/>
          <w:numId w:val="2"/>
        </w:numPr>
      </w:pPr>
      <w:r w:rsidRPr="00CF4483">
        <w:t>Royal Society of Chemistry website, www.rsc.org/periodic-table, Accessed 16 July 2024</w:t>
      </w:r>
    </w:p>
    <w:p w14:paraId="3CF14074" w14:textId="14B0DED4" w:rsidR="009F4826" w:rsidRPr="00CF4483" w:rsidRDefault="009F4826" w:rsidP="009F4826">
      <w:pPr>
        <w:pStyle w:val="ListParagraph"/>
        <w:numPr>
          <w:ilvl w:val="0"/>
          <w:numId w:val="2"/>
        </w:numPr>
      </w:pPr>
      <w:r w:rsidRPr="00CF4483">
        <w:rPr>
          <w:rFonts w:ascii="Helvetica" w:hAnsi="Helvetica" w:cs="Helvetica"/>
          <w:color w:val="333333"/>
          <w:sz w:val="21"/>
          <w:szCs w:val="21"/>
          <w:shd w:val="clear" w:color="auto" w:fill="F5F5F5"/>
        </w:rPr>
        <w:t>'</w:t>
      </w:r>
      <w:proofErr w:type="gramStart"/>
      <w:r w:rsidRPr="00CF4483">
        <w:rPr>
          <w:rFonts w:ascii="Helvetica" w:hAnsi="Helvetica" w:cs="Helvetica"/>
          <w:color w:val="333333"/>
          <w:sz w:val="21"/>
          <w:szCs w:val="21"/>
          <w:shd w:val="clear" w:color="auto" w:fill="F5F5F5"/>
        </w:rPr>
        <w:t>collision</w:t>
      </w:r>
      <w:proofErr w:type="gramEnd"/>
      <w:r w:rsidRPr="00CF4483">
        <w:rPr>
          <w:rFonts w:ascii="Helvetica" w:hAnsi="Helvetica" w:cs="Helvetica"/>
          <w:color w:val="333333"/>
          <w:sz w:val="21"/>
          <w:szCs w:val="21"/>
          <w:shd w:val="clear" w:color="auto" w:fill="F5F5F5"/>
        </w:rPr>
        <w:t xml:space="preserve"> theory' in </w:t>
      </w:r>
      <w:r w:rsidRPr="00CF4483">
        <w:rPr>
          <w:rStyle w:val="Emphasis"/>
          <w:rFonts w:ascii="Helvetica" w:hAnsi="Helvetica" w:cs="Helvetica"/>
          <w:color w:val="333333"/>
          <w:sz w:val="21"/>
          <w:szCs w:val="21"/>
        </w:rPr>
        <w:t>IUPAC Compendium of Chemical Terminology</w:t>
      </w:r>
      <w:r w:rsidRPr="00CF4483">
        <w:rPr>
          <w:rFonts w:ascii="Helvetica" w:hAnsi="Helvetica" w:cs="Helvetica"/>
          <w:color w:val="333333"/>
          <w:sz w:val="21"/>
          <w:szCs w:val="21"/>
          <w:shd w:val="clear" w:color="auto" w:fill="F5F5F5"/>
        </w:rPr>
        <w:t xml:space="preserve">, 3rd ed. International Union of Pure and Applied Chemistry; 2006. Online version 3.0.1, 2019. </w:t>
      </w:r>
      <w:hyperlink r:id="rId35" w:history="1">
        <w:r w:rsidR="004B7421" w:rsidRPr="00CF4483">
          <w:rPr>
            <w:rStyle w:val="Hyperlink"/>
            <w:rFonts w:ascii="Helvetica" w:hAnsi="Helvetica" w:cs="Helvetica"/>
            <w:sz w:val="21"/>
            <w:szCs w:val="21"/>
            <w:shd w:val="clear" w:color="auto" w:fill="F5F5F5"/>
          </w:rPr>
          <w:t>https://doi.org/10.1351/goldbook.C01170</w:t>
        </w:r>
      </w:hyperlink>
      <w:r w:rsidR="004B7421" w:rsidRPr="00CF4483">
        <w:rPr>
          <w:rFonts w:ascii="Helvetica" w:hAnsi="Helvetica" w:cs="Helvetica"/>
          <w:color w:val="333333"/>
          <w:sz w:val="21"/>
          <w:szCs w:val="21"/>
          <w:shd w:val="clear" w:color="auto" w:fill="F5F5F5"/>
        </w:rPr>
        <w:t>, Accessed 25 November 2024</w:t>
      </w:r>
    </w:p>
    <w:p w14:paraId="3343801F" w14:textId="77777777" w:rsidR="00F5450F" w:rsidRPr="00CF4483" w:rsidRDefault="00F5450F" w:rsidP="00F5450F">
      <w:pPr>
        <w:pStyle w:val="ListParagraph"/>
        <w:numPr>
          <w:ilvl w:val="0"/>
          <w:numId w:val="2"/>
        </w:numPr>
      </w:pPr>
      <w:r w:rsidRPr="00CF4483">
        <w:t>Unsteady Flow Evolution and Combustion Dynamics of Homogeneous Solid Propellant in a Rocket Motor SOURABH APTE and VIGOR YANG* Department of Mechanical and Nuclear Engineering, The Pennsylvania State University, University Park, PA 16802, USA, Combustion and Flame 131:110-131, 2002, Elsevier Science Inc.</w:t>
      </w:r>
    </w:p>
    <w:p w14:paraId="0DB673E5" w14:textId="06CD88C6" w:rsidR="0036259F" w:rsidRPr="00CF4483" w:rsidRDefault="0036259F" w:rsidP="00363893">
      <w:pPr>
        <w:pStyle w:val="ListParagraph"/>
        <w:numPr>
          <w:ilvl w:val="0"/>
          <w:numId w:val="2"/>
        </w:numPr>
      </w:pPr>
      <w:r w:rsidRPr="00CF4483">
        <w:t>The Chemistry of Explosives, 4</w:t>
      </w:r>
      <w:r w:rsidRPr="00CF4483">
        <w:rPr>
          <w:vertAlign w:val="superscript"/>
        </w:rPr>
        <w:t>th</w:t>
      </w:r>
      <w:r w:rsidRPr="00CF4483">
        <w:t xml:space="preserve"> Edition, Jacqueline </w:t>
      </w:r>
      <w:proofErr w:type="spellStart"/>
      <w:r w:rsidRPr="00CF4483">
        <w:t>Akhaven</w:t>
      </w:r>
      <w:proofErr w:type="spellEnd"/>
      <w:r w:rsidRPr="00CF4483">
        <w:t>, 2022 The Royal Society of Chemistry. ISBN 978-1-83916-618-1</w:t>
      </w:r>
    </w:p>
    <w:p w14:paraId="11756302" w14:textId="77777777" w:rsidR="00575A74" w:rsidRPr="00CF4483" w:rsidRDefault="00575A74" w:rsidP="00575A74">
      <w:pPr>
        <w:pStyle w:val="ListParagraph"/>
        <w:numPr>
          <w:ilvl w:val="0"/>
          <w:numId w:val="2"/>
        </w:numPr>
      </w:pPr>
      <w:r w:rsidRPr="00CF4483">
        <w:t>The Secret History of RDX, Colin. F. Baxter, University Press of Kentucky, 18 October 2017</w:t>
      </w:r>
    </w:p>
    <w:p w14:paraId="073DF150" w14:textId="77777777" w:rsidR="00363893" w:rsidRPr="00CF4483" w:rsidRDefault="00363893" w:rsidP="00363893">
      <w:pPr>
        <w:pStyle w:val="ListParagraph"/>
        <w:numPr>
          <w:ilvl w:val="0"/>
          <w:numId w:val="2"/>
        </w:numPr>
      </w:pPr>
      <w:r w:rsidRPr="00CF4483">
        <w:t xml:space="preserve">Energetic Materials – Particle Processing and Characterisation, U. </w:t>
      </w:r>
      <w:proofErr w:type="spellStart"/>
      <w:r w:rsidRPr="00CF4483">
        <w:t>Tepiel</w:t>
      </w:r>
      <w:proofErr w:type="spellEnd"/>
      <w:r w:rsidRPr="00CF4483">
        <w:t>, Wiley VCH, 2005</w:t>
      </w:r>
    </w:p>
    <w:p w14:paraId="6D8B3B78" w14:textId="77777777" w:rsidR="00575A74" w:rsidRPr="00575A74" w:rsidRDefault="00575A74" w:rsidP="00857319">
      <w:pPr>
        <w:pStyle w:val="ListParagraph"/>
      </w:pPr>
    </w:p>
    <w:sectPr w:rsidR="00575A74" w:rsidRPr="00575A74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79C4A3E1" w14:textId="77777777" w:rsidR="00DC28D7" w:rsidRDefault="00DC28D7" w:rsidP="00EE3C5C">
      <w:pPr>
        <w:spacing w:after="0" w:line="240" w:lineRule="auto"/>
      </w:pPr>
      <w:r>
        <w:separator/>
      </w:r>
    </w:p>
  </w:endnote>
  <w:endnote w:type="continuationSeparator" w:id="0">
    <w:p w14:paraId="4DACD521" w14:textId="77777777" w:rsidR="00DC28D7" w:rsidRDefault="00DC28D7" w:rsidP="00EE3C5C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Cambria Math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GreekS">
    <w:panose1 w:val="00000400000000000000"/>
    <w:charset w:val="00"/>
    <w:family w:val="auto"/>
    <w:pitch w:val="variable"/>
    <w:sig w:usb0="20002A87" w:usb1="00000000" w:usb2="00000000" w:usb3="00000000" w:csb0="000001FF" w:csb1="00000000"/>
  </w:font>
  <w:font w:name="Helvetica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1507247267"/>
      <w:docPartObj>
        <w:docPartGallery w:val="Page Numbers (Bottom of Page)"/>
        <w:docPartUnique/>
      </w:docPartObj>
    </w:sdtPr>
    <w:sdtContent>
      <w:sdt>
        <w:sdtPr>
          <w:id w:val="-1769616900"/>
          <w:docPartObj>
            <w:docPartGallery w:val="Page Numbers (Top of Page)"/>
            <w:docPartUnique/>
          </w:docPartObj>
        </w:sdtPr>
        <w:sdtContent>
          <w:p w14:paraId="0829E1DC" w14:textId="013A195C" w:rsidR="00A964D1" w:rsidRDefault="00A964D1">
            <w:pPr>
              <w:pStyle w:val="Footer"/>
              <w:jc w:val="right"/>
            </w:pPr>
            <w:r>
              <w:t xml:space="preserve">Page </w:t>
            </w:r>
            <w:r>
              <w:rPr>
                <w:b/>
                <w:bCs/>
                <w:sz w:val="24"/>
                <w:szCs w:val="24"/>
              </w:rPr>
              <w:fldChar w:fldCharType="begin"/>
            </w:r>
            <w:r>
              <w:rPr>
                <w:b/>
                <w:bCs/>
              </w:rPr>
              <w:instrText xml:space="preserve"> PAGE </w:instrText>
            </w:r>
            <w:r>
              <w:rPr>
                <w:b/>
                <w:bCs/>
                <w:sz w:val="24"/>
                <w:szCs w:val="24"/>
              </w:rPr>
              <w:fldChar w:fldCharType="separate"/>
            </w:r>
            <w:r>
              <w:rPr>
                <w:b/>
                <w:bCs/>
                <w:noProof/>
              </w:rPr>
              <w:t>2</w:t>
            </w:r>
            <w:r>
              <w:rPr>
                <w:b/>
                <w:bCs/>
                <w:sz w:val="24"/>
                <w:szCs w:val="24"/>
              </w:rPr>
              <w:fldChar w:fldCharType="end"/>
            </w:r>
            <w:r>
              <w:t xml:space="preserve"> of </w:t>
            </w:r>
            <w:r>
              <w:rPr>
                <w:b/>
                <w:bCs/>
                <w:sz w:val="24"/>
                <w:szCs w:val="24"/>
              </w:rPr>
              <w:fldChar w:fldCharType="begin"/>
            </w:r>
            <w:r>
              <w:rPr>
                <w:b/>
                <w:bCs/>
              </w:rPr>
              <w:instrText xml:space="preserve"> NUMPAGES  </w:instrText>
            </w:r>
            <w:r>
              <w:rPr>
                <w:b/>
                <w:bCs/>
                <w:sz w:val="24"/>
                <w:szCs w:val="24"/>
              </w:rPr>
              <w:fldChar w:fldCharType="separate"/>
            </w:r>
            <w:r>
              <w:rPr>
                <w:b/>
                <w:bCs/>
                <w:noProof/>
              </w:rPr>
              <w:t>2</w:t>
            </w:r>
            <w:r>
              <w:rPr>
                <w:b/>
                <w:bCs/>
                <w:sz w:val="24"/>
                <w:szCs w:val="24"/>
              </w:rPr>
              <w:fldChar w:fldCharType="end"/>
            </w:r>
          </w:p>
        </w:sdtContent>
      </w:sdt>
    </w:sdtContent>
  </w:sdt>
  <w:p w14:paraId="4559EAB3" w14:textId="77777777" w:rsidR="00EE3C5C" w:rsidRDefault="00EE3C5C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7BF6A2E4" w14:textId="77777777" w:rsidR="00DC28D7" w:rsidRDefault="00DC28D7" w:rsidP="00EE3C5C">
      <w:pPr>
        <w:spacing w:after="0" w:line="240" w:lineRule="auto"/>
      </w:pPr>
      <w:r>
        <w:separator/>
      </w:r>
    </w:p>
  </w:footnote>
  <w:footnote w:type="continuationSeparator" w:id="0">
    <w:p w14:paraId="425666B9" w14:textId="77777777" w:rsidR="00DC28D7" w:rsidRDefault="00DC28D7" w:rsidP="00EE3C5C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19DE061A"/>
    <w:multiLevelType w:val="hybridMultilevel"/>
    <w:tmpl w:val="75A0E122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1" w15:restartNumberingAfterBreak="0">
    <w:nsid w:val="1AE57B05"/>
    <w:multiLevelType w:val="hybridMultilevel"/>
    <w:tmpl w:val="A6766530"/>
    <w:lvl w:ilvl="0" w:tplc="0809000B">
      <w:start w:val="1"/>
      <w:numFmt w:val="bullet"/>
      <w:lvlText w:val="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D6A1121"/>
    <w:multiLevelType w:val="hybridMultilevel"/>
    <w:tmpl w:val="8BF23EA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DFD1A25"/>
    <w:multiLevelType w:val="hybridMultilevel"/>
    <w:tmpl w:val="2D60373A"/>
    <w:lvl w:ilvl="0" w:tplc="08090017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23327655"/>
    <w:multiLevelType w:val="hybridMultilevel"/>
    <w:tmpl w:val="7BF86794"/>
    <w:lvl w:ilvl="0" w:tplc="0809000B">
      <w:start w:val="1"/>
      <w:numFmt w:val="bullet"/>
      <w:lvlText w:val=""/>
      <w:lvlJc w:val="left"/>
      <w:pPr>
        <w:ind w:left="144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5" w15:restartNumberingAfterBreak="0">
    <w:nsid w:val="2B9C450E"/>
    <w:multiLevelType w:val="hybridMultilevel"/>
    <w:tmpl w:val="F2F4FF1E"/>
    <w:lvl w:ilvl="0" w:tplc="0809000B">
      <w:start w:val="1"/>
      <w:numFmt w:val="bullet"/>
      <w:lvlText w:val=""/>
      <w:lvlJc w:val="left"/>
      <w:pPr>
        <w:ind w:left="8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5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2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9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7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4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1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8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580" w:hanging="360"/>
      </w:pPr>
      <w:rPr>
        <w:rFonts w:ascii="Wingdings" w:hAnsi="Wingdings" w:hint="default"/>
      </w:rPr>
    </w:lvl>
  </w:abstractNum>
  <w:abstractNum w:abstractNumId="6" w15:restartNumberingAfterBreak="0">
    <w:nsid w:val="2C241C8E"/>
    <w:multiLevelType w:val="multilevel"/>
    <w:tmpl w:val="B74EB65C"/>
    <w:lvl w:ilvl="0">
      <w:start w:val="1"/>
      <w:numFmt w:val="decimal"/>
      <w:pStyle w:val="Heading1"/>
      <w:lvlText w:val="%1"/>
      <w:lvlJc w:val="left"/>
      <w:pPr>
        <w:ind w:left="432" w:hanging="432"/>
      </w:pPr>
    </w:lvl>
    <w:lvl w:ilvl="1">
      <w:start w:val="1"/>
      <w:numFmt w:val="decimal"/>
      <w:pStyle w:val="Heading2"/>
      <w:lvlText w:val="%1.%2"/>
      <w:lvlJc w:val="left"/>
      <w:pPr>
        <w:ind w:left="576" w:hanging="576"/>
      </w:pPr>
    </w:lvl>
    <w:lvl w:ilvl="2">
      <w:start w:val="1"/>
      <w:numFmt w:val="decimal"/>
      <w:pStyle w:val="Heading3"/>
      <w:lvlText w:val="%1.%2.%3"/>
      <w:lvlJc w:val="left"/>
      <w:pPr>
        <w:ind w:left="720" w:hanging="720"/>
      </w:pPr>
    </w:lvl>
    <w:lvl w:ilvl="3">
      <w:start w:val="1"/>
      <w:numFmt w:val="decimal"/>
      <w:pStyle w:val="Heading4"/>
      <w:lvlText w:val="%1.%2.%3.%4"/>
      <w:lvlJc w:val="left"/>
      <w:pPr>
        <w:ind w:left="864" w:hanging="864"/>
      </w:pPr>
    </w:lvl>
    <w:lvl w:ilvl="4">
      <w:start w:val="1"/>
      <w:numFmt w:val="decimal"/>
      <w:pStyle w:val="Heading5"/>
      <w:lvlText w:val="%1.%2.%3.%4.%5"/>
      <w:lvlJc w:val="left"/>
      <w:pPr>
        <w:ind w:left="1008" w:hanging="1008"/>
      </w:pPr>
    </w:lvl>
    <w:lvl w:ilvl="5">
      <w:start w:val="1"/>
      <w:numFmt w:val="decimal"/>
      <w:pStyle w:val="Heading6"/>
      <w:lvlText w:val="%1.%2.%3.%4.%5.%6"/>
      <w:lvlJc w:val="left"/>
      <w:pPr>
        <w:ind w:left="1152" w:hanging="1152"/>
      </w:pPr>
    </w:lvl>
    <w:lvl w:ilvl="6">
      <w:start w:val="1"/>
      <w:numFmt w:val="decimal"/>
      <w:pStyle w:val="Heading7"/>
      <w:lvlText w:val="%1.%2.%3.%4.%5.%6.%7"/>
      <w:lvlJc w:val="left"/>
      <w:pPr>
        <w:ind w:left="1296" w:hanging="1296"/>
      </w:pPr>
    </w:lvl>
    <w:lvl w:ilvl="7">
      <w:start w:val="1"/>
      <w:numFmt w:val="decimal"/>
      <w:pStyle w:val="Heading8"/>
      <w:lvlText w:val="%1.%2.%3.%4.%5.%6.%7.%8"/>
      <w:lvlJc w:val="left"/>
      <w:pPr>
        <w:ind w:left="1440" w:hanging="1440"/>
      </w:pPr>
    </w:lvl>
    <w:lvl w:ilvl="8">
      <w:start w:val="1"/>
      <w:numFmt w:val="decimal"/>
      <w:pStyle w:val="Heading9"/>
      <w:lvlText w:val="%1.%2.%3.%4.%5.%6.%7.%8.%9"/>
      <w:lvlJc w:val="left"/>
      <w:pPr>
        <w:ind w:left="1584" w:hanging="1584"/>
      </w:pPr>
    </w:lvl>
  </w:abstractNum>
  <w:abstractNum w:abstractNumId="7" w15:restartNumberingAfterBreak="0">
    <w:nsid w:val="3EA20664"/>
    <w:multiLevelType w:val="hybridMultilevel"/>
    <w:tmpl w:val="946A5032"/>
    <w:lvl w:ilvl="0" w:tplc="6DAE43CE">
      <w:start w:val="1"/>
      <w:numFmt w:val="decimal"/>
      <w:lvlText w:val="%1"/>
      <w:lvlJc w:val="left"/>
      <w:pPr>
        <w:ind w:left="108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8" w15:restartNumberingAfterBreak="0">
    <w:nsid w:val="41C32849"/>
    <w:multiLevelType w:val="hybridMultilevel"/>
    <w:tmpl w:val="78E2D71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9" w15:restartNumberingAfterBreak="0">
    <w:nsid w:val="4448510E"/>
    <w:multiLevelType w:val="hybridMultilevel"/>
    <w:tmpl w:val="8C96E3BE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10" w15:restartNumberingAfterBreak="0">
    <w:nsid w:val="55DB0D67"/>
    <w:multiLevelType w:val="hybridMultilevel"/>
    <w:tmpl w:val="BF4E9EF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598B01AC"/>
    <w:multiLevelType w:val="hybridMultilevel"/>
    <w:tmpl w:val="82EAAFA4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12" w15:restartNumberingAfterBreak="0">
    <w:nsid w:val="5D26451C"/>
    <w:multiLevelType w:val="hybridMultilevel"/>
    <w:tmpl w:val="0B1EBBE0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13" w15:restartNumberingAfterBreak="0">
    <w:nsid w:val="619C71DB"/>
    <w:multiLevelType w:val="hybridMultilevel"/>
    <w:tmpl w:val="467C65D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6CDD3777"/>
    <w:multiLevelType w:val="hybridMultilevel"/>
    <w:tmpl w:val="4284576A"/>
    <w:lvl w:ilvl="0" w:tplc="6C1C0202">
      <w:start w:val="1"/>
      <w:numFmt w:val="decimal"/>
      <w:lvlText w:val="%1"/>
      <w:lvlJc w:val="left"/>
      <w:pPr>
        <w:ind w:left="108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798453172">
    <w:abstractNumId w:val="6"/>
  </w:num>
  <w:num w:numId="2" w16cid:durableId="743918655">
    <w:abstractNumId w:val="8"/>
  </w:num>
  <w:num w:numId="3" w16cid:durableId="681787588">
    <w:abstractNumId w:val="10"/>
  </w:num>
  <w:num w:numId="4" w16cid:durableId="38483798">
    <w:abstractNumId w:val="3"/>
  </w:num>
  <w:num w:numId="5" w16cid:durableId="1475173881">
    <w:abstractNumId w:val="11"/>
  </w:num>
  <w:num w:numId="6" w16cid:durableId="2006206070">
    <w:abstractNumId w:val="12"/>
  </w:num>
  <w:num w:numId="7" w16cid:durableId="737435784">
    <w:abstractNumId w:val="2"/>
  </w:num>
  <w:num w:numId="8" w16cid:durableId="179004524">
    <w:abstractNumId w:val="9"/>
  </w:num>
  <w:num w:numId="9" w16cid:durableId="507255246">
    <w:abstractNumId w:val="14"/>
  </w:num>
  <w:num w:numId="10" w16cid:durableId="1107388157">
    <w:abstractNumId w:val="7"/>
  </w:num>
  <w:num w:numId="11" w16cid:durableId="676805836">
    <w:abstractNumId w:val="0"/>
  </w:num>
  <w:num w:numId="12" w16cid:durableId="341007621">
    <w:abstractNumId w:val="13"/>
  </w:num>
  <w:num w:numId="13" w16cid:durableId="744961985">
    <w:abstractNumId w:val="4"/>
  </w:num>
  <w:num w:numId="14" w16cid:durableId="113838468">
    <w:abstractNumId w:val="5"/>
  </w:num>
  <w:num w:numId="15" w16cid:durableId="898251459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1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E3C5C"/>
    <w:rsid w:val="000007A9"/>
    <w:rsid w:val="000008F4"/>
    <w:rsid w:val="0000171F"/>
    <w:rsid w:val="000023DE"/>
    <w:rsid w:val="00002A38"/>
    <w:rsid w:val="0000457C"/>
    <w:rsid w:val="00007588"/>
    <w:rsid w:val="00007AB4"/>
    <w:rsid w:val="0001088A"/>
    <w:rsid w:val="00011A8A"/>
    <w:rsid w:val="000123C5"/>
    <w:rsid w:val="0001372F"/>
    <w:rsid w:val="000147C5"/>
    <w:rsid w:val="000153B6"/>
    <w:rsid w:val="00016BD4"/>
    <w:rsid w:val="00017D74"/>
    <w:rsid w:val="000209F2"/>
    <w:rsid w:val="0002267E"/>
    <w:rsid w:val="00022B2A"/>
    <w:rsid w:val="00030114"/>
    <w:rsid w:val="000317BB"/>
    <w:rsid w:val="00033A36"/>
    <w:rsid w:val="000351F5"/>
    <w:rsid w:val="000360FA"/>
    <w:rsid w:val="00036339"/>
    <w:rsid w:val="00036BC5"/>
    <w:rsid w:val="00041338"/>
    <w:rsid w:val="0004213E"/>
    <w:rsid w:val="0004481E"/>
    <w:rsid w:val="00045486"/>
    <w:rsid w:val="00045BD4"/>
    <w:rsid w:val="000474A7"/>
    <w:rsid w:val="0004778C"/>
    <w:rsid w:val="00051887"/>
    <w:rsid w:val="00051918"/>
    <w:rsid w:val="00051EA3"/>
    <w:rsid w:val="000543C0"/>
    <w:rsid w:val="0005492D"/>
    <w:rsid w:val="000559E3"/>
    <w:rsid w:val="0005670A"/>
    <w:rsid w:val="00056878"/>
    <w:rsid w:val="00056BFD"/>
    <w:rsid w:val="00057875"/>
    <w:rsid w:val="000618B8"/>
    <w:rsid w:val="00064223"/>
    <w:rsid w:val="00065349"/>
    <w:rsid w:val="00066387"/>
    <w:rsid w:val="000676E2"/>
    <w:rsid w:val="00071B2D"/>
    <w:rsid w:val="000733C3"/>
    <w:rsid w:val="000759CB"/>
    <w:rsid w:val="00075AAA"/>
    <w:rsid w:val="00076195"/>
    <w:rsid w:val="00076581"/>
    <w:rsid w:val="00076D04"/>
    <w:rsid w:val="00077950"/>
    <w:rsid w:val="00081150"/>
    <w:rsid w:val="00081AED"/>
    <w:rsid w:val="00083584"/>
    <w:rsid w:val="00084464"/>
    <w:rsid w:val="0008474B"/>
    <w:rsid w:val="000856C0"/>
    <w:rsid w:val="00086197"/>
    <w:rsid w:val="00087B86"/>
    <w:rsid w:val="00087DDD"/>
    <w:rsid w:val="0009097A"/>
    <w:rsid w:val="0009167B"/>
    <w:rsid w:val="00091B0A"/>
    <w:rsid w:val="00091C36"/>
    <w:rsid w:val="00091DCF"/>
    <w:rsid w:val="00093794"/>
    <w:rsid w:val="00095245"/>
    <w:rsid w:val="0009544E"/>
    <w:rsid w:val="00096987"/>
    <w:rsid w:val="00096F5F"/>
    <w:rsid w:val="00097BD4"/>
    <w:rsid w:val="000A0CC4"/>
    <w:rsid w:val="000A0D35"/>
    <w:rsid w:val="000A1203"/>
    <w:rsid w:val="000A13D5"/>
    <w:rsid w:val="000A1958"/>
    <w:rsid w:val="000A1FC0"/>
    <w:rsid w:val="000A3E67"/>
    <w:rsid w:val="000A44C0"/>
    <w:rsid w:val="000A4761"/>
    <w:rsid w:val="000A5A96"/>
    <w:rsid w:val="000A6027"/>
    <w:rsid w:val="000A72B4"/>
    <w:rsid w:val="000B0BB3"/>
    <w:rsid w:val="000B0C27"/>
    <w:rsid w:val="000B1AE7"/>
    <w:rsid w:val="000B1F44"/>
    <w:rsid w:val="000B2B67"/>
    <w:rsid w:val="000B39E0"/>
    <w:rsid w:val="000B6D6B"/>
    <w:rsid w:val="000B6F2D"/>
    <w:rsid w:val="000B714F"/>
    <w:rsid w:val="000B7288"/>
    <w:rsid w:val="000B7A4D"/>
    <w:rsid w:val="000C02FF"/>
    <w:rsid w:val="000C108D"/>
    <w:rsid w:val="000C4EAD"/>
    <w:rsid w:val="000C5A70"/>
    <w:rsid w:val="000C63E5"/>
    <w:rsid w:val="000C7FDA"/>
    <w:rsid w:val="000D636C"/>
    <w:rsid w:val="000D7DDE"/>
    <w:rsid w:val="000E02E6"/>
    <w:rsid w:val="000E15F0"/>
    <w:rsid w:val="000E3035"/>
    <w:rsid w:val="000E4993"/>
    <w:rsid w:val="000E60CC"/>
    <w:rsid w:val="000F0928"/>
    <w:rsid w:val="000F0C1A"/>
    <w:rsid w:val="000F10DD"/>
    <w:rsid w:val="000F2C05"/>
    <w:rsid w:val="000F3383"/>
    <w:rsid w:val="000F3EA7"/>
    <w:rsid w:val="000F6778"/>
    <w:rsid w:val="000F6D98"/>
    <w:rsid w:val="000F6EA3"/>
    <w:rsid w:val="000F7051"/>
    <w:rsid w:val="000F73FA"/>
    <w:rsid w:val="001018F6"/>
    <w:rsid w:val="0010280C"/>
    <w:rsid w:val="001045EA"/>
    <w:rsid w:val="00105527"/>
    <w:rsid w:val="0010689A"/>
    <w:rsid w:val="00106E88"/>
    <w:rsid w:val="00111846"/>
    <w:rsid w:val="00111D64"/>
    <w:rsid w:val="0011287D"/>
    <w:rsid w:val="00113AA1"/>
    <w:rsid w:val="00114C91"/>
    <w:rsid w:val="00114FAA"/>
    <w:rsid w:val="001159EC"/>
    <w:rsid w:val="00116A2C"/>
    <w:rsid w:val="00120E21"/>
    <w:rsid w:val="00121658"/>
    <w:rsid w:val="00121D8D"/>
    <w:rsid w:val="001228E0"/>
    <w:rsid w:val="00122FDD"/>
    <w:rsid w:val="00125477"/>
    <w:rsid w:val="00125DF4"/>
    <w:rsid w:val="00126BFD"/>
    <w:rsid w:val="00126E72"/>
    <w:rsid w:val="001300C7"/>
    <w:rsid w:val="001301CD"/>
    <w:rsid w:val="001303D4"/>
    <w:rsid w:val="00130453"/>
    <w:rsid w:val="00131422"/>
    <w:rsid w:val="00132DA2"/>
    <w:rsid w:val="00132F4F"/>
    <w:rsid w:val="001331B4"/>
    <w:rsid w:val="0013335D"/>
    <w:rsid w:val="00135DD6"/>
    <w:rsid w:val="00137307"/>
    <w:rsid w:val="00137461"/>
    <w:rsid w:val="0014062A"/>
    <w:rsid w:val="00141289"/>
    <w:rsid w:val="00143AD1"/>
    <w:rsid w:val="001448A7"/>
    <w:rsid w:val="00144D80"/>
    <w:rsid w:val="0014504F"/>
    <w:rsid w:val="00145FAE"/>
    <w:rsid w:val="00147261"/>
    <w:rsid w:val="001472DF"/>
    <w:rsid w:val="001532EF"/>
    <w:rsid w:val="00154843"/>
    <w:rsid w:val="00154E16"/>
    <w:rsid w:val="00155817"/>
    <w:rsid w:val="0015617B"/>
    <w:rsid w:val="00156A25"/>
    <w:rsid w:val="00156B27"/>
    <w:rsid w:val="00156E06"/>
    <w:rsid w:val="0015728B"/>
    <w:rsid w:val="0016308B"/>
    <w:rsid w:val="001654E7"/>
    <w:rsid w:val="001661C1"/>
    <w:rsid w:val="0016739B"/>
    <w:rsid w:val="00170E0A"/>
    <w:rsid w:val="00173607"/>
    <w:rsid w:val="0017385E"/>
    <w:rsid w:val="00173A34"/>
    <w:rsid w:val="00173D98"/>
    <w:rsid w:val="001746B8"/>
    <w:rsid w:val="001750B3"/>
    <w:rsid w:val="00175629"/>
    <w:rsid w:val="00180CC3"/>
    <w:rsid w:val="0018138A"/>
    <w:rsid w:val="00181B25"/>
    <w:rsid w:val="001821DB"/>
    <w:rsid w:val="001836D6"/>
    <w:rsid w:val="001840EB"/>
    <w:rsid w:val="00185868"/>
    <w:rsid w:val="001867DD"/>
    <w:rsid w:val="00186C63"/>
    <w:rsid w:val="00186E72"/>
    <w:rsid w:val="00187491"/>
    <w:rsid w:val="00190B3C"/>
    <w:rsid w:val="0019153C"/>
    <w:rsid w:val="00191718"/>
    <w:rsid w:val="00194ED9"/>
    <w:rsid w:val="00195701"/>
    <w:rsid w:val="00197419"/>
    <w:rsid w:val="00197A08"/>
    <w:rsid w:val="001A0884"/>
    <w:rsid w:val="001A0885"/>
    <w:rsid w:val="001A2277"/>
    <w:rsid w:val="001A2D03"/>
    <w:rsid w:val="001A2DD7"/>
    <w:rsid w:val="001A2FA5"/>
    <w:rsid w:val="001A38BD"/>
    <w:rsid w:val="001A55EE"/>
    <w:rsid w:val="001B021F"/>
    <w:rsid w:val="001B035E"/>
    <w:rsid w:val="001B04AF"/>
    <w:rsid w:val="001B14DC"/>
    <w:rsid w:val="001B1A63"/>
    <w:rsid w:val="001B3F59"/>
    <w:rsid w:val="001B4189"/>
    <w:rsid w:val="001B64F5"/>
    <w:rsid w:val="001B6500"/>
    <w:rsid w:val="001B6FE2"/>
    <w:rsid w:val="001B70EE"/>
    <w:rsid w:val="001C0414"/>
    <w:rsid w:val="001C0BE3"/>
    <w:rsid w:val="001C188A"/>
    <w:rsid w:val="001C3F02"/>
    <w:rsid w:val="001C4D44"/>
    <w:rsid w:val="001C58FA"/>
    <w:rsid w:val="001C611C"/>
    <w:rsid w:val="001C683D"/>
    <w:rsid w:val="001C7D0D"/>
    <w:rsid w:val="001D24D7"/>
    <w:rsid w:val="001D3180"/>
    <w:rsid w:val="001D49C2"/>
    <w:rsid w:val="001D49CF"/>
    <w:rsid w:val="001D58E3"/>
    <w:rsid w:val="001D5E39"/>
    <w:rsid w:val="001D6491"/>
    <w:rsid w:val="001D79E3"/>
    <w:rsid w:val="001E05D1"/>
    <w:rsid w:val="001E290D"/>
    <w:rsid w:val="001E6C6F"/>
    <w:rsid w:val="001E70A1"/>
    <w:rsid w:val="001F0637"/>
    <w:rsid w:val="001F0F96"/>
    <w:rsid w:val="001F14B5"/>
    <w:rsid w:val="001F26F3"/>
    <w:rsid w:val="001F3EE9"/>
    <w:rsid w:val="001F518F"/>
    <w:rsid w:val="001F7BB4"/>
    <w:rsid w:val="00200F6C"/>
    <w:rsid w:val="00201E00"/>
    <w:rsid w:val="00203CFB"/>
    <w:rsid w:val="0020473D"/>
    <w:rsid w:val="0020513D"/>
    <w:rsid w:val="00206A2D"/>
    <w:rsid w:val="0020768D"/>
    <w:rsid w:val="00207765"/>
    <w:rsid w:val="002119BD"/>
    <w:rsid w:val="00213CDB"/>
    <w:rsid w:val="00214B3B"/>
    <w:rsid w:val="00216160"/>
    <w:rsid w:val="00216F60"/>
    <w:rsid w:val="002171CF"/>
    <w:rsid w:val="002205B3"/>
    <w:rsid w:val="00221F8E"/>
    <w:rsid w:val="002232B7"/>
    <w:rsid w:val="00225A5A"/>
    <w:rsid w:val="002266EA"/>
    <w:rsid w:val="0023160E"/>
    <w:rsid w:val="00232425"/>
    <w:rsid w:val="00232DF0"/>
    <w:rsid w:val="00234888"/>
    <w:rsid w:val="002360F9"/>
    <w:rsid w:val="00236E6D"/>
    <w:rsid w:val="00240363"/>
    <w:rsid w:val="0024239F"/>
    <w:rsid w:val="00243B91"/>
    <w:rsid w:val="00243D66"/>
    <w:rsid w:val="002443F2"/>
    <w:rsid w:val="00245A03"/>
    <w:rsid w:val="00247BD4"/>
    <w:rsid w:val="002515F0"/>
    <w:rsid w:val="002516C8"/>
    <w:rsid w:val="00251E17"/>
    <w:rsid w:val="00253BB2"/>
    <w:rsid w:val="00255D66"/>
    <w:rsid w:val="00255F1A"/>
    <w:rsid w:val="00256804"/>
    <w:rsid w:val="0026093D"/>
    <w:rsid w:val="0026270B"/>
    <w:rsid w:val="00265C00"/>
    <w:rsid w:val="00265E29"/>
    <w:rsid w:val="0027317E"/>
    <w:rsid w:val="00273BA9"/>
    <w:rsid w:val="00273CA7"/>
    <w:rsid w:val="0027431F"/>
    <w:rsid w:val="00274E77"/>
    <w:rsid w:val="00275587"/>
    <w:rsid w:val="00275CC2"/>
    <w:rsid w:val="0027646D"/>
    <w:rsid w:val="002767A3"/>
    <w:rsid w:val="00277B17"/>
    <w:rsid w:val="00281D34"/>
    <w:rsid w:val="0028218F"/>
    <w:rsid w:val="002835F6"/>
    <w:rsid w:val="002839FD"/>
    <w:rsid w:val="00284C9C"/>
    <w:rsid w:val="002862BB"/>
    <w:rsid w:val="00287753"/>
    <w:rsid w:val="00287FC0"/>
    <w:rsid w:val="0029008C"/>
    <w:rsid w:val="00290E47"/>
    <w:rsid w:val="00290FD3"/>
    <w:rsid w:val="002929D1"/>
    <w:rsid w:val="00293DE9"/>
    <w:rsid w:val="002942F3"/>
    <w:rsid w:val="002943AB"/>
    <w:rsid w:val="0029605C"/>
    <w:rsid w:val="00296BCA"/>
    <w:rsid w:val="002975CD"/>
    <w:rsid w:val="002A10AD"/>
    <w:rsid w:val="002A1FA9"/>
    <w:rsid w:val="002A2874"/>
    <w:rsid w:val="002A3E2C"/>
    <w:rsid w:val="002A3FE0"/>
    <w:rsid w:val="002A58A6"/>
    <w:rsid w:val="002A5D9F"/>
    <w:rsid w:val="002A65FE"/>
    <w:rsid w:val="002A6C2B"/>
    <w:rsid w:val="002A6C98"/>
    <w:rsid w:val="002A71D6"/>
    <w:rsid w:val="002A7C16"/>
    <w:rsid w:val="002B28A1"/>
    <w:rsid w:val="002B2A95"/>
    <w:rsid w:val="002B2D77"/>
    <w:rsid w:val="002B3AE1"/>
    <w:rsid w:val="002B55AD"/>
    <w:rsid w:val="002B5B3C"/>
    <w:rsid w:val="002C07FE"/>
    <w:rsid w:val="002C3CA1"/>
    <w:rsid w:val="002C5B33"/>
    <w:rsid w:val="002C6119"/>
    <w:rsid w:val="002C62F8"/>
    <w:rsid w:val="002C7609"/>
    <w:rsid w:val="002C7947"/>
    <w:rsid w:val="002C7B2A"/>
    <w:rsid w:val="002C7F92"/>
    <w:rsid w:val="002D03E7"/>
    <w:rsid w:val="002D2718"/>
    <w:rsid w:val="002D37EA"/>
    <w:rsid w:val="002D3943"/>
    <w:rsid w:val="002D4FA8"/>
    <w:rsid w:val="002D526D"/>
    <w:rsid w:val="002D6455"/>
    <w:rsid w:val="002E20A8"/>
    <w:rsid w:val="002E28F6"/>
    <w:rsid w:val="002E3F90"/>
    <w:rsid w:val="002E75A7"/>
    <w:rsid w:val="002F0029"/>
    <w:rsid w:val="002F0A99"/>
    <w:rsid w:val="002F0FC5"/>
    <w:rsid w:val="002F34C3"/>
    <w:rsid w:val="002F3844"/>
    <w:rsid w:val="002F3856"/>
    <w:rsid w:val="002F3861"/>
    <w:rsid w:val="002F4679"/>
    <w:rsid w:val="002F50A6"/>
    <w:rsid w:val="002F5173"/>
    <w:rsid w:val="002F718A"/>
    <w:rsid w:val="00300B0C"/>
    <w:rsid w:val="00301269"/>
    <w:rsid w:val="0030188A"/>
    <w:rsid w:val="00301C54"/>
    <w:rsid w:val="0030249B"/>
    <w:rsid w:val="0030635B"/>
    <w:rsid w:val="00307462"/>
    <w:rsid w:val="00310212"/>
    <w:rsid w:val="003124A0"/>
    <w:rsid w:val="00312C26"/>
    <w:rsid w:val="00316080"/>
    <w:rsid w:val="00321F24"/>
    <w:rsid w:val="003221C3"/>
    <w:rsid w:val="00322289"/>
    <w:rsid w:val="003268B3"/>
    <w:rsid w:val="00326DC5"/>
    <w:rsid w:val="00327828"/>
    <w:rsid w:val="00327CDE"/>
    <w:rsid w:val="00327CEB"/>
    <w:rsid w:val="00330311"/>
    <w:rsid w:val="00331C70"/>
    <w:rsid w:val="00332E74"/>
    <w:rsid w:val="00333A4B"/>
    <w:rsid w:val="00333AE5"/>
    <w:rsid w:val="0033414B"/>
    <w:rsid w:val="00334283"/>
    <w:rsid w:val="00336D62"/>
    <w:rsid w:val="00336E95"/>
    <w:rsid w:val="00337A71"/>
    <w:rsid w:val="0034462C"/>
    <w:rsid w:val="003448B5"/>
    <w:rsid w:val="00345629"/>
    <w:rsid w:val="00347F6B"/>
    <w:rsid w:val="003502AC"/>
    <w:rsid w:val="0035102E"/>
    <w:rsid w:val="0035239A"/>
    <w:rsid w:val="00355AEA"/>
    <w:rsid w:val="003603C8"/>
    <w:rsid w:val="00360AE2"/>
    <w:rsid w:val="00361924"/>
    <w:rsid w:val="00361CFF"/>
    <w:rsid w:val="00362288"/>
    <w:rsid w:val="0036259F"/>
    <w:rsid w:val="00362ADB"/>
    <w:rsid w:val="00363893"/>
    <w:rsid w:val="00364043"/>
    <w:rsid w:val="00364CD0"/>
    <w:rsid w:val="00366945"/>
    <w:rsid w:val="0037225A"/>
    <w:rsid w:val="00374126"/>
    <w:rsid w:val="00374604"/>
    <w:rsid w:val="0037502B"/>
    <w:rsid w:val="00382F26"/>
    <w:rsid w:val="00383050"/>
    <w:rsid w:val="00390F35"/>
    <w:rsid w:val="00391509"/>
    <w:rsid w:val="00391590"/>
    <w:rsid w:val="00391AA5"/>
    <w:rsid w:val="003925D5"/>
    <w:rsid w:val="003974F2"/>
    <w:rsid w:val="00397521"/>
    <w:rsid w:val="00397774"/>
    <w:rsid w:val="00397B24"/>
    <w:rsid w:val="00397BC5"/>
    <w:rsid w:val="003A0047"/>
    <w:rsid w:val="003A0D3A"/>
    <w:rsid w:val="003A1355"/>
    <w:rsid w:val="003A156E"/>
    <w:rsid w:val="003A1B37"/>
    <w:rsid w:val="003A2F5D"/>
    <w:rsid w:val="003A4065"/>
    <w:rsid w:val="003A4717"/>
    <w:rsid w:val="003A5C7F"/>
    <w:rsid w:val="003A67CD"/>
    <w:rsid w:val="003B0C3C"/>
    <w:rsid w:val="003B1CF4"/>
    <w:rsid w:val="003B20CF"/>
    <w:rsid w:val="003B536C"/>
    <w:rsid w:val="003B5D4A"/>
    <w:rsid w:val="003B6E00"/>
    <w:rsid w:val="003B72C7"/>
    <w:rsid w:val="003B7CF4"/>
    <w:rsid w:val="003C29EC"/>
    <w:rsid w:val="003C53EC"/>
    <w:rsid w:val="003C5DB8"/>
    <w:rsid w:val="003D398E"/>
    <w:rsid w:val="003D3F93"/>
    <w:rsid w:val="003D49F7"/>
    <w:rsid w:val="003D4A85"/>
    <w:rsid w:val="003D512B"/>
    <w:rsid w:val="003D7FEB"/>
    <w:rsid w:val="003E1F39"/>
    <w:rsid w:val="003E241D"/>
    <w:rsid w:val="003E2AD1"/>
    <w:rsid w:val="003E2B1A"/>
    <w:rsid w:val="003E2BD6"/>
    <w:rsid w:val="003E2CE8"/>
    <w:rsid w:val="003E3D0E"/>
    <w:rsid w:val="003E3F95"/>
    <w:rsid w:val="003E62CB"/>
    <w:rsid w:val="003E657B"/>
    <w:rsid w:val="003E7419"/>
    <w:rsid w:val="003E7A8F"/>
    <w:rsid w:val="003E7BFC"/>
    <w:rsid w:val="003E7D9E"/>
    <w:rsid w:val="003F16F6"/>
    <w:rsid w:val="003F20B3"/>
    <w:rsid w:val="003F24FA"/>
    <w:rsid w:val="003F2CDE"/>
    <w:rsid w:val="003F4B4A"/>
    <w:rsid w:val="003F5505"/>
    <w:rsid w:val="003F5DCE"/>
    <w:rsid w:val="003F7020"/>
    <w:rsid w:val="003F797B"/>
    <w:rsid w:val="0040043A"/>
    <w:rsid w:val="00400527"/>
    <w:rsid w:val="00400866"/>
    <w:rsid w:val="00403CBE"/>
    <w:rsid w:val="00405CF3"/>
    <w:rsid w:val="00406B7E"/>
    <w:rsid w:val="004075A7"/>
    <w:rsid w:val="00407974"/>
    <w:rsid w:val="00410545"/>
    <w:rsid w:val="00410ECF"/>
    <w:rsid w:val="004122FA"/>
    <w:rsid w:val="004137BC"/>
    <w:rsid w:val="00413B0E"/>
    <w:rsid w:val="00414C26"/>
    <w:rsid w:val="0041516A"/>
    <w:rsid w:val="0041625C"/>
    <w:rsid w:val="004209FF"/>
    <w:rsid w:val="00420C3F"/>
    <w:rsid w:val="0042137F"/>
    <w:rsid w:val="004225A7"/>
    <w:rsid w:val="004225BF"/>
    <w:rsid w:val="004235BF"/>
    <w:rsid w:val="0042455A"/>
    <w:rsid w:val="004266DC"/>
    <w:rsid w:val="00426C70"/>
    <w:rsid w:val="004328A4"/>
    <w:rsid w:val="00432F9E"/>
    <w:rsid w:val="0043519E"/>
    <w:rsid w:val="004361A8"/>
    <w:rsid w:val="00440A21"/>
    <w:rsid w:val="00440B3F"/>
    <w:rsid w:val="004415BC"/>
    <w:rsid w:val="004425D8"/>
    <w:rsid w:val="0044367B"/>
    <w:rsid w:val="004446E8"/>
    <w:rsid w:val="00445023"/>
    <w:rsid w:val="00445259"/>
    <w:rsid w:val="00445CB7"/>
    <w:rsid w:val="00452725"/>
    <w:rsid w:val="0045287B"/>
    <w:rsid w:val="0045296E"/>
    <w:rsid w:val="004531E6"/>
    <w:rsid w:val="00453559"/>
    <w:rsid w:val="00453DB6"/>
    <w:rsid w:val="00455403"/>
    <w:rsid w:val="0045549B"/>
    <w:rsid w:val="00455BAD"/>
    <w:rsid w:val="00456735"/>
    <w:rsid w:val="004570E3"/>
    <w:rsid w:val="004602EA"/>
    <w:rsid w:val="00460409"/>
    <w:rsid w:val="00460522"/>
    <w:rsid w:val="00460801"/>
    <w:rsid w:val="004611D7"/>
    <w:rsid w:val="00461AA7"/>
    <w:rsid w:val="00461DBE"/>
    <w:rsid w:val="0046389B"/>
    <w:rsid w:val="004661CC"/>
    <w:rsid w:val="004674C3"/>
    <w:rsid w:val="00467A3A"/>
    <w:rsid w:val="004710BA"/>
    <w:rsid w:val="0047317F"/>
    <w:rsid w:val="0047368C"/>
    <w:rsid w:val="0047438C"/>
    <w:rsid w:val="0047743B"/>
    <w:rsid w:val="00480E88"/>
    <w:rsid w:val="00482934"/>
    <w:rsid w:val="00485E6E"/>
    <w:rsid w:val="00490779"/>
    <w:rsid w:val="00491143"/>
    <w:rsid w:val="0049221C"/>
    <w:rsid w:val="00493451"/>
    <w:rsid w:val="0049348D"/>
    <w:rsid w:val="004957C7"/>
    <w:rsid w:val="004A211C"/>
    <w:rsid w:val="004A4B13"/>
    <w:rsid w:val="004A5469"/>
    <w:rsid w:val="004A70C6"/>
    <w:rsid w:val="004B0628"/>
    <w:rsid w:val="004B06F8"/>
    <w:rsid w:val="004B258E"/>
    <w:rsid w:val="004B2A35"/>
    <w:rsid w:val="004B2AC0"/>
    <w:rsid w:val="004B5F8D"/>
    <w:rsid w:val="004B605C"/>
    <w:rsid w:val="004B6BAA"/>
    <w:rsid w:val="004B6EBC"/>
    <w:rsid w:val="004B7421"/>
    <w:rsid w:val="004C05AE"/>
    <w:rsid w:val="004C0A6D"/>
    <w:rsid w:val="004C3A9F"/>
    <w:rsid w:val="004C3B6A"/>
    <w:rsid w:val="004C4129"/>
    <w:rsid w:val="004C4AB3"/>
    <w:rsid w:val="004C4EFD"/>
    <w:rsid w:val="004C513A"/>
    <w:rsid w:val="004C7D2B"/>
    <w:rsid w:val="004C7D62"/>
    <w:rsid w:val="004D087E"/>
    <w:rsid w:val="004D335E"/>
    <w:rsid w:val="004D570B"/>
    <w:rsid w:val="004D671D"/>
    <w:rsid w:val="004F05BE"/>
    <w:rsid w:val="004F08A4"/>
    <w:rsid w:val="004F173E"/>
    <w:rsid w:val="004F1A40"/>
    <w:rsid w:val="004F2000"/>
    <w:rsid w:val="004F2464"/>
    <w:rsid w:val="004F3107"/>
    <w:rsid w:val="004F7214"/>
    <w:rsid w:val="00500686"/>
    <w:rsid w:val="00500A33"/>
    <w:rsid w:val="00501340"/>
    <w:rsid w:val="0050178D"/>
    <w:rsid w:val="0050252E"/>
    <w:rsid w:val="00502562"/>
    <w:rsid w:val="0050340D"/>
    <w:rsid w:val="005042D0"/>
    <w:rsid w:val="0050551E"/>
    <w:rsid w:val="00505DFC"/>
    <w:rsid w:val="00506DE6"/>
    <w:rsid w:val="00507FC6"/>
    <w:rsid w:val="00510581"/>
    <w:rsid w:val="005127EF"/>
    <w:rsid w:val="00513448"/>
    <w:rsid w:val="00515AA6"/>
    <w:rsid w:val="005161BC"/>
    <w:rsid w:val="005165C5"/>
    <w:rsid w:val="00521251"/>
    <w:rsid w:val="00523C5A"/>
    <w:rsid w:val="00523DCF"/>
    <w:rsid w:val="00524A05"/>
    <w:rsid w:val="00524FB3"/>
    <w:rsid w:val="00525D01"/>
    <w:rsid w:val="005266EC"/>
    <w:rsid w:val="0053136B"/>
    <w:rsid w:val="005341B5"/>
    <w:rsid w:val="00534B5D"/>
    <w:rsid w:val="0053507D"/>
    <w:rsid w:val="00536F11"/>
    <w:rsid w:val="005371D5"/>
    <w:rsid w:val="005404E4"/>
    <w:rsid w:val="00541F23"/>
    <w:rsid w:val="00543DB2"/>
    <w:rsid w:val="00545390"/>
    <w:rsid w:val="00546301"/>
    <w:rsid w:val="00546699"/>
    <w:rsid w:val="00547462"/>
    <w:rsid w:val="005504F3"/>
    <w:rsid w:val="005529CE"/>
    <w:rsid w:val="005533F4"/>
    <w:rsid w:val="005542EE"/>
    <w:rsid w:val="005550FB"/>
    <w:rsid w:val="005559D8"/>
    <w:rsid w:val="00555D38"/>
    <w:rsid w:val="0055670F"/>
    <w:rsid w:val="005570AB"/>
    <w:rsid w:val="00560EB4"/>
    <w:rsid w:val="00567A2C"/>
    <w:rsid w:val="005705E0"/>
    <w:rsid w:val="00571DC1"/>
    <w:rsid w:val="00571DD4"/>
    <w:rsid w:val="005756BE"/>
    <w:rsid w:val="005759C8"/>
    <w:rsid w:val="00575A74"/>
    <w:rsid w:val="00576EE6"/>
    <w:rsid w:val="00580D51"/>
    <w:rsid w:val="005811FF"/>
    <w:rsid w:val="0058158B"/>
    <w:rsid w:val="00583C0D"/>
    <w:rsid w:val="00584B24"/>
    <w:rsid w:val="00587717"/>
    <w:rsid w:val="00594E04"/>
    <w:rsid w:val="00595F6C"/>
    <w:rsid w:val="00597A60"/>
    <w:rsid w:val="005A188F"/>
    <w:rsid w:val="005A1F68"/>
    <w:rsid w:val="005A3014"/>
    <w:rsid w:val="005A47B5"/>
    <w:rsid w:val="005A494D"/>
    <w:rsid w:val="005B28EA"/>
    <w:rsid w:val="005B40A7"/>
    <w:rsid w:val="005B43B7"/>
    <w:rsid w:val="005B488B"/>
    <w:rsid w:val="005B51A9"/>
    <w:rsid w:val="005B6110"/>
    <w:rsid w:val="005B6588"/>
    <w:rsid w:val="005B662E"/>
    <w:rsid w:val="005C066B"/>
    <w:rsid w:val="005C334C"/>
    <w:rsid w:val="005C47E8"/>
    <w:rsid w:val="005C5271"/>
    <w:rsid w:val="005C5B52"/>
    <w:rsid w:val="005D145F"/>
    <w:rsid w:val="005D1B71"/>
    <w:rsid w:val="005D3244"/>
    <w:rsid w:val="005D334C"/>
    <w:rsid w:val="005D449F"/>
    <w:rsid w:val="005D5E71"/>
    <w:rsid w:val="005D5EEB"/>
    <w:rsid w:val="005D7173"/>
    <w:rsid w:val="005E02D4"/>
    <w:rsid w:val="005E13D6"/>
    <w:rsid w:val="005E26BF"/>
    <w:rsid w:val="005E38CE"/>
    <w:rsid w:val="005E5B8D"/>
    <w:rsid w:val="005E7A13"/>
    <w:rsid w:val="005E7DDF"/>
    <w:rsid w:val="005F0CAF"/>
    <w:rsid w:val="005F0E07"/>
    <w:rsid w:val="005F318D"/>
    <w:rsid w:val="005F3F14"/>
    <w:rsid w:val="005F45CA"/>
    <w:rsid w:val="005F79C0"/>
    <w:rsid w:val="00601EB9"/>
    <w:rsid w:val="0060272B"/>
    <w:rsid w:val="006032C0"/>
    <w:rsid w:val="00604BB9"/>
    <w:rsid w:val="00604D89"/>
    <w:rsid w:val="006053FC"/>
    <w:rsid w:val="006057B9"/>
    <w:rsid w:val="006068D8"/>
    <w:rsid w:val="006103A5"/>
    <w:rsid w:val="0061208F"/>
    <w:rsid w:val="00613457"/>
    <w:rsid w:val="006156D9"/>
    <w:rsid w:val="0061660B"/>
    <w:rsid w:val="006168F7"/>
    <w:rsid w:val="00616A6E"/>
    <w:rsid w:val="00617533"/>
    <w:rsid w:val="00617583"/>
    <w:rsid w:val="006207A2"/>
    <w:rsid w:val="00620CD5"/>
    <w:rsid w:val="006218F5"/>
    <w:rsid w:val="00624994"/>
    <w:rsid w:val="006252E1"/>
    <w:rsid w:val="00625304"/>
    <w:rsid w:val="00626088"/>
    <w:rsid w:val="0062629E"/>
    <w:rsid w:val="00626462"/>
    <w:rsid w:val="00630E99"/>
    <w:rsid w:val="00630EF4"/>
    <w:rsid w:val="0063160F"/>
    <w:rsid w:val="006321AA"/>
    <w:rsid w:val="00632B3E"/>
    <w:rsid w:val="00632D17"/>
    <w:rsid w:val="0063372B"/>
    <w:rsid w:val="006347E5"/>
    <w:rsid w:val="0063572B"/>
    <w:rsid w:val="0063574D"/>
    <w:rsid w:val="00635D2C"/>
    <w:rsid w:val="00636154"/>
    <w:rsid w:val="0063682D"/>
    <w:rsid w:val="00637E75"/>
    <w:rsid w:val="0064083E"/>
    <w:rsid w:val="0064272A"/>
    <w:rsid w:val="0064281C"/>
    <w:rsid w:val="00643310"/>
    <w:rsid w:val="00643481"/>
    <w:rsid w:val="00643534"/>
    <w:rsid w:val="00644205"/>
    <w:rsid w:val="00644A23"/>
    <w:rsid w:val="006450FE"/>
    <w:rsid w:val="006474B0"/>
    <w:rsid w:val="00647F3D"/>
    <w:rsid w:val="00647FB5"/>
    <w:rsid w:val="006508E5"/>
    <w:rsid w:val="00651509"/>
    <w:rsid w:val="0065168A"/>
    <w:rsid w:val="006523BB"/>
    <w:rsid w:val="00652AC1"/>
    <w:rsid w:val="00652FD2"/>
    <w:rsid w:val="006532E9"/>
    <w:rsid w:val="00655D4A"/>
    <w:rsid w:val="006563D5"/>
    <w:rsid w:val="00656CD3"/>
    <w:rsid w:val="006574D3"/>
    <w:rsid w:val="00660045"/>
    <w:rsid w:val="006605E1"/>
    <w:rsid w:val="0066206A"/>
    <w:rsid w:val="00662B21"/>
    <w:rsid w:val="00663E71"/>
    <w:rsid w:val="00664336"/>
    <w:rsid w:val="006658BA"/>
    <w:rsid w:val="0066638F"/>
    <w:rsid w:val="00667C70"/>
    <w:rsid w:val="00670810"/>
    <w:rsid w:val="00671C2B"/>
    <w:rsid w:val="0067225A"/>
    <w:rsid w:val="00672486"/>
    <w:rsid w:val="00673399"/>
    <w:rsid w:val="00673580"/>
    <w:rsid w:val="006738A8"/>
    <w:rsid w:val="00674558"/>
    <w:rsid w:val="0067515B"/>
    <w:rsid w:val="00676B09"/>
    <w:rsid w:val="00676DA7"/>
    <w:rsid w:val="0068102D"/>
    <w:rsid w:val="00681700"/>
    <w:rsid w:val="00683CB4"/>
    <w:rsid w:val="00685AF0"/>
    <w:rsid w:val="00687173"/>
    <w:rsid w:val="00687957"/>
    <w:rsid w:val="00687C92"/>
    <w:rsid w:val="0069082B"/>
    <w:rsid w:val="00690BCD"/>
    <w:rsid w:val="0069141E"/>
    <w:rsid w:val="00691801"/>
    <w:rsid w:val="00692039"/>
    <w:rsid w:val="006926ED"/>
    <w:rsid w:val="00693C06"/>
    <w:rsid w:val="00693C09"/>
    <w:rsid w:val="00694317"/>
    <w:rsid w:val="00695261"/>
    <w:rsid w:val="0069676C"/>
    <w:rsid w:val="0069756F"/>
    <w:rsid w:val="00697EF2"/>
    <w:rsid w:val="006A0EA6"/>
    <w:rsid w:val="006A1291"/>
    <w:rsid w:val="006A12AA"/>
    <w:rsid w:val="006A168E"/>
    <w:rsid w:val="006A20E3"/>
    <w:rsid w:val="006A2767"/>
    <w:rsid w:val="006A428E"/>
    <w:rsid w:val="006A5E75"/>
    <w:rsid w:val="006A6C61"/>
    <w:rsid w:val="006B0116"/>
    <w:rsid w:val="006B123A"/>
    <w:rsid w:val="006B149E"/>
    <w:rsid w:val="006B1A04"/>
    <w:rsid w:val="006B7970"/>
    <w:rsid w:val="006C04E1"/>
    <w:rsid w:val="006C3994"/>
    <w:rsid w:val="006C4440"/>
    <w:rsid w:val="006C5C5F"/>
    <w:rsid w:val="006C6753"/>
    <w:rsid w:val="006C796D"/>
    <w:rsid w:val="006D0BE1"/>
    <w:rsid w:val="006D1D95"/>
    <w:rsid w:val="006D2792"/>
    <w:rsid w:val="006E0B7B"/>
    <w:rsid w:val="006E0D77"/>
    <w:rsid w:val="006E0E3F"/>
    <w:rsid w:val="006E27DC"/>
    <w:rsid w:val="006E388B"/>
    <w:rsid w:val="006E3922"/>
    <w:rsid w:val="006E43BB"/>
    <w:rsid w:val="006E68F7"/>
    <w:rsid w:val="006E790D"/>
    <w:rsid w:val="006E79E1"/>
    <w:rsid w:val="006F0B65"/>
    <w:rsid w:val="006F0C49"/>
    <w:rsid w:val="006F5DD8"/>
    <w:rsid w:val="006F6D30"/>
    <w:rsid w:val="006F6E97"/>
    <w:rsid w:val="006F6F4D"/>
    <w:rsid w:val="007004A4"/>
    <w:rsid w:val="00700638"/>
    <w:rsid w:val="00700FC9"/>
    <w:rsid w:val="007016D0"/>
    <w:rsid w:val="00702D10"/>
    <w:rsid w:val="00705193"/>
    <w:rsid w:val="007078D0"/>
    <w:rsid w:val="00707CF3"/>
    <w:rsid w:val="00712C4E"/>
    <w:rsid w:val="00713938"/>
    <w:rsid w:val="00714201"/>
    <w:rsid w:val="00714D2A"/>
    <w:rsid w:val="00714E7B"/>
    <w:rsid w:val="0071704A"/>
    <w:rsid w:val="007176FA"/>
    <w:rsid w:val="0072199B"/>
    <w:rsid w:val="00721DB7"/>
    <w:rsid w:val="0072338B"/>
    <w:rsid w:val="00725378"/>
    <w:rsid w:val="00727280"/>
    <w:rsid w:val="0072756C"/>
    <w:rsid w:val="00727778"/>
    <w:rsid w:val="0073141C"/>
    <w:rsid w:val="0073149E"/>
    <w:rsid w:val="00731761"/>
    <w:rsid w:val="0073320A"/>
    <w:rsid w:val="00734148"/>
    <w:rsid w:val="0073424F"/>
    <w:rsid w:val="007349CC"/>
    <w:rsid w:val="00734EAC"/>
    <w:rsid w:val="00736FEC"/>
    <w:rsid w:val="007446BA"/>
    <w:rsid w:val="007448B6"/>
    <w:rsid w:val="00745258"/>
    <w:rsid w:val="00750B00"/>
    <w:rsid w:val="00750D55"/>
    <w:rsid w:val="007553E3"/>
    <w:rsid w:val="00755493"/>
    <w:rsid w:val="00760774"/>
    <w:rsid w:val="007610AD"/>
    <w:rsid w:val="007612B5"/>
    <w:rsid w:val="00762065"/>
    <w:rsid w:val="007620CB"/>
    <w:rsid w:val="0076212C"/>
    <w:rsid w:val="00763C8B"/>
    <w:rsid w:val="007650D0"/>
    <w:rsid w:val="007668ED"/>
    <w:rsid w:val="00766A84"/>
    <w:rsid w:val="00767ACD"/>
    <w:rsid w:val="007708C8"/>
    <w:rsid w:val="00771C69"/>
    <w:rsid w:val="0077258D"/>
    <w:rsid w:val="00774C7D"/>
    <w:rsid w:val="00775604"/>
    <w:rsid w:val="00776F3F"/>
    <w:rsid w:val="00777302"/>
    <w:rsid w:val="00777378"/>
    <w:rsid w:val="00777442"/>
    <w:rsid w:val="00777A84"/>
    <w:rsid w:val="00780280"/>
    <w:rsid w:val="00781305"/>
    <w:rsid w:val="00781C76"/>
    <w:rsid w:val="00786683"/>
    <w:rsid w:val="00790BDB"/>
    <w:rsid w:val="007917CC"/>
    <w:rsid w:val="00792A4A"/>
    <w:rsid w:val="00793051"/>
    <w:rsid w:val="007955BD"/>
    <w:rsid w:val="00795761"/>
    <w:rsid w:val="007A0AC4"/>
    <w:rsid w:val="007A0E63"/>
    <w:rsid w:val="007A1515"/>
    <w:rsid w:val="007A2688"/>
    <w:rsid w:val="007A4AE4"/>
    <w:rsid w:val="007A5E70"/>
    <w:rsid w:val="007B35E3"/>
    <w:rsid w:val="007B3F5B"/>
    <w:rsid w:val="007B41BA"/>
    <w:rsid w:val="007B54FA"/>
    <w:rsid w:val="007B5C0C"/>
    <w:rsid w:val="007B7643"/>
    <w:rsid w:val="007C0A01"/>
    <w:rsid w:val="007C102D"/>
    <w:rsid w:val="007C11B4"/>
    <w:rsid w:val="007C2F52"/>
    <w:rsid w:val="007C3648"/>
    <w:rsid w:val="007C3B22"/>
    <w:rsid w:val="007C3B69"/>
    <w:rsid w:val="007C541F"/>
    <w:rsid w:val="007C56B7"/>
    <w:rsid w:val="007C5AB8"/>
    <w:rsid w:val="007C5DD5"/>
    <w:rsid w:val="007C6C82"/>
    <w:rsid w:val="007D0443"/>
    <w:rsid w:val="007D1492"/>
    <w:rsid w:val="007D1C16"/>
    <w:rsid w:val="007D2338"/>
    <w:rsid w:val="007D3F34"/>
    <w:rsid w:val="007D4091"/>
    <w:rsid w:val="007D4FBE"/>
    <w:rsid w:val="007E1E2F"/>
    <w:rsid w:val="007E5033"/>
    <w:rsid w:val="007E5861"/>
    <w:rsid w:val="007E5B8D"/>
    <w:rsid w:val="007E6D5B"/>
    <w:rsid w:val="007E7705"/>
    <w:rsid w:val="007F1D5D"/>
    <w:rsid w:val="007F2750"/>
    <w:rsid w:val="007F29CB"/>
    <w:rsid w:val="007F2ECF"/>
    <w:rsid w:val="007F3A5D"/>
    <w:rsid w:val="007F3B75"/>
    <w:rsid w:val="007F5441"/>
    <w:rsid w:val="007F5F0D"/>
    <w:rsid w:val="00801058"/>
    <w:rsid w:val="00802376"/>
    <w:rsid w:val="008026AD"/>
    <w:rsid w:val="00802FCA"/>
    <w:rsid w:val="00807E85"/>
    <w:rsid w:val="0081137F"/>
    <w:rsid w:val="00811FEA"/>
    <w:rsid w:val="008130A5"/>
    <w:rsid w:val="00813FE3"/>
    <w:rsid w:val="008145B2"/>
    <w:rsid w:val="00815071"/>
    <w:rsid w:val="00816FBE"/>
    <w:rsid w:val="0081706D"/>
    <w:rsid w:val="00821802"/>
    <w:rsid w:val="00821A0C"/>
    <w:rsid w:val="00821DDB"/>
    <w:rsid w:val="00821E3A"/>
    <w:rsid w:val="008244B0"/>
    <w:rsid w:val="00825066"/>
    <w:rsid w:val="0082528A"/>
    <w:rsid w:val="00825A83"/>
    <w:rsid w:val="0083044D"/>
    <w:rsid w:val="008313AE"/>
    <w:rsid w:val="00831487"/>
    <w:rsid w:val="00832529"/>
    <w:rsid w:val="0083293A"/>
    <w:rsid w:val="0083371A"/>
    <w:rsid w:val="00833A9D"/>
    <w:rsid w:val="0083446D"/>
    <w:rsid w:val="0083537C"/>
    <w:rsid w:val="008361D9"/>
    <w:rsid w:val="0084073B"/>
    <w:rsid w:val="00842C4B"/>
    <w:rsid w:val="00845B2B"/>
    <w:rsid w:val="00846F6A"/>
    <w:rsid w:val="00847530"/>
    <w:rsid w:val="008477C1"/>
    <w:rsid w:val="00847B54"/>
    <w:rsid w:val="0085073A"/>
    <w:rsid w:val="008514E7"/>
    <w:rsid w:val="008525D7"/>
    <w:rsid w:val="00852E80"/>
    <w:rsid w:val="008535C1"/>
    <w:rsid w:val="00855A29"/>
    <w:rsid w:val="00855F31"/>
    <w:rsid w:val="00857319"/>
    <w:rsid w:val="008578A9"/>
    <w:rsid w:val="00857B59"/>
    <w:rsid w:val="00861B53"/>
    <w:rsid w:val="00862670"/>
    <w:rsid w:val="00862D30"/>
    <w:rsid w:val="00863BB8"/>
    <w:rsid w:val="00865123"/>
    <w:rsid w:val="008656F3"/>
    <w:rsid w:val="00865BED"/>
    <w:rsid w:val="008661E3"/>
    <w:rsid w:val="008675CC"/>
    <w:rsid w:val="008705E2"/>
    <w:rsid w:val="00870DC9"/>
    <w:rsid w:val="008716A6"/>
    <w:rsid w:val="008731A0"/>
    <w:rsid w:val="00873A1C"/>
    <w:rsid w:val="00874770"/>
    <w:rsid w:val="0087638B"/>
    <w:rsid w:val="00876407"/>
    <w:rsid w:val="00876665"/>
    <w:rsid w:val="00876E62"/>
    <w:rsid w:val="008804F5"/>
    <w:rsid w:val="008806C7"/>
    <w:rsid w:val="008811B5"/>
    <w:rsid w:val="0088256C"/>
    <w:rsid w:val="008854A0"/>
    <w:rsid w:val="00885BA2"/>
    <w:rsid w:val="00886C86"/>
    <w:rsid w:val="0088752A"/>
    <w:rsid w:val="00887CFE"/>
    <w:rsid w:val="008902A9"/>
    <w:rsid w:val="0089179D"/>
    <w:rsid w:val="00891916"/>
    <w:rsid w:val="00891B78"/>
    <w:rsid w:val="0089267A"/>
    <w:rsid w:val="008938CE"/>
    <w:rsid w:val="00896102"/>
    <w:rsid w:val="00897318"/>
    <w:rsid w:val="008A0009"/>
    <w:rsid w:val="008A09B1"/>
    <w:rsid w:val="008A30FB"/>
    <w:rsid w:val="008A3D16"/>
    <w:rsid w:val="008A4226"/>
    <w:rsid w:val="008A77B3"/>
    <w:rsid w:val="008B010F"/>
    <w:rsid w:val="008B0758"/>
    <w:rsid w:val="008B0FA8"/>
    <w:rsid w:val="008B16E3"/>
    <w:rsid w:val="008B1C2E"/>
    <w:rsid w:val="008B268C"/>
    <w:rsid w:val="008B32F7"/>
    <w:rsid w:val="008B35D5"/>
    <w:rsid w:val="008B3B8E"/>
    <w:rsid w:val="008B4708"/>
    <w:rsid w:val="008B4ADD"/>
    <w:rsid w:val="008B4C4C"/>
    <w:rsid w:val="008B4CFE"/>
    <w:rsid w:val="008B4E32"/>
    <w:rsid w:val="008B512F"/>
    <w:rsid w:val="008B6A9B"/>
    <w:rsid w:val="008C0D97"/>
    <w:rsid w:val="008C18A1"/>
    <w:rsid w:val="008C3EC6"/>
    <w:rsid w:val="008C452C"/>
    <w:rsid w:val="008C45AD"/>
    <w:rsid w:val="008C4951"/>
    <w:rsid w:val="008C49F5"/>
    <w:rsid w:val="008C4BEC"/>
    <w:rsid w:val="008C51F6"/>
    <w:rsid w:val="008C5532"/>
    <w:rsid w:val="008C6045"/>
    <w:rsid w:val="008C61FF"/>
    <w:rsid w:val="008D0A23"/>
    <w:rsid w:val="008D140C"/>
    <w:rsid w:val="008D4218"/>
    <w:rsid w:val="008D7814"/>
    <w:rsid w:val="008D7F9F"/>
    <w:rsid w:val="008E10AF"/>
    <w:rsid w:val="008E1148"/>
    <w:rsid w:val="008E15ED"/>
    <w:rsid w:val="008E2C94"/>
    <w:rsid w:val="008E2D13"/>
    <w:rsid w:val="008E4312"/>
    <w:rsid w:val="008E4DDB"/>
    <w:rsid w:val="008E4E3F"/>
    <w:rsid w:val="008E5569"/>
    <w:rsid w:val="008E5D48"/>
    <w:rsid w:val="008E6B82"/>
    <w:rsid w:val="008E7B38"/>
    <w:rsid w:val="008F002F"/>
    <w:rsid w:val="008F0205"/>
    <w:rsid w:val="008F0E1C"/>
    <w:rsid w:val="008F176D"/>
    <w:rsid w:val="008F1B0B"/>
    <w:rsid w:val="008F49EC"/>
    <w:rsid w:val="008F693A"/>
    <w:rsid w:val="008F70A8"/>
    <w:rsid w:val="008F7BBB"/>
    <w:rsid w:val="00901026"/>
    <w:rsid w:val="00901B76"/>
    <w:rsid w:val="009023EA"/>
    <w:rsid w:val="0090491B"/>
    <w:rsid w:val="0090493D"/>
    <w:rsid w:val="00905E66"/>
    <w:rsid w:val="0090606D"/>
    <w:rsid w:val="009078CB"/>
    <w:rsid w:val="00910D5F"/>
    <w:rsid w:val="009120F9"/>
    <w:rsid w:val="009123CE"/>
    <w:rsid w:val="009123F7"/>
    <w:rsid w:val="0091250D"/>
    <w:rsid w:val="009128EB"/>
    <w:rsid w:val="00912C4F"/>
    <w:rsid w:val="00912EB6"/>
    <w:rsid w:val="00914087"/>
    <w:rsid w:val="009141F8"/>
    <w:rsid w:val="00914BA1"/>
    <w:rsid w:val="00914CF4"/>
    <w:rsid w:val="009155C1"/>
    <w:rsid w:val="00915B15"/>
    <w:rsid w:val="009162D0"/>
    <w:rsid w:val="00916643"/>
    <w:rsid w:val="00916E05"/>
    <w:rsid w:val="00922220"/>
    <w:rsid w:val="00922E44"/>
    <w:rsid w:val="0092397B"/>
    <w:rsid w:val="00931829"/>
    <w:rsid w:val="009320C9"/>
    <w:rsid w:val="009322BE"/>
    <w:rsid w:val="00933090"/>
    <w:rsid w:val="00933180"/>
    <w:rsid w:val="00933B6E"/>
    <w:rsid w:val="009341AA"/>
    <w:rsid w:val="009345A2"/>
    <w:rsid w:val="00934FED"/>
    <w:rsid w:val="00935089"/>
    <w:rsid w:val="009374F4"/>
    <w:rsid w:val="00937E4F"/>
    <w:rsid w:val="00943882"/>
    <w:rsid w:val="0094526D"/>
    <w:rsid w:val="009476ED"/>
    <w:rsid w:val="00947D9D"/>
    <w:rsid w:val="00950621"/>
    <w:rsid w:val="009577FD"/>
    <w:rsid w:val="00961915"/>
    <w:rsid w:val="00961998"/>
    <w:rsid w:val="00961F3B"/>
    <w:rsid w:val="00961FFE"/>
    <w:rsid w:val="00963852"/>
    <w:rsid w:val="00964CFB"/>
    <w:rsid w:val="00965730"/>
    <w:rsid w:val="00966370"/>
    <w:rsid w:val="00970A18"/>
    <w:rsid w:val="00971982"/>
    <w:rsid w:val="00971B88"/>
    <w:rsid w:val="009735A8"/>
    <w:rsid w:val="0097539B"/>
    <w:rsid w:val="00975819"/>
    <w:rsid w:val="0097601B"/>
    <w:rsid w:val="00977A46"/>
    <w:rsid w:val="00977C84"/>
    <w:rsid w:val="00977DC0"/>
    <w:rsid w:val="00982ABC"/>
    <w:rsid w:val="0098367C"/>
    <w:rsid w:val="00983A9D"/>
    <w:rsid w:val="00983BE3"/>
    <w:rsid w:val="009855D3"/>
    <w:rsid w:val="00986351"/>
    <w:rsid w:val="00986FFE"/>
    <w:rsid w:val="00987AC7"/>
    <w:rsid w:val="00990A19"/>
    <w:rsid w:val="00990BF3"/>
    <w:rsid w:val="00992039"/>
    <w:rsid w:val="009936EB"/>
    <w:rsid w:val="00993FE4"/>
    <w:rsid w:val="00996213"/>
    <w:rsid w:val="009979A2"/>
    <w:rsid w:val="009A026A"/>
    <w:rsid w:val="009A0855"/>
    <w:rsid w:val="009A29D4"/>
    <w:rsid w:val="009A3C11"/>
    <w:rsid w:val="009A40FD"/>
    <w:rsid w:val="009A707F"/>
    <w:rsid w:val="009B073B"/>
    <w:rsid w:val="009B1D79"/>
    <w:rsid w:val="009B401F"/>
    <w:rsid w:val="009B4894"/>
    <w:rsid w:val="009B76AE"/>
    <w:rsid w:val="009B7AB0"/>
    <w:rsid w:val="009C0847"/>
    <w:rsid w:val="009C2567"/>
    <w:rsid w:val="009C5D99"/>
    <w:rsid w:val="009C6CD9"/>
    <w:rsid w:val="009C7988"/>
    <w:rsid w:val="009C7DCF"/>
    <w:rsid w:val="009D196E"/>
    <w:rsid w:val="009D1F12"/>
    <w:rsid w:val="009D3145"/>
    <w:rsid w:val="009D419F"/>
    <w:rsid w:val="009D422A"/>
    <w:rsid w:val="009D5299"/>
    <w:rsid w:val="009D5D8A"/>
    <w:rsid w:val="009D75DD"/>
    <w:rsid w:val="009D779D"/>
    <w:rsid w:val="009E130F"/>
    <w:rsid w:val="009E2093"/>
    <w:rsid w:val="009E2172"/>
    <w:rsid w:val="009E232D"/>
    <w:rsid w:val="009E2D0A"/>
    <w:rsid w:val="009E35C0"/>
    <w:rsid w:val="009E41A5"/>
    <w:rsid w:val="009E4A80"/>
    <w:rsid w:val="009E4E34"/>
    <w:rsid w:val="009F0146"/>
    <w:rsid w:val="009F0240"/>
    <w:rsid w:val="009F0744"/>
    <w:rsid w:val="009F1EA0"/>
    <w:rsid w:val="009F1EC5"/>
    <w:rsid w:val="009F4826"/>
    <w:rsid w:val="009F5318"/>
    <w:rsid w:val="009F7385"/>
    <w:rsid w:val="009F74AE"/>
    <w:rsid w:val="009F7BB8"/>
    <w:rsid w:val="009F7BDC"/>
    <w:rsid w:val="00A02FAE"/>
    <w:rsid w:val="00A03937"/>
    <w:rsid w:val="00A05179"/>
    <w:rsid w:val="00A10AC8"/>
    <w:rsid w:val="00A13D07"/>
    <w:rsid w:val="00A142AA"/>
    <w:rsid w:val="00A158BB"/>
    <w:rsid w:val="00A1759B"/>
    <w:rsid w:val="00A17C0B"/>
    <w:rsid w:val="00A17C6A"/>
    <w:rsid w:val="00A22C3D"/>
    <w:rsid w:val="00A239CA"/>
    <w:rsid w:val="00A243A4"/>
    <w:rsid w:val="00A26315"/>
    <w:rsid w:val="00A27380"/>
    <w:rsid w:val="00A27569"/>
    <w:rsid w:val="00A27833"/>
    <w:rsid w:val="00A30774"/>
    <w:rsid w:val="00A322A4"/>
    <w:rsid w:val="00A36439"/>
    <w:rsid w:val="00A377BE"/>
    <w:rsid w:val="00A37DEC"/>
    <w:rsid w:val="00A4047C"/>
    <w:rsid w:val="00A40906"/>
    <w:rsid w:val="00A41A89"/>
    <w:rsid w:val="00A43136"/>
    <w:rsid w:val="00A44144"/>
    <w:rsid w:val="00A4671F"/>
    <w:rsid w:val="00A47F63"/>
    <w:rsid w:val="00A50DB7"/>
    <w:rsid w:val="00A50ED3"/>
    <w:rsid w:val="00A520D6"/>
    <w:rsid w:val="00A53781"/>
    <w:rsid w:val="00A54CCA"/>
    <w:rsid w:val="00A54FA4"/>
    <w:rsid w:val="00A6038C"/>
    <w:rsid w:val="00A65F38"/>
    <w:rsid w:val="00A67607"/>
    <w:rsid w:val="00A7061B"/>
    <w:rsid w:val="00A7091E"/>
    <w:rsid w:val="00A70C96"/>
    <w:rsid w:val="00A7276E"/>
    <w:rsid w:val="00A72DD2"/>
    <w:rsid w:val="00A72E1A"/>
    <w:rsid w:val="00A75E2C"/>
    <w:rsid w:val="00A764DA"/>
    <w:rsid w:val="00A80CB8"/>
    <w:rsid w:val="00A81C32"/>
    <w:rsid w:val="00A82FB5"/>
    <w:rsid w:val="00A841FC"/>
    <w:rsid w:val="00A84683"/>
    <w:rsid w:val="00A849F5"/>
    <w:rsid w:val="00A90148"/>
    <w:rsid w:val="00A909FC"/>
    <w:rsid w:val="00A92CD0"/>
    <w:rsid w:val="00A9349A"/>
    <w:rsid w:val="00A94E50"/>
    <w:rsid w:val="00A95876"/>
    <w:rsid w:val="00A964D1"/>
    <w:rsid w:val="00AA0556"/>
    <w:rsid w:val="00AA07EF"/>
    <w:rsid w:val="00AA2F30"/>
    <w:rsid w:val="00AA3040"/>
    <w:rsid w:val="00AA4463"/>
    <w:rsid w:val="00AA47E1"/>
    <w:rsid w:val="00AA4DE0"/>
    <w:rsid w:val="00AA7B84"/>
    <w:rsid w:val="00AB0509"/>
    <w:rsid w:val="00AB0881"/>
    <w:rsid w:val="00AB1597"/>
    <w:rsid w:val="00AB1791"/>
    <w:rsid w:val="00AB2A3E"/>
    <w:rsid w:val="00AB6360"/>
    <w:rsid w:val="00AB7412"/>
    <w:rsid w:val="00AB7BF1"/>
    <w:rsid w:val="00AC0806"/>
    <w:rsid w:val="00AC196B"/>
    <w:rsid w:val="00AC3D1E"/>
    <w:rsid w:val="00AC4F6F"/>
    <w:rsid w:val="00AC51F3"/>
    <w:rsid w:val="00AC5DB6"/>
    <w:rsid w:val="00AC73B6"/>
    <w:rsid w:val="00AC77E9"/>
    <w:rsid w:val="00AD0ED6"/>
    <w:rsid w:val="00AD28BB"/>
    <w:rsid w:val="00AD31ED"/>
    <w:rsid w:val="00AD485C"/>
    <w:rsid w:val="00AD6B63"/>
    <w:rsid w:val="00AD6F80"/>
    <w:rsid w:val="00AD7141"/>
    <w:rsid w:val="00AD722F"/>
    <w:rsid w:val="00AD7B66"/>
    <w:rsid w:val="00AD7D10"/>
    <w:rsid w:val="00AD7D54"/>
    <w:rsid w:val="00AE08DA"/>
    <w:rsid w:val="00AE48A2"/>
    <w:rsid w:val="00AE7315"/>
    <w:rsid w:val="00AF0AEA"/>
    <w:rsid w:val="00AF263E"/>
    <w:rsid w:val="00AF31E4"/>
    <w:rsid w:val="00AF346A"/>
    <w:rsid w:val="00AF3CD5"/>
    <w:rsid w:val="00AF3EFA"/>
    <w:rsid w:val="00AF4612"/>
    <w:rsid w:val="00AF5559"/>
    <w:rsid w:val="00AF6474"/>
    <w:rsid w:val="00AF6819"/>
    <w:rsid w:val="00B00D5F"/>
    <w:rsid w:val="00B01767"/>
    <w:rsid w:val="00B0398A"/>
    <w:rsid w:val="00B03D29"/>
    <w:rsid w:val="00B05510"/>
    <w:rsid w:val="00B0569E"/>
    <w:rsid w:val="00B06680"/>
    <w:rsid w:val="00B10242"/>
    <w:rsid w:val="00B12410"/>
    <w:rsid w:val="00B12853"/>
    <w:rsid w:val="00B13002"/>
    <w:rsid w:val="00B13FEE"/>
    <w:rsid w:val="00B1421B"/>
    <w:rsid w:val="00B14B95"/>
    <w:rsid w:val="00B15E08"/>
    <w:rsid w:val="00B16D37"/>
    <w:rsid w:val="00B207AA"/>
    <w:rsid w:val="00B21700"/>
    <w:rsid w:val="00B21A05"/>
    <w:rsid w:val="00B21FB9"/>
    <w:rsid w:val="00B24188"/>
    <w:rsid w:val="00B24691"/>
    <w:rsid w:val="00B25F27"/>
    <w:rsid w:val="00B25FDE"/>
    <w:rsid w:val="00B26908"/>
    <w:rsid w:val="00B26D41"/>
    <w:rsid w:val="00B30654"/>
    <w:rsid w:val="00B33F09"/>
    <w:rsid w:val="00B35099"/>
    <w:rsid w:val="00B365EA"/>
    <w:rsid w:val="00B3661E"/>
    <w:rsid w:val="00B4110B"/>
    <w:rsid w:val="00B42803"/>
    <w:rsid w:val="00B43713"/>
    <w:rsid w:val="00B43BC3"/>
    <w:rsid w:val="00B452A9"/>
    <w:rsid w:val="00B46129"/>
    <w:rsid w:val="00B4616E"/>
    <w:rsid w:val="00B462EA"/>
    <w:rsid w:val="00B519AE"/>
    <w:rsid w:val="00B5258B"/>
    <w:rsid w:val="00B53BF3"/>
    <w:rsid w:val="00B5411E"/>
    <w:rsid w:val="00B5568B"/>
    <w:rsid w:val="00B557F3"/>
    <w:rsid w:val="00B57750"/>
    <w:rsid w:val="00B60798"/>
    <w:rsid w:val="00B6095B"/>
    <w:rsid w:val="00B60E1B"/>
    <w:rsid w:val="00B620C1"/>
    <w:rsid w:val="00B62569"/>
    <w:rsid w:val="00B6294B"/>
    <w:rsid w:val="00B637CF"/>
    <w:rsid w:val="00B64150"/>
    <w:rsid w:val="00B64567"/>
    <w:rsid w:val="00B6516F"/>
    <w:rsid w:val="00B65686"/>
    <w:rsid w:val="00B657BF"/>
    <w:rsid w:val="00B65F9A"/>
    <w:rsid w:val="00B67FF9"/>
    <w:rsid w:val="00B728B9"/>
    <w:rsid w:val="00B80516"/>
    <w:rsid w:val="00B818A0"/>
    <w:rsid w:val="00B8223F"/>
    <w:rsid w:val="00B836A4"/>
    <w:rsid w:val="00B8374B"/>
    <w:rsid w:val="00B866FA"/>
    <w:rsid w:val="00B867D4"/>
    <w:rsid w:val="00B86FB6"/>
    <w:rsid w:val="00B87148"/>
    <w:rsid w:val="00B87315"/>
    <w:rsid w:val="00B87741"/>
    <w:rsid w:val="00B877EC"/>
    <w:rsid w:val="00B87C2C"/>
    <w:rsid w:val="00B90797"/>
    <w:rsid w:val="00B907AF"/>
    <w:rsid w:val="00B90CC7"/>
    <w:rsid w:val="00B933BA"/>
    <w:rsid w:val="00B94B64"/>
    <w:rsid w:val="00B94DA9"/>
    <w:rsid w:val="00B9755E"/>
    <w:rsid w:val="00BA00FE"/>
    <w:rsid w:val="00BA0690"/>
    <w:rsid w:val="00BA4158"/>
    <w:rsid w:val="00BA45F2"/>
    <w:rsid w:val="00BA6331"/>
    <w:rsid w:val="00BB1A41"/>
    <w:rsid w:val="00BB22B4"/>
    <w:rsid w:val="00BB4206"/>
    <w:rsid w:val="00BB5766"/>
    <w:rsid w:val="00BB5C72"/>
    <w:rsid w:val="00BB77DC"/>
    <w:rsid w:val="00BB7C73"/>
    <w:rsid w:val="00BC03B1"/>
    <w:rsid w:val="00BC0B24"/>
    <w:rsid w:val="00BC1BF8"/>
    <w:rsid w:val="00BC1C8B"/>
    <w:rsid w:val="00BC27C1"/>
    <w:rsid w:val="00BC30B6"/>
    <w:rsid w:val="00BC39D6"/>
    <w:rsid w:val="00BC3E40"/>
    <w:rsid w:val="00BC43C8"/>
    <w:rsid w:val="00BC5584"/>
    <w:rsid w:val="00BC5E01"/>
    <w:rsid w:val="00BC5F25"/>
    <w:rsid w:val="00BC7631"/>
    <w:rsid w:val="00BC7A91"/>
    <w:rsid w:val="00BD0AE4"/>
    <w:rsid w:val="00BD23C3"/>
    <w:rsid w:val="00BD34C8"/>
    <w:rsid w:val="00BD49C6"/>
    <w:rsid w:val="00BD4D9E"/>
    <w:rsid w:val="00BD4F9E"/>
    <w:rsid w:val="00BE380A"/>
    <w:rsid w:val="00BE5854"/>
    <w:rsid w:val="00BF0A69"/>
    <w:rsid w:val="00BF2218"/>
    <w:rsid w:val="00BF24A6"/>
    <w:rsid w:val="00BF555A"/>
    <w:rsid w:val="00BF6743"/>
    <w:rsid w:val="00BF6B67"/>
    <w:rsid w:val="00BF7982"/>
    <w:rsid w:val="00BF7DE1"/>
    <w:rsid w:val="00C00BD2"/>
    <w:rsid w:val="00C02FB7"/>
    <w:rsid w:val="00C0568A"/>
    <w:rsid w:val="00C0639E"/>
    <w:rsid w:val="00C067A6"/>
    <w:rsid w:val="00C06931"/>
    <w:rsid w:val="00C06BD6"/>
    <w:rsid w:val="00C10125"/>
    <w:rsid w:val="00C10D75"/>
    <w:rsid w:val="00C11273"/>
    <w:rsid w:val="00C125D4"/>
    <w:rsid w:val="00C125FB"/>
    <w:rsid w:val="00C13839"/>
    <w:rsid w:val="00C14CCB"/>
    <w:rsid w:val="00C16339"/>
    <w:rsid w:val="00C16D0E"/>
    <w:rsid w:val="00C21253"/>
    <w:rsid w:val="00C21554"/>
    <w:rsid w:val="00C22022"/>
    <w:rsid w:val="00C23D3B"/>
    <w:rsid w:val="00C2545D"/>
    <w:rsid w:val="00C254A6"/>
    <w:rsid w:val="00C25E45"/>
    <w:rsid w:val="00C260C9"/>
    <w:rsid w:val="00C26410"/>
    <w:rsid w:val="00C26700"/>
    <w:rsid w:val="00C26D42"/>
    <w:rsid w:val="00C271FA"/>
    <w:rsid w:val="00C31A0F"/>
    <w:rsid w:val="00C328EE"/>
    <w:rsid w:val="00C32A85"/>
    <w:rsid w:val="00C341A0"/>
    <w:rsid w:val="00C416D3"/>
    <w:rsid w:val="00C41730"/>
    <w:rsid w:val="00C41AAE"/>
    <w:rsid w:val="00C42374"/>
    <w:rsid w:val="00C43403"/>
    <w:rsid w:val="00C43A54"/>
    <w:rsid w:val="00C44B37"/>
    <w:rsid w:val="00C44B74"/>
    <w:rsid w:val="00C45014"/>
    <w:rsid w:val="00C452B8"/>
    <w:rsid w:val="00C466E0"/>
    <w:rsid w:val="00C47470"/>
    <w:rsid w:val="00C5090F"/>
    <w:rsid w:val="00C5353D"/>
    <w:rsid w:val="00C53A92"/>
    <w:rsid w:val="00C6235F"/>
    <w:rsid w:val="00C63853"/>
    <w:rsid w:val="00C64BC3"/>
    <w:rsid w:val="00C65EFA"/>
    <w:rsid w:val="00C66E43"/>
    <w:rsid w:val="00C7091B"/>
    <w:rsid w:val="00C720EB"/>
    <w:rsid w:val="00C722E7"/>
    <w:rsid w:val="00C744DD"/>
    <w:rsid w:val="00C77E26"/>
    <w:rsid w:val="00C80C79"/>
    <w:rsid w:val="00C825FC"/>
    <w:rsid w:val="00C83841"/>
    <w:rsid w:val="00C83CBE"/>
    <w:rsid w:val="00C84580"/>
    <w:rsid w:val="00C84CBD"/>
    <w:rsid w:val="00C84E19"/>
    <w:rsid w:val="00C852AC"/>
    <w:rsid w:val="00C85852"/>
    <w:rsid w:val="00C86F43"/>
    <w:rsid w:val="00C875B5"/>
    <w:rsid w:val="00C90771"/>
    <w:rsid w:val="00C91F84"/>
    <w:rsid w:val="00C91F98"/>
    <w:rsid w:val="00C93199"/>
    <w:rsid w:val="00C93381"/>
    <w:rsid w:val="00C93890"/>
    <w:rsid w:val="00C93F04"/>
    <w:rsid w:val="00C95DDF"/>
    <w:rsid w:val="00C96A84"/>
    <w:rsid w:val="00C96F7D"/>
    <w:rsid w:val="00C9703B"/>
    <w:rsid w:val="00CA0CF0"/>
    <w:rsid w:val="00CA17BB"/>
    <w:rsid w:val="00CA25A5"/>
    <w:rsid w:val="00CA312E"/>
    <w:rsid w:val="00CA3AAC"/>
    <w:rsid w:val="00CA4160"/>
    <w:rsid w:val="00CA5747"/>
    <w:rsid w:val="00CA5BBD"/>
    <w:rsid w:val="00CA6237"/>
    <w:rsid w:val="00CA6B1F"/>
    <w:rsid w:val="00CB03BE"/>
    <w:rsid w:val="00CB1107"/>
    <w:rsid w:val="00CB2A08"/>
    <w:rsid w:val="00CB2BC2"/>
    <w:rsid w:val="00CB3356"/>
    <w:rsid w:val="00CB3D4E"/>
    <w:rsid w:val="00CB4C1F"/>
    <w:rsid w:val="00CB50DF"/>
    <w:rsid w:val="00CB5743"/>
    <w:rsid w:val="00CB6957"/>
    <w:rsid w:val="00CC04D8"/>
    <w:rsid w:val="00CC0719"/>
    <w:rsid w:val="00CC0BD9"/>
    <w:rsid w:val="00CC2F96"/>
    <w:rsid w:val="00CC406B"/>
    <w:rsid w:val="00CC44F7"/>
    <w:rsid w:val="00CC53B3"/>
    <w:rsid w:val="00CC5DD5"/>
    <w:rsid w:val="00CC781F"/>
    <w:rsid w:val="00CC7DB6"/>
    <w:rsid w:val="00CD05DD"/>
    <w:rsid w:val="00CD1E06"/>
    <w:rsid w:val="00CD32FD"/>
    <w:rsid w:val="00CD3E9F"/>
    <w:rsid w:val="00CD41C0"/>
    <w:rsid w:val="00CD420A"/>
    <w:rsid w:val="00CD461E"/>
    <w:rsid w:val="00CD5D98"/>
    <w:rsid w:val="00CE06F0"/>
    <w:rsid w:val="00CE324A"/>
    <w:rsid w:val="00CE3975"/>
    <w:rsid w:val="00CE40CD"/>
    <w:rsid w:val="00CE452E"/>
    <w:rsid w:val="00CE4960"/>
    <w:rsid w:val="00CE5681"/>
    <w:rsid w:val="00CF00F7"/>
    <w:rsid w:val="00CF1B5B"/>
    <w:rsid w:val="00CF1F12"/>
    <w:rsid w:val="00CF2E46"/>
    <w:rsid w:val="00CF4483"/>
    <w:rsid w:val="00CF6DC5"/>
    <w:rsid w:val="00CF7A65"/>
    <w:rsid w:val="00D0001A"/>
    <w:rsid w:val="00D0056D"/>
    <w:rsid w:val="00D01BB8"/>
    <w:rsid w:val="00D03863"/>
    <w:rsid w:val="00D038F9"/>
    <w:rsid w:val="00D05AEB"/>
    <w:rsid w:val="00D05E63"/>
    <w:rsid w:val="00D06A63"/>
    <w:rsid w:val="00D07764"/>
    <w:rsid w:val="00D078B1"/>
    <w:rsid w:val="00D10540"/>
    <w:rsid w:val="00D116BA"/>
    <w:rsid w:val="00D121F7"/>
    <w:rsid w:val="00D12835"/>
    <w:rsid w:val="00D16207"/>
    <w:rsid w:val="00D17A1F"/>
    <w:rsid w:val="00D17F47"/>
    <w:rsid w:val="00D21889"/>
    <w:rsid w:val="00D234F1"/>
    <w:rsid w:val="00D242CC"/>
    <w:rsid w:val="00D24926"/>
    <w:rsid w:val="00D26088"/>
    <w:rsid w:val="00D26C09"/>
    <w:rsid w:val="00D26E19"/>
    <w:rsid w:val="00D27791"/>
    <w:rsid w:val="00D31065"/>
    <w:rsid w:val="00D31CCA"/>
    <w:rsid w:val="00D32227"/>
    <w:rsid w:val="00D3273C"/>
    <w:rsid w:val="00D33350"/>
    <w:rsid w:val="00D346A8"/>
    <w:rsid w:val="00D35A2C"/>
    <w:rsid w:val="00D3603F"/>
    <w:rsid w:val="00D36D0A"/>
    <w:rsid w:val="00D40662"/>
    <w:rsid w:val="00D40CFA"/>
    <w:rsid w:val="00D41C7D"/>
    <w:rsid w:val="00D42720"/>
    <w:rsid w:val="00D431C3"/>
    <w:rsid w:val="00D46756"/>
    <w:rsid w:val="00D46BE6"/>
    <w:rsid w:val="00D51E22"/>
    <w:rsid w:val="00D54409"/>
    <w:rsid w:val="00D55086"/>
    <w:rsid w:val="00D57BA6"/>
    <w:rsid w:val="00D604CD"/>
    <w:rsid w:val="00D60601"/>
    <w:rsid w:val="00D60FDC"/>
    <w:rsid w:val="00D63F90"/>
    <w:rsid w:val="00D64FBA"/>
    <w:rsid w:val="00D65DB1"/>
    <w:rsid w:val="00D65E4B"/>
    <w:rsid w:val="00D66EC5"/>
    <w:rsid w:val="00D67634"/>
    <w:rsid w:val="00D70814"/>
    <w:rsid w:val="00D70C40"/>
    <w:rsid w:val="00D71041"/>
    <w:rsid w:val="00D715FE"/>
    <w:rsid w:val="00D718AD"/>
    <w:rsid w:val="00D72210"/>
    <w:rsid w:val="00D72883"/>
    <w:rsid w:val="00D73FD9"/>
    <w:rsid w:val="00D7727B"/>
    <w:rsid w:val="00D77685"/>
    <w:rsid w:val="00D804D7"/>
    <w:rsid w:val="00D80636"/>
    <w:rsid w:val="00D83BF5"/>
    <w:rsid w:val="00D83E61"/>
    <w:rsid w:val="00D85B98"/>
    <w:rsid w:val="00D86336"/>
    <w:rsid w:val="00D867EB"/>
    <w:rsid w:val="00D9108E"/>
    <w:rsid w:val="00D91BF2"/>
    <w:rsid w:val="00D9200B"/>
    <w:rsid w:val="00D9233E"/>
    <w:rsid w:val="00D92A0C"/>
    <w:rsid w:val="00D93092"/>
    <w:rsid w:val="00D93E50"/>
    <w:rsid w:val="00D9428D"/>
    <w:rsid w:val="00D942BF"/>
    <w:rsid w:val="00D94464"/>
    <w:rsid w:val="00D94DAC"/>
    <w:rsid w:val="00D964C1"/>
    <w:rsid w:val="00D974AF"/>
    <w:rsid w:val="00DA180F"/>
    <w:rsid w:val="00DA19CF"/>
    <w:rsid w:val="00DA2C43"/>
    <w:rsid w:val="00DA4634"/>
    <w:rsid w:val="00DA5DE8"/>
    <w:rsid w:val="00DA7EF2"/>
    <w:rsid w:val="00DB098B"/>
    <w:rsid w:val="00DB27E8"/>
    <w:rsid w:val="00DB2F71"/>
    <w:rsid w:val="00DB395C"/>
    <w:rsid w:val="00DB3B4D"/>
    <w:rsid w:val="00DB4534"/>
    <w:rsid w:val="00DB5147"/>
    <w:rsid w:val="00DB58EF"/>
    <w:rsid w:val="00DC01A3"/>
    <w:rsid w:val="00DC0638"/>
    <w:rsid w:val="00DC0946"/>
    <w:rsid w:val="00DC27B8"/>
    <w:rsid w:val="00DC28D7"/>
    <w:rsid w:val="00DC2ED8"/>
    <w:rsid w:val="00DC3D56"/>
    <w:rsid w:val="00DC3F7E"/>
    <w:rsid w:val="00DC4B16"/>
    <w:rsid w:val="00DC5043"/>
    <w:rsid w:val="00DC5EE1"/>
    <w:rsid w:val="00DC6304"/>
    <w:rsid w:val="00DC6A25"/>
    <w:rsid w:val="00DC72A5"/>
    <w:rsid w:val="00DC7819"/>
    <w:rsid w:val="00DD0443"/>
    <w:rsid w:val="00DD04AC"/>
    <w:rsid w:val="00DD1B48"/>
    <w:rsid w:val="00DD3B1E"/>
    <w:rsid w:val="00DD4D35"/>
    <w:rsid w:val="00DD7EF8"/>
    <w:rsid w:val="00DE09FA"/>
    <w:rsid w:val="00DE28D2"/>
    <w:rsid w:val="00DE3346"/>
    <w:rsid w:val="00DE4069"/>
    <w:rsid w:val="00DE4375"/>
    <w:rsid w:val="00DE45A8"/>
    <w:rsid w:val="00DE576E"/>
    <w:rsid w:val="00DE6117"/>
    <w:rsid w:val="00DE646A"/>
    <w:rsid w:val="00DE70E1"/>
    <w:rsid w:val="00DE7328"/>
    <w:rsid w:val="00DF01DE"/>
    <w:rsid w:val="00DF1B67"/>
    <w:rsid w:val="00DF1CB6"/>
    <w:rsid w:val="00DF32A0"/>
    <w:rsid w:val="00DF475A"/>
    <w:rsid w:val="00DF54F3"/>
    <w:rsid w:val="00DF5DE4"/>
    <w:rsid w:val="00DF5DF0"/>
    <w:rsid w:val="00DF5EDE"/>
    <w:rsid w:val="00DF6280"/>
    <w:rsid w:val="00E00264"/>
    <w:rsid w:val="00E00D18"/>
    <w:rsid w:val="00E01D20"/>
    <w:rsid w:val="00E02F4A"/>
    <w:rsid w:val="00E034F3"/>
    <w:rsid w:val="00E0420B"/>
    <w:rsid w:val="00E0499B"/>
    <w:rsid w:val="00E05531"/>
    <w:rsid w:val="00E10545"/>
    <w:rsid w:val="00E10681"/>
    <w:rsid w:val="00E10DBB"/>
    <w:rsid w:val="00E121F6"/>
    <w:rsid w:val="00E12AEF"/>
    <w:rsid w:val="00E13AD2"/>
    <w:rsid w:val="00E14173"/>
    <w:rsid w:val="00E155A4"/>
    <w:rsid w:val="00E20A43"/>
    <w:rsid w:val="00E20D44"/>
    <w:rsid w:val="00E2327D"/>
    <w:rsid w:val="00E23D89"/>
    <w:rsid w:val="00E267CD"/>
    <w:rsid w:val="00E312A0"/>
    <w:rsid w:val="00E31A7B"/>
    <w:rsid w:val="00E32050"/>
    <w:rsid w:val="00E33CF1"/>
    <w:rsid w:val="00E36701"/>
    <w:rsid w:val="00E37C66"/>
    <w:rsid w:val="00E417CC"/>
    <w:rsid w:val="00E44D91"/>
    <w:rsid w:val="00E46636"/>
    <w:rsid w:val="00E50C99"/>
    <w:rsid w:val="00E50CF2"/>
    <w:rsid w:val="00E50DEE"/>
    <w:rsid w:val="00E51C9C"/>
    <w:rsid w:val="00E537BB"/>
    <w:rsid w:val="00E55C98"/>
    <w:rsid w:val="00E56EB3"/>
    <w:rsid w:val="00E56ED6"/>
    <w:rsid w:val="00E57CC7"/>
    <w:rsid w:val="00E61745"/>
    <w:rsid w:val="00E62D7B"/>
    <w:rsid w:val="00E63E15"/>
    <w:rsid w:val="00E64EDD"/>
    <w:rsid w:val="00E668B9"/>
    <w:rsid w:val="00E678E6"/>
    <w:rsid w:val="00E718EC"/>
    <w:rsid w:val="00E7281C"/>
    <w:rsid w:val="00E743CF"/>
    <w:rsid w:val="00E7533E"/>
    <w:rsid w:val="00E75A61"/>
    <w:rsid w:val="00E75E6E"/>
    <w:rsid w:val="00E7642C"/>
    <w:rsid w:val="00E76D8C"/>
    <w:rsid w:val="00E77217"/>
    <w:rsid w:val="00E77C04"/>
    <w:rsid w:val="00E805D1"/>
    <w:rsid w:val="00E80FEA"/>
    <w:rsid w:val="00E81890"/>
    <w:rsid w:val="00E82B0D"/>
    <w:rsid w:val="00E83D7C"/>
    <w:rsid w:val="00E84EA7"/>
    <w:rsid w:val="00E861DC"/>
    <w:rsid w:val="00E87541"/>
    <w:rsid w:val="00E87808"/>
    <w:rsid w:val="00E8796B"/>
    <w:rsid w:val="00E90AF5"/>
    <w:rsid w:val="00E924A7"/>
    <w:rsid w:val="00E92657"/>
    <w:rsid w:val="00E93416"/>
    <w:rsid w:val="00E94192"/>
    <w:rsid w:val="00E966DF"/>
    <w:rsid w:val="00E97468"/>
    <w:rsid w:val="00EA0E46"/>
    <w:rsid w:val="00EA2DF2"/>
    <w:rsid w:val="00EA3169"/>
    <w:rsid w:val="00EA35B9"/>
    <w:rsid w:val="00EA4895"/>
    <w:rsid w:val="00EA664B"/>
    <w:rsid w:val="00EA6714"/>
    <w:rsid w:val="00EB0001"/>
    <w:rsid w:val="00EB032F"/>
    <w:rsid w:val="00EB049B"/>
    <w:rsid w:val="00EB0D67"/>
    <w:rsid w:val="00EB29C4"/>
    <w:rsid w:val="00EB3161"/>
    <w:rsid w:val="00EB4721"/>
    <w:rsid w:val="00EB51CC"/>
    <w:rsid w:val="00EB6F50"/>
    <w:rsid w:val="00EC1A64"/>
    <w:rsid w:val="00EC33BC"/>
    <w:rsid w:val="00EC67A1"/>
    <w:rsid w:val="00ED001C"/>
    <w:rsid w:val="00ED274A"/>
    <w:rsid w:val="00ED41A4"/>
    <w:rsid w:val="00ED4322"/>
    <w:rsid w:val="00ED6957"/>
    <w:rsid w:val="00ED6AE7"/>
    <w:rsid w:val="00ED71B4"/>
    <w:rsid w:val="00EE02C6"/>
    <w:rsid w:val="00EE1C8E"/>
    <w:rsid w:val="00EE2284"/>
    <w:rsid w:val="00EE26BB"/>
    <w:rsid w:val="00EE301A"/>
    <w:rsid w:val="00EE3C5C"/>
    <w:rsid w:val="00EF3C86"/>
    <w:rsid w:val="00EF3ECD"/>
    <w:rsid w:val="00EF6DCE"/>
    <w:rsid w:val="00EF77D6"/>
    <w:rsid w:val="00F0145D"/>
    <w:rsid w:val="00F03D45"/>
    <w:rsid w:val="00F06F5A"/>
    <w:rsid w:val="00F10495"/>
    <w:rsid w:val="00F10C92"/>
    <w:rsid w:val="00F10EE5"/>
    <w:rsid w:val="00F121B1"/>
    <w:rsid w:val="00F14143"/>
    <w:rsid w:val="00F14FD0"/>
    <w:rsid w:val="00F1545C"/>
    <w:rsid w:val="00F15965"/>
    <w:rsid w:val="00F16483"/>
    <w:rsid w:val="00F168B6"/>
    <w:rsid w:val="00F17B54"/>
    <w:rsid w:val="00F2029C"/>
    <w:rsid w:val="00F20B3F"/>
    <w:rsid w:val="00F23280"/>
    <w:rsid w:val="00F2480C"/>
    <w:rsid w:val="00F25F97"/>
    <w:rsid w:val="00F26BB7"/>
    <w:rsid w:val="00F26E11"/>
    <w:rsid w:val="00F270E6"/>
    <w:rsid w:val="00F275A5"/>
    <w:rsid w:val="00F30783"/>
    <w:rsid w:val="00F35056"/>
    <w:rsid w:val="00F35AE4"/>
    <w:rsid w:val="00F37BF5"/>
    <w:rsid w:val="00F41564"/>
    <w:rsid w:val="00F42DD6"/>
    <w:rsid w:val="00F437C1"/>
    <w:rsid w:val="00F44090"/>
    <w:rsid w:val="00F444E1"/>
    <w:rsid w:val="00F44770"/>
    <w:rsid w:val="00F4662A"/>
    <w:rsid w:val="00F471C5"/>
    <w:rsid w:val="00F47E65"/>
    <w:rsid w:val="00F5110A"/>
    <w:rsid w:val="00F527D7"/>
    <w:rsid w:val="00F527E6"/>
    <w:rsid w:val="00F52B99"/>
    <w:rsid w:val="00F52BB0"/>
    <w:rsid w:val="00F52F20"/>
    <w:rsid w:val="00F5450F"/>
    <w:rsid w:val="00F54ACB"/>
    <w:rsid w:val="00F5600D"/>
    <w:rsid w:val="00F56455"/>
    <w:rsid w:val="00F57229"/>
    <w:rsid w:val="00F6020A"/>
    <w:rsid w:val="00F602AF"/>
    <w:rsid w:val="00F61A05"/>
    <w:rsid w:val="00F61B45"/>
    <w:rsid w:val="00F61F4D"/>
    <w:rsid w:val="00F6565F"/>
    <w:rsid w:val="00F674D1"/>
    <w:rsid w:val="00F717EB"/>
    <w:rsid w:val="00F71BCD"/>
    <w:rsid w:val="00F73A94"/>
    <w:rsid w:val="00F75AEC"/>
    <w:rsid w:val="00F76F1C"/>
    <w:rsid w:val="00F77A0E"/>
    <w:rsid w:val="00F77E1F"/>
    <w:rsid w:val="00F80C02"/>
    <w:rsid w:val="00F80EC2"/>
    <w:rsid w:val="00F817BE"/>
    <w:rsid w:val="00F82954"/>
    <w:rsid w:val="00F8527F"/>
    <w:rsid w:val="00F85C0E"/>
    <w:rsid w:val="00F877AB"/>
    <w:rsid w:val="00F92D7E"/>
    <w:rsid w:val="00F92F38"/>
    <w:rsid w:val="00F93038"/>
    <w:rsid w:val="00F935B9"/>
    <w:rsid w:val="00F93BE6"/>
    <w:rsid w:val="00F94C45"/>
    <w:rsid w:val="00F95142"/>
    <w:rsid w:val="00F9664B"/>
    <w:rsid w:val="00F968FF"/>
    <w:rsid w:val="00F96D44"/>
    <w:rsid w:val="00F96FB6"/>
    <w:rsid w:val="00F972B6"/>
    <w:rsid w:val="00F97BDA"/>
    <w:rsid w:val="00F97F67"/>
    <w:rsid w:val="00FA02B6"/>
    <w:rsid w:val="00FA1241"/>
    <w:rsid w:val="00FA1516"/>
    <w:rsid w:val="00FA1A1A"/>
    <w:rsid w:val="00FA4AE9"/>
    <w:rsid w:val="00FA4D78"/>
    <w:rsid w:val="00FA5AC5"/>
    <w:rsid w:val="00FA6C01"/>
    <w:rsid w:val="00FA7474"/>
    <w:rsid w:val="00FA78B1"/>
    <w:rsid w:val="00FB03B5"/>
    <w:rsid w:val="00FB0DA7"/>
    <w:rsid w:val="00FB39D7"/>
    <w:rsid w:val="00FB48DB"/>
    <w:rsid w:val="00FB4E22"/>
    <w:rsid w:val="00FC173F"/>
    <w:rsid w:val="00FC1B70"/>
    <w:rsid w:val="00FC71EE"/>
    <w:rsid w:val="00FC7337"/>
    <w:rsid w:val="00FC762A"/>
    <w:rsid w:val="00FD49C5"/>
    <w:rsid w:val="00FD506B"/>
    <w:rsid w:val="00FD5247"/>
    <w:rsid w:val="00FD5F91"/>
    <w:rsid w:val="00FD6469"/>
    <w:rsid w:val="00FD6580"/>
    <w:rsid w:val="00FD67E8"/>
    <w:rsid w:val="00FD6B7E"/>
    <w:rsid w:val="00FD71B9"/>
    <w:rsid w:val="00FE4677"/>
    <w:rsid w:val="00FE50E1"/>
    <w:rsid w:val="00FE545D"/>
    <w:rsid w:val="00FE5C1A"/>
    <w:rsid w:val="00FE78EC"/>
    <w:rsid w:val="00FE7AE2"/>
    <w:rsid w:val="00FE7B08"/>
    <w:rsid w:val="00FE7C12"/>
    <w:rsid w:val="00FF0626"/>
    <w:rsid w:val="00FF1766"/>
    <w:rsid w:val="00FF2C12"/>
    <w:rsid w:val="00FF40BD"/>
    <w:rsid w:val="00FF509D"/>
    <w:rsid w:val="00FF55E9"/>
    <w:rsid w:val="00FF569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D9D985E"/>
  <w15:chartTrackingRefBased/>
  <w15:docId w15:val="{C64874A8-856D-4D29-8A05-83EA228FF1A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EE3C5C"/>
    <w:pPr>
      <w:keepNext/>
      <w:keepLines/>
      <w:numPr>
        <w:numId w:val="1"/>
      </w:numPr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EE3C5C"/>
    <w:pPr>
      <w:keepNext/>
      <w:keepLines/>
      <w:numPr>
        <w:ilvl w:val="1"/>
        <w:numId w:val="1"/>
      </w:numPr>
      <w:spacing w:before="40" w:after="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EE3C5C"/>
    <w:pPr>
      <w:keepNext/>
      <w:keepLines/>
      <w:numPr>
        <w:ilvl w:val="2"/>
        <w:numId w:val="1"/>
      </w:numPr>
      <w:spacing w:before="40" w:after="0"/>
      <w:outlineLvl w:val="2"/>
    </w:pPr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rsid w:val="00EE3C5C"/>
    <w:pPr>
      <w:keepNext/>
      <w:keepLines/>
      <w:numPr>
        <w:ilvl w:val="3"/>
        <w:numId w:val="1"/>
      </w:numPr>
      <w:spacing w:before="40" w:after="0"/>
      <w:outlineLvl w:val="3"/>
    </w:pPr>
    <w:rPr>
      <w:rFonts w:asciiTheme="majorHAnsi" w:eastAsiaTheme="majorEastAsia" w:hAnsiTheme="majorHAnsi" w:cstheme="majorBidi"/>
      <w:i/>
      <w:iCs/>
      <w:color w:val="2F5496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EE3C5C"/>
    <w:pPr>
      <w:keepNext/>
      <w:keepLines/>
      <w:numPr>
        <w:ilvl w:val="4"/>
        <w:numId w:val="1"/>
      </w:numPr>
      <w:spacing w:before="40" w:after="0"/>
      <w:outlineLvl w:val="4"/>
    </w:pPr>
    <w:rPr>
      <w:rFonts w:asciiTheme="majorHAnsi" w:eastAsiaTheme="majorEastAsia" w:hAnsiTheme="majorHAnsi" w:cstheme="majorBidi"/>
      <w:color w:val="2F5496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EE3C5C"/>
    <w:pPr>
      <w:keepNext/>
      <w:keepLines/>
      <w:numPr>
        <w:ilvl w:val="5"/>
        <w:numId w:val="1"/>
      </w:numPr>
      <w:spacing w:before="40" w:after="0"/>
      <w:outlineLvl w:val="5"/>
    </w:pPr>
    <w:rPr>
      <w:rFonts w:asciiTheme="majorHAnsi" w:eastAsiaTheme="majorEastAsia" w:hAnsiTheme="majorHAnsi" w:cstheme="majorBidi"/>
      <w:color w:val="1F3763" w:themeColor="accent1" w:themeShade="7F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EE3C5C"/>
    <w:pPr>
      <w:keepNext/>
      <w:keepLines/>
      <w:numPr>
        <w:ilvl w:val="6"/>
        <w:numId w:val="1"/>
      </w:numPr>
      <w:spacing w:before="40" w:after="0"/>
      <w:outlineLvl w:val="6"/>
    </w:pPr>
    <w:rPr>
      <w:rFonts w:asciiTheme="majorHAnsi" w:eastAsiaTheme="majorEastAsia" w:hAnsiTheme="majorHAnsi" w:cstheme="majorBidi"/>
      <w:i/>
      <w:iCs/>
      <w:color w:val="1F3763" w:themeColor="accent1" w:themeShade="7F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EE3C5C"/>
    <w:pPr>
      <w:keepNext/>
      <w:keepLines/>
      <w:numPr>
        <w:ilvl w:val="7"/>
        <w:numId w:val="1"/>
      </w:numPr>
      <w:spacing w:before="40" w:after="0"/>
      <w:outlineLvl w:val="7"/>
    </w:pPr>
    <w:rPr>
      <w:rFonts w:asciiTheme="majorHAnsi" w:eastAsiaTheme="majorEastAsia" w:hAnsiTheme="majorHAnsi" w:cstheme="majorBidi"/>
      <w:color w:val="272727" w:themeColor="text1" w:themeTint="D8"/>
      <w:sz w:val="21"/>
      <w:szCs w:val="21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EE3C5C"/>
    <w:pPr>
      <w:keepNext/>
      <w:keepLines/>
      <w:numPr>
        <w:ilvl w:val="8"/>
        <w:numId w:val="1"/>
      </w:numPr>
      <w:spacing w:before="40" w:after="0"/>
      <w:outlineLvl w:val="8"/>
    </w:pPr>
    <w:rPr>
      <w:rFonts w:asciiTheme="majorHAnsi" w:eastAsiaTheme="majorEastAsia" w:hAnsiTheme="majorHAnsi" w:cstheme="majorBidi"/>
      <w:i/>
      <w:iCs/>
      <w:color w:val="272727" w:themeColor="text1" w:themeTint="D8"/>
      <w:sz w:val="21"/>
      <w:szCs w:val="21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EE3C5C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EE3C5C"/>
    <w:pPr>
      <w:outlineLvl w:val="9"/>
    </w:pPr>
    <w:rPr>
      <w:lang w:val="en-US"/>
    </w:rPr>
  </w:style>
  <w:style w:type="paragraph" w:styleId="Title">
    <w:name w:val="Title"/>
    <w:basedOn w:val="Normal"/>
    <w:next w:val="Normal"/>
    <w:link w:val="TitleChar"/>
    <w:uiPriority w:val="10"/>
    <w:qFormat/>
    <w:rsid w:val="00EE3C5C"/>
    <w:pPr>
      <w:spacing w:after="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EE3C5C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Header">
    <w:name w:val="header"/>
    <w:basedOn w:val="Normal"/>
    <w:link w:val="HeaderChar"/>
    <w:uiPriority w:val="99"/>
    <w:unhideWhenUsed/>
    <w:rsid w:val="00EE3C5C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EE3C5C"/>
  </w:style>
  <w:style w:type="paragraph" w:styleId="Footer">
    <w:name w:val="footer"/>
    <w:basedOn w:val="Normal"/>
    <w:link w:val="FooterChar"/>
    <w:uiPriority w:val="99"/>
    <w:unhideWhenUsed/>
    <w:rsid w:val="00EE3C5C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E3C5C"/>
  </w:style>
  <w:style w:type="character" w:customStyle="1" w:styleId="Heading2Char">
    <w:name w:val="Heading 2 Char"/>
    <w:basedOn w:val="DefaultParagraphFont"/>
    <w:link w:val="Heading2"/>
    <w:uiPriority w:val="9"/>
    <w:rsid w:val="00EE3C5C"/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rsid w:val="00EE3C5C"/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character" w:customStyle="1" w:styleId="Heading4Char">
    <w:name w:val="Heading 4 Char"/>
    <w:basedOn w:val="DefaultParagraphFont"/>
    <w:link w:val="Heading4"/>
    <w:uiPriority w:val="9"/>
    <w:rsid w:val="00EE3C5C"/>
    <w:rPr>
      <w:rFonts w:asciiTheme="majorHAnsi" w:eastAsiaTheme="majorEastAsia" w:hAnsiTheme="majorHAnsi" w:cstheme="majorBidi"/>
      <w:i/>
      <w:iCs/>
      <w:color w:val="2F5496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EE3C5C"/>
    <w:rPr>
      <w:rFonts w:asciiTheme="majorHAnsi" w:eastAsiaTheme="majorEastAsia" w:hAnsiTheme="majorHAnsi" w:cstheme="majorBidi"/>
      <w:color w:val="2F5496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EE3C5C"/>
    <w:rPr>
      <w:rFonts w:asciiTheme="majorHAnsi" w:eastAsiaTheme="majorEastAsia" w:hAnsiTheme="majorHAnsi" w:cstheme="majorBidi"/>
      <w:color w:val="1F3763" w:themeColor="accent1" w:themeShade="7F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EE3C5C"/>
    <w:rPr>
      <w:rFonts w:asciiTheme="majorHAnsi" w:eastAsiaTheme="majorEastAsia" w:hAnsiTheme="majorHAnsi" w:cstheme="majorBidi"/>
      <w:i/>
      <w:iCs/>
      <w:color w:val="1F3763" w:themeColor="accent1" w:themeShade="7F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EE3C5C"/>
    <w:rPr>
      <w:rFonts w:asciiTheme="majorHAnsi" w:eastAsiaTheme="majorEastAsia" w:hAnsiTheme="majorHAnsi" w:cstheme="majorBidi"/>
      <w:color w:val="272727" w:themeColor="text1" w:themeTint="D8"/>
      <w:sz w:val="21"/>
      <w:szCs w:val="21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EE3C5C"/>
    <w:rPr>
      <w:rFonts w:asciiTheme="majorHAnsi" w:eastAsiaTheme="majorEastAsia" w:hAnsiTheme="majorHAnsi" w:cstheme="majorBidi"/>
      <w:i/>
      <w:iCs/>
      <w:color w:val="272727" w:themeColor="text1" w:themeTint="D8"/>
      <w:sz w:val="21"/>
      <w:szCs w:val="21"/>
    </w:rPr>
  </w:style>
  <w:style w:type="paragraph" w:styleId="TOC1">
    <w:name w:val="toc 1"/>
    <w:basedOn w:val="Normal"/>
    <w:next w:val="Normal"/>
    <w:autoRedefine/>
    <w:uiPriority w:val="39"/>
    <w:unhideWhenUsed/>
    <w:rsid w:val="00A964D1"/>
    <w:pPr>
      <w:spacing w:after="100"/>
    </w:pPr>
  </w:style>
  <w:style w:type="paragraph" w:styleId="TOC2">
    <w:name w:val="toc 2"/>
    <w:basedOn w:val="Normal"/>
    <w:next w:val="Normal"/>
    <w:autoRedefine/>
    <w:uiPriority w:val="39"/>
    <w:unhideWhenUsed/>
    <w:rsid w:val="00A964D1"/>
    <w:pPr>
      <w:spacing w:after="100"/>
      <w:ind w:left="220"/>
    </w:pPr>
  </w:style>
  <w:style w:type="paragraph" w:styleId="TOC3">
    <w:name w:val="toc 3"/>
    <w:basedOn w:val="Normal"/>
    <w:next w:val="Normal"/>
    <w:autoRedefine/>
    <w:uiPriority w:val="39"/>
    <w:unhideWhenUsed/>
    <w:rsid w:val="00A964D1"/>
    <w:pPr>
      <w:spacing w:after="100"/>
      <w:ind w:left="440"/>
    </w:pPr>
  </w:style>
  <w:style w:type="character" w:styleId="Hyperlink">
    <w:name w:val="Hyperlink"/>
    <w:basedOn w:val="DefaultParagraphFont"/>
    <w:uiPriority w:val="99"/>
    <w:unhideWhenUsed/>
    <w:rsid w:val="00A964D1"/>
    <w:rPr>
      <w:color w:val="0563C1" w:themeColor="hyperlink"/>
      <w:u w:val="single"/>
    </w:rPr>
  </w:style>
  <w:style w:type="paragraph" w:styleId="Caption">
    <w:name w:val="caption"/>
    <w:basedOn w:val="Normal"/>
    <w:next w:val="Normal"/>
    <w:uiPriority w:val="35"/>
    <w:unhideWhenUsed/>
    <w:qFormat/>
    <w:rsid w:val="008705E2"/>
    <w:pPr>
      <w:spacing w:after="200" w:line="240" w:lineRule="auto"/>
    </w:pPr>
    <w:rPr>
      <w:i/>
      <w:iCs/>
      <w:color w:val="44546A" w:themeColor="text2"/>
      <w:sz w:val="18"/>
      <w:szCs w:val="18"/>
    </w:rPr>
  </w:style>
  <w:style w:type="table" w:styleId="TableGrid">
    <w:name w:val="Table Grid"/>
    <w:basedOn w:val="TableNormal"/>
    <w:uiPriority w:val="39"/>
    <w:rsid w:val="008705E2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TableofFigures">
    <w:name w:val="table of figures"/>
    <w:basedOn w:val="Normal"/>
    <w:next w:val="Normal"/>
    <w:uiPriority w:val="99"/>
    <w:unhideWhenUsed/>
    <w:rsid w:val="008705E2"/>
    <w:pPr>
      <w:spacing w:after="0"/>
    </w:pPr>
  </w:style>
  <w:style w:type="paragraph" w:styleId="ListParagraph">
    <w:name w:val="List Paragraph"/>
    <w:basedOn w:val="Normal"/>
    <w:uiPriority w:val="34"/>
    <w:qFormat/>
    <w:rsid w:val="008705E2"/>
    <w:pPr>
      <w:ind w:left="720"/>
      <w:contextualSpacing/>
    </w:pPr>
  </w:style>
  <w:style w:type="paragraph" w:customStyle="1" w:styleId="append">
    <w:name w:val="append"/>
    <w:basedOn w:val="Heading1"/>
    <w:qFormat/>
    <w:rsid w:val="00745258"/>
  </w:style>
  <w:style w:type="character" w:styleId="PlaceholderText">
    <w:name w:val="Placeholder Text"/>
    <w:basedOn w:val="DefaultParagraphFont"/>
    <w:uiPriority w:val="99"/>
    <w:semiHidden/>
    <w:rsid w:val="00A4047C"/>
    <w:rPr>
      <w:color w:val="808080"/>
    </w:rPr>
  </w:style>
  <w:style w:type="character" w:styleId="UnresolvedMention">
    <w:name w:val="Unresolved Mention"/>
    <w:basedOn w:val="DefaultParagraphFont"/>
    <w:uiPriority w:val="99"/>
    <w:semiHidden/>
    <w:unhideWhenUsed/>
    <w:rsid w:val="001F0F96"/>
    <w:rPr>
      <w:color w:val="605E5C"/>
      <w:shd w:val="clear" w:color="auto" w:fill="E1DFDD"/>
    </w:rPr>
  </w:style>
  <w:style w:type="character" w:styleId="CommentReference">
    <w:name w:val="annotation reference"/>
    <w:basedOn w:val="DefaultParagraphFont"/>
    <w:uiPriority w:val="99"/>
    <w:semiHidden/>
    <w:unhideWhenUsed/>
    <w:rsid w:val="007E5861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unhideWhenUsed/>
    <w:rsid w:val="007E5861"/>
    <w:pPr>
      <w:spacing w:line="240" w:lineRule="auto"/>
    </w:pPr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rsid w:val="007E5861"/>
    <w:rPr>
      <w:sz w:val="20"/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7E5861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7E5861"/>
    <w:rPr>
      <w:b/>
      <w:bCs/>
      <w:sz w:val="20"/>
      <w:szCs w:val="20"/>
    </w:rPr>
  </w:style>
  <w:style w:type="paragraph" w:customStyle="1" w:styleId="pf0">
    <w:name w:val="pf0"/>
    <w:basedOn w:val="Normal"/>
    <w:rsid w:val="004361A8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customStyle="1" w:styleId="cf01">
    <w:name w:val="cf01"/>
    <w:basedOn w:val="DefaultParagraphFont"/>
    <w:rsid w:val="004361A8"/>
    <w:rPr>
      <w:rFonts w:ascii="Segoe UI" w:hAnsi="Segoe UI" w:cs="Segoe UI" w:hint="default"/>
      <w:sz w:val="18"/>
      <w:szCs w:val="18"/>
    </w:rPr>
  </w:style>
  <w:style w:type="paragraph" w:styleId="Revision">
    <w:name w:val="Revision"/>
    <w:hidden/>
    <w:uiPriority w:val="99"/>
    <w:semiHidden/>
    <w:rsid w:val="00AF6819"/>
    <w:pPr>
      <w:spacing w:after="0" w:line="240" w:lineRule="auto"/>
    </w:pPr>
  </w:style>
  <w:style w:type="paragraph" w:styleId="NormalWeb">
    <w:name w:val="Normal (Web)"/>
    <w:basedOn w:val="Normal"/>
    <w:uiPriority w:val="99"/>
    <w:unhideWhenUsed/>
    <w:rsid w:val="008B0758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styleId="Emphasis">
    <w:name w:val="Emphasis"/>
    <w:basedOn w:val="DefaultParagraphFont"/>
    <w:uiPriority w:val="20"/>
    <w:qFormat/>
    <w:rsid w:val="005705E0"/>
    <w:rPr>
      <w:i/>
      <w:iCs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2291925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652728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05717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14331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06182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chart" Target="charts/chart10.xml"/><Relationship Id="rId18" Type="http://schemas.openxmlformats.org/officeDocument/2006/relationships/image" Target="media/image3.wmf"/><Relationship Id="rId26" Type="http://schemas.openxmlformats.org/officeDocument/2006/relationships/image" Target="media/image7.png"/><Relationship Id="rId3" Type="http://schemas.openxmlformats.org/officeDocument/2006/relationships/styles" Target="styles.xml"/><Relationship Id="rId21" Type="http://schemas.openxmlformats.org/officeDocument/2006/relationships/image" Target="media/image40.png"/><Relationship Id="rId34" Type="http://schemas.openxmlformats.org/officeDocument/2006/relationships/image" Target="media/image100.png"/><Relationship Id="rId7" Type="http://schemas.openxmlformats.org/officeDocument/2006/relationships/endnotes" Target="endnotes.xml"/><Relationship Id="rId12" Type="http://schemas.openxmlformats.org/officeDocument/2006/relationships/chart" Target="charts/chart1.xml"/><Relationship Id="rId17" Type="http://schemas.openxmlformats.org/officeDocument/2006/relationships/chart" Target="charts/chart30.xml"/><Relationship Id="rId25" Type="http://schemas.openxmlformats.org/officeDocument/2006/relationships/image" Target="media/image60.png"/><Relationship Id="rId33" Type="http://schemas.openxmlformats.org/officeDocument/2006/relationships/image" Target="media/image10.png"/><Relationship Id="rId2" Type="http://schemas.openxmlformats.org/officeDocument/2006/relationships/numbering" Target="numbering.xml"/><Relationship Id="rId16" Type="http://schemas.openxmlformats.org/officeDocument/2006/relationships/chart" Target="charts/chart3.xml"/><Relationship Id="rId20" Type="http://schemas.openxmlformats.org/officeDocument/2006/relationships/image" Target="media/image4.png"/><Relationship Id="rId29" Type="http://schemas.openxmlformats.org/officeDocument/2006/relationships/image" Target="media/image8.png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image" Target="media/image20.png"/><Relationship Id="rId24" Type="http://schemas.openxmlformats.org/officeDocument/2006/relationships/image" Target="media/image6.png"/><Relationship Id="rId32" Type="http://schemas.openxmlformats.org/officeDocument/2006/relationships/image" Target="media/image90.png"/><Relationship Id="rId37" Type="http://schemas.openxmlformats.org/officeDocument/2006/relationships/theme" Target="theme/theme1.xml"/><Relationship Id="rId5" Type="http://schemas.openxmlformats.org/officeDocument/2006/relationships/webSettings" Target="webSettings.xml"/><Relationship Id="rId15" Type="http://schemas.openxmlformats.org/officeDocument/2006/relationships/chart" Target="charts/chart20.xml"/><Relationship Id="rId23" Type="http://schemas.openxmlformats.org/officeDocument/2006/relationships/image" Target="media/image50.png"/><Relationship Id="rId28" Type="http://schemas.openxmlformats.org/officeDocument/2006/relationships/footer" Target="footer1.xml"/><Relationship Id="rId36" Type="http://schemas.openxmlformats.org/officeDocument/2006/relationships/fontTable" Target="fontTable.xml"/><Relationship Id="rId10" Type="http://schemas.openxmlformats.org/officeDocument/2006/relationships/image" Target="media/image2.png"/><Relationship Id="rId19" Type="http://schemas.openxmlformats.org/officeDocument/2006/relationships/image" Target="media/image30.wmf"/><Relationship Id="rId31" Type="http://schemas.openxmlformats.org/officeDocument/2006/relationships/image" Target="media/image9.png"/><Relationship Id="rId4" Type="http://schemas.openxmlformats.org/officeDocument/2006/relationships/settings" Target="settings.xml"/><Relationship Id="rId9" Type="http://schemas.openxmlformats.org/officeDocument/2006/relationships/image" Target="media/image11.png"/><Relationship Id="rId14" Type="http://schemas.openxmlformats.org/officeDocument/2006/relationships/chart" Target="charts/chart2.xml"/><Relationship Id="rId22" Type="http://schemas.openxmlformats.org/officeDocument/2006/relationships/image" Target="media/image5.png"/><Relationship Id="rId27" Type="http://schemas.openxmlformats.org/officeDocument/2006/relationships/image" Target="media/image70.png"/><Relationship Id="rId30" Type="http://schemas.openxmlformats.org/officeDocument/2006/relationships/image" Target="media/image80.png"/><Relationship Id="rId35" Type="http://schemas.openxmlformats.org/officeDocument/2006/relationships/hyperlink" Target="https://doi.org/10.1351/goldbook.C01170" TargetMode="External"/></Relationships>
</file>

<file path=word/charts/_rels/chart1.xml.rels><?xml version="1.0" encoding="UTF-8" standalone="yes"?>
<Relationships xmlns="http://schemas.openxmlformats.org/package/2006/relationships"><Relationship Id="rId3" Type="http://schemas.openxmlformats.org/officeDocument/2006/relationships/oleObject" Target="../embeddings/oleObject1.bin"/><Relationship Id="rId2" Type="http://schemas.microsoft.com/office/2011/relationships/chartColorStyle" Target="colors1.xml"/><Relationship Id="rId1" Type="http://schemas.microsoft.com/office/2011/relationships/chartStyle" Target="style1.xml"/></Relationships>
</file>

<file path=word/charts/_rels/chart2.xml.rels><?xml version="1.0" encoding="UTF-8" standalone="yes"?>
<Relationships xmlns="http://schemas.openxmlformats.org/package/2006/relationships"><Relationship Id="rId3" Type="http://schemas.openxmlformats.org/officeDocument/2006/relationships/oleObject" Target="https://aweuk-my.sharepoint.com/personal/simon_shepherdson_awe_co_uk/Documents/OME/Year%201/Chem/Rate%20of%20reaction%20graphs.xlsx" TargetMode="External"/><Relationship Id="rId2" Type="http://schemas.microsoft.com/office/2011/relationships/chartColorStyle" Target="colors2.xml"/><Relationship Id="rId1" Type="http://schemas.microsoft.com/office/2011/relationships/chartStyle" Target="style2.xml"/></Relationships>
</file>

<file path=word/charts/_rels/chart3.xml.rels><?xml version="1.0" encoding="UTF-8" standalone="yes"?>
<Relationships xmlns="http://schemas.openxmlformats.org/package/2006/relationships"><Relationship Id="rId3" Type="http://schemas.openxmlformats.org/officeDocument/2006/relationships/oleObject" Target="https://aweuk-my.sharepoint.com/personal/simon_shepherdson_awe_co_uk/Documents/OME/Year%201/Chem/Rate%20of%20reaction%20graphs.xlsx" TargetMode="External"/><Relationship Id="rId2" Type="http://schemas.microsoft.com/office/2011/relationships/chartColorStyle" Target="colors3.xml"/><Relationship Id="rId1" Type="http://schemas.microsoft.com/office/2011/relationships/chartStyle" Target="style3.xml"/></Relationships>
</file>

<file path=word/charts/_rels/chart10.xml.rels><?xml version="1.0" encoding="UTF-8" standalone="yes"?>
<Relationships xmlns="http://schemas.openxmlformats.org/package/2006/relationships"><Relationship Id="rId3" Type="http://schemas.openxmlformats.org/officeDocument/2006/relationships/oleObject" Target="../embeddings/oleObject10.bin"/><Relationship Id="rId2" Type="http://schemas.microsoft.com/office/2011/relationships/chartColorStyle" Target="colors10.xml"/><Relationship Id="rId1" Type="http://schemas.microsoft.com/office/2011/relationships/chartStyle" Target="style10.xml"/></Relationships>
</file>

<file path=word/charts/_rels/chart20.xml.rels><?xml version="1.0" encoding="UTF-8" standalone="yes"?>
<Relationships xmlns="http://schemas.openxmlformats.org/package/2006/relationships"><Relationship Id="rId3" Type="http://schemas.openxmlformats.org/officeDocument/2006/relationships/oleObject" Target="https://aweuk-my.sharepoint.com/personal/simon_shepherdson_awe_co_uk/Documents/OME/Year%201/Chem/Rate%20of%20reaction%20graphs.xlsx" TargetMode="External"/><Relationship Id="rId2" Type="http://schemas.microsoft.com/office/2011/relationships/chartColorStyle" Target="colors20.xml"/><Relationship Id="rId1" Type="http://schemas.microsoft.com/office/2011/relationships/chartStyle" Target="style20.xml"/></Relationships>
</file>

<file path=word/charts/_rels/chart30.xml.rels><?xml version="1.0" encoding="UTF-8" standalone="yes"?>
<Relationships xmlns="http://schemas.openxmlformats.org/package/2006/relationships"><Relationship Id="rId3" Type="http://schemas.openxmlformats.org/officeDocument/2006/relationships/oleObject" Target="https://aweuk-my.sharepoint.com/personal/simon_shepherdson_awe_co_uk/Documents/OME/Year%201/Chem/Rate%20of%20reaction%20graphs.xlsx" TargetMode="External"/><Relationship Id="rId2" Type="http://schemas.microsoft.com/office/2011/relationships/chartColorStyle" Target="colors30.xml"/><Relationship Id="rId1" Type="http://schemas.microsoft.com/office/2011/relationships/chartStyle" Target="style30.xml"/></Relationships>
</file>

<file path=word/charts/chart1.xml><?xml version="1.0" encoding="utf-8"?>
<c:chartSpace xmlns:c="http://schemas.openxmlformats.org/drawingml/2006/chart" xmlns:a="http://schemas.openxmlformats.org/drawingml/2006/main" xmlns:r="http://schemas.openxmlformats.org/officeDocument/2006/relationships" xmlns:c16r2="http://schemas.microsoft.com/office/drawing/2015/06/chart">
  <c:date1904 val="0"/>
  <c:lang val="en-US"/>
  <c:roundedCorners val="0"/>
  <mc:AlternateContent xmlns:mc="http://schemas.openxmlformats.org/markup-compatibility/2006">
    <mc:Choice xmlns:c14="http://schemas.microsoft.com/office/drawing/2007/8/2/chart" Requires="c14">
      <c14:style val="102"/>
    </mc:Choice>
    <mc:Fallback>
      <c:style val="2"/>
    </mc:Fallback>
  </mc:AlternateContent>
  <c:chart>
    <c:title>
      <c:tx>
        <c:rich>
          <a:bodyPr rot="0" spcFirstLastPara="1" vertOverflow="ellipsis" vert="horz" wrap="square" anchor="ctr" anchorCtr="1"/>
          <a:lstStyle/>
          <a:p>
            <a:pPr>
              <a:defRPr sz="1400" b="0" i="0" u="none" strike="noStrike" kern="1200" spc="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r>
              <a:rPr lang="en-GB"/>
              <a:t>Experiment</a:t>
            </a:r>
            <a:r>
              <a:rPr lang="en-GB" baseline="0"/>
              <a:t> 1 - Effect of Concentration on Gas Evolution</a:t>
            </a:r>
            <a:endParaRPr lang="en-GB"/>
          </a:p>
        </c:rich>
      </c:tx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1400" b="0" i="0" u="none" strike="noStrike" kern="1200" spc="0" baseline="0">
              <a:solidFill>
                <a:schemeClr val="tx1">
                  <a:lumMod val="65000"/>
                  <a:lumOff val="3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title>
    <c:autoTitleDeleted val="0"/>
    <c:plotArea>
      <c:layout/>
      <c:scatterChart>
        <c:scatterStyle val="lineMarker"/>
        <c:varyColors val="0"/>
        <c:ser>
          <c:idx val="0"/>
          <c:order val="0"/>
          <c:tx>
            <c:v>1.0M HCl Mg Ribbon</c:v>
          </c:tx>
          <c:spPr>
            <a:ln w="19050" cap="rnd">
              <a:solidFill>
                <a:schemeClr val="accent1"/>
              </a:solidFill>
              <a:round/>
            </a:ln>
            <a:effectLst/>
          </c:spPr>
          <c:marker>
            <c:symbol val="circle"/>
            <c:size val="5"/>
            <c:spPr>
              <a:solidFill>
                <a:schemeClr val="accent1"/>
              </a:solidFill>
              <a:ln w="9525">
                <a:solidFill>
                  <a:schemeClr val="accent1"/>
                </a:solidFill>
              </a:ln>
              <a:effectLst/>
            </c:spPr>
          </c:marker>
          <c:xVal>
            <c:numRef>
              <c:f>'[Rate of reaction graphs.xlsx]Sheet1'!$A$6:$A$18</c:f>
              <c:numCache>
                <c:formatCode>General</c:formatCode>
                <c:ptCount val="13"/>
                <c:pt idx="0">
                  <c:v>0</c:v>
                </c:pt>
                <c:pt idx="1">
                  <c:v>10</c:v>
                </c:pt>
                <c:pt idx="2">
                  <c:v>20</c:v>
                </c:pt>
                <c:pt idx="3">
                  <c:v>30</c:v>
                </c:pt>
                <c:pt idx="4">
                  <c:v>40</c:v>
                </c:pt>
                <c:pt idx="5">
                  <c:v>50</c:v>
                </c:pt>
                <c:pt idx="6">
                  <c:v>60</c:v>
                </c:pt>
                <c:pt idx="7">
                  <c:v>75</c:v>
                </c:pt>
                <c:pt idx="8">
                  <c:v>90</c:v>
                </c:pt>
                <c:pt idx="9">
                  <c:v>105</c:v>
                </c:pt>
                <c:pt idx="10">
                  <c:v>120</c:v>
                </c:pt>
                <c:pt idx="11">
                  <c:v>135</c:v>
                </c:pt>
                <c:pt idx="12">
                  <c:v>150</c:v>
                </c:pt>
              </c:numCache>
            </c:numRef>
          </c:xVal>
          <c:yVal>
            <c:numRef>
              <c:f>'[Rate of reaction graphs.xlsx]Sheet1'!$B$6:$B$18</c:f>
              <c:numCache>
                <c:formatCode>General</c:formatCode>
                <c:ptCount val="13"/>
                <c:pt idx="0">
                  <c:v>0</c:v>
                </c:pt>
                <c:pt idx="1">
                  <c:v>7</c:v>
                </c:pt>
                <c:pt idx="2">
                  <c:v>14</c:v>
                </c:pt>
                <c:pt idx="3">
                  <c:v>33</c:v>
                </c:pt>
                <c:pt idx="4">
                  <c:v>45</c:v>
                </c:pt>
                <c:pt idx="5">
                  <c:v>53</c:v>
                </c:pt>
                <c:pt idx="6">
                  <c:v>60</c:v>
                </c:pt>
                <c:pt idx="7">
                  <c:v>66</c:v>
                </c:pt>
                <c:pt idx="8">
                  <c:v>71</c:v>
                </c:pt>
                <c:pt idx="9">
                  <c:v>73</c:v>
                </c:pt>
                <c:pt idx="10">
                  <c:v>73</c:v>
                </c:pt>
                <c:pt idx="11">
                  <c:v>73</c:v>
                </c:pt>
                <c:pt idx="12">
                  <c:v>73</c:v>
                </c:pt>
              </c:numCache>
            </c:numRef>
          </c:yVal>
          <c:smooth val="0"/>
          <c:extLst>
            <c:ext xmlns:c16="http://schemas.microsoft.com/office/drawing/2014/chart" uri="{C3380CC4-5D6E-409C-BE32-E72D297353CC}">
              <c16:uniqueId val="{00000000-334E-480F-B9C3-C8D4263678E3}"/>
            </c:ext>
          </c:extLst>
        </c:ser>
        <c:ser>
          <c:idx val="1"/>
          <c:order val="1"/>
          <c:tx>
            <c:v>1.5M HCl Mg Ribbon</c:v>
          </c:tx>
          <c:spPr>
            <a:ln w="19050" cap="rnd">
              <a:solidFill>
                <a:schemeClr val="accent2"/>
              </a:solidFill>
              <a:round/>
            </a:ln>
            <a:effectLst/>
          </c:spPr>
          <c:marker>
            <c:symbol val="circle"/>
            <c:size val="5"/>
            <c:spPr>
              <a:solidFill>
                <a:schemeClr val="accent2"/>
              </a:solidFill>
              <a:ln w="9525">
                <a:solidFill>
                  <a:schemeClr val="accent2"/>
                </a:solidFill>
              </a:ln>
              <a:effectLst/>
            </c:spPr>
          </c:marker>
          <c:xVal>
            <c:numRef>
              <c:f>'[Rate of reaction graphs.xlsx]Sheet1'!$C$6:$C$18</c:f>
              <c:numCache>
                <c:formatCode>General</c:formatCode>
                <c:ptCount val="13"/>
                <c:pt idx="0">
                  <c:v>0</c:v>
                </c:pt>
                <c:pt idx="1">
                  <c:v>10</c:v>
                </c:pt>
                <c:pt idx="2">
                  <c:v>20</c:v>
                </c:pt>
                <c:pt idx="3">
                  <c:v>30</c:v>
                </c:pt>
                <c:pt idx="4">
                  <c:v>40</c:v>
                </c:pt>
                <c:pt idx="5">
                  <c:v>50</c:v>
                </c:pt>
                <c:pt idx="6">
                  <c:v>60</c:v>
                </c:pt>
                <c:pt idx="7">
                  <c:v>75</c:v>
                </c:pt>
                <c:pt idx="8">
                  <c:v>90</c:v>
                </c:pt>
                <c:pt idx="9">
                  <c:v>105</c:v>
                </c:pt>
                <c:pt idx="10">
                  <c:v>120</c:v>
                </c:pt>
                <c:pt idx="11">
                  <c:v>135</c:v>
                </c:pt>
                <c:pt idx="12">
                  <c:v>150</c:v>
                </c:pt>
              </c:numCache>
            </c:numRef>
          </c:xVal>
          <c:yVal>
            <c:numRef>
              <c:f>'[Rate of reaction graphs.xlsx]Sheet1'!$D$6:$D$16</c:f>
              <c:numCache>
                <c:formatCode>General</c:formatCode>
                <c:ptCount val="11"/>
                <c:pt idx="0">
                  <c:v>0</c:v>
                </c:pt>
                <c:pt idx="1">
                  <c:v>23</c:v>
                </c:pt>
                <c:pt idx="2">
                  <c:v>38</c:v>
                </c:pt>
                <c:pt idx="3">
                  <c:v>46</c:v>
                </c:pt>
                <c:pt idx="4">
                  <c:v>55</c:v>
                </c:pt>
                <c:pt idx="5">
                  <c:v>57</c:v>
                </c:pt>
                <c:pt idx="6">
                  <c:v>57</c:v>
                </c:pt>
                <c:pt idx="7">
                  <c:v>58</c:v>
                </c:pt>
                <c:pt idx="8">
                  <c:v>58</c:v>
                </c:pt>
                <c:pt idx="9">
                  <c:v>59</c:v>
                </c:pt>
                <c:pt idx="10">
                  <c:v>59</c:v>
                </c:pt>
              </c:numCache>
            </c:numRef>
          </c:yVal>
          <c:smooth val="0"/>
          <c:extLst>
            <c:ext xmlns:c16="http://schemas.microsoft.com/office/drawing/2014/chart" uri="{C3380CC4-5D6E-409C-BE32-E72D297353CC}">
              <c16:uniqueId val="{00000001-334E-480F-B9C3-C8D4263678E3}"/>
            </c:ext>
          </c:extLst>
        </c:ser>
        <c:ser>
          <c:idx val="4"/>
          <c:order val="2"/>
          <c:tx>
            <c:v>2.0M HCl Mg Ribbon</c:v>
          </c:tx>
          <c:spPr>
            <a:ln w="19050" cap="rnd">
              <a:solidFill>
                <a:schemeClr val="accent5"/>
              </a:solidFill>
              <a:round/>
            </a:ln>
            <a:effectLst/>
          </c:spPr>
          <c:marker>
            <c:symbol val="circle"/>
            <c:size val="5"/>
            <c:spPr>
              <a:solidFill>
                <a:schemeClr val="accent5"/>
              </a:solidFill>
              <a:ln w="9525">
                <a:solidFill>
                  <a:schemeClr val="accent5"/>
                </a:solidFill>
              </a:ln>
              <a:effectLst/>
            </c:spPr>
          </c:marker>
          <c:xVal>
            <c:numRef>
              <c:f>'[Rate of reaction graphs.xlsx]Sheet1'!$E$6:$E$18</c:f>
              <c:numCache>
                <c:formatCode>General</c:formatCode>
                <c:ptCount val="13"/>
                <c:pt idx="0">
                  <c:v>0</c:v>
                </c:pt>
                <c:pt idx="1">
                  <c:v>10</c:v>
                </c:pt>
                <c:pt idx="2">
                  <c:v>20</c:v>
                </c:pt>
                <c:pt idx="3">
                  <c:v>30</c:v>
                </c:pt>
                <c:pt idx="4">
                  <c:v>40</c:v>
                </c:pt>
                <c:pt idx="5">
                  <c:v>50</c:v>
                </c:pt>
                <c:pt idx="6">
                  <c:v>60</c:v>
                </c:pt>
                <c:pt idx="7">
                  <c:v>75</c:v>
                </c:pt>
                <c:pt idx="8">
                  <c:v>90</c:v>
                </c:pt>
                <c:pt idx="9">
                  <c:v>105</c:v>
                </c:pt>
                <c:pt idx="10">
                  <c:v>120</c:v>
                </c:pt>
                <c:pt idx="11">
                  <c:v>135</c:v>
                </c:pt>
                <c:pt idx="12">
                  <c:v>150</c:v>
                </c:pt>
              </c:numCache>
            </c:numRef>
          </c:xVal>
          <c:yVal>
            <c:numRef>
              <c:f>'[Rate of reaction graphs.xlsx]Sheet1'!$F$6:$F$18</c:f>
              <c:numCache>
                <c:formatCode>General</c:formatCode>
                <c:ptCount val="13"/>
                <c:pt idx="0">
                  <c:v>0</c:v>
                </c:pt>
                <c:pt idx="1">
                  <c:v>37</c:v>
                </c:pt>
                <c:pt idx="2">
                  <c:v>57</c:v>
                </c:pt>
                <c:pt idx="3">
                  <c:v>64</c:v>
                </c:pt>
                <c:pt idx="4">
                  <c:v>68</c:v>
                </c:pt>
                <c:pt idx="5">
                  <c:v>73</c:v>
                </c:pt>
                <c:pt idx="6">
                  <c:v>77</c:v>
                </c:pt>
                <c:pt idx="7">
                  <c:v>81</c:v>
                </c:pt>
                <c:pt idx="8">
                  <c:v>84</c:v>
                </c:pt>
                <c:pt idx="9">
                  <c:v>84</c:v>
                </c:pt>
                <c:pt idx="10">
                  <c:v>84</c:v>
                </c:pt>
              </c:numCache>
            </c:numRef>
          </c:yVal>
          <c:smooth val="0"/>
          <c:extLst>
            <c:ext xmlns:c16="http://schemas.microsoft.com/office/drawing/2014/chart" uri="{C3380CC4-5D6E-409C-BE32-E72D297353CC}">
              <c16:uniqueId val="{00000002-334E-480F-B9C3-C8D4263678E3}"/>
            </c:ext>
          </c:extLst>
        </c:ser>
        <c:dLbls>
          <c:showLegendKey val="0"/>
          <c:showVal val="0"/>
          <c:showCatName val="0"/>
          <c:showSerName val="0"/>
          <c:showPercent val="0"/>
          <c:showBubbleSize val="0"/>
        </c:dLbls>
        <c:axId val="831658504"/>
        <c:axId val="831657784"/>
      </c:scatterChart>
      <c:valAx>
        <c:axId val="831658504"/>
        <c:scaling>
          <c:orientation val="minMax"/>
        </c:scaling>
        <c:delete val="0"/>
        <c:axPos val="b"/>
        <c:majorGridlines>
          <c:spPr>
            <a:ln w="9525" cap="flat" cmpd="sng" algn="ctr">
              <a:solidFill>
                <a:schemeClr val="tx1">
                  <a:lumMod val="15000"/>
                  <a:lumOff val="85000"/>
                </a:schemeClr>
              </a:solidFill>
              <a:round/>
            </a:ln>
            <a:effectLst/>
          </c:spPr>
        </c:majorGridlines>
        <c:title>
          <c:tx>
            <c:rich>
              <a:bodyPr rot="0" spcFirstLastPara="1" vertOverflow="ellipsis" vert="horz" wrap="square" anchor="ctr" anchorCtr="1"/>
              <a:lstStyle/>
              <a:p>
                <a:pPr>
                  <a:defRPr sz="1000" b="0" i="0" u="none" strike="noStrike" kern="1200" baseline="0">
                    <a:solidFill>
                      <a:schemeClr val="tx1">
                        <a:lumMod val="65000"/>
                        <a:lumOff val="35000"/>
                      </a:schemeClr>
                    </a:solidFill>
                    <a:latin typeface="+mn-lt"/>
                    <a:ea typeface="+mn-ea"/>
                    <a:cs typeface="+mn-cs"/>
                  </a:defRPr>
                </a:pPr>
                <a:r>
                  <a:rPr lang="en-GB"/>
                  <a:t>Time</a:t>
                </a:r>
                <a:r>
                  <a:rPr lang="en-GB" baseline="0"/>
                  <a:t> (s)</a:t>
                </a:r>
                <a:endParaRPr lang="en-GB"/>
              </a:p>
            </c:rich>
          </c:tx>
          <c:overlay val="0"/>
          <c:spPr>
            <a:noFill/>
            <a:ln>
              <a:noFill/>
            </a:ln>
            <a:effectLst/>
          </c:spPr>
          <c:txPr>
            <a:bodyPr rot="0" spcFirstLastPara="1" vertOverflow="ellipsis" vert="horz" wrap="square" anchor="ctr" anchorCtr="1"/>
            <a:lstStyle/>
            <a:p>
              <a:pPr>
                <a:defRPr sz="1000" b="0" i="0" u="none" strike="noStrike" kern="1200" baseline="0">
                  <a:solidFill>
                    <a:schemeClr val="tx1">
                      <a:lumMod val="65000"/>
                      <a:lumOff val="35000"/>
                    </a:schemeClr>
                  </a:solidFill>
                  <a:latin typeface="+mn-lt"/>
                  <a:ea typeface="+mn-ea"/>
                  <a:cs typeface="+mn-cs"/>
                </a:defRPr>
              </a:pPr>
              <a:endParaRPr lang="en-US"/>
            </a:p>
          </c:txPr>
        </c:title>
        <c:numFmt formatCode="General" sourceLinked="1"/>
        <c:majorTickMark val="none"/>
        <c:minorTickMark val="none"/>
        <c:tickLblPos val="nextTo"/>
        <c:spPr>
          <a:noFill/>
          <a:ln w="9525" cap="flat" cmpd="sng" algn="ctr">
            <a:solidFill>
              <a:schemeClr val="tx1">
                <a:lumMod val="25000"/>
                <a:lumOff val="75000"/>
              </a:schemeClr>
            </a:solidFill>
            <a:round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831657784"/>
        <c:crosses val="autoZero"/>
        <c:crossBetween val="midCat"/>
      </c:valAx>
      <c:valAx>
        <c:axId val="831657784"/>
        <c:scaling>
          <c:orientation val="minMax"/>
        </c:scaling>
        <c:delete val="0"/>
        <c:axPos val="l"/>
        <c:majorGridlines>
          <c:spPr>
            <a:ln w="9525" cap="flat" cmpd="sng" algn="ctr">
              <a:solidFill>
                <a:schemeClr val="tx1">
                  <a:lumMod val="15000"/>
                  <a:lumOff val="85000"/>
                </a:schemeClr>
              </a:solidFill>
              <a:round/>
            </a:ln>
            <a:effectLst/>
          </c:spPr>
        </c:majorGridlines>
        <c:title>
          <c:tx>
            <c:rich>
              <a:bodyPr rot="-5400000" spcFirstLastPara="1" vertOverflow="ellipsis" vert="horz" wrap="square" anchor="ctr" anchorCtr="1"/>
              <a:lstStyle/>
              <a:p>
                <a:pPr>
                  <a:defRPr sz="1000" b="0" i="0" u="none" strike="noStrike" kern="1200" baseline="0">
                    <a:solidFill>
                      <a:schemeClr val="tx1">
                        <a:lumMod val="65000"/>
                        <a:lumOff val="35000"/>
                      </a:schemeClr>
                    </a:solidFill>
                    <a:latin typeface="+mn-lt"/>
                    <a:ea typeface="+mn-ea"/>
                    <a:cs typeface="+mn-cs"/>
                  </a:defRPr>
                </a:pPr>
                <a:r>
                  <a:rPr lang="en-GB"/>
                  <a:t>Gas</a:t>
                </a:r>
                <a:r>
                  <a:rPr lang="en-GB" baseline="0"/>
                  <a:t> Generation (cm3)</a:t>
                </a:r>
                <a:endParaRPr lang="en-GB"/>
              </a:p>
            </c:rich>
          </c:tx>
          <c:overlay val="0"/>
          <c:spPr>
            <a:noFill/>
            <a:ln>
              <a:noFill/>
            </a:ln>
            <a:effectLst/>
          </c:spPr>
          <c:txPr>
            <a:bodyPr rot="-5400000" spcFirstLastPara="1" vertOverflow="ellipsis" vert="horz" wrap="square" anchor="ctr" anchorCtr="1"/>
            <a:lstStyle/>
            <a:p>
              <a:pPr>
                <a:defRPr sz="1000" b="0" i="0" u="none" strike="noStrike" kern="1200" baseline="0">
                  <a:solidFill>
                    <a:schemeClr val="tx1">
                      <a:lumMod val="65000"/>
                      <a:lumOff val="35000"/>
                    </a:schemeClr>
                  </a:solidFill>
                  <a:latin typeface="+mn-lt"/>
                  <a:ea typeface="+mn-ea"/>
                  <a:cs typeface="+mn-cs"/>
                </a:defRPr>
              </a:pPr>
              <a:endParaRPr lang="en-US"/>
            </a:p>
          </c:txPr>
        </c:title>
        <c:numFmt formatCode="General" sourceLinked="1"/>
        <c:majorTickMark val="none"/>
        <c:minorTickMark val="none"/>
        <c:tickLblPos val="nextTo"/>
        <c:spPr>
          <a:noFill/>
          <a:ln w="9525" cap="flat" cmpd="sng" algn="ctr">
            <a:solidFill>
              <a:schemeClr val="tx1">
                <a:lumMod val="25000"/>
                <a:lumOff val="75000"/>
              </a:schemeClr>
            </a:solidFill>
            <a:round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831658504"/>
        <c:crosses val="autoZero"/>
        <c:crossBetween val="midCat"/>
      </c:valAx>
      <c:spPr>
        <a:noFill/>
        <a:ln>
          <a:noFill/>
        </a:ln>
        <a:effectLst/>
      </c:spPr>
    </c:plotArea>
    <c:legend>
      <c:legendPos val="b"/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900" b="0" i="0" u="none" strike="noStrike" kern="1200" baseline="0">
              <a:solidFill>
                <a:schemeClr val="tx1">
                  <a:lumMod val="65000"/>
                  <a:lumOff val="3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legend>
    <c:plotVisOnly val="1"/>
    <c:dispBlanksAs val="gap"/>
    <c:extLst>
      <c:ext xmlns:c16r3="http://schemas.microsoft.com/office/drawing/2017/03/chart" uri="{56B9EC1D-385E-4148-901F-78D8002777C0}">
        <c16r3:dataDisplayOptions16>
          <c16r3:dispNaAsBlank val="1"/>
        </c16r3:dataDisplayOptions16>
      </c:ext>
    </c:extLst>
    <c:showDLblsOverMax val="0"/>
  </c:chart>
  <c:spPr>
    <a:solidFill>
      <a:schemeClr val="bg1"/>
    </a:solidFill>
    <a:ln w="9525" cap="flat" cmpd="sng" algn="ctr">
      <a:solidFill>
        <a:schemeClr val="tx1">
          <a:lumMod val="15000"/>
          <a:lumOff val="85000"/>
        </a:schemeClr>
      </a:solidFill>
      <a:round/>
    </a:ln>
    <a:effectLst/>
  </c:spPr>
  <c:txPr>
    <a:bodyPr/>
    <a:lstStyle/>
    <a:p>
      <a:pPr>
        <a:defRPr/>
      </a:pPr>
      <a:endParaRPr lang="en-US"/>
    </a:p>
  </c:txPr>
  <c:externalData r:id="rId3">
    <c:autoUpdate val="0"/>
  </c:externalData>
</c:chartSpace>
</file>

<file path=word/charts/chart2.xml><?xml version="1.0" encoding="utf-8"?>
<c:chartSpace xmlns:c="http://schemas.openxmlformats.org/drawingml/2006/chart" xmlns:a="http://schemas.openxmlformats.org/drawingml/2006/main" xmlns:r="http://schemas.openxmlformats.org/officeDocument/2006/relationships" xmlns:c16r2="http://schemas.microsoft.com/office/drawing/2015/06/chart">
  <c:date1904 val="0"/>
  <c:lang val="en-US"/>
  <c:roundedCorners val="0"/>
  <mc:AlternateContent xmlns:mc="http://schemas.openxmlformats.org/markup-compatibility/2006">
    <mc:Choice xmlns:c14="http://schemas.microsoft.com/office/drawing/2007/8/2/chart" Requires="c14">
      <c14:style val="102"/>
    </mc:Choice>
    <mc:Fallback>
      <c:style val="2"/>
    </mc:Fallback>
  </mc:AlternateContent>
  <c:chart>
    <c:title>
      <c:tx>
        <c:rich>
          <a:bodyPr rot="0" spcFirstLastPara="1" vertOverflow="ellipsis" vert="horz" wrap="square" anchor="ctr" anchorCtr="1"/>
          <a:lstStyle/>
          <a:p>
            <a:pPr>
              <a:defRPr sz="1400" b="0" i="0" u="none" strike="noStrike" kern="1200" spc="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r>
              <a:rPr lang="en-GB" sz="1400" b="0" i="0" u="none" strike="noStrike" kern="1200" spc="0" baseline="0">
                <a:solidFill>
                  <a:sysClr val="windowText" lastClr="000000">
                    <a:lumMod val="65000"/>
                    <a:lumOff val="35000"/>
                  </a:sysClr>
                </a:solidFill>
              </a:rPr>
              <a:t>Experiment 2 - Effect of Temperature on Gas Evolution</a:t>
            </a:r>
          </a:p>
        </c:rich>
      </c:tx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1400" b="0" i="0" u="none" strike="noStrike" kern="1200" spc="0" baseline="0">
              <a:solidFill>
                <a:schemeClr val="tx1">
                  <a:lumMod val="65000"/>
                  <a:lumOff val="3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title>
    <c:autoTitleDeleted val="0"/>
    <c:plotArea>
      <c:layout/>
      <c:scatterChart>
        <c:scatterStyle val="lineMarker"/>
        <c:varyColors val="0"/>
        <c:ser>
          <c:idx val="0"/>
          <c:order val="0"/>
          <c:tx>
            <c:v>T2 = 35C Mg Ribbon</c:v>
          </c:tx>
          <c:spPr>
            <a:ln w="19050" cap="rnd">
              <a:solidFill>
                <a:schemeClr val="accent1"/>
              </a:solidFill>
              <a:round/>
            </a:ln>
            <a:effectLst/>
          </c:spPr>
          <c:marker>
            <c:symbol val="circle"/>
            <c:size val="5"/>
            <c:spPr>
              <a:solidFill>
                <a:schemeClr val="accent1"/>
              </a:solidFill>
              <a:ln w="9525">
                <a:solidFill>
                  <a:schemeClr val="accent1"/>
                </a:solidFill>
              </a:ln>
              <a:effectLst/>
            </c:spPr>
          </c:marker>
          <c:xVal>
            <c:numRef>
              <c:f>'[Rate of reaction graphs.xlsx]Sheet1'!$H$6:$H$39</c:f>
              <c:numCache>
                <c:formatCode>General</c:formatCode>
                <c:ptCount val="34"/>
                <c:pt idx="0">
                  <c:v>0</c:v>
                </c:pt>
                <c:pt idx="1">
                  <c:v>10</c:v>
                </c:pt>
                <c:pt idx="2">
                  <c:v>20</c:v>
                </c:pt>
                <c:pt idx="3">
                  <c:v>30</c:v>
                </c:pt>
                <c:pt idx="4">
                  <c:v>40</c:v>
                </c:pt>
                <c:pt idx="5">
                  <c:v>50</c:v>
                </c:pt>
                <c:pt idx="6">
                  <c:v>60</c:v>
                </c:pt>
                <c:pt idx="7">
                  <c:v>75</c:v>
                </c:pt>
                <c:pt idx="8">
                  <c:v>90</c:v>
                </c:pt>
                <c:pt idx="9">
                  <c:v>105</c:v>
                </c:pt>
                <c:pt idx="10">
                  <c:v>120</c:v>
                </c:pt>
                <c:pt idx="11">
                  <c:v>135</c:v>
                </c:pt>
                <c:pt idx="12">
                  <c:v>150</c:v>
                </c:pt>
                <c:pt idx="13">
                  <c:v>165</c:v>
                </c:pt>
                <c:pt idx="14">
                  <c:v>180</c:v>
                </c:pt>
                <c:pt idx="15">
                  <c:v>195</c:v>
                </c:pt>
                <c:pt idx="16">
                  <c:v>210</c:v>
                </c:pt>
                <c:pt idx="17">
                  <c:v>225</c:v>
                </c:pt>
                <c:pt idx="18">
                  <c:v>240</c:v>
                </c:pt>
                <c:pt idx="19">
                  <c:v>255</c:v>
                </c:pt>
                <c:pt idx="20">
                  <c:v>270</c:v>
                </c:pt>
                <c:pt idx="21">
                  <c:v>285</c:v>
                </c:pt>
                <c:pt idx="22">
                  <c:v>300</c:v>
                </c:pt>
                <c:pt idx="23">
                  <c:v>315</c:v>
                </c:pt>
                <c:pt idx="24">
                  <c:v>330</c:v>
                </c:pt>
                <c:pt idx="25">
                  <c:v>345</c:v>
                </c:pt>
                <c:pt idx="26">
                  <c:v>360</c:v>
                </c:pt>
                <c:pt idx="27">
                  <c:v>375</c:v>
                </c:pt>
                <c:pt idx="28">
                  <c:v>390</c:v>
                </c:pt>
                <c:pt idx="29">
                  <c:v>405</c:v>
                </c:pt>
                <c:pt idx="30">
                  <c:v>420</c:v>
                </c:pt>
                <c:pt idx="31">
                  <c:v>435</c:v>
                </c:pt>
                <c:pt idx="32">
                  <c:v>450</c:v>
                </c:pt>
                <c:pt idx="33">
                  <c:v>465</c:v>
                </c:pt>
              </c:numCache>
            </c:numRef>
          </c:xVal>
          <c:yVal>
            <c:numRef>
              <c:f>'[Rate of reaction graphs.xlsx]Sheet1'!$I$6:$I$39</c:f>
              <c:numCache>
                <c:formatCode>General</c:formatCode>
                <c:ptCount val="34"/>
                <c:pt idx="0">
                  <c:v>0</c:v>
                </c:pt>
                <c:pt idx="2">
                  <c:v>8</c:v>
                </c:pt>
                <c:pt idx="3">
                  <c:v>14</c:v>
                </c:pt>
                <c:pt idx="4">
                  <c:v>17</c:v>
                </c:pt>
                <c:pt idx="5">
                  <c:v>22</c:v>
                </c:pt>
                <c:pt idx="6">
                  <c:v>25</c:v>
                </c:pt>
                <c:pt idx="7">
                  <c:v>30</c:v>
                </c:pt>
                <c:pt idx="8">
                  <c:v>35</c:v>
                </c:pt>
                <c:pt idx="9">
                  <c:v>39</c:v>
                </c:pt>
                <c:pt idx="10">
                  <c:v>43</c:v>
                </c:pt>
                <c:pt idx="11">
                  <c:v>47</c:v>
                </c:pt>
                <c:pt idx="12">
                  <c:v>50</c:v>
                </c:pt>
                <c:pt idx="13">
                  <c:v>53</c:v>
                </c:pt>
                <c:pt idx="14">
                  <c:v>55</c:v>
                </c:pt>
                <c:pt idx="15">
                  <c:v>58</c:v>
                </c:pt>
                <c:pt idx="16">
                  <c:v>60</c:v>
                </c:pt>
                <c:pt idx="17">
                  <c:v>62</c:v>
                </c:pt>
                <c:pt idx="18">
                  <c:v>64</c:v>
                </c:pt>
                <c:pt idx="19">
                  <c:v>66</c:v>
                </c:pt>
                <c:pt idx="20">
                  <c:v>68</c:v>
                </c:pt>
                <c:pt idx="21">
                  <c:v>70</c:v>
                </c:pt>
                <c:pt idx="22">
                  <c:v>71</c:v>
                </c:pt>
                <c:pt idx="23">
                  <c:v>73</c:v>
                </c:pt>
                <c:pt idx="24">
                  <c:v>74</c:v>
                </c:pt>
                <c:pt idx="25">
                  <c:v>75</c:v>
                </c:pt>
                <c:pt idx="26">
                  <c:v>76</c:v>
                </c:pt>
                <c:pt idx="27">
                  <c:v>77</c:v>
                </c:pt>
                <c:pt idx="28">
                  <c:v>79</c:v>
                </c:pt>
                <c:pt idx="29">
                  <c:v>79</c:v>
                </c:pt>
                <c:pt idx="30">
                  <c:v>79</c:v>
                </c:pt>
                <c:pt idx="31">
                  <c:v>79</c:v>
                </c:pt>
                <c:pt idx="32">
                  <c:v>79</c:v>
                </c:pt>
                <c:pt idx="33">
                  <c:v>80</c:v>
                </c:pt>
              </c:numCache>
            </c:numRef>
          </c:yVal>
          <c:smooth val="0"/>
          <c:extLst>
            <c:ext xmlns:c16="http://schemas.microsoft.com/office/drawing/2014/chart" uri="{C3380CC4-5D6E-409C-BE32-E72D297353CC}">
              <c16:uniqueId val="{00000000-2B93-4D99-8667-A5B8B262FC56}"/>
            </c:ext>
          </c:extLst>
        </c:ser>
        <c:ser>
          <c:idx val="1"/>
          <c:order val="1"/>
          <c:tx>
            <c:v>T3 = 45C Mg Ribbon</c:v>
          </c:tx>
          <c:spPr>
            <a:ln w="19050" cap="rnd">
              <a:solidFill>
                <a:schemeClr val="accent2"/>
              </a:solidFill>
              <a:round/>
            </a:ln>
            <a:effectLst/>
          </c:spPr>
          <c:marker>
            <c:symbol val="circle"/>
            <c:size val="5"/>
            <c:spPr>
              <a:solidFill>
                <a:schemeClr val="accent2"/>
              </a:solidFill>
              <a:ln w="9525">
                <a:solidFill>
                  <a:schemeClr val="accent2"/>
                </a:solidFill>
              </a:ln>
              <a:effectLst/>
            </c:spPr>
          </c:marker>
          <c:xVal>
            <c:numRef>
              <c:f>'[Rate of reaction graphs.xlsx]Sheet1'!$J$6:$J$36</c:f>
              <c:numCache>
                <c:formatCode>General</c:formatCode>
                <c:ptCount val="31"/>
                <c:pt idx="0">
                  <c:v>0</c:v>
                </c:pt>
                <c:pt idx="1">
                  <c:v>10</c:v>
                </c:pt>
                <c:pt idx="2">
                  <c:v>20</c:v>
                </c:pt>
                <c:pt idx="3">
                  <c:v>30</c:v>
                </c:pt>
                <c:pt idx="4">
                  <c:v>40</c:v>
                </c:pt>
                <c:pt idx="5">
                  <c:v>50</c:v>
                </c:pt>
                <c:pt idx="6">
                  <c:v>60</c:v>
                </c:pt>
                <c:pt idx="7">
                  <c:v>75</c:v>
                </c:pt>
                <c:pt idx="8">
                  <c:v>90</c:v>
                </c:pt>
                <c:pt idx="9">
                  <c:v>105</c:v>
                </c:pt>
                <c:pt idx="10">
                  <c:v>120</c:v>
                </c:pt>
                <c:pt idx="11">
                  <c:v>135</c:v>
                </c:pt>
                <c:pt idx="12">
                  <c:v>150</c:v>
                </c:pt>
                <c:pt idx="13">
                  <c:v>165</c:v>
                </c:pt>
                <c:pt idx="14">
                  <c:v>180</c:v>
                </c:pt>
                <c:pt idx="15">
                  <c:v>195</c:v>
                </c:pt>
                <c:pt idx="16">
                  <c:v>210</c:v>
                </c:pt>
                <c:pt idx="17">
                  <c:v>225</c:v>
                </c:pt>
                <c:pt idx="18">
                  <c:v>240</c:v>
                </c:pt>
                <c:pt idx="19">
                  <c:v>255</c:v>
                </c:pt>
                <c:pt idx="20">
                  <c:v>270</c:v>
                </c:pt>
                <c:pt idx="21">
                  <c:v>285</c:v>
                </c:pt>
                <c:pt idx="22">
                  <c:v>300</c:v>
                </c:pt>
                <c:pt idx="23">
                  <c:v>315</c:v>
                </c:pt>
                <c:pt idx="24">
                  <c:v>330</c:v>
                </c:pt>
                <c:pt idx="25">
                  <c:v>345</c:v>
                </c:pt>
                <c:pt idx="26">
                  <c:v>360</c:v>
                </c:pt>
                <c:pt idx="27">
                  <c:v>375</c:v>
                </c:pt>
                <c:pt idx="28">
                  <c:v>390</c:v>
                </c:pt>
                <c:pt idx="29">
                  <c:v>405</c:v>
                </c:pt>
                <c:pt idx="30">
                  <c:v>420</c:v>
                </c:pt>
              </c:numCache>
            </c:numRef>
          </c:xVal>
          <c:yVal>
            <c:numRef>
              <c:f>'[Rate of reaction graphs.xlsx]Sheet1'!$K$6:$K$36</c:f>
              <c:numCache>
                <c:formatCode>General</c:formatCode>
                <c:ptCount val="31"/>
                <c:pt idx="0">
                  <c:v>0</c:v>
                </c:pt>
                <c:pt idx="1">
                  <c:v>9</c:v>
                </c:pt>
                <c:pt idx="2">
                  <c:v>19</c:v>
                </c:pt>
                <c:pt idx="3">
                  <c:v>25</c:v>
                </c:pt>
                <c:pt idx="4">
                  <c:v>31</c:v>
                </c:pt>
                <c:pt idx="5">
                  <c:v>35</c:v>
                </c:pt>
                <c:pt idx="6">
                  <c:v>40</c:v>
                </c:pt>
                <c:pt idx="7">
                  <c:v>45</c:v>
                </c:pt>
                <c:pt idx="8">
                  <c:v>49</c:v>
                </c:pt>
                <c:pt idx="9">
                  <c:v>53</c:v>
                </c:pt>
                <c:pt idx="10">
                  <c:v>56</c:v>
                </c:pt>
                <c:pt idx="11">
                  <c:v>60</c:v>
                </c:pt>
                <c:pt idx="12">
                  <c:v>62</c:v>
                </c:pt>
                <c:pt idx="13">
                  <c:v>65</c:v>
                </c:pt>
                <c:pt idx="14">
                  <c:v>68</c:v>
                </c:pt>
                <c:pt idx="15">
                  <c:v>70</c:v>
                </c:pt>
                <c:pt idx="16">
                  <c:v>73</c:v>
                </c:pt>
                <c:pt idx="17">
                  <c:v>75</c:v>
                </c:pt>
                <c:pt idx="18">
                  <c:v>76</c:v>
                </c:pt>
                <c:pt idx="19">
                  <c:v>78</c:v>
                </c:pt>
                <c:pt idx="20">
                  <c:v>80</c:v>
                </c:pt>
                <c:pt idx="21">
                  <c:v>81</c:v>
                </c:pt>
                <c:pt idx="22">
                  <c:v>83</c:v>
                </c:pt>
                <c:pt idx="23">
                  <c:v>83.5</c:v>
                </c:pt>
                <c:pt idx="24">
                  <c:v>84</c:v>
                </c:pt>
                <c:pt idx="25">
                  <c:v>84</c:v>
                </c:pt>
                <c:pt idx="26">
                  <c:v>85</c:v>
                </c:pt>
                <c:pt idx="27">
                  <c:v>85</c:v>
                </c:pt>
                <c:pt idx="28">
                  <c:v>85</c:v>
                </c:pt>
                <c:pt idx="29">
                  <c:v>85</c:v>
                </c:pt>
                <c:pt idx="30">
                  <c:v>85</c:v>
                </c:pt>
              </c:numCache>
            </c:numRef>
          </c:yVal>
          <c:smooth val="0"/>
          <c:extLst>
            <c:ext xmlns:c16="http://schemas.microsoft.com/office/drawing/2014/chart" uri="{C3380CC4-5D6E-409C-BE32-E72D297353CC}">
              <c16:uniqueId val="{00000001-2B93-4D99-8667-A5B8B262FC56}"/>
            </c:ext>
          </c:extLst>
        </c:ser>
        <c:ser>
          <c:idx val="2"/>
          <c:order val="2"/>
          <c:tx>
            <c:v>T3 = 55C Mg Ribbon</c:v>
          </c:tx>
          <c:spPr>
            <a:ln w="19050" cap="rnd">
              <a:solidFill>
                <a:schemeClr val="accent3"/>
              </a:solidFill>
              <a:round/>
            </a:ln>
            <a:effectLst/>
          </c:spPr>
          <c:marker>
            <c:symbol val="circle"/>
            <c:size val="5"/>
            <c:spPr>
              <a:solidFill>
                <a:schemeClr val="accent3"/>
              </a:solidFill>
              <a:ln w="9525">
                <a:solidFill>
                  <a:schemeClr val="accent3"/>
                </a:solidFill>
              </a:ln>
              <a:effectLst/>
            </c:spPr>
          </c:marker>
          <c:xVal>
            <c:numRef>
              <c:f>'[Rate of reaction graphs.xlsx]Sheet1'!$L$6:$L$29</c:f>
              <c:numCache>
                <c:formatCode>General</c:formatCode>
                <c:ptCount val="24"/>
                <c:pt idx="0">
                  <c:v>0</c:v>
                </c:pt>
                <c:pt idx="1">
                  <c:v>10</c:v>
                </c:pt>
                <c:pt idx="2">
                  <c:v>20</c:v>
                </c:pt>
                <c:pt idx="3">
                  <c:v>30</c:v>
                </c:pt>
                <c:pt idx="4">
                  <c:v>40</c:v>
                </c:pt>
                <c:pt idx="5">
                  <c:v>50</c:v>
                </c:pt>
                <c:pt idx="6">
                  <c:v>60</c:v>
                </c:pt>
                <c:pt idx="7">
                  <c:v>75</c:v>
                </c:pt>
                <c:pt idx="8">
                  <c:v>90</c:v>
                </c:pt>
                <c:pt idx="9">
                  <c:v>105</c:v>
                </c:pt>
                <c:pt idx="10">
                  <c:v>120</c:v>
                </c:pt>
                <c:pt idx="11">
                  <c:v>135</c:v>
                </c:pt>
                <c:pt idx="12">
                  <c:v>150</c:v>
                </c:pt>
                <c:pt idx="13">
                  <c:v>165</c:v>
                </c:pt>
                <c:pt idx="14">
                  <c:v>180</c:v>
                </c:pt>
                <c:pt idx="15">
                  <c:v>195</c:v>
                </c:pt>
                <c:pt idx="16">
                  <c:v>210</c:v>
                </c:pt>
                <c:pt idx="17">
                  <c:v>225</c:v>
                </c:pt>
                <c:pt idx="18">
                  <c:v>240</c:v>
                </c:pt>
                <c:pt idx="19">
                  <c:v>255</c:v>
                </c:pt>
                <c:pt idx="20">
                  <c:v>270</c:v>
                </c:pt>
                <c:pt idx="21">
                  <c:v>285</c:v>
                </c:pt>
                <c:pt idx="22">
                  <c:v>300</c:v>
                </c:pt>
                <c:pt idx="23">
                  <c:v>315</c:v>
                </c:pt>
              </c:numCache>
            </c:numRef>
          </c:xVal>
          <c:yVal>
            <c:numRef>
              <c:f>'[Rate of reaction graphs.xlsx]Sheet1'!$M$6:$M$29</c:f>
              <c:numCache>
                <c:formatCode>General</c:formatCode>
                <c:ptCount val="24"/>
                <c:pt idx="0">
                  <c:v>0</c:v>
                </c:pt>
                <c:pt idx="1">
                  <c:v>13</c:v>
                </c:pt>
                <c:pt idx="2">
                  <c:v>22</c:v>
                </c:pt>
                <c:pt idx="3">
                  <c:v>30</c:v>
                </c:pt>
                <c:pt idx="4">
                  <c:v>35</c:v>
                </c:pt>
                <c:pt idx="5">
                  <c:v>40</c:v>
                </c:pt>
                <c:pt idx="6">
                  <c:v>45</c:v>
                </c:pt>
                <c:pt idx="7">
                  <c:v>50</c:v>
                </c:pt>
                <c:pt idx="8">
                  <c:v>54</c:v>
                </c:pt>
                <c:pt idx="9">
                  <c:v>58</c:v>
                </c:pt>
                <c:pt idx="10">
                  <c:v>62</c:v>
                </c:pt>
                <c:pt idx="11">
                  <c:v>65</c:v>
                </c:pt>
                <c:pt idx="12">
                  <c:v>67</c:v>
                </c:pt>
                <c:pt idx="13">
                  <c:v>70</c:v>
                </c:pt>
                <c:pt idx="14">
                  <c:v>72</c:v>
                </c:pt>
                <c:pt idx="15">
                  <c:v>75</c:v>
                </c:pt>
                <c:pt idx="16">
                  <c:v>77</c:v>
                </c:pt>
                <c:pt idx="17">
                  <c:v>78</c:v>
                </c:pt>
                <c:pt idx="18">
                  <c:v>80</c:v>
                </c:pt>
                <c:pt idx="19">
                  <c:v>80</c:v>
                </c:pt>
                <c:pt idx="20">
                  <c:v>82</c:v>
                </c:pt>
                <c:pt idx="21">
                  <c:v>82</c:v>
                </c:pt>
                <c:pt idx="22">
                  <c:v>82</c:v>
                </c:pt>
                <c:pt idx="23">
                  <c:v>82</c:v>
                </c:pt>
              </c:numCache>
            </c:numRef>
          </c:yVal>
          <c:smooth val="0"/>
          <c:extLst>
            <c:ext xmlns:c16="http://schemas.microsoft.com/office/drawing/2014/chart" uri="{C3380CC4-5D6E-409C-BE32-E72D297353CC}">
              <c16:uniqueId val="{00000002-2B93-4D99-8667-A5B8B262FC56}"/>
            </c:ext>
          </c:extLst>
        </c:ser>
        <c:dLbls>
          <c:showLegendKey val="0"/>
          <c:showVal val="0"/>
          <c:showCatName val="0"/>
          <c:showSerName val="0"/>
          <c:showPercent val="0"/>
          <c:showBubbleSize val="0"/>
        </c:dLbls>
        <c:axId val="610545320"/>
        <c:axId val="610541720"/>
      </c:scatterChart>
      <c:valAx>
        <c:axId val="610545320"/>
        <c:scaling>
          <c:orientation val="minMax"/>
        </c:scaling>
        <c:delete val="0"/>
        <c:axPos val="b"/>
        <c:majorGridlines>
          <c:spPr>
            <a:ln w="9525" cap="flat" cmpd="sng" algn="ctr">
              <a:solidFill>
                <a:schemeClr val="tx1">
                  <a:lumMod val="15000"/>
                  <a:lumOff val="85000"/>
                </a:schemeClr>
              </a:solidFill>
              <a:round/>
            </a:ln>
            <a:effectLst/>
          </c:spPr>
        </c:majorGridlines>
        <c:title>
          <c:tx>
            <c:rich>
              <a:bodyPr rot="0" spcFirstLastPara="1" vertOverflow="ellipsis" vert="horz" wrap="square" anchor="ctr" anchorCtr="1"/>
              <a:lstStyle/>
              <a:p>
                <a:pPr>
                  <a:defRPr sz="1000" b="0" i="0" u="none" strike="noStrike" kern="1200" baseline="0">
                    <a:solidFill>
                      <a:schemeClr val="tx1">
                        <a:lumMod val="65000"/>
                        <a:lumOff val="35000"/>
                      </a:schemeClr>
                    </a:solidFill>
                    <a:latin typeface="+mn-lt"/>
                    <a:ea typeface="+mn-ea"/>
                    <a:cs typeface="+mn-cs"/>
                  </a:defRPr>
                </a:pPr>
                <a:r>
                  <a:rPr lang="en-GB"/>
                  <a:t>Time</a:t>
                </a:r>
                <a:r>
                  <a:rPr lang="en-GB" baseline="0"/>
                  <a:t> (s)</a:t>
                </a:r>
                <a:endParaRPr lang="en-GB"/>
              </a:p>
            </c:rich>
          </c:tx>
          <c:overlay val="0"/>
          <c:spPr>
            <a:noFill/>
            <a:ln>
              <a:noFill/>
            </a:ln>
            <a:effectLst/>
          </c:spPr>
          <c:txPr>
            <a:bodyPr rot="0" spcFirstLastPara="1" vertOverflow="ellipsis" vert="horz" wrap="square" anchor="ctr" anchorCtr="1"/>
            <a:lstStyle/>
            <a:p>
              <a:pPr>
                <a:defRPr sz="1000" b="0" i="0" u="none" strike="noStrike" kern="1200" baseline="0">
                  <a:solidFill>
                    <a:schemeClr val="tx1">
                      <a:lumMod val="65000"/>
                      <a:lumOff val="35000"/>
                    </a:schemeClr>
                  </a:solidFill>
                  <a:latin typeface="+mn-lt"/>
                  <a:ea typeface="+mn-ea"/>
                  <a:cs typeface="+mn-cs"/>
                </a:defRPr>
              </a:pPr>
              <a:endParaRPr lang="en-US"/>
            </a:p>
          </c:txPr>
        </c:title>
        <c:numFmt formatCode="General" sourceLinked="1"/>
        <c:majorTickMark val="none"/>
        <c:minorTickMark val="none"/>
        <c:tickLblPos val="nextTo"/>
        <c:spPr>
          <a:noFill/>
          <a:ln w="9525" cap="flat" cmpd="sng" algn="ctr">
            <a:solidFill>
              <a:schemeClr val="tx1">
                <a:lumMod val="25000"/>
                <a:lumOff val="75000"/>
              </a:schemeClr>
            </a:solidFill>
            <a:round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610541720"/>
        <c:crosses val="autoZero"/>
        <c:crossBetween val="midCat"/>
      </c:valAx>
      <c:valAx>
        <c:axId val="610541720"/>
        <c:scaling>
          <c:orientation val="minMax"/>
        </c:scaling>
        <c:delete val="0"/>
        <c:axPos val="l"/>
        <c:majorGridlines>
          <c:spPr>
            <a:ln w="9525" cap="flat" cmpd="sng" algn="ctr">
              <a:solidFill>
                <a:schemeClr val="tx1">
                  <a:lumMod val="15000"/>
                  <a:lumOff val="85000"/>
                </a:schemeClr>
              </a:solidFill>
              <a:round/>
            </a:ln>
            <a:effectLst/>
          </c:spPr>
        </c:majorGridlines>
        <c:title>
          <c:tx>
            <c:rich>
              <a:bodyPr rot="-5400000" spcFirstLastPara="1" vertOverflow="ellipsis" vert="horz" wrap="square" anchor="ctr" anchorCtr="1"/>
              <a:lstStyle/>
              <a:p>
                <a:pPr>
                  <a:defRPr sz="1000" b="0" i="0" u="none" strike="noStrike" kern="1200" baseline="0">
                    <a:solidFill>
                      <a:schemeClr val="tx1">
                        <a:lumMod val="65000"/>
                        <a:lumOff val="35000"/>
                      </a:schemeClr>
                    </a:solidFill>
                    <a:latin typeface="+mn-lt"/>
                    <a:ea typeface="+mn-ea"/>
                    <a:cs typeface="+mn-cs"/>
                  </a:defRPr>
                </a:pPr>
                <a:r>
                  <a:rPr lang="en-GB"/>
                  <a:t>Gas</a:t>
                </a:r>
                <a:r>
                  <a:rPr lang="en-GB" baseline="0"/>
                  <a:t> Generation (cm3)</a:t>
                </a:r>
                <a:endParaRPr lang="en-GB"/>
              </a:p>
            </c:rich>
          </c:tx>
          <c:overlay val="0"/>
          <c:spPr>
            <a:noFill/>
            <a:ln>
              <a:noFill/>
            </a:ln>
            <a:effectLst/>
          </c:spPr>
          <c:txPr>
            <a:bodyPr rot="-5400000" spcFirstLastPara="1" vertOverflow="ellipsis" vert="horz" wrap="square" anchor="ctr" anchorCtr="1"/>
            <a:lstStyle/>
            <a:p>
              <a:pPr>
                <a:defRPr sz="1000" b="0" i="0" u="none" strike="noStrike" kern="1200" baseline="0">
                  <a:solidFill>
                    <a:schemeClr val="tx1">
                      <a:lumMod val="65000"/>
                      <a:lumOff val="35000"/>
                    </a:schemeClr>
                  </a:solidFill>
                  <a:latin typeface="+mn-lt"/>
                  <a:ea typeface="+mn-ea"/>
                  <a:cs typeface="+mn-cs"/>
                </a:defRPr>
              </a:pPr>
              <a:endParaRPr lang="en-US"/>
            </a:p>
          </c:txPr>
        </c:title>
        <c:numFmt formatCode="General" sourceLinked="1"/>
        <c:majorTickMark val="none"/>
        <c:minorTickMark val="none"/>
        <c:tickLblPos val="nextTo"/>
        <c:spPr>
          <a:noFill/>
          <a:ln w="9525" cap="flat" cmpd="sng" algn="ctr">
            <a:solidFill>
              <a:schemeClr val="tx1">
                <a:lumMod val="25000"/>
                <a:lumOff val="75000"/>
              </a:schemeClr>
            </a:solidFill>
            <a:round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610545320"/>
        <c:crosses val="autoZero"/>
        <c:crossBetween val="midCat"/>
      </c:valAx>
      <c:spPr>
        <a:noFill/>
        <a:ln>
          <a:noFill/>
        </a:ln>
        <a:effectLst/>
      </c:spPr>
    </c:plotArea>
    <c:legend>
      <c:legendPos val="b"/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900" b="0" i="0" u="none" strike="noStrike" kern="1200" baseline="0">
              <a:solidFill>
                <a:schemeClr val="tx1">
                  <a:lumMod val="65000"/>
                  <a:lumOff val="3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legend>
    <c:plotVisOnly val="1"/>
    <c:dispBlanksAs val="gap"/>
    <c:extLst>
      <c:ext xmlns:c16r3="http://schemas.microsoft.com/office/drawing/2017/03/chart" uri="{56B9EC1D-385E-4148-901F-78D8002777C0}">
        <c16r3:dataDisplayOptions16>
          <c16r3:dispNaAsBlank val="1"/>
        </c16r3:dataDisplayOptions16>
      </c:ext>
    </c:extLst>
    <c:showDLblsOverMax val="0"/>
  </c:chart>
  <c:spPr>
    <a:solidFill>
      <a:schemeClr val="bg1"/>
    </a:solidFill>
    <a:ln w="9525" cap="flat" cmpd="sng" algn="ctr">
      <a:solidFill>
        <a:schemeClr val="tx1">
          <a:lumMod val="15000"/>
          <a:lumOff val="85000"/>
        </a:schemeClr>
      </a:solidFill>
      <a:round/>
    </a:ln>
    <a:effectLst/>
  </c:spPr>
  <c:txPr>
    <a:bodyPr/>
    <a:lstStyle/>
    <a:p>
      <a:pPr>
        <a:defRPr/>
      </a:pPr>
      <a:endParaRPr lang="en-US"/>
    </a:p>
  </c:txPr>
  <c:externalData r:id="rId3">
    <c:autoUpdate val="0"/>
  </c:externalData>
</c:chartSpace>
</file>

<file path=word/charts/chart3.xml><?xml version="1.0" encoding="utf-8"?>
<c:chartSpace xmlns:c="http://schemas.openxmlformats.org/drawingml/2006/chart" xmlns:a="http://schemas.openxmlformats.org/drawingml/2006/main" xmlns:r="http://schemas.openxmlformats.org/officeDocument/2006/relationships" xmlns:c16r2="http://schemas.microsoft.com/office/drawing/2015/06/chart">
  <c:date1904 val="0"/>
  <c:lang val="en-US"/>
  <c:roundedCorners val="0"/>
  <mc:AlternateContent xmlns:mc="http://schemas.openxmlformats.org/markup-compatibility/2006">
    <mc:Choice xmlns:c14="http://schemas.microsoft.com/office/drawing/2007/8/2/chart" Requires="c14">
      <c14:style val="102"/>
    </mc:Choice>
    <mc:Fallback>
      <c:style val="2"/>
    </mc:Fallback>
  </mc:AlternateContent>
  <c:chart>
    <c:title>
      <c:tx>
        <c:rich>
          <a:bodyPr rot="0" spcFirstLastPara="1" vertOverflow="ellipsis" vert="horz" wrap="square" anchor="ctr" anchorCtr="1"/>
          <a:lstStyle/>
          <a:p>
            <a:pPr>
              <a:defRPr sz="1400" b="0" i="0" u="none" strike="noStrike" kern="1200" spc="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r>
              <a:rPr lang="en-GB" sz="1400" b="0" i="0" u="none" strike="noStrike" kern="1200" spc="0" baseline="0">
                <a:solidFill>
                  <a:sysClr val="windowText" lastClr="000000">
                    <a:lumMod val="65000"/>
                    <a:lumOff val="35000"/>
                  </a:sysClr>
                </a:solidFill>
              </a:rPr>
              <a:t>Experiment 3 - Effect of Surface Area on Gas Evolution</a:t>
            </a:r>
          </a:p>
        </c:rich>
      </c:tx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1400" b="0" i="0" u="none" strike="noStrike" kern="1200" spc="0" baseline="0">
              <a:solidFill>
                <a:schemeClr val="tx1">
                  <a:lumMod val="65000"/>
                  <a:lumOff val="3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title>
    <c:autoTitleDeleted val="0"/>
    <c:plotArea>
      <c:layout/>
      <c:scatterChart>
        <c:scatterStyle val="lineMarker"/>
        <c:varyColors val="0"/>
        <c:ser>
          <c:idx val="0"/>
          <c:order val="0"/>
          <c:tx>
            <c:v>T = 23.8C Powdered Magnesium</c:v>
          </c:tx>
          <c:spPr>
            <a:ln w="19050" cap="rnd">
              <a:solidFill>
                <a:schemeClr val="accent1"/>
              </a:solidFill>
              <a:round/>
            </a:ln>
            <a:effectLst/>
          </c:spPr>
          <c:marker>
            <c:symbol val="circle"/>
            <c:size val="5"/>
            <c:spPr>
              <a:solidFill>
                <a:schemeClr val="accent1"/>
              </a:solidFill>
              <a:ln w="9525">
                <a:solidFill>
                  <a:schemeClr val="accent1"/>
                </a:solidFill>
              </a:ln>
              <a:effectLst/>
            </c:spPr>
          </c:marker>
          <c:xVal>
            <c:numRef>
              <c:f>'[Rate of reaction graphs.xlsx]Sheet1'!$O$6:$O$35</c:f>
              <c:numCache>
                <c:formatCode>General</c:formatCode>
                <c:ptCount val="30"/>
                <c:pt idx="0">
                  <c:v>0</c:v>
                </c:pt>
                <c:pt idx="1">
                  <c:v>10</c:v>
                </c:pt>
                <c:pt idx="2">
                  <c:v>20</c:v>
                </c:pt>
                <c:pt idx="3">
                  <c:v>30</c:v>
                </c:pt>
                <c:pt idx="4">
                  <c:v>40</c:v>
                </c:pt>
                <c:pt idx="5">
                  <c:v>50</c:v>
                </c:pt>
                <c:pt idx="6">
                  <c:v>60</c:v>
                </c:pt>
                <c:pt idx="7">
                  <c:v>75</c:v>
                </c:pt>
                <c:pt idx="8">
                  <c:v>90</c:v>
                </c:pt>
                <c:pt idx="9">
                  <c:v>105</c:v>
                </c:pt>
                <c:pt idx="10">
                  <c:v>120</c:v>
                </c:pt>
                <c:pt idx="11">
                  <c:v>135</c:v>
                </c:pt>
                <c:pt idx="12">
                  <c:v>150</c:v>
                </c:pt>
                <c:pt idx="13">
                  <c:v>165</c:v>
                </c:pt>
                <c:pt idx="14">
                  <c:v>180</c:v>
                </c:pt>
                <c:pt idx="15">
                  <c:v>195</c:v>
                </c:pt>
                <c:pt idx="16">
                  <c:v>210</c:v>
                </c:pt>
                <c:pt idx="17">
                  <c:v>225</c:v>
                </c:pt>
                <c:pt idx="18">
                  <c:v>240</c:v>
                </c:pt>
                <c:pt idx="19">
                  <c:v>255</c:v>
                </c:pt>
                <c:pt idx="20">
                  <c:v>270</c:v>
                </c:pt>
                <c:pt idx="21">
                  <c:v>285</c:v>
                </c:pt>
                <c:pt idx="22">
                  <c:v>300</c:v>
                </c:pt>
                <c:pt idx="23">
                  <c:v>315</c:v>
                </c:pt>
                <c:pt idx="24">
                  <c:v>330</c:v>
                </c:pt>
                <c:pt idx="25">
                  <c:v>345</c:v>
                </c:pt>
                <c:pt idx="26">
                  <c:v>360</c:v>
                </c:pt>
                <c:pt idx="27">
                  <c:v>375</c:v>
                </c:pt>
                <c:pt idx="28">
                  <c:v>390</c:v>
                </c:pt>
              </c:numCache>
            </c:numRef>
          </c:xVal>
          <c:yVal>
            <c:numRef>
              <c:f>'[Rate of reaction graphs.xlsx]Sheet1'!$P$6:$P$35</c:f>
              <c:numCache>
                <c:formatCode>General</c:formatCode>
                <c:ptCount val="30"/>
                <c:pt idx="0">
                  <c:v>0</c:v>
                </c:pt>
                <c:pt idx="1">
                  <c:v>15</c:v>
                </c:pt>
                <c:pt idx="2">
                  <c:v>27</c:v>
                </c:pt>
                <c:pt idx="3">
                  <c:v>36</c:v>
                </c:pt>
                <c:pt idx="4">
                  <c:v>43</c:v>
                </c:pt>
                <c:pt idx="5">
                  <c:v>50</c:v>
                </c:pt>
                <c:pt idx="6">
                  <c:v>54</c:v>
                </c:pt>
                <c:pt idx="7">
                  <c:v>61</c:v>
                </c:pt>
                <c:pt idx="8">
                  <c:v>65</c:v>
                </c:pt>
                <c:pt idx="9">
                  <c:v>69</c:v>
                </c:pt>
                <c:pt idx="10">
                  <c:v>72</c:v>
                </c:pt>
                <c:pt idx="11">
                  <c:v>74</c:v>
                </c:pt>
                <c:pt idx="12">
                  <c:v>76</c:v>
                </c:pt>
                <c:pt idx="13">
                  <c:v>77</c:v>
                </c:pt>
                <c:pt idx="14">
                  <c:v>79</c:v>
                </c:pt>
                <c:pt idx="15">
                  <c:v>80</c:v>
                </c:pt>
                <c:pt idx="16">
                  <c:v>80</c:v>
                </c:pt>
                <c:pt idx="17">
                  <c:v>80</c:v>
                </c:pt>
                <c:pt idx="18">
                  <c:v>81</c:v>
                </c:pt>
                <c:pt idx="19">
                  <c:v>81</c:v>
                </c:pt>
                <c:pt idx="20">
                  <c:v>81</c:v>
                </c:pt>
                <c:pt idx="21">
                  <c:v>81</c:v>
                </c:pt>
                <c:pt idx="22">
                  <c:v>81</c:v>
                </c:pt>
                <c:pt idx="23">
                  <c:v>81</c:v>
                </c:pt>
                <c:pt idx="24">
                  <c:v>81</c:v>
                </c:pt>
                <c:pt idx="25">
                  <c:v>81</c:v>
                </c:pt>
                <c:pt idx="26">
                  <c:v>81</c:v>
                </c:pt>
                <c:pt idx="27">
                  <c:v>81</c:v>
                </c:pt>
                <c:pt idx="28">
                  <c:v>81</c:v>
                </c:pt>
              </c:numCache>
            </c:numRef>
          </c:yVal>
          <c:smooth val="0"/>
          <c:extLst>
            <c:ext xmlns:c16="http://schemas.microsoft.com/office/drawing/2014/chart" uri="{C3380CC4-5D6E-409C-BE32-E72D297353CC}">
              <c16:uniqueId val="{00000000-BCB9-454D-91D4-EFB93F850527}"/>
            </c:ext>
          </c:extLst>
        </c:ser>
        <c:dLbls>
          <c:showLegendKey val="0"/>
          <c:showVal val="0"/>
          <c:showCatName val="0"/>
          <c:showSerName val="0"/>
          <c:showPercent val="0"/>
          <c:showBubbleSize val="0"/>
        </c:dLbls>
        <c:axId val="488811104"/>
        <c:axId val="488807864"/>
      </c:scatterChart>
      <c:valAx>
        <c:axId val="488811104"/>
        <c:scaling>
          <c:orientation val="minMax"/>
        </c:scaling>
        <c:delete val="0"/>
        <c:axPos val="b"/>
        <c:majorGridlines>
          <c:spPr>
            <a:ln w="9525" cap="flat" cmpd="sng" algn="ctr">
              <a:solidFill>
                <a:schemeClr val="tx1">
                  <a:lumMod val="15000"/>
                  <a:lumOff val="85000"/>
                </a:schemeClr>
              </a:solidFill>
              <a:round/>
            </a:ln>
            <a:effectLst/>
          </c:spPr>
        </c:majorGridlines>
        <c:title>
          <c:tx>
            <c:rich>
              <a:bodyPr rot="0" spcFirstLastPara="1" vertOverflow="ellipsis" vert="horz" wrap="square" anchor="ctr" anchorCtr="1"/>
              <a:lstStyle/>
              <a:p>
                <a:pPr>
                  <a:defRPr sz="1000" b="0" i="0" u="none" strike="noStrike" kern="1200" baseline="0">
                    <a:solidFill>
                      <a:schemeClr val="tx1">
                        <a:lumMod val="65000"/>
                        <a:lumOff val="35000"/>
                      </a:schemeClr>
                    </a:solidFill>
                    <a:latin typeface="+mn-lt"/>
                    <a:ea typeface="+mn-ea"/>
                    <a:cs typeface="+mn-cs"/>
                  </a:defRPr>
                </a:pPr>
                <a:r>
                  <a:rPr lang="en-GB"/>
                  <a:t>Time</a:t>
                </a:r>
                <a:r>
                  <a:rPr lang="en-GB" baseline="0"/>
                  <a:t> (s)</a:t>
                </a:r>
                <a:endParaRPr lang="en-GB"/>
              </a:p>
            </c:rich>
          </c:tx>
          <c:overlay val="0"/>
          <c:spPr>
            <a:noFill/>
            <a:ln>
              <a:noFill/>
            </a:ln>
            <a:effectLst/>
          </c:spPr>
          <c:txPr>
            <a:bodyPr rot="0" spcFirstLastPara="1" vertOverflow="ellipsis" vert="horz" wrap="square" anchor="ctr" anchorCtr="1"/>
            <a:lstStyle/>
            <a:p>
              <a:pPr>
                <a:defRPr sz="1000" b="0" i="0" u="none" strike="noStrike" kern="1200" baseline="0">
                  <a:solidFill>
                    <a:schemeClr val="tx1">
                      <a:lumMod val="65000"/>
                      <a:lumOff val="35000"/>
                    </a:schemeClr>
                  </a:solidFill>
                  <a:latin typeface="+mn-lt"/>
                  <a:ea typeface="+mn-ea"/>
                  <a:cs typeface="+mn-cs"/>
                </a:defRPr>
              </a:pPr>
              <a:endParaRPr lang="en-US"/>
            </a:p>
          </c:txPr>
        </c:title>
        <c:numFmt formatCode="General" sourceLinked="1"/>
        <c:majorTickMark val="none"/>
        <c:minorTickMark val="none"/>
        <c:tickLblPos val="nextTo"/>
        <c:spPr>
          <a:noFill/>
          <a:ln w="9525" cap="flat" cmpd="sng" algn="ctr">
            <a:solidFill>
              <a:schemeClr val="tx1">
                <a:lumMod val="25000"/>
                <a:lumOff val="75000"/>
              </a:schemeClr>
            </a:solidFill>
            <a:round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488807864"/>
        <c:crosses val="autoZero"/>
        <c:crossBetween val="midCat"/>
      </c:valAx>
      <c:valAx>
        <c:axId val="488807864"/>
        <c:scaling>
          <c:orientation val="minMax"/>
        </c:scaling>
        <c:delete val="0"/>
        <c:axPos val="l"/>
        <c:majorGridlines>
          <c:spPr>
            <a:ln w="9525" cap="flat" cmpd="sng" algn="ctr">
              <a:solidFill>
                <a:schemeClr val="tx1">
                  <a:lumMod val="15000"/>
                  <a:lumOff val="85000"/>
                </a:schemeClr>
              </a:solidFill>
              <a:round/>
            </a:ln>
            <a:effectLst/>
          </c:spPr>
        </c:majorGridlines>
        <c:title>
          <c:tx>
            <c:rich>
              <a:bodyPr rot="-5400000" spcFirstLastPara="1" vertOverflow="ellipsis" vert="horz" wrap="square" anchor="ctr" anchorCtr="1"/>
              <a:lstStyle/>
              <a:p>
                <a:pPr>
                  <a:defRPr sz="1000" b="0" i="0" u="none" strike="noStrike" kern="1200" baseline="0">
                    <a:solidFill>
                      <a:schemeClr val="tx1">
                        <a:lumMod val="65000"/>
                        <a:lumOff val="35000"/>
                      </a:schemeClr>
                    </a:solidFill>
                    <a:latin typeface="+mn-lt"/>
                    <a:ea typeface="+mn-ea"/>
                    <a:cs typeface="+mn-cs"/>
                  </a:defRPr>
                </a:pPr>
                <a:r>
                  <a:rPr lang="en-GB"/>
                  <a:t>Gas</a:t>
                </a:r>
                <a:r>
                  <a:rPr lang="en-GB" baseline="0"/>
                  <a:t> Generation (cm3)</a:t>
                </a:r>
                <a:endParaRPr lang="en-GB"/>
              </a:p>
            </c:rich>
          </c:tx>
          <c:overlay val="0"/>
          <c:spPr>
            <a:noFill/>
            <a:ln>
              <a:noFill/>
            </a:ln>
            <a:effectLst/>
          </c:spPr>
          <c:txPr>
            <a:bodyPr rot="-5400000" spcFirstLastPara="1" vertOverflow="ellipsis" vert="horz" wrap="square" anchor="ctr" anchorCtr="1"/>
            <a:lstStyle/>
            <a:p>
              <a:pPr>
                <a:defRPr sz="1000" b="0" i="0" u="none" strike="noStrike" kern="1200" baseline="0">
                  <a:solidFill>
                    <a:schemeClr val="tx1">
                      <a:lumMod val="65000"/>
                      <a:lumOff val="35000"/>
                    </a:schemeClr>
                  </a:solidFill>
                  <a:latin typeface="+mn-lt"/>
                  <a:ea typeface="+mn-ea"/>
                  <a:cs typeface="+mn-cs"/>
                </a:defRPr>
              </a:pPr>
              <a:endParaRPr lang="en-US"/>
            </a:p>
          </c:txPr>
        </c:title>
        <c:numFmt formatCode="General" sourceLinked="1"/>
        <c:majorTickMark val="none"/>
        <c:minorTickMark val="none"/>
        <c:tickLblPos val="nextTo"/>
        <c:spPr>
          <a:noFill/>
          <a:ln w="9525" cap="flat" cmpd="sng" algn="ctr">
            <a:solidFill>
              <a:schemeClr val="tx1">
                <a:lumMod val="25000"/>
                <a:lumOff val="75000"/>
              </a:schemeClr>
            </a:solidFill>
            <a:round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488811104"/>
        <c:crosses val="autoZero"/>
        <c:crossBetween val="midCat"/>
      </c:valAx>
      <c:spPr>
        <a:noFill/>
        <a:ln>
          <a:noFill/>
        </a:ln>
        <a:effectLst/>
      </c:spPr>
    </c:plotArea>
    <c:legend>
      <c:legendPos val="b"/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900" b="0" i="0" u="none" strike="noStrike" kern="1200" baseline="0">
              <a:solidFill>
                <a:schemeClr val="tx1">
                  <a:lumMod val="65000"/>
                  <a:lumOff val="3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legend>
    <c:plotVisOnly val="1"/>
    <c:dispBlanksAs val="gap"/>
    <c:extLst>
      <c:ext xmlns:c16r3="http://schemas.microsoft.com/office/drawing/2017/03/chart" uri="{56B9EC1D-385E-4148-901F-78D8002777C0}">
        <c16r3:dataDisplayOptions16>
          <c16r3:dispNaAsBlank val="1"/>
        </c16r3:dataDisplayOptions16>
      </c:ext>
    </c:extLst>
    <c:showDLblsOverMax val="0"/>
  </c:chart>
  <c:spPr>
    <a:solidFill>
      <a:schemeClr val="bg1"/>
    </a:solidFill>
    <a:ln w="9525" cap="flat" cmpd="sng" algn="ctr">
      <a:solidFill>
        <a:schemeClr val="tx1">
          <a:lumMod val="15000"/>
          <a:lumOff val="85000"/>
        </a:schemeClr>
      </a:solidFill>
      <a:round/>
    </a:ln>
    <a:effectLst/>
  </c:spPr>
  <c:txPr>
    <a:bodyPr/>
    <a:lstStyle/>
    <a:p>
      <a:pPr>
        <a:defRPr/>
      </a:pPr>
      <a:endParaRPr lang="en-US"/>
    </a:p>
  </c:txPr>
  <c:externalData r:id="rId3">
    <c:autoUpdate val="0"/>
  </c:externalData>
</c:chartSpace>
</file>

<file path=word/charts/chart10.xml><?xml version="1.0" encoding="utf-8"?>
<c:chartSpace xmlns:c="http://schemas.openxmlformats.org/drawingml/2006/chart" xmlns:a="http://schemas.openxmlformats.org/drawingml/2006/main" xmlns:r="http://schemas.openxmlformats.org/officeDocument/2006/relationships" xmlns:c16r2="http://schemas.microsoft.com/office/drawing/2015/06/chart">
  <c:date1904 val="0"/>
  <c:lang val="en-US"/>
  <c:roundedCorners val="0"/>
  <mc:AlternateContent xmlns:mc="http://schemas.openxmlformats.org/markup-compatibility/2006">
    <mc:Choice xmlns:c14="http://schemas.microsoft.com/office/drawing/2007/8/2/chart" Requires="c14">
      <c14:style val="102"/>
    </mc:Choice>
    <mc:Fallback>
      <c:style val="2"/>
    </mc:Fallback>
  </mc:AlternateContent>
  <c:chart>
    <c:title>
      <c:tx>
        <c:rich>
          <a:bodyPr rot="0" spcFirstLastPara="1" vertOverflow="ellipsis" vert="horz" wrap="square" anchor="ctr" anchorCtr="1"/>
          <a:lstStyle/>
          <a:p>
            <a:pPr>
              <a:defRPr sz="1400" b="0" i="0" u="none" strike="noStrike" kern="1200" spc="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r>
              <a:rPr lang="en-GB"/>
              <a:t>Experiment</a:t>
            </a:r>
            <a:r>
              <a:rPr lang="en-GB" baseline="0"/>
              <a:t> 1 - Effect of Concentration on Gas Evolution</a:t>
            </a:r>
            <a:endParaRPr lang="en-GB"/>
          </a:p>
        </c:rich>
      </c:tx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1400" b="0" i="0" u="none" strike="noStrike" kern="1200" spc="0" baseline="0">
              <a:solidFill>
                <a:schemeClr val="tx1">
                  <a:lumMod val="65000"/>
                  <a:lumOff val="3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title>
    <c:autoTitleDeleted val="0"/>
    <c:plotArea>
      <c:layout/>
      <c:scatterChart>
        <c:scatterStyle val="lineMarker"/>
        <c:varyColors val="0"/>
        <c:ser>
          <c:idx val="0"/>
          <c:order val="0"/>
          <c:tx>
            <c:v>1.0M HCl Mg Ribbon</c:v>
          </c:tx>
          <c:spPr>
            <a:ln w="19050" cap="rnd">
              <a:solidFill>
                <a:schemeClr val="accent1"/>
              </a:solidFill>
              <a:round/>
            </a:ln>
            <a:effectLst/>
          </c:spPr>
          <c:marker>
            <c:symbol val="circle"/>
            <c:size val="5"/>
            <c:spPr>
              <a:solidFill>
                <a:schemeClr val="accent1"/>
              </a:solidFill>
              <a:ln w="9525">
                <a:solidFill>
                  <a:schemeClr val="accent1"/>
                </a:solidFill>
              </a:ln>
              <a:effectLst/>
            </c:spPr>
          </c:marker>
          <c:xVal>
            <c:numRef>
              <c:f>'[Rate of reaction graphs.xlsx]Sheet1'!$A$6:$A$18</c:f>
              <c:numCache>
                <c:formatCode>General</c:formatCode>
                <c:ptCount val="13"/>
                <c:pt idx="0">
                  <c:v>0</c:v>
                </c:pt>
                <c:pt idx="1">
                  <c:v>10</c:v>
                </c:pt>
                <c:pt idx="2">
                  <c:v>20</c:v>
                </c:pt>
                <c:pt idx="3">
                  <c:v>30</c:v>
                </c:pt>
                <c:pt idx="4">
                  <c:v>40</c:v>
                </c:pt>
                <c:pt idx="5">
                  <c:v>50</c:v>
                </c:pt>
                <c:pt idx="6">
                  <c:v>60</c:v>
                </c:pt>
                <c:pt idx="7">
                  <c:v>75</c:v>
                </c:pt>
                <c:pt idx="8">
                  <c:v>90</c:v>
                </c:pt>
                <c:pt idx="9">
                  <c:v>105</c:v>
                </c:pt>
                <c:pt idx="10">
                  <c:v>120</c:v>
                </c:pt>
                <c:pt idx="11">
                  <c:v>135</c:v>
                </c:pt>
                <c:pt idx="12">
                  <c:v>150</c:v>
                </c:pt>
              </c:numCache>
            </c:numRef>
          </c:xVal>
          <c:yVal>
            <c:numRef>
              <c:f>'[Rate of reaction graphs.xlsx]Sheet1'!$B$6:$B$18</c:f>
              <c:numCache>
                <c:formatCode>General</c:formatCode>
                <c:ptCount val="13"/>
                <c:pt idx="0">
                  <c:v>0</c:v>
                </c:pt>
                <c:pt idx="1">
                  <c:v>7</c:v>
                </c:pt>
                <c:pt idx="2">
                  <c:v>14</c:v>
                </c:pt>
                <c:pt idx="3">
                  <c:v>33</c:v>
                </c:pt>
                <c:pt idx="4">
                  <c:v>45</c:v>
                </c:pt>
                <c:pt idx="5">
                  <c:v>53</c:v>
                </c:pt>
                <c:pt idx="6">
                  <c:v>60</c:v>
                </c:pt>
                <c:pt idx="7">
                  <c:v>66</c:v>
                </c:pt>
                <c:pt idx="8">
                  <c:v>71</c:v>
                </c:pt>
                <c:pt idx="9">
                  <c:v>73</c:v>
                </c:pt>
                <c:pt idx="10">
                  <c:v>73</c:v>
                </c:pt>
                <c:pt idx="11">
                  <c:v>73</c:v>
                </c:pt>
                <c:pt idx="12">
                  <c:v>73</c:v>
                </c:pt>
              </c:numCache>
            </c:numRef>
          </c:yVal>
          <c:smooth val="0"/>
          <c:extLst>
            <c:ext xmlns:c16="http://schemas.microsoft.com/office/drawing/2014/chart" uri="{C3380CC4-5D6E-409C-BE32-E72D297353CC}">
              <c16:uniqueId val="{00000000-334E-480F-B9C3-C8D4263678E3}"/>
            </c:ext>
          </c:extLst>
        </c:ser>
        <c:ser>
          <c:idx val="1"/>
          <c:order val="1"/>
          <c:tx>
            <c:v>1.5M HCl Mg Ribbon</c:v>
          </c:tx>
          <c:spPr>
            <a:ln w="19050" cap="rnd">
              <a:solidFill>
                <a:schemeClr val="accent2"/>
              </a:solidFill>
              <a:round/>
            </a:ln>
            <a:effectLst/>
          </c:spPr>
          <c:marker>
            <c:symbol val="circle"/>
            <c:size val="5"/>
            <c:spPr>
              <a:solidFill>
                <a:schemeClr val="accent2"/>
              </a:solidFill>
              <a:ln w="9525">
                <a:solidFill>
                  <a:schemeClr val="accent2"/>
                </a:solidFill>
              </a:ln>
              <a:effectLst/>
            </c:spPr>
          </c:marker>
          <c:xVal>
            <c:numRef>
              <c:f>'[Rate of reaction graphs.xlsx]Sheet1'!$C$6:$C$18</c:f>
              <c:numCache>
                <c:formatCode>General</c:formatCode>
                <c:ptCount val="13"/>
                <c:pt idx="0">
                  <c:v>0</c:v>
                </c:pt>
                <c:pt idx="1">
                  <c:v>10</c:v>
                </c:pt>
                <c:pt idx="2">
                  <c:v>20</c:v>
                </c:pt>
                <c:pt idx="3">
                  <c:v>30</c:v>
                </c:pt>
                <c:pt idx="4">
                  <c:v>40</c:v>
                </c:pt>
                <c:pt idx="5">
                  <c:v>50</c:v>
                </c:pt>
                <c:pt idx="6">
                  <c:v>60</c:v>
                </c:pt>
                <c:pt idx="7">
                  <c:v>75</c:v>
                </c:pt>
                <c:pt idx="8">
                  <c:v>90</c:v>
                </c:pt>
                <c:pt idx="9">
                  <c:v>105</c:v>
                </c:pt>
                <c:pt idx="10">
                  <c:v>120</c:v>
                </c:pt>
                <c:pt idx="11">
                  <c:v>135</c:v>
                </c:pt>
                <c:pt idx="12">
                  <c:v>150</c:v>
                </c:pt>
              </c:numCache>
            </c:numRef>
          </c:xVal>
          <c:yVal>
            <c:numRef>
              <c:f>'[Rate of reaction graphs.xlsx]Sheet1'!$D$6:$D$16</c:f>
              <c:numCache>
                <c:formatCode>General</c:formatCode>
                <c:ptCount val="11"/>
                <c:pt idx="0">
                  <c:v>0</c:v>
                </c:pt>
                <c:pt idx="1">
                  <c:v>23</c:v>
                </c:pt>
                <c:pt idx="2">
                  <c:v>38</c:v>
                </c:pt>
                <c:pt idx="3">
                  <c:v>46</c:v>
                </c:pt>
                <c:pt idx="4">
                  <c:v>55</c:v>
                </c:pt>
                <c:pt idx="5">
                  <c:v>57</c:v>
                </c:pt>
                <c:pt idx="6">
                  <c:v>57</c:v>
                </c:pt>
                <c:pt idx="7">
                  <c:v>58</c:v>
                </c:pt>
                <c:pt idx="8">
                  <c:v>58</c:v>
                </c:pt>
                <c:pt idx="9">
                  <c:v>59</c:v>
                </c:pt>
                <c:pt idx="10">
                  <c:v>59</c:v>
                </c:pt>
              </c:numCache>
            </c:numRef>
          </c:yVal>
          <c:smooth val="0"/>
          <c:extLst>
            <c:ext xmlns:c16="http://schemas.microsoft.com/office/drawing/2014/chart" uri="{C3380CC4-5D6E-409C-BE32-E72D297353CC}">
              <c16:uniqueId val="{00000001-334E-480F-B9C3-C8D4263678E3}"/>
            </c:ext>
          </c:extLst>
        </c:ser>
        <c:ser>
          <c:idx val="4"/>
          <c:order val="2"/>
          <c:tx>
            <c:v>2.0M HCl Mg Ribbon</c:v>
          </c:tx>
          <c:spPr>
            <a:ln w="19050" cap="rnd">
              <a:solidFill>
                <a:schemeClr val="accent5"/>
              </a:solidFill>
              <a:round/>
            </a:ln>
            <a:effectLst/>
          </c:spPr>
          <c:marker>
            <c:symbol val="circle"/>
            <c:size val="5"/>
            <c:spPr>
              <a:solidFill>
                <a:schemeClr val="accent5"/>
              </a:solidFill>
              <a:ln w="9525">
                <a:solidFill>
                  <a:schemeClr val="accent5"/>
                </a:solidFill>
              </a:ln>
              <a:effectLst/>
            </c:spPr>
          </c:marker>
          <c:xVal>
            <c:numRef>
              <c:f>'[Rate of reaction graphs.xlsx]Sheet1'!$E$6:$E$18</c:f>
              <c:numCache>
                <c:formatCode>General</c:formatCode>
                <c:ptCount val="13"/>
                <c:pt idx="0">
                  <c:v>0</c:v>
                </c:pt>
                <c:pt idx="1">
                  <c:v>10</c:v>
                </c:pt>
                <c:pt idx="2">
                  <c:v>20</c:v>
                </c:pt>
                <c:pt idx="3">
                  <c:v>30</c:v>
                </c:pt>
                <c:pt idx="4">
                  <c:v>40</c:v>
                </c:pt>
                <c:pt idx="5">
                  <c:v>50</c:v>
                </c:pt>
                <c:pt idx="6">
                  <c:v>60</c:v>
                </c:pt>
                <c:pt idx="7">
                  <c:v>75</c:v>
                </c:pt>
                <c:pt idx="8">
                  <c:v>90</c:v>
                </c:pt>
                <c:pt idx="9">
                  <c:v>105</c:v>
                </c:pt>
                <c:pt idx="10">
                  <c:v>120</c:v>
                </c:pt>
                <c:pt idx="11">
                  <c:v>135</c:v>
                </c:pt>
                <c:pt idx="12">
                  <c:v>150</c:v>
                </c:pt>
              </c:numCache>
            </c:numRef>
          </c:xVal>
          <c:yVal>
            <c:numRef>
              <c:f>'[Rate of reaction graphs.xlsx]Sheet1'!$F$6:$F$18</c:f>
              <c:numCache>
                <c:formatCode>General</c:formatCode>
                <c:ptCount val="13"/>
                <c:pt idx="0">
                  <c:v>0</c:v>
                </c:pt>
                <c:pt idx="1">
                  <c:v>37</c:v>
                </c:pt>
                <c:pt idx="2">
                  <c:v>57</c:v>
                </c:pt>
                <c:pt idx="3">
                  <c:v>64</c:v>
                </c:pt>
                <c:pt idx="4">
                  <c:v>68</c:v>
                </c:pt>
                <c:pt idx="5">
                  <c:v>73</c:v>
                </c:pt>
                <c:pt idx="6">
                  <c:v>77</c:v>
                </c:pt>
                <c:pt idx="7">
                  <c:v>81</c:v>
                </c:pt>
                <c:pt idx="8">
                  <c:v>84</c:v>
                </c:pt>
                <c:pt idx="9">
                  <c:v>84</c:v>
                </c:pt>
                <c:pt idx="10">
                  <c:v>84</c:v>
                </c:pt>
              </c:numCache>
            </c:numRef>
          </c:yVal>
          <c:smooth val="0"/>
          <c:extLst>
            <c:ext xmlns:c16="http://schemas.microsoft.com/office/drawing/2014/chart" uri="{C3380CC4-5D6E-409C-BE32-E72D297353CC}">
              <c16:uniqueId val="{00000002-334E-480F-B9C3-C8D4263678E3}"/>
            </c:ext>
          </c:extLst>
        </c:ser>
        <c:dLbls>
          <c:showLegendKey val="0"/>
          <c:showVal val="0"/>
          <c:showCatName val="0"/>
          <c:showSerName val="0"/>
          <c:showPercent val="0"/>
          <c:showBubbleSize val="0"/>
        </c:dLbls>
        <c:axId val="831658504"/>
        <c:axId val="831657784"/>
      </c:scatterChart>
      <c:valAx>
        <c:axId val="831658504"/>
        <c:scaling>
          <c:orientation val="minMax"/>
        </c:scaling>
        <c:delete val="0"/>
        <c:axPos val="b"/>
        <c:majorGridlines>
          <c:spPr>
            <a:ln w="9525" cap="flat" cmpd="sng" algn="ctr">
              <a:solidFill>
                <a:schemeClr val="tx1">
                  <a:lumMod val="15000"/>
                  <a:lumOff val="85000"/>
                </a:schemeClr>
              </a:solidFill>
              <a:round/>
            </a:ln>
            <a:effectLst/>
          </c:spPr>
        </c:majorGridlines>
        <c:title>
          <c:tx>
            <c:rich>
              <a:bodyPr rot="0" spcFirstLastPara="1" vertOverflow="ellipsis" vert="horz" wrap="square" anchor="ctr" anchorCtr="1"/>
              <a:lstStyle/>
              <a:p>
                <a:pPr>
                  <a:defRPr sz="1000" b="0" i="0" u="none" strike="noStrike" kern="1200" baseline="0">
                    <a:solidFill>
                      <a:schemeClr val="tx1">
                        <a:lumMod val="65000"/>
                        <a:lumOff val="35000"/>
                      </a:schemeClr>
                    </a:solidFill>
                    <a:latin typeface="+mn-lt"/>
                    <a:ea typeface="+mn-ea"/>
                    <a:cs typeface="+mn-cs"/>
                  </a:defRPr>
                </a:pPr>
                <a:r>
                  <a:rPr lang="en-GB"/>
                  <a:t>Time</a:t>
                </a:r>
                <a:r>
                  <a:rPr lang="en-GB" baseline="0"/>
                  <a:t> (s)</a:t>
                </a:r>
                <a:endParaRPr lang="en-GB"/>
              </a:p>
            </c:rich>
          </c:tx>
          <c:overlay val="0"/>
          <c:spPr>
            <a:noFill/>
            <a:ln>
              <a:noFill/>
            </a:ln>
            <a:effectLst/>
          </c:spPr>
          <c:txPr>
            <a:bodyPr rot="0" spcFirstLastPara="1" vertOverflow="ellipsis" vert="horz" wrap="square" anchor="ctr" anchorCtr="1"/>
            <a:lstStyle/>
            <a:p>
              <a:pPr>
                <a:defRPr sz="1000" b="0" i="0" u="none" strike="noStrike" kern="1200" baseline="0">
                  <a:solidFill>
                    <a:schemeClr val="tx1">
                      <a:lumMod val="65000"/>
                      <a:lumOff val="35000"/>
                    </a:schemeClr>
                  </a:solidFill>
                  <a:latin typeface="+mn-lt"/>
                  <a:ea typeface="+mn-ea"/>
                  <a:cs typeface="+mn-cs"/>
                </a:defRPr>
              </a:pPr>
              <a:endParaRPr lang="en-US"/>
            </a:p>
          </c:txPr>
        </c:title>
        <c:numFmt formatCode="General" sourceLinked="1"/>
        <c:majorTickMark val="none"/>
        <c:minorTickMark val="none"/>
        <c:tickLblPos val="nextTo"/>
        <c:spPr>
          <a:noFill/>
          <a:ln w="9525" cap="flat" cmpd="sng" algn="ctr">
            <a:solidFill>
              <a:schemeClr val="tx1">
                <a:lumMod val="25000"/>
                <a:lumOff val="75000"/>
              </a:schemeClr>
            </a:solidFill>
            <a:round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831657784"/>
        <c:crosses val="autoZero"/>
        <c:crossBetween val="midCat"/>
      </c:valAx>
      <c:valAx>
        <c:axId val="831657784"/>
        <c:scaling>
          <c:orientation val="minMax"/>
        </c:scaling>
        <c:delete val="0"/>
        <c:axPos val="l"/>
        <c:majorGridlines>
          <c:spPr>
            <a:ln w="9525" cap="flat" cmpd="sng" algn="ctr">
              <a:solidFill>
                <a:schemeClr val="tx1">
                  <a:lumMod val="15000"/>
                  <a:lumOff val="85000"/>
                </a:schemeClr>
              </a:solidFill>
              <a:round/>
            </a:ln>
            <a:effectLst/>
          </c:spPr>
        </c:majorGridlines>
        <c:title>
          <c:tx>
            <c:rich>
              <a:bodyPr rot="-5400000" spcFirstLastPara="1" vertOverflow="ellipsis" vert="horz" wrap="square" anchor="ctr" anchorCtr="1"/>
              <a:lstStyle/>
              <a:p>
                <a:pPr>
                  <a:defRPr sz="1000" b="0" i="0" u="none" strike="noStrike" kern="1200" baseline="0">
                    <a:solidFill>
                      <a:schemeClr val="tx1">
                        <a:lumMod val="65000"/>
                        <a:lumOff val="35000"/>
                      </a:schemeClr>
                    </a:solidFill>
                    <a:latin typeface="+mn-lt"/>
                    <a:ea typeface="+mn-ea"/>
                    <a:cs typeface="+mn-cs"/>
                  </a:defRPr>
                </a:pPr>
                <a:r>
                  <a:rPr lang="en-GB"/>
                  <a:t>Gas</a:t>
                </a:r>
                <a:r>
                  <a:rPr lang="en-GB" baseline="0"/>
                  <a:t> Generation (cm3)</a:t>
                </a:r>
                <a:endParaRPr lang="en-GB"/>
              </a:p>
            </c:rich>
          </c:tx>
          <c:overlay val="0"/>
          <c:spPr>
            <a:noFill/>
            <a:ln>
              <a:noFill/>
            </a:ln>
            <a:effectLst/>
          </c:spPr>
          <c:txPr>
            <a:bodyPr rot="-5400000" spcFirstLastPara="1" vertOverflow="ellipsis" vert="horz" wrap="square" anchor="ctr" anchorCtr="1"/>
            <a:lstStyle/>
            <a:p>
              <a:pPr>
                <a:defRPr sz="1000" b="0" i="0" u="none" strike="noStrike" kern="1200" baseline="0">
                  <a:solidFill>
                    <a:schemeClr val="tx1">
                      <a:lumMod val="65000"/>
                      <a:lumOff val="35000"/>
                    </a:schemeClr>
                  </a:solidFill>
                  <a:latin typeface="+mn-lt"/>
                  <a:ea typeface="+mn-ea"/>
                  <a:cs typeface="+mn-cs"/>
                </a:defRPr>
              </a:pPr>
              <a:endParaRPr lang="en-US"/>
            </a:p>
          </c:txPr>
        </c:title>
        <c:numFmt formatCode="General" sourceLinked="1"/>
        <c:majorTickMark val="none"/>
        <c:minorTickMark val="none"/>
        <c:tickLblPos val="nextTo"/>
        <c:spPr>
          <a:noFill/>
          <a:ln w="9525" cap="flat" cmpd="sng" algn="ctr">
            <a:solidFill>
              <a:schemeClr val="tx1">
                <a:lumMod val="25000"/>
                <a:lumOff val="75000"/>
              </a:schemeClr>
            </a:solidFill>
            <a:round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831658504"/>
        <c:crosses val="autoZero"/>
        <c:crossBetween val="midCat"/>
      </c:valAx>
      <c:spPr>
        <a:noFill/>
        <a:ln>
          <a:noFill/>
        </a:ln>
        <a:effectLst/>
      </c:spPr>
    </c:plotArea>
    <c:legend>
      <c:legendPos val="b"/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900" b="0" i="0" u="none" strike="noStrike" kern="1200" baseline="0">
              <a:solidFill>
                <a:schemeClr val="tx1">
                  <a:lumMod val="65000"/>
                  <a:lumOff val="3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legend>
    <c:plotVisOnly val="1"/>
    <c:dispBlanksAs val="gap"/>
    <c:extLst>
      <c:ext xmlns:c16r3="http://schemas.microsoft.com/office/drawing/2017/03/chart" uri="{56B9EC1D-385E-4148-901F-78D8002777C0}">
        <c16r3:dataDisplayOptions16>
          <c16r3:dispNaAsBlank val="1"/>
        </c16r3:dataDisplayOptions16>
      </c:ext>
    </c:extLst>
    <c:showDLblsOverMax val="0"/>
  </c:chart>
  <c:spPr>
    <a:solidFill>
      <a:schemeClr val="bg1"/>
    </a:solidFill>
    <a:ln w="9525" cap="flat" cmpd="sng" algn="ctr">
      <a:solidFill>
        <a:schemeClr val="tx1">
          <a:lumMod val="15000"/>
          <a:lumOff val="85000"/>
        </a:schemeClr>
      </a:solidFill>
      <a:round/>
    </a:ln>
    <a:effectLst/>
  </c:spPr>
  <c:txPr>
    <a:bodyPr/>
    <a:lstStyle/>
    <a:p>
      <a:pPr>
        <a:defRPr/>
      </a:pPr>
      <a:endParaRPr lang="en-US"/>
    </a:p>
  </c:txPr>
  <c:externalData r:id="rId3">
    <c:autoUpdate val="0"/>
  </c:externalData>
</c:chartSpace>
</file>

<file path=word/charts/chart20.xml><?xml version="1.0" encoding="utf-8"?>
<c:chartSpace xmlns:c="http://schemas.openxmlformats.org/drawingml/2006/chart" xmlns:a="http://schemas.openxmlformats.org/drawingml/2006/main" xmlns:r="http://schemas.openxmlformats.org/officeDocument/2006/relationships" xmlns:c16r2="http://schemas.microsoft.com/office/drawing/2015/06/chart">
  <c:date1904 val="0"/>
  <c:lang val="en-US"/>
  <c:roundedCorners val="0"/>
  <mc:AlternateContent xmlns:mc="http://schemas.openxmlformats.org/markup-compatibility/2006">
    <mc:Choice xmlns:c14="http://schemas.microsoft.com/office/drawing/2007/8/2/chart" Requires="c14">
      <c14:style val="102"/>
    </mc:Choice>
    <mc:Fallback>
      <c:style val="2"/>
    </mc:Fallback>
  </mc:AlternateContent>
  <c:chart>
    <c:title>
      <c:tx>
        <c:rich>
          <a:bodyPr rot="0" spcFirstLastPara="1" vertOverflow="ellipsis" vert="horz" wrap="square" anchor="ctr" anchorCtr="1"/>
          <a:lstStyle/>
          <a:p>
            <a:pPr>
              <a:defRPr sz="1400" b="0" i="0" u="none" strike="noStrike" kern="1200" spc="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r>
              <a:rPr lang="en-GB" sz="1400" b="0" i="0" u="none" strike="noStrike" kern="1200" spc="0" baseline="0">
                <a:solidFill>
                  <a:sysClr val="windowText" lastClr="000000">
                    <a:lumMod val="65000"/>
                    <a:lumOff val="35000"/>
                  </a:sysClr>
                </a:solidFill>
              </a:rPr>
              <a:t>Experiment 2 - Effect of Temperature on Gas Evolution</a:t>
            </a:r>
          </a:p>
        </c:rich>
      </c:tx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1400" b="0" i="0" u="none" strike="noStrike" kern="1200" spc="0" baseline="0">
              <a:solidFill>
                <a:schemeClr val="tx1">
                  <a:lumMod val="65000"/>
                  <a:lumOff val="3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title>
    <c:autoTitleDeleted val="0"/>
    <c:plotArea>
      <c:layout/>
      <c:scatterChart>
        <c:scatterStyle val="lineMarker"/>
        <c:varyColors val="0"/>
        <c:ser>
          <c:idx val="0"/>
          <c:order val="0"/>
          <c:tx>
            <c:v>T2 = 35C Mg Ribbon</c:v>
          </c:tx>
          <c:spPr>
            <a:ln w="19050" cap="rnd">
              <a:solidFill>
                <a:schemeClr val="accent1"/>
              </a:solidFill>
              <a:round/>
            </a:ln>
            <a:effectLst/>
          </c:spPr>
          <c:marker>
            <c:symbol val="circle"/>
            <c:size val="5"/>
            <c:spPr>
              <a:solidFill>
                <a:schemeClr val="accent1"/>
              </a:solidFill>
              <a:ln w="9525">
                <a:solidFill>
                  <a:schemeClr val="accent1"/>
                </a:solidFill>
              </a:ln>
              <a:effectLst/>
            </c:spPr>
          </c:marker>
          <c:xVal>
            <c:numRef>
              <c:f>'[Rate of reaction graphs.xlsx]Sheet1'!$H$6:$H$39</c:f>
              <c:numCache>
                <c:formatCode>General</c:formatCode>
                <c:ptCount val="34"/>
                <c:pt idx="0">
                  <c:v>0</c:v>
                </c:pt>
                <c:pt idx="1">
                  <c:v>10</c:v>
                </c:pt>
                <c:pt idx="2">
                  <c:v>20</c:v>
                </c:pt>
                <c:pt idx="3">
                  <c:v>30</c:v>
                </c:pt>
                <c:pt idx="4">
                  <c:v>40</c:v>
                </c:pt>
                <c:pt idx="5">
                  <c:v>50</c:v>
                </c:pt>
                <c:pt idx="6">
                  <c:v>60</c:v>
                </c:pt>
                <c:pt idx="7">
                  <c:v>75</c:v>
                </c:pt>
                <c:pt idx="8">
                  <c:v>90</c:v>
                </c:pt>
                <c:pt idx="9">
                  <c:v>105</c:v>
                </c:pt>
                <c:pt idx="10">
                  <c:v>120</c:v>
                </c:pt>
                <c:pt idx="11">
                  <c:v>135</c:v>
                </c:pt>
                <c:pt idx="12">
                  <c:v>150</c:v>
                </c:pt>
                <c:pt idx="13">
                  <c:v>165</c:v>
                </c:pt>
                <c:pt idx="14">
                  <c:v>180</c:v>
                </c:pt>
                <c:pt idx="15">
                  <c:v>195</c:v>
                </c:pt>
                <c:pt idx="16">
                  <c:v>210</c:v>
                </c:pt>
                <c:pt idx="17">
                  <c:v>225</c:v>
                </c:pt>
                <c:pt idx="18">
                  <c:v>240</c:v>
                </c:pt>
                <c:pt idx="19">
                  <c:v>255</c:v>
                </c:pt>
                <c:pt idx="20">
                  <c:v>270</c:v>
                </c:pt>
                <c:pt idx="21">
                  <c:v>285</c:v>
                </c:pt>
                <c:pt idx="22">
                  <c:v>300</c:v>
                </c:pt>
                <c:pt idx="23">
                  <c:v>315</c:v>
                </c:pt>
                <c:pt idx="24">
                  <c:v>330</c:v>
                </c:pt>
                <c:pt idx="25">
                  <c:v>345</c:v>
                </c:pt>
                <c:pt idx="26">
                  <c:v>360</c:v>
                </c:pt>
                <c:pt idx="27">
                  <c:v>375</c:v>
                </c:pt>
                <c:pt idx="28">
                  <c:v>390</c:v>
                </c:pt>
                <c:pt idx="29">
                  <c:v>405</c:v>
                </c:pt>
                <c:pt idx="30">
                  <c:v>420</c:v>
                </c:pt>
                <c:pt idx="31">
                  <c:v>435</c:v>
                </c:pt>
                <c:pt idx="32">
                  <c:v>450</c:v>
                </c:pt>
                <c:pt idx="33">
                  <c:v>465</c:v>
                </c:pt>
              </c:numCache>
            </c:numRef>
          </c:xVal>
          <c:yVal>
            <c:numRef>
              <c:f>'[Rate of reaction graphs.xlsx]Sheet1'!$I$6:$I$39</c:f>
              <c:numCache>
                <c:formatCode>General</c:formatCode>
                <c:ptCount val="34"/>
                <c:pt idx="0">
                  <c:v>0</c:v>
                </c:pt>
                <c:pt idx="2">
                  <c:v>8</c:v>
                </c:pt>
                <c:pt idx="3">
                  <c:v>14</c:v>
                </c:pt>
                <c:pt idx="4">
                  <c:v>17</c:v>
                </c:pt>
                <c:pt idx="5">
                  <c:v>22</c:v>
                </c:pt>
                <c:pt idx="6">
                  <c:v>25</c:v>
                </c:pt>
                <c:pt idx="7">
                  <c:v>30</c:v>
                </c:pt>
                <c:pt idx="8">
                  <c:v>35</c:v>
                </c:pt>
                <c:pt idx="9">
                  <c:v>39</c:v>
                </c:pt>
                <c:pt idx="10">
                  <c:v>43</c:v>
                </c:pt>
                <c:pt idx="11">
                  <c:v>47</c:v>
                </c:pt>
                <c:pt idx="12">
                  <c:v>50</c:v>
                </c:pt>
                <c:pt idx="13">
                  <c:v>53</c:v>
                </c:pt>
                <c:pt idx="14">
                  <c:v>55</c:v>
                </c:pt>
                <c:pt idx="15">
                  <c:v>58</c:v>
                </c:pt>
                <c:pt idx="16">
                  <c:v>60</c:v>
                </c:pt>
                <c:pt idx="17">
                  <c:v>62</c:v>
                </c:pt>
                <c:pt idx="18">
                  <c:v>64</c:v>
                </c:pt>
                <c:pt idx="19">
                  <c:v>66</c:v>
                </c:pt>
                <c:pt idx="20">
                  <c:v>68</c:v>
                </c:pt>
                <c:pt idx="21">
                  <c:v>70</c:v>
                </c:pt>
                <c:pt idx="22">
                  <c:v>71</c:v>
                </c:pt>
                <c:pt idx="23">
                  <c:v>73</c:v>
                </c:pt>
                <c:pt idx="24">
                  <c:v>74</c:v>
                </c:pt>
                <c:pt idx="25">
                  <c:v>75</c:v>
                </c:pt>
                <c:pt idx="26">
                  <c:v>76</c:v>
                </c:pt>
                <c:pt idx="27">
                  <c:v>77</c:v>
                </c:pt>
                <c:pt idx="28">
                  <c:v>79</c:v>
                </c:pt>
                <c:pt idx="29">
                  <c:v>79</c:v>
                </c:pt>
                <c:pt idx="30">
                  <c:v>79</c:v>
                </c:pt>
                <c:pt idx="31">
                  <c:v>79</c:v>
                </c:pt>
                <c:pt idx="32">
                  <c:v>79</c:v>
                </c:pt>
                <c:pt idx="33">
                  <c:v>80</c:v>
                </c:pt>
              </c:numCache>
            </c:numRef>
          </c:yVal>
          <c:smooth val="0"/>
          <c:extLst>
            <c:ext xmlns:c16="http://schemas.microsoft.com/office/drawing/2014/chart" uri="{C3380CC4-5D6E-409C-BE32-E72D297353CC}">
              <c16:uniqueId val="{00000000-2B93-4D99-8667-A5B8B262FC56}"/>
            </c:ext>
          </c:extLst>
        </c:ser>
        <c:ser>
          <c:idx val="1"/>
          <c:order val="1"/>
          <c:tx>
            <c:v>T3 = 45C Mg Ribbon</c:v>
          </c:tx>
          <c:spPr>
            <a:ln w="19050" cap="rnd">
              <a:solidFill>
                <a:schemeClr val="accent2"/>
              </a:solidFill>
              <a:round/>
            </a:ln>
            <a:effectLst/>
          </c:spPr>
          <c:marker>
            <c:symbol val="circle"/>
            <c:size val="5"/>
            <c:spPr>
              <a:solidFill>
                <a:schemeClr val="accent2"/>
              </a:solidFill>
              <a:ln w="9525">
                <a:solidFill>
                  <a:schemeClr val="accent2"/>
                </a:solidFill>
              </a:ln>
              <a:effectLst/>
            </c:spPr>
          </c:marker>
          <c:xVal>
            <c:numRef>
              <c:f>'[Rate of reaction graphs.xlsx]Sheet1'!$J$6:$J$36</c:f>
              <c:numCache>
                <c:formatCode>General</c:formatCode>
                <c:ptCount val="31"/>
                <c:pt idx="0">
                  <c:v>0</c:v>
                </c:pt>
                <c:pt idx="1">
                  <c:v>10</c:v>
                </c:pt>
                <c:pt idx="2">
                  <c:v>20</c:v>
                </c:pt>
                <c:pt idx="3">
                  <c:v>30</c:v>
                </c:pt>
                <c:pt idx="4">
                  <c:v>40</c:v>
                </c:pt>
                <c:pt idx="5">
                  <c:v>50</c:v>
                </c:pt>
                <c:pt idx="6">
                  <c:v>60</c:v>
                </c:pt>
                <c:pt idx="7">
                  <c:v>75</c:v>
                </c:pt>
                <c:pt idx="8">
                  <c:v>90</c:v>
                </c:pt>
                <c:pt idx="9">
                  <c:v>105</c:v>
                </c:pt>
                <c:pt idx="10">
                  <c:v>120</c:v>
                </c:pt>
                <c:pt idx="11">
                  <c:v>135</c:v>
                </c:pt>
                <c:pt idx="12">
                  <c:v>150</c:v>
                </c:pt>
                <c:pt idx="13">
                  <c:v>165</c:v>
                </c:pt>
                <c:pt idx="14">
                  <c:v>180</c:v>
                </c:pt>
                <c:pt idx="15">
                  <c:v>195</c:v>
                </c:pt>
                <c:pt idx="16">
                  <c:v>210</c:v>
                </c:pt>
                <c:pt idx="17">
                  <c:v>225</c:v>
                </c:pt>
                <c:pt idx="18">
                  <c:v>240</c:v>
                </c:pt>
                <c:pt idx="19">
                  <c:v>255</c:v>
                </c:pt>
                <c:pt idx="20">
                  <c:v>270</c:v>
                </c:pt>
                <c:pt idx="21">
                  <c:v>285</c:v>
                </c:pt>
                <c:pt idx="22">
                  <c:v>300</c:v>
                </c:pt>
                <c:pt idx="23">
                  <c:v>315</c:v>
                </c:pt>
                <c:pt idx="24">
                  <c:v>330</c:v>
                </c:pt>
                <c:pt idx="25">
                  <c:v>345</c:v>
                </c:pt>
                <c:pt idx="26">
                  <c:v>360</c:v>
                </c:pt>
                <c:pt idx="27">
                  <c:v>375</c:v>
                </c:pt>
                <c:pt idx="28">
                  <c:v>390</c:v>
                </c:pt>
                <c:pt idx="29">
                  <c:v>405</c:v>
                </c:pt>
                <c:pt idx="30">
                  <c:v>420</c:v>
                </c:pt>
              </c:numCache>
            </c:numRef>
          </c:xVal>
          <c:yVal>
            <c:numRef>
              <c:f>'[Rate of reaction graphs.xlsx]Sheet1'!$K$6:$K$36</c:f>
              <c:numCache>
                <c:formatCode>General</c:formatCode>
                <c:ptCount val="31"/>
                <c:pt idx="0">
                  <c:v>0</c:v>
                </c:pt>
                <c:pt idx="1">
                  <c:v>9</c:v>
                </c:pt>
                <c:pt idx="2">
                  <c:v>19</c:v>
                </c:pt>
                <c:pt idx="3">
                  <c:v>25</c:v>
                </c:pt>
                <c:pt idx="4">
                  <c:v>31</c:v>
                </c:pt>
                <c:pt idx="5">
                  <c:v>35</c:v>
                </c:pt>
                <c:pt idx="6">
                  <c:v>40</c:v>
                </c:pt>
                <c:pt idx="7">
                  <c:v>45</c:v>
                </c:pt>
                <c:pt idx="8">
                  <c:v>49</c:v>
                </c:pt>
                <c:pt idx="9">
                  <c:v>53</c:v>
                </c:pt>
                <c:pt idx="10">
                  <c:v>56</c:v>
                </c:pt>
                <c:pt idx="11">
                  <c:v>60</c:v>
                </c:pt>
                <c:pt idx="12">
                  <c:v>62</c:v>
                </c:pt>
                <c:pt idx="13">
                  <c:v>65</c:v>
                </c:pt>
                <c:pt idx="14">
                  <c:v>68</c:v>
                </c:pt>
                <c:pt idx="15">
                  <c:v>70</c:v>
                </c:pt>
                <c:pt idx="16">
                  <c:v>73</c:v>
                </c:pt>
                <c:pt idx="17">
                  <c:v>75</c:v>
                </c:pt>
                <c:pt idx="18">
                  <c:v>76</c:v>
                </c:pt>
                <c:pt idx="19">
                  <c:v>78</c:v>
                </c:pt>
                <c:pt idx="20">
                  <c:v>80</c:v>
                </c:pt>
                <c:pt idx="21">
                  <c:v>81</c:v>
                </c:pt>
                <c:pt idx="22">
                  <c:v>83</c:v>
                </c:pt>
                <c:pt idx="23">
                  <c:v>83.5</c:v>
                </c:pt>
                <c:pt idx="24">
                  <c:v>84</c:v>
                </c:pt>
                <c:pt idx="25">
                  <c:v>84</c:v>
                </c:pt>
                <c:pt idx="26">
                  <c:v>85</c:v>
                </c:pt>
                <c:pt idx="27">
                  <c:v>85</c:v>
                </c:pt>
                <c:pt idx="28">
                  <c:v>85</c:v>
                </c:pt>
                <c:pt idx="29">
                  <c:v>85</c:v>
                </c:pt>
                <c:pt idx="30">
                  <c:v>85</c:v>
                </c:pt>
              </c:numCache>
            </c:numRef>
          </c:yVal>
          <c:smooth val="0"/>
          <c:extLst>
            <c:ext xmlns:c16="http://schemas.microsoft.com/office/drawing/2014/chart" uri="{C3380CC4-5D6E-409C-BE32-E72D297353CC}">
              <c16:uniqueId val="{00000001-2B93-4D99-8667-A5B8B262FC56}"/>
            </c:ext>
          </c:extLst>
        </c:ser>
        <c:ser>
          <c:idx val="2"/>
          <c:order val="2"/>
          <c:tx>
            <c:v>T3 = 55C Mg Ribbon</c:v>
          </c:tx>
          <c:spPr>
            <a:ln w="19050" cap="rnd">
              <a:solidFill>
                <a:schemeClr val="accent3"/>
              </a:solidFill>
              <a:round/>
            </a:ln>
            <a:effectLst/>
          </c:spPr>
          <c:marker>
            <c:symbol val="circle"/>
            <c:size val="5"/>
            <c:spPr>
              <a:solidFill>
                <a:schemeClr val="accent3"/>
              </a:solidFill>
              <a:ln w="9525">
                <a:solidFill>
                  <a:schemeClr val="accent3"/>
                </a:solidFill>
              </a:ln>
              <a:effectLst/>
            </c:spPr>
          </c:marker>
          <c:xVal>
            <c:numRef>
              <c:f>'[Rate of reaction graphs.xlsx]Sheet1'!$L$6:$L$29</c:f>
              <c:numCache>
                <c:formatCode>General</c:formatCode>
                <c:ptCount val="24"/>
                <c:pt idx="0">
                  <c:v>0</c:v>
                </c:pt>
                <c:pt idx="1">
                  <c:v>10</c:v>
                </c:pt>
                <c:pt idx="2">
                  <c:v>20</c:v>
                </c:pt>
                <c:pt idx="3">
                  <c:v>30</c:v>
                </c:pt>
                <c:pt idx="4">
                  <c:v>40</c:v>
                </c:pt>
                <c:pt idx="5">
                  <c:v>50</c:v>
                </c:pt>
                <c:pt idx="6">
                  <c:v>60</c:v>
                </c:pt>
                <c:pt idx="7">
                  <c:v>75</c:v>
                </c:pt>
                <c:pt idx="8">
                  <c:v>90</c:v>
                </c:pt>
                <c:pt idx="9">
                  <c:v>105</c:v>
                </c:pt>
                <c:pt idx="10">
                  <c:v>120</c:v>
                </c:pt>
                <c:pt idx="11">
                  <c:v>135</c:v>
                </c:pt>
                <c:pt idx="12">
                  <c:v>150</c:v>
                </c:pt>
                <c:pt idx="13">
                  <c:v>165</c:v>
                </c:pt>
                <c:pt idx="14">
                  <c:v>180</c:v>
                </c:pt>
                <c:pt idx="15">
                  <c:v>195</c:v>
                </c:pt>
                <c:pt idx="16">
                  <c:v>210</c:v>
                </c:pt>
                <c:pt idx="17">
                  <c:v>225</c:v>
                </c:pt>
                <c:pt idx="18">
                  <c:v>240</c:v>
                </c:pt>
                <c:pt idx="19">
                  <c:v>255</c:v>
                </c:pt>
                <c:pt idx="20">
                  <c:v>270</c:v>
                </c:pt>
                <c:pt idx="21">
                  <c:v>285</c:v>
                </c:pt>
                <c:pt idx="22">
                  <c:v>300</c:v>
                </c:pt>
                <c:pt idx="23">
                  <c:v>315</c:v>
                </c:pt>
              </c:numCache>
            </c:numRef>
          </c:xVal>
          <c:yVal>
            <c:numRef>
              <c:f>'[Rate of reaction graphs.xlsx]Sheet1'!$M$6:$M$29</c:f>
              <c:numCache>
                <c:formatCode>General</c:formatCode>
                <c:ptCount val="24"/>
                <c:pt idx="0">
                  <c:v>0</c:v>
                </c:pt>
                <c:pt idx="1">
                  <c:v>13</c:v>
                </c:pt>
                <c:pt idx="2">
                  <c:v>22</c:v>
                </c:pt>
                <c:pt idx="3">
                  <c:v>30</c:v>
                </c:pt>
                <c:pt idx="4">
                  <c:v>35</c:v>
                </c:pt>
                <c:pt idx="5">
                  <c:v>40</c:v>
                </c:pt>
                <c:pt idx="6">
                  <c:v>45</c:v>
                </c:pt>
                <c:pt idx="7">
                  <c:v>50</c:v>
                </c:pt>
                <c:pt idx="8">
                  <c:v>54</c:v>
                </c:pt>
                <c:pt idx="9">
                  <c:v>58</c:v>
                </c:pt>
                <c:pt idx="10">
                  <c:v>62</c:v>
                </c:pt>
                <c:pt idx="11">
                  <c:v>65</c:v>
                </c:pt>
                <c:pt idx="12">
                  <c:v>67</c:v>
                </c:pt>
                <c:pt idx="13">
                  <c:v>70</c:v>
                </c:pt>
                <c:pt idx="14">
                  <c:v>72</c:v>
                </c:pt>
                <c:pt idx="15">
                  <c:v>75</c:v>
                </c:pt>
                <c:pt idx="16">
                  <c:v>77</c:v>
                </c:pt>
                <c:pt idx="17">
                  <c:v>78</c:v>
                </c:pt>
                <c:pt idx="18">
                  <c:v>80</c:v>
                </c:pt>
                <c:pt idx="19">
                  <c:v>80</c:v>
                </c:pt>
                <c:pt idx="20">
                  <c:v>82</c:v>
                </c:pt>
                <c:pt idx="21">
                  <c:v>82</c:v>
                </c:pt>
                <c:pt idx="22">
                  <c:v>82</c:v>
                </c:pt>
                <c:pt idx="23">
                  <c:v>82</c:v>
                </c:pt>
              </c:numCache>
            </c:numRef>
          </c:yVal>
          <c:smooth val="0"/>
          <c:extLst>
            <c:ext xmlns:c16="http://schemas.microsoft.com/office/drawing/2014/chart" uri="{C3380CC4-5D6E-409C-BE32-E72D297353CC}">
              <c16:uniqueId val="{00000002-2B93-4D99-8667-A5B8B262FC56}"/>
            </c:ext>
          </c:extLst>
        </c:ser>
        <c:dLbls>
          <c:showLegendKey val="0"/>
          <c:showVal val="0"/>
          <c:showCatName val="0"/>
          <c:showSerName val="0"/>
          <c:showPercent val="0"/>
          <c:showBubbleSize val="0"/>
        </c:dLbls>
        <c:axId val="610545320"/>
        <c:axId val="610541720"/>
      </c:scatterChart>
      <c:valAx>
        <c:axId val="610545320"/>
        <c:scaling>
          <c:orientation val="minMax"/>
        </c:scaling>
        <c:delete val="0"/>
        <c:axPos val="b"/>
        <c:majorGridlines>
          <c:spPr>
            <a:ln w="9525" cap="flat" cmpd="sng" algn="ctr">
              <a:solidFill>
                <a:schemeClr val="tx1">
                  <a:lumMod val="15000"/>
                  <a:lumOff val="85000"/>
                </a:schemeClr>
              </a:solidFill>
              <a:round/>
            </a:ln>
            <a:effectLst/>
          </c:spPr>
        </c:majorGridlines>
        <c:title>
          <c:tx>
            <c:rich>
              <a:bodyPr rot="0" spcFirstLastPara="1" vertOverflow="ellipsis" vert="horz" wrap="square" anchor="ctr" anchorCtr="1"/>
              <a:lstStyle/>
              <a:p>
                <a:pPr>
                  <a:defRPr sz="1000" b="0" i="0" u="none" strike="noStrike" kern="1200" baseline="0">
                    <a:solidFill>
                      <a:schemeClr val="tx1">
                        <a:lumMod val="65000"/>
                        <a:lumOff val="35000"/>
                      </a:schemeClr>
                    </a:solidFill>
                    <a:latin typeface="+mn-lt"/>
                    <a:ea typeface="+mn-ea"/>
                    <a:cs typeface="+mn-cs"/>
                  </a:defRPr>
                </a:pPr>
                <a:r>
                  <a:rPr lang="en-GB"/>
                  <a:t>Time</a:t>
                </a:r>
                <a:r>
                  <a:rPr lang="en-GB" baseline="0"/>
                  <a:t> (s)</a:t>
                </a:r>
                <a:endParaRPr lang="en-GB"/>
              </a:p>
            </c:rich>
          </c:tx>
          <c:overlay val="0"/>
          <c:spPr>
            <a:noFill/>
            <a:ln>
              <a:noFill/>
            </a:ln>
            <a:effectLst/>
          </c:spPr>
          <c:txPr>
            <a:bodyPr rot="0" spcFirstLastPara="1" vertOverflow="ellipsis" vert="horz" wrap="square" anchor="ctr" anchorCtr="1"/>
            <a:lstStyle/>
            <a:p>
              <a:pPr>
                <a:defRPr sz="1000" b="0" i="0" u="none" strike="noStrike" kern="1200" baseline="0">
                  <a:solidFill>
                    <a:schemeClr val="tx1">
                      <a:lumMod val="65000"/>
                      <a:lumOff val="35000"/>
                    </a:schemeClr>
                  </a:solidFill>
                  <a:latin typeface="+mn-lt"/>
                  <a:ea typeface="+mn-ea"/>
                  <a:cs typeface="+mn-cs"/>
                </a:defRPr>
              </a:pPr>
              <a:endParaRPr lang="en-US"/>
            </a:p>
          </c:txPr>
        </c:title>
        <c:numFmt formatCode="General" sourceLinked="1"/>
        <c:majorTickMark val="none"/>
        <c:minorTickMark val="none"/>
        <c:tickLblPos val="nextTo"/>
        <c:spPr>
          <a:noFill/>
          <a:ln w="9525" cap="flat" cmpd="sng" algn="ctr">
            <a:solidFill>
              <a:schemeClr val="tx1">
                <a:lumMod val="25000"/>
                <a:lumOff val="75000"/>
              </a:schemeClr>
            </a:solidFill>
            <a:round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610541720"/>
        <c:crosses val="autoZero"/>
        <c:crossBetween val="midCat"/>
      </c:valAx>
      <c:valAx>
        <c:axId val="610541720"/>
        <c:scaling>
          <c:orientation val="minMax"/>
        </c:scaling>
        <c:delete val="0"/>
        <c:axPos val="l"/>
        <c:majorGridlines>
          <c:spPr>
            <a:ln w="9525" cap="flat" cmpd="sng" algn="ctr">
              <a:solidFill>
                <a:schemeClr val="tx1">
                  <a:lumMod val="15000"/>
                  <a:lumOff val="85000"/>
                </a:schemeClr>
              </a:solidFill>
              <a:round/>
            </a:ln>
            <a:effectLst/>
          </c:spPr>
        </c:majorGridlines>
        <c:title>
          <c:tx>
            <c:rich>
              <a:bodyPr rot="-5400000" spcFirstLastPara="1" vertOverflow="ellipsis" vert="horz" wrap="square" anchor="ctr" anchorCtr="1"/>
              <a:lstStyle/>
              <a:p>
                <a:pPr>
                  <a:defRPr sz="1000" b="0" i="0" u="none" strike="noStrike" kern="1200" baseline="0">
                    <a:solidFill>
                      <a:schemeClr val="tx1">
                        <a:lumMod val="65000"/>
                        <a:lumOff val="35000"/>
                      </a:schemeClr>
                    </a:solidFill>
                    <a:latin typeface="+mn-lt"/>
                    <a:ea typeface="+mn-ea"/>
                    <a:cs typeface="+mn-cs"/>
                  </a:defRPr>
                </a:pPr>
                <a:r>
                  <a:rPr lang="en-GB"/>
                  <a:t>Gas</a:t>
                </a:r>
                <a:r>
                  <a:rPr lang="en-GB" baseline="0"/>
                  <a:t> Generation (cm3)</a:t>
                </a:r>
                <a:endParaRPr lang="en-GB"/>
              </a:p>
            </c:rich>
          </c:tx>
          <c:overlay val="0"/>
          <c:spPr>
            <a:noFill/>
            <a:ln>
              <a:noFill/>
            </a:ln>
            <a:effectLst/>
          </c:spPr>
          <c:txPr>
            <a:bodyPr rot="-5400000" spcFirstLastPara="1" vertOverflow="ellipsis" vert="horz" wrap="square" anchor="ctr" anchorCtr="1"/>
            <a:lstStyle/>
            <a:p>
              <a:pPr>
                <a:defRPr sz="1000" b="0" i="0" u="none" strike="noStrike" kern="1200" baseline="0">
                  <a:solidFill>
                    <a:schemeClr val="tx1">
                      <a:lumMod val="65000"/>
                      <a:lumOff val="35000"/>
                    </a:schemeClr>
                  </a:solidFill>
                  <a:latin typeface="+mn-lt"/>
                  <a:ea typeface="+mn-ea"/>
                  <a:cs typeface="+mn-cs"/>
                </a:defRPr>
              </a:pPr>
              <a:endParaRPr lang="en-US"/>
            </a:p>
          </c:txPr>
        </c:title>
        <c:numFmt formatCode="General" sourceLinked="1"/>
        <c:majorTickMark val="none"/>
        <c:minorTickMark val="none"/>
        <c:tickLblPos val="nextTo"/>
        <c:spPr>
          <a:noFill/>
          <a:ln w="9525" cap="flat" cmpd="sng" algn="ctr">
            <a:solidFill>
              <a:schemeClr val="tx1">
                <a:lumMod val="25000"/>
                <a:lumOff val="75000"/>
              </a:schemeClr>
            </a:solidFill>
            <a:round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610545320"/>
        <c:crosses val="autoZero"/>
        <c:crossBetween val="midCat"/>
      </c:valAx>
      <c:spPr>
        <a:noFill/>
        <a:ln>
          <a:noFill/>
        </a:ln>
        <a:effectLst/>
      </c:spPr>
    </c:plotArea>
    <c:legend>
      <c:legendPos val="b"/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900" b="0" i="0" u="none" strike="noStrike" kern="1200" baseline="0">
              <a:solidFill>
                <a:schemeClr val="tx1">
                  <a:lumMod val="65000"/>
                  <a:lumOff val="3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legend>
    <c:plotVisOnly val="1"/>
    <c:dispBlanksAs val="gap"/>
    <c:extLst>
      <c:ext xmlns:c16r3="http://schemas.microsoft.com/office/drawing/2017/03/chart" uri="{56B9EC1D-385E-4148-901F-78D8002777C0}">
        <c16r3:dataDisplayOptions16>
          <c16r3:dispNaAsBlank val="1"/>
        </c16r3:dataDisplayOptions16>
      </c:ext>
    </c:extLst>
    <c:showDLblsOverMax val="0"/>
  </c:chart>
  <c:spPr>
    <a:solidFill>
      <a:schemeClr val="bg1"/>
    </a:solidFill>
    <a:ln w="9525" cap="flat" cmpd="sng" algn="ctr">
      <a:solidFill>
        <a:schemeClr val="tx1">
          <a:lumMod val="15000"/>
          <a:lumOff val="85000"/>
        </a:schemeClr>
      </a:solidFill>
      <a:round/>
    </a:ln>
    <a:effectLst/>
  </c:spPr>
  <c:txPr>
    <a:bodyPr/>
    <a:lstStyle/>
    <a:p>
      <a:pPr>
        <a:defRPr/>
      </a:pPr>
      <a:endParaRPr lang="en-US"/>
    </a:p>
  </c:txPr>
  <c:externalData r:id="rId3">
    <c:autoUpdate val="0"/>
  </c:externalData>
</c:chartSpace>
</file>

<file path=word/charts/chart30.xml><?xml version="1.0" encoding="utf-8"?>
<c:chartSpace xmlns:c="http://schemas.openxmlformats.org/drawingml/2006/chart" xmlns:a="http://schemas.openxmlformats.org/drawingml/2006/main" xmlns:r="http://schemas.openxmlformats.org/officeDocument/2006/relationships" xmlns:c16r2="http://schemas.microsoft.com/office/drawing/2015/06/chart">
  <c:date1904 val="0"/>
  <c:lang val="en-US"/>
  <c:roundedCorners val="0"/>
  <mc:AlternateContent xmlns:mc="http://schemas.openxmlformats.org/markup-compatibility/2006">
    <mc:Choice xmlns:c14="http://schemas.microsoft.com/office/drawing/2007/8/2/chart" Requires="c14">
      <c14:style val="102"/>
    </mc:Choice>
    <mc:Fallback>
      <c:style val="2"/>
    </mc:Fallback>
  </mc:AlternateContent>
  <c:chart>
    <c:title>
      <c:tx>
        <c:rich>
          <a:bodyPr rot="0" spcFirstLastPara="1" vertOverflow="ellipsis" vert="horz" wrap="square" anchor="ctr" anchorCtr="1"/>
          <a:lstStyle/>
          <a:p>
            <a:pPr>
              <a:defRPr sz="1400" b="0" i="0" u="none" strike="noStrike" kern="1200" spc="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r>
              <a:rPr lang="en-GB" sz="1400" b="0" i="0" u="none" strike="noStrike" kern="1200" spc="0" baseline="0">
                <a:solidFill>
                  <a:sysClr val="windowText" lastClr="000000">
                    <a:lumMod val="65000"/>
                    <a:lumOff val="35000"/>
                  </a:sysClr>
                </a:solidFill>
              </a:rPr>
              <a:t>Experiment 3 - Effect of Surface Area on Gas Evolution</a:t>
            </a:r>
          </a:p>
        </c:rich>
      </c:tx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1400" b="0" i="0" u="none" strike="noStrike" kern="1200" spc="0" baseline="0">
              <a:solidFill>
                <a:schemeClr val="tx1">
                  <a:lumMod val="65000"/>
                  <a:lumOff val="3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title>
    <c:autoTitleDeleted val="0"/>
    <c:plotArea>
      <c:layout/>
      <c:scatterChart>
        <c:scatterStyle val="lineMarker"/>
        <c:varyColors val="0"/>
        <c:ser>
          <c:idx val="0"/>
          <c:order val="0"/>
          <c:tx>
            <c:v>T = 23.8C Powdered Magnesium</c:v>
          </c:tx>
          <c:spPr>
            <a:ln w="19050" cap="rnd">
              <a:solidFill>
                <a:schemeClr val="accent1"/>
              </a:solidFill>
              <a:round/>
            </a:ln>
            <a:effectLst/>
          </c:spPr>
          <c:marker>
            <c:symbol val="circle"/>
            <c:size val="5"/>
            <c:spPr>
              <a:solidFill>
                <a:schemeClr val="accent1"/>
              </a:solidFill>
              <a:ln w="9525">
                <a:solidFill>
                  <a:schemeClr val="accent1"/>
                </a:solidFill>
              </a:ln>
              <a:effectLst/>
            </c:spPr>
          </c:marker>
          <c:xVal>
            <c:numRef>
              <c:f>'[Rate of reaction graphs.xlsx]Sheet1'!$O$6:$O$35</c:f>
              <c:numCache>
                <c:formatCode>General</c:formatCode>
                <c:ptCount val="30"/>
                <c:pt idx="0">
                  <c:v>0</c:v>
                </c:pt>
                <c:pt idx="1">
                  <c:v>10</c:v>
                </c:pt>
                <c:pt idx="2">
                  <c:v>20</c:v>
                </c:pt>
                <c:pt idx="3">
                  <c:v>30</c:v>
                </c:pt>
                <c:pt idx="4">
                  <c:v>40</c:v>
                </c:pt>
                <c:pt idx="5">
                  <c:v>50</c:v>
                </c:pt>
                <c:pt idx="6">
                  <c:v>60</c:v>
                </c:pt>
                <c:pt idx="7">
                  <c:v>75</c:v>
                </c:pt>
                <c:pt idx="8">
                  <c:v>90</c:v>
                </c:pt>
                <c:pt idx="9">
                  <c:v>105</c:v>
                </c:pt>
                <c:pt idx="10">
                  <c:v>120</c:v>
                </c:pt>
                <c:pt idx="11">
                  <c:v>135</c:v>
                </c:pt>
                <c:pt idx="12">
                  <c:v>150</c:v>
                </c:pt>
                <c:pt idx="13">
                  <c:v>165</c:v>
                </c:pt>
                <c:pt idx="14">
                  <c:v>180</c:v>
                </c:pt>
                <c:pt idx="15">
                  <c:v>195</c:v>
                </c:pt>
                <c:pt idx="16">
                  <c:v>210</c:v>
                </c:pt>
                <c:pt idx="17">
                  <c:v>225</c:v>
                </c:pt>
                <c:pt idx="18">
                  <c:v>240</c:v>
                </c:pt>
                <c:pt idx="19">
                  <c:v>255</c:v>
                </c:pt>
                <c:pt idx="20">
                  <c:v>270</c:v>
                </c:pt>
                <c:pt idx="21">
                  <c:v>285</c:v>
                </c:pt>
                <c:pt idx="22">
                  <c:v>300</c:v>
                </c:pt>
                <c:pt idx="23">
                  <c:v>315</c:v>
                </c:pt>
                <c:pt idx="24">
                  <c:v>330</c:v>
                </c:pt>
                <c:pt idx="25">
                  <c:v>345</c:v>
                </c:pt>
                <c:pt idx="26">
                  <c:v>360</c:v>
                </c:pt>
                <c:pt idx="27">
                  <c:v>375</c:v>
                </c:pt>
                <c:pt idx="28">
                  <c:v>390</c:v>
                </c:pt>
              </c:numCache>
            </c:numRef>
          </c:xVal>
          <c:yVal>
            <c:numRef>
              <c:f>'[Rate of reaction graphs.xlsx]Sheet1'!$P$6:$P$35</c:f>
              <c:numCache>
                <c:formatCode>General</c:formatCode>
                <c:ptCount val="30"/>
                <c:pt idx="0">
                  <c:v>0</c:v>
                </c:pt>
                <c:pt idx="1">
                  <c:v>15</c:v>
                </c:pt>
                <c:pt idx="2">
                  <c:v>27</c:v>
                </c:pt>
                <c:pt idx="3">
                  <c:v>36</c:v>
                </c:pt>
                <c:pt idx="4">
                  <c:v>43</c:v>
                </c:pt>
                <c:pt idx="5">
                  <c:v>50</c:v>
                </c:pt>
                <c:pt idx="6">
                  <c:v>54</c:v>
                </c:pt>
                <c:pt idx="7">
                  <c:v>61</c:v>
                </c:pt>
                <c:pt idx="8">
                  <c:v>65</c:v>
                </c:pt>
                <c:pt idx="9">
                  <c:v>69</c:v>
                </c:pt>
                <c:pt idx="10">
                  <c:v>72</c:v>
                </c:pt>
                <c:pt idx="11">
                  <c:v>74</c:v>
                </c:pt>
                <c:pt idx="12">
                  <c:v>76</c:v>
                </c:pt>
                <c:pt idx="13">
                  <c:v>77</c:v>
                </c:pt>
                <c:pt idx="14">
                  <c:v>79</c:v>
                </c:pt>
                <c:pt idx="15">
                  <c:v>80</c:v>
                </c:pt>
                <c:pt idx="16">
                  <c:v>80</c:v>
                </c:pt>
                <c:pt idx="17">
                  <c:v>80</c:v>
                </c:pt>
                <c:pt idx="18">
                  <c:v>81</c:v>
                </c:pt>
                <c:pt idx="19">
                  <c:v>81</c:v>
                </c:pt>
                <c:pt idx="20">
                  <c:v>81</c:v>
                </c:pt>
                <c:pt idx="21">
                  <c:v>81</c:v>
                </c:pt>
                <c:pt idx="22">
                  <c:v>81</c:v>
                </c:pt>
                <c:pt idx="23">
                  <c:v>81</c:v>
                </c:pt>
                <c:pt idx="24">
                  <c:v>81</c:v>
                </c:pt>
                <c:pt idx="25">
                  <c:v>81</c:v>
                </c:pt>
                <c:pt idx="26">
                  <c:v>81</c:v>
                </c:pt>
                <c:pt idx="27">
                  <c:v>81</c:v>
                </c:pt>
                <c:pt idx="28">
                  <c:v>81</c:v>
                </c:pt>
              </c:numCache>
            </c:numRef>
          </c:yVal>
          <c:smooth val="0"/>
          <c:extLst>
            <c:ext xmlns:c16="http://schemas.microsoft.com/office/drawing/2014/chart" uri="{C3380CC4-5D6E-409C-BE32-E72D297353CC}">
              <c16:uniqueId val="{00000000-BCB9-454D-91D4-EFB93F850527}"/>
            </c:ext>
          </c:extLst>
        </c:ser>
        <c:dLbls>
          <c:showLegendKey val="0"/>
          <c:showVal val="0"/>
          <c:showCatName val="0"/>
          <c:showSerName val="0"/>
          <c:showPercent val="0"/>
          <c:showBubbleSize val="0"/>
        </c:dLbls>
        <c:axId val="488811104"/>
        <c:axId val="488807864"/>
      </c:scatterChart>
      <c:valAx>
        <c:axId val="488811104"/>
        <c:scaling>
          <c:orientation val="minMax"/>
        </c:scaling>
        <c:delete val="0"/>
        <c:axPos val="b"/>
        <c:majorGridlines>
          <c:spPr>
            <a:ln w="9525" cap="flat" cmpd="sng" algn="ctr">
              <a:solidFill>
                <a:schemeClr val="tx1">
                  <a:lumMod val="15000"/>
                  <a:lumOff val="85000"/>
                </a:schemeClr>
              </a:solidFill>
              <a:round/>
            </a:ln>
            <a:effectLst/>
          </c:spPr>
        </c:majorGridlines>
        <c:title>
          <c:tx>
            <c:rich>
              <a:bodyPr rot="0" spcFirstLastPara="1" vertOverflow="ellipsis" vert="horz" wrap="square" anchor="ctr" anchorCtr="1"/>
              <a:lstStyle/>
              <a:p>
                <a:pPr>
                  <a:defRPr sz="1000" b="0" i="0" u="none" strike="noStrike" kern="1200" baseline="0">
                    <a:solidFill>
                      <a:schemeClr val="tx1">
                        <a:lumMod val="65000"/>
                        <a:lumOff val="35000"/>
                      </a:schemeClr>
                    </a:solidFill>
                    <a:latin typeface="+mn-lt"/>
                    <a:ea typeface="+mn-ea"/>
                    <a:cs typeface="+mn-cs"/>
                  </a:defRPr>
                </a:pPr>
                <a:r>
                  <a:rPr lang="en-GB"/>
                  <a:t>Time</a:t>
                </a:r>
                <a:r>
                  <a:rPr lang="en-GB" baseline="0"/>
                  <a:t> (s)</a:t>
                </a:r>
                <a:endParaRPr lang="en-GB"/>
              </a:p>
            </c:rich>
          </c:tx>
          <c:overlay val="0"/>
          <c:spPr>
            <a:noFill/>
            <a:ln>
              <a:noFill/>
            </a:ln>
            <a:effectLst/>
          </c:spPr>
          <c:txPr>
            <a:bodyPr rot="0" spcFirstLastPara="1" vertOverflow="ellipsis" vert="horz" wrap="square" anchor="ctr" anchorCtr="1"/>
            <a:lstStyle/>
            <a:p>
              <a:pPr>
                <a:defRPr sz="1000" b="0" i="0" u="none" strike="noStrike" kern="1200" baseline="0">
                  <a:solidFill>
                    <a:schemeClr val="tx1">
                      <a:lumMod val="65000"/>
                      <a:lumOff val="35000"/>
                    </a:schemeClr>
                  </a:solidFill>
                  <a:latin typeface="+mn-lt"/>
                  <a:ea typeface="+mn-ea"/>
                  <a:cs typeface="+mn-cs"/>
                </a:defRPr>
              </a:pPr>
              <a:endParaRPr lang="en-US"/>
            </a:p>
          </c:txPr>
        </c:title>
        <c:numFmt formatCode="General" sourceLinked="1"/>
        <c:majorTickMark val="none"/>
        <c:minorTickMark val="none"/>
        <c:tickLblPos val="nextTo"/>
        <c:spPr>
          <a:noFill/>
          <a:ln w="9525" cap="flat" cmpd="sng" algn="ctr">
            <a:solidFill>
              <a:schemeClr val="tx1">
                <a:lumMod val="25000"/>
                <a:lumOff val="75000"/>
              </a:schemeClr>
            </a:solidFill>
            <a:round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488807864"/>
        <c:crosses val="autoZero"/>
        <c:crossBetween val="midCat"/>
      </c:valAx>
      <c:valAx>
        <c:axId val="488807864"/>
        <c:scaling>
          <c:orientation val="minMax"/>
        </c:scaling>
        <c:delete val="0"/>
        <c:axPos val="l"/>
        <c:majorGridlines>
          <c:spPr>
            <a:ln w="9525" cap="flat" cmpd="sng" algn="ctr">
              <a:solidFill>
                <a:schemeClr val="tx1">
                  <a:lumMod val="15000"/>
                  <a:lumOff val="85000"/>
                </a:schemeClr>
              </a:solidFill>
              <a:round/>
            </a:ln>
            <a:effectLst/>
          </c:spPr>
        </c:majorGridlines>
        <c:title>
          <c:tx>
            <c:rich>
              <a:bodyPr rot="-5400000" spcFirstLastPara="1" vertOverflow="ellipsis" vert="horz" wrap="square" anchor="ctr" anchorCtr="1"/>
              <a:lstStyle/>
              <a:p>
                <a:pPr>
                  <a:defRPr sz="1000" b="0" i="0" u="none" strike="noStrike" kern="1200" baseline="0">
                    <a:solidFill>
                      <a:schemeClr val="tx1">
                        <a:lumMod val="65000"/>
                        <a:lumOff val="35000"/>
                      </a:schemeClr>
                    </a:solidFill>
                    <a:latin typeface="+mn-lt"/>
                    <a:ea typeface="+mn-ea"/>
                    <a:cs typeface="+mn-cs"/>
                  </a:defRPr>
                </a:pPr>
                <a:r>
                  <a:rPr lang="en-GB"/>
                  <a:t>Gas</a:t>
                </a:r>
                <a:r>
                  <a:rPr lang="en-GB" baseline="0"/>
                  <a:t> Generation (cm3)</a:t>
                </a:r>
                <a:endParaRPr lang="en-GB"/>
              </a:p>
            </c:rich>
          </c:tx>
          <c:overlay val="0"/>
          <c:spPr>
            <a:noFill/>
            <a:ln>
              <a:noFill/>
            </a:ln>
            <a:effectLst/>
          </c:spPr>
          <c:txPr>
            <a:bodyPr rot="-5400000" spcFirstLastPara="1" vertOverflow="ellipsis" vert="horz" wrap="square" anchor="ctr" anchorCtr="1"/>
            <a:lstStyle/>
            <a:p>
              <a:pPr>
                <a:defRPr sz="1000" b="0" i="0" u="none" strike="noStrike" kern="1200" baseline="0">
                  <a:solidFill>
                    <a:schemeClr val="tx1">
                      <a:lumMod val="65000"/>
                      <a:lumOff val="35000"/>
                    </a:schemeClr>
                  </a:solidFill>
                  <a:latin typeface="+mn-lt"/>
                  <a:ea typeface="+mn-ea"/>
                  <a:cs typeface="+mn-cs"/>
                </a:defRPr>
              </a:pPr>
              <a:endParaRPr lang="en-US"/>
            </a:p>
          </c:txPr>
        </c:title>
        <c:numFmt formatCode="General" sourceLinked="1"/>
        <c:majorTickMark val="none"/>
        <c:minorTickMark val="none"/>
        <c:tickLblPos val="nextTo"/>
        <c:spPr>
          <a:noFill/>
          <a:ln w="9525" cap="flat" cmpd="sng" algn="ctr">
            <a:solidFill>
              <a:schemeClr val="tx1">
                <a:lumMod val="25000"/>
                <a:lumOff val="75000"/>
              </a:schemeClr>
            </a:solidFill>
            <a:round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488811104"/>
        <c:crosses val="autoZero"/>
        <c:crossBetween val="midCat"/>
      </c:valAx>
      <c:spPr>
        <a:noFill/>
        <a:ln>
          <a:noFill/>
        </a:ln>
        <a:effectLst/>
      </c:spPr>
    </c:plotArea>
    <c:legend>
      <c:legendPos val="b"/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900" b="0" i="0" u="none" strike="noStrike" kern="1200" baseline="0">
              <a:solidFill>
                <a:schemeClr val="tx1">
                  <a:lumMod val="65000"/>
                  <a:lumOff val="3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legend>
    <c:plotVisOnly val="1"/>
    <c:dispBlanksAs val="gap"/>
    <c:extLst>
      <c:ext xmlns:c16r3="http://schemas.microsoft.com/office/drawing/2017/03/chart" uri="{56B9EC1D-385E-4148-901F-78D8002777C0}">
        <c16r3:dataDisplayOptions16>
          <c16r3:dispNaAsBlank val="1"/>
        </c16r3:dataDisplayOptions16>
      </c:ext>
    </c:extLst>
    <c:showDLblsOverMax val="0"/>
  </c:chart>
  <c:spPr>
    <a:solidFill>
      <a:schemeClr val="bg1"/>
    </a:solidFill>
    <a:ln w="9525" cap="flat" cmpd="sng" algn="ctr">
      <a:solidFill>
        <a:schemeClr val="tx1">
          <a:lumMod val="15000"/>
          <a:lumOff val="85000"/>
        </a:schemeClr>
      </a:solidFill>
      <a:round/>
    </a:ln>
    <a:effectLst/>
  </c:spPr>
  <c:txPr>
    <a:bodyPr/>
    <a:lstStyle/>
    <a:p>
      <a:pPr>
        <a:defRPr/>
      </a:pPr>
      <a:endParaRPr lang="en-US"/>
    </a:p>
  </c:txPr>
  <c:externalData r:id="rId3">
    <c:autoUpdate val="0"/>
  </c:externalData>
</c:chartSpace>
</file>

<file path=word/charts/colors1.xml><?xml version="1.0" encoding="utf-8"?>
<cs:colorStyle xmlns:cs="http://schemas.microsoft.com/office/drawing/2012/chartStyle" xmlns:a="http://schemas.openxmlformats.org/drawingml/2006/main" meth="cycle" id="10">
  <a:schemeClr val="accent1"/>
  <a:schemeClr val="accent2"/>
  <a:schemeClr val="accent3"/>
  <a:schemeClr val="accent4"/>
  <a:schemeClr val="accent5"/>
  <a:schemeClr val="accent6"/>
  <cs:variation/>
  <cs:variation>
    <a:lumMod val="60000"/>
  </cs:variation>
  <cs:variation>
    <a:lumMod val="80000"/>
    <a:lumOff val="20000"/>
  </cs:variation>
  <cs:variation>
    <a:lumMod val="80000"/>
  </cs:variation>
  <cs:variation>
    <a:lumMod val="60000"/>
    <a:lumOff val="40000"/>
  </cs:variation>
  <cs:variation>
    <a:lumMod val="50000"/>
  </cs:variation>
  <cs:variation>
    <a:lumMod val="70000"/>
    <a:lumOff val="30000"/>
  </cs:variation>
  <cs:variation>
    <a:lumMod val="70000"/>
  </cs:variation>
  <cs:variation>
    <a:lumMod val="50000"/>
    <a:lumOff val="50000"/>
  </cs:variation>
</cs:colorStyle>
</file>

<file path=word/charts/colors2.xml><?xml version="1.0" encoding="utf-8"?>
<cs:colorStyle xmlns:cs="http://schemas.microsoft.com/office/drawing/2012/chartStyle" xmlns:a="http://schemas.openxmlformats.org/drawingml/2006/main" meth="cycle" id="10">
  <a:schemeClr val="accent1"/>
  <a:schemeClr val="accent2"/>
  <a:schemeClr val="accent3"/>
  <a:schemeClr val="accent4"/>
  <a:schemeClr val="accent5"/>
  <a:schemeClr val="accent6"/>
  <cs:variation/>
  <cs:variation>
    <a:lumMod val="60000"/>
  </cs:variation>
  <cs:variation>
    <a:lumMod val="80000"/>
    <a:lumOff val="20000"/>
  </cs:variation>
  <cs:variation>
    <a:lumMod val="80000"/>
  </cs:variation>
  <cs:variation>
    <a:lumMod val="60000"/>
    <a:lumOff val="40000"/>
  </cs:variation>
  <cs:variation>
    <a:lumMod val="50000"/>
  </cs:variation>
  <cs:variation>
    <a:lumMod val="70000"/>
    <a:lumOff val="30000"/>
  </cs:variation>
  <cs:variation>
    <a:lumMod val="70000"/>
  </cs:variation>
  <cs:variation>
    <a:lumMod val="50000"/>
    <a:lumOff val="50000"/>
  </cs:variation>
</cs:colorStyle>
</file>

<file path=word/charts/colors3.xml><?xml version="1.0" encoding="utf-8"?>
<cs:colorStyle xmlns:cs="http://schemas.microsoft.com/office/drawing/2012/chartStyle" xmlns:a="http://schemas.openxmlformats.org/drawingml/2006/main" meth="cycle" id="10">
  <a:schemeClr val="accent1"/>
  <a:schemeClr val="accent2"/>
  <a:schemeClr val="accent3"/>
  <a:schemeClr val="accent4"/>
  <a:schemeClr val="accent5"/>
  <a:schemeClr val="accent6"/>
  <cs:variation/>
  <cs:variation>
    <a:lumMod val="60000"/>
  </cs:variation>
  <cs:variation>
    <a:lumMod val="80000"/>
    <a:lumOff val="20000"/>
  </cs:variation>
  <cs:variation>
    <a:lumMod val="80000"/>
  </cs:variation>
  <cs:variation>
    <a:lumMod val="60000"/>
    <a:lumOff val="40000"/>
  </cs:variation>
  <cs:variation>
    <a:lumMod val="50000"/>
  </cs:variation>
  <cs:variation>
    <a:lumMod val="70000"/>
    <a:lumOff val="30000"/>
  </cs:variation>
  <cs:variation>
    <a:lumMod val="70000"/>
  </cs:variation>
  <cs:variation>
    <a:lumMod val="50000"/>
    <a:lumOff val="50000"/>
  </cs:variation>
</cs:colorStyle>
</file>

<file path=word/charts/colors10.xml><?xml version="1.0" encoding="utf-8"?>
<cs:colorStyle xmlns:cs="http://schemas.microsoft.com/office/drawing/2012/chartStyle" xmlns:a="http://schemas.openxmlformats.org/drawingml/2006/main" meth="cycle" id="10">
  <a:schemeClr val="accent1"/>
  <a:schemeClr val="accent2"/>
  <a:schemeClr val="accent3"/>
  <a:schemeClr val="accent4"/>
  <a:schemeClr val="accent5"/>
  <a:schemeClr val="accent6"/>
  <cs:variation/>
  <cs:variation>
    <a:lumMod val="60000"/>
  </cs:variation>
  <cs:variation>
    <a:lumMod val="80000"/>
    <a:lumOff val="20000"/>
  </cs:variation>
  <cs:variation>
    <a:lumMod val="80000"/>
  </cs:variation>
  <cs:variation>
    <a:lumMod val="60000"/>
    <a:lumOff val="40000"/>
  </cs:variation>
  <cs:variation>
    <a:lumMod val="50000"/>
  </cs:variation>
  <cs:variation>
    <a:lumMod val="70000"/>
    <a:lumOff val="30000"/>
  </cs:variation>
  <cs:variation>
    <a:lumMod val="70000"/>
  </cs:variation>
  <cs:variation>
    <a:lumMod val="50000"/>
    <a:lumOff val="50000"/>
  </cs:variation>
</cs:colorStyle>
</file>

<file path=word/charts/colors20.xml><?xml version="1.0" encoding="utf-8"?>
<cs:colorStyle xmlns:cs="http://schemas.microsoft.com/office/drawing/2012/chartStyle" xmlns:a="http://schemas.openxmlformats.org/drawingml/2006/main" meth="cycle" id="10">
  <a:schemeClr val="accent1"/>
  <a:schemeClr val="accent2"/>
  <a:schemeClr val="accent3"/>
  <a:schemeClr val="accent4"/>
  <a:schemeClr val="accent5"/>
  <a:schemeClr val="accent6"/>
  <cs:variation/>
  <cs:variation>
    <a:lumMod val="60000"/>
  </cs:variation>
  <cs:variation>
    <a:lumMod val="80000"/>
    <a:lumOff val="20000"/>
  </cs:variation>
  <cs:variation>
    <a:lumMod val="80000"/>
  </cs:variation>
  <cs:variation>
    <a:lumMod val="60000"/>
    <a:lumOff val="40000"/>
  </cs:variation>
  <cs:variation>
    <a:lumMod val="50000"/>
  </cs:variation>
  <cs:variation>
    <a:lumMod val="70000"/>
    <a:lumOff val="30000"/>
  </cs:variation>
  <cs:variation>
    <a:lumMod val="70000"/>
  </cs:variation>
  <cs:variation>
    <a:lumMod val="50000"/>
    <a:lumOff val="50000"/>
  </cs:variation>
</cs:colorStyle>
</file>

<file path=word/charts/colors30.xml><?xml version="1.0" encoding="utf-8"?>
<cs:colorStyle xmlns:cs="http://schemas.microsoft.com/office/drawing/2012/chartStyle" xmlns:a="http://schemas.openxmlformats.org/drawingml/2006/main" meth="cycle" id="10">
  <a:schemeClr val="accent1"/>
  <a:schemeClr val="accent2"/>
  <a:schemeClr val="accent3"/>
  <a:schemeClr val="accent4"/>
  <a:schemeClr val="accent5"/>
  <a:schemeClr val="accent6"/>
  <cs:variation/>
  <cs:variation>
    <a:lumMod val="60000"/>
  </cs:variation>
  <cs:variation>
    <a:lumMod val="80000"/>
    <a:lumOff val="20000"/>
  </cs:variation>
  <cs:variation>
    <a:lumMod val="80000"/>
  </cs:variation>
  <cs:variation>
    <a:lumMod val="60000"/>
    <a:lumOff val="40000"/>
  </cs:variation>
  <cs:variation>
    <a:lumMod val="50000"/>
  </cs:variation>
  <cs:variation>
    <a:lumMod val="70000"/>
    <a:lumOff val="30000"/>
  </cs:variation>
  <cs:variation>
    <a:lumMod val="70000"/>
  </cs:variation>
  <cs:variation>
    <a:lumMod val="50000"/>
    <a:lumOff val="50000"/>
  </cs:variation>
</cs:colorStyle>
</file>

<file path=word/charts/style1.xml><?xml version="1.0" encoding="utf-8"?>
<cs:chartStyle xmlns:cs="http://schemas.microsoft.com/office/drawing/2012/chartStyle" xmlns:a="http://schemas.openxmlformats.org/drawingml/2006/main" id="240">
  <cs:axisTitle>
    <cs:lnRef idx="0"/>
    <cs:fillRef idx="0"/>
    <cs:effectRef idx="0"/>
    <cs:fontRef idx="minor">
      <a:schemeClr val="tx1">
        <a:lumMod val="65000"/>
        <a:lumOff val="35000"/>
      </a:schemeClr>
    </cs:fontRef>
    <cs:defRPr sz="1000" kern="1200"/>
  </cs:axisTitle>
  <cs:categoryAxis>
    <cs:lnRef idx="0"/>
    <cs:fillRef idx="0"/>
    <cs:effectRef idx="0"/>
    <cs:fontRef idx="minor">
      <a:schemeClr val="tx1">
        <a:lumMod val="65000"/>
        <a:lumOff val="35000"/>
      </a:schemeClr>
    </cs:fontRef>
    <cs:spPr>
      <a:ln w="9525" cap="flat" cmpd="sng" algn="ctr">
        <a:solidFill>
          <a:schemeClr val="tx1">
            <a:lumMod val="25000"/>
            <a:lumOff val="75000"/>
          </a:schemeClr>
        </a:solidFill>
        <a:round/>
      </a:ln>
    </cs:spPr>
    <cs:defRPr sz="900" kern="1200"/>
  </cs:categoryAxis>
  <cs:chartArea mods="allowNoFillOverride allowNoLineOverride">
    <cs:lnRef idx="0"/>
    <cs:fillRef idx="0"/>
    <cs:effectRef idx="0"/>
    <cs:fontRef idx="minor">
      <a:schemeClr val="tx1"/>
    </cs:fontRef>
    <cs:spPr>
      <a:solidFill>
        <a:schemeClr val="bg1"/>
      </a:solidFill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1000" kern="1200"/>
  </cs:chartArea>
  <cs:dataLabel>
    <cs:lnRef idx="0"/>
    <cs:fillRef idx="0"/>
    <cs:effectRef idx="0"/>
    <cs:fontRef idx="minor">
      <a:schemeClr val="tx1">
        <a:lumMod val="75000"/>
        <a:lumOff val="25000"/>
      </a:schemeClr>
    </cs:fontRef>
    <cs:defRPr sz="900" kern="1200"/>
  </cs:dataLabel>
  <cs:dataLabelCallout>
    <cs:lnRef idx="0"/>
    <cs:fillRef idx="0"/>
    <cs:effectRef idx="0"/>
    <cs:fontRef idx="minor">
      <a:schemeClr val="dk1">
        <a:lumMod val="65000"/>
        <a:lumOff val="35000"/>
      </a:schemeClr>
    </cs:fontRef>
    <cs:spPr>
      <a:solidFill>
        <a:schemeClr val="lt1"/>
      </a:solidFill>
      <a:ln>
        <a:solidFill>
          <a:schemeClr val="dk1">
            <a:lumMod val="25000"/>
            <a:lumOff val="75000"/>
          </a:schemeClr>
        </a:solidFill>
      </a:ln>
    </cs:spPr>
    <cs:defRPr sz="900" kern="1200"/>
    <cs:bodyPr rot="0" spcFirstLastPara="1" vertOverflow="clip" horzOverflow="clip" vert="horz" wrap="square" lIns="36576" tIns="18288" rIns="36576" bIns="18288" anchor="ctr" anchorCtr="1">
      <a:spAutoFit/>
    </cs:bodyPr>
  </cs:dataLabelCallout>
  <cs:dataPoint>
    <cs:lnRef idx="0"/>
    <cs:fillRef idx="1">
      <cs:styleClr val="auto"/>
    </cs:fillRef>
    <cs:effectRef idx="0"/>
    <cs:fontRef idx="minor">
      <a:schemeClr val="tx1"/>
    </cs:fontRef>
  </cs:dataPoint>
  <cs:dataPoint3D>
    <cs:lnRef idx="0"/>
    <cs:fillRef idx="1">
      <cs:styleClr val="auto"/>
    </cs:fillRef>
    <cs:effectRef idx="0"/>
    <cs:fontRef idx="minor">
      <a:schemeClr val="tx1"/>
    </cs:fontRef>
  </cs:dataPoint3D>
  <cs:dataPointLine>
    <cs:lnRef idx="0">
      <cs:styleClr val="auto"/>
    </cs:lnRef>
    <cs:fillRef idx="1"/>
    <cs:effectRef idx="0"/>
    <cs:fontRef idx="minor">
      <a:schemeClr val="tx1"/>
    </cs:fontRef>
    <cs:spPr>
      <a:ln w="19050" cap="rnd">
        <a:solidFill>
          <a:schemeClr val="phClr"/>
        </a:solidFill>
        <a:round/>
      </a:ln>
    </cs:spPr>
  </cs:dataPointLine>
  <cs:dataPointMarker>
    <cs:lnRef idx="0">
      <cs:styleClr val="auto"/>
    </cs:lnRef>
    <cs:fillRef idx="1">
      <cs:styleClr val="auto"/>
    </cs:fillRef>
    <cs:effectRef idx="0"/>
    <cs:fontRef idx="minor">
      <a:schemeClr val="tx1"/>
    </cs:fontRef>
    <cs:spPr>
      <a:ln w="9525">
        <a:solidFill>
          <a:schemeClr val="phClr"/>
        </a:solidFill>
      </a:ln>
    </cs:spPr>
  </cs:dataPointMarker>
  <cs:dataPointMarkerLayout symbol="circle" size="5"/>
  <cs:dataPointWireframe>
    <cs:lnRef idx="0">
      <cs:styleClr val="auto"/>
    </cs:lnRef>
    <cs:fillRef idx="0"/>
    <cs:effectRef idx="0"/>
    <cs:fontRef idx="minor">
      <a:schemeClr val="dk1"/>
    </cs:fontRef>
    <cs:spPr>
      <a:ln w="9525" cap="rnd">
        <a:solidFill>
          <a:schemeClr val="phClr"/>
        </a:solidFill>
        <a:round/>
      </a:ln>
    </cs:spPr>
  </cs:dataPointWireframe>
  <cs:dataTable>
    <cs:lnRef idx="0"/>
    <cs:fillRef idx="0"/>
    <cs:effectRef idx="0"/>
    <cs:fontRef idx="minor">
      <a:schemeClr val="tx1">
        <a:lumMod val="65000"/>
        <a:lumOff val="35000"/>
      </a:schemeClr>
    </cs:fontRef>
    <cs:spPr>
      <a:noFill/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dataTable>
  <cs:downBar>
    <cs:lnRef idx="0"/>
    <cs:fillRef idx="0"/>
    <cs:effectRef idx="0"/>
    <cs:fontRef idx="minor">
      <a:schemeClr val="tx1"/>
    </cs:fontRef>
    <cs:spPr>
      <a:solidFill>
        <a:schemeClr val="dk1">
          <a:lumMod val="75000"/>
          <a:lumOff val="25000"/>
        </a:schemeClr>
      </a:solidFill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downBar>
  <cs:drop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dropLine>
  <cs:errorBa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errorBar>
  <cs:floor>
    <cs:lnRef idx="0"/>
    <cs:fillRef idx="0"/>
    <cs:effectRef idx="0"/>
    <cs:fontRef idx="minor">
      <a:schemeClr val="tx1"/>
    </cs:fontRef>
    <cs:spPr>
      <a:noFill/>
      <a:ln>
        <a:noFill/>
      </a:ln>
    </cs:spPr>
  </cs:floor>
  <cs:gridlineMaj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</cs:gridlineMajor>
  <cs:gridlineMin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"/>
            <a:lumOff val="95000"/>
          </a:schemeClr>
        </a:solidFill>
        <a:round/>
      </a:ln>
    </cs:spPr>
  </cs:gridlineMinor>
  <cs:hiLo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0"/>
            <a:lumOff val="50000"/>
          </a:schemeClr>
        </a:solidFill>
        <a:round/>
      </a:ln>
    </cs:spPr>
  </cs:hiLoLine>
  <cs:leader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leaderLine>
  <cs:legend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legend>
  <cs:plotArea mods="allowNoFillOverride allowNoLineOverride">
    <cs:lnRef idx="0"/>
    <cs:fillRef idx="0"/>
    <cs:effectRef idx="0"/>
    <cs:fontRef idx="minor">
      <a:schemeClr val="tx1"/>
    </cs:fontRef>
  </cs:plotArea>
  <cs:plotArea3D mods="allowNoFillOverride allowNoLineOverride">
    <cs:lnRef idx="0"/>
    <cs:fillRef idx="0"/>
    <cs:effectRef idx="0"/>
    <cs:fontRef idx="minor">
      <a:schemeClr val="tx1"/>
    </cs:fontRef>
  </cs:plotArea3D>
  <cs:series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seriesAxis>
  <cs:series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seriesLine>
  <cs:title>
    <cs:lnRef idx="0"/>
    <cs:fillRef idx="0"/>
    <cs:effectRef idx="0"/>
    <cs:fontRef idx="minor">
      <a:schemeClr val="tx1">
        <a:lumMod val="65000"/>
        <a:lumOff val="35000"/>
      </a:schemeClr>
    </cs:fontRef>
    <cs:defRPr sz="1400" b="0" kern="1200" spc="0" baseline="0"/>
  </cs:title>
  <cs:trendline>
    <cs:lnRef idx="0">
      <cs:styleClr val="auto"/>
    </cs:lnRef>
    <cs:fillRef idx="0"/>
    <cs:effectRef idx="0"/>
    <cs:fontRef idx="minor">
      <a:schemeClr val="tx1"/>
    </cs:fontRef>
    <cs:spPr>
      <a:ln w="19050" cap="rnd">
        <a:solidFill>
          <a:schemeClr val="phClr"/>
        </a:solidFill>
        <a:prstDash val="sysDot"/>
      </a:ln>
    </cs:spPr>
  </cs:trendline>
  <cs:trendlineLabel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trendlineLabel>
  <cs:upBar>
    <cs:lnRef idx="0"/>
    <cs:fillRef idx="0"/>
    <cs:effectRef idx="0"/>
    <cs:fontRef idx="minor">
      <a:schemeClr val="tx1"/>
    </cs:fontRef>
    <cs:spPr>
      <a:solidFill>
        <a:schemeClr val="lt1"/>
      </a:solidFill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upBar>
  <cs:valueAxis>
    <cs:lnRef idx="0"/>
    <cs:fillRef idx="0"/>
    <cs:effectRef idx="0"/>
    <cs:fontRef idx="minor">
      <a:schemeClr val="tx1">
        <a:lumMod val="65000"/>
        <a:lumOff val="35000"/>
      </a:schemeClr>
    </cs:fontRef>
    <cs:spPr>
      <a:ln w="9525" cap="flat" cmpd="sng" algn="ctr">
        <a:solidFill>
          <a:schemeClr val="tx1">
            <a:lumMod val="25000"/>
            <a:lumOff val="75000"/>
          </a:schemeClr>
        </a:solidFill>
        <a:round/>
      </a:ln>
    </cs:spPr>
    <cs:defRPr sz="900" kern="1200"/>
  </cs:valueAxis>
  <cs:wall>
    <cs:lnRef idx="0"/>
    <cs:fillRef idx="0"/>
    <cs:effectRef idx="0"/>
    <cs:fontRef idx="minor">
      <a:schemeClr val="tx1"/>
    </cs:fontRef>
    <cs:spPr>
      <a:noFill/>
      <a:ln>
        <a:noFill/>
      </a:ln>
    </cs:spPr>
  </cs:wall>
</cs:chartStyle>
</file>

<file path=word/charts/style2.xml><?xml version="1.0" encoding="utf-8"?>
<cs:chartStyle xmlns:cs="http://schemas.microsoft.com/office/drawing/2012/chartStyle" xmlns:a="http://schemas.openxmlformats.org/drawingml/2006/main" id="240">
  <cs:axisTitle>
    <cs:lnRef idx="0"/>
    <cs:fillRef idx="0"/>
    <cs:effectRef idx="0"/>
    <cs:fontRef idx="minor">
      <a:schemeClr val="tx1">
        <a:lumMod val="65000"/>
        <a:lumOff val="35000"/>
      </a:schemeClr>
    </cs:fontRef>
    <cs:defRPr sz="1000" kern="1200"/>
  </cs:axisTitle>
  <cs:categoryAxis>
    <cs:lnRef idx="0"/>
    <cs:fillRef idx="0"/>
    <cs:effectRef idx="0"/>
    <cs:fontRef idx="minor">
      <a:schemeClr val="tx1">
        <a:lumMod val="65000"/>
        <a:lumOff val="35000"/>
      </a:schemeClr>
    </cs:fontRef>
    <cs:spPr>
      <a:ln w="9525" cap="flat" cmpd="sng" algn="ctr">
        <a:solidFill>
          <a:schemeClr val="tx1">
            <a:lumMod val="25000"/>
            <a:lumOff val="75000"/>
          </a:schemeClr>
        </a:solidFill>
        <a:round/>
      </a:ln>
    </cs:spPr>
    <cs:defRPr sz="900" kern="1200"/>
  </cs:categoryAxis>
  <cs:chartArea mods="allowNoFillOverride allowNoLineOverride">
    <cs:lnRef idx="0"/>
    <cs:fillRef idx="0"/>
    <cs:effectRef idx="0"/>
    <cs:fontRef idx="minor">
      <a:schemeClr val="tx1"/>
    </cs:fontRef>
    <cs:spPr>
      <a:solidFill>
        <a:schemeClr val="bg1"/>
      </a:solidFill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1000" kern="1200"/>
  </cs:chartArea>
  <cs:dataLabel>
    <cs:lnRef idx="0"/>
    <cs:fillRef idx="0"/>
    <cs:effectRef idx="0"/>
    <cs:fontRef idx="minor">
      <a:schemeClr val="tx1">
        <a:lumMod val="75000"/>
        <a:lumOff val="25000"/>
      </a:schemeClr>
    </cs:fontRef>
    <cs:defRPr sz="900" kern="1200"/>
  </cs:dataLabel>
  <cs:dataLabelCallout>
    <cs:lnRef idx="0"/>
    <cs:fillRef idx="0"/>
    <cs:effectRef idx="0"/>
    <cs:fontRef idx="minor">
      <a:schemeClr val="dk1">
        <a:lumMod val="65000"/>
        <a:lumOff val="35000"/>
      </a:schemeClr>
    </cs:fontRef>
    <cs:spPr>
      <a:solidFill>
        <a:schemeClr val="lt1"/>
      </a:solidFill>
      <a:ln>
        <a:solidFill>
          <a:schemeClr val="dk1">
            <a:lumMod val="25000"/>
            <a:lumOff val="75000"/>
          </a:schemeClr>
        </a:solidFill>
      </a:ln>
    </cs:spPr>
    <cs:defRPr sz="900" kern="1200"/>
    <cs:bodyPr rot="0" spcFirstLastPara="1" vertOverflow="clip" horzOverflow="clip" vert="horz" wrap="square" lIns="36576" tIns="18288" rIns="36576" bIns="18288" anchor="ctr" anchorCtr="1">
      <a:spAutoFit/>
    </cs:bodyPr>
  </cs:dataLabelCallout>
  <cs:dataPoint>
    <cs:lnRef idx="0"/>
    <cs:fillRef idx="1">
      <cs:styleClr val="auto"/>
    </cs:fillRef>
    <cs:effectRef idx="0"/>
    <cs:fontRef idx="minor">
      <a:schemeClr val="tx1"/>
    </cs:fontRef>
  </cs:dataPoint>
  <cs:dataPoint3D>
    <cs:lnRef idx="0"/>
    <cs:fillRef idx="1">
      <cs:styleClr val="auto"/>
    </cs:fillRef>
    <cs:effectRef idx="0"/>
    <cs:fontRef idx="minor">
      <a:schemeClr val="tx1"/>
    </cs:fontRef>
  </cs:dataPoint3D>
  <cs:dataPointLine>
    <cs:lnRef idx="0">
      <cs:styleClr val="auto"/>
    </cs:lnRef>
    <cs:fillRef idx="1"/>
    <cs:effectRef idx="0"/>
    <cs:fontRef idx="minor">
      <a:schemeClr val="tx1"/>
    </cs:fontRef>
    <cs:spPr>
      <a:ln w="19050" cap="rnd">
        <a:solidFill>
          <a:schemeClr val="phClr"/>
        </a:solidFill>
        <a:round/>
      </a:ln>
    </cs:spPr>
  </cs:dataPointLine>
  <cs:dataPointMarker>
    <cs:lnRef idx="0">
      <cs:styleClr val="auto"/>
    </cs:lnRef>
    <cs:fillRef idx="1">
      <cs:styleClr val="auto"/>
    </cs:fillRef>
    <cs:effectRef idx="0"/>
    <cs:fontRef idx="minor">
      <a:schemeClr val="tx1"/>
    </cs:fontRef>
    <cs:spPr>
      <a:ln w="9525">
        <a:solidFill>
          <a:schemeClr val="phClr"/>
        </a:solidFill>
      </a:ln>
    </cs:spPr>
  </cs:dataPointMarker>
  <cs:dataPointMarkerLayout symbol="circle" size="5"/>
  <cs:dataPointWireframe>
    <cs:lnRef idx="0">
      <cs:styleClr val="auto"/>
    </cs:lnRef>
    <cs:fillRef idx="0"/>
    <cs:effectRef idx="0"/>
    <cs:fontRef idx="minor">
      <a:schemeClr val="dk1"/>
    </cs:fontRef>
    <cs:spPr>
      <a:ln w="9525" cap="rnd">
        <a:solidFill>
          <a:schemeClr val="phClr"/>
        </a:solidFill>
        <a:round/>
      </a:ln>
    </cs:spPr>
  </cs:dataPointWireframe>
  <cs:dataTable>
    <cs:lnRef idx="0"/>
    <cs:fillRef idx="0"/>
    <cs:effectRef idx="0"/>
    <cs:fontRef idx="minor">
      <a:schemeClr val="tx1">
        <a:lumMod val="65000"/>
        <a:lumOff val="35000"/>
      </a:schemeClr>
    </cs:fontRef>
    <cs:spPr>
      <a:noFill/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dataTable>
  <cs:downBar>
    <cs:lnRef idx="0"/>
    <cs:fillRef idx="0"/>
    <cs:effectRef idx="0"/>
    <cs:fontRef idx="minor">
      <a:schemeClr val="tx1"/>
    </cs:fontRef>
    <cs:spPr>
      <a:solidFill>
        <a:schemeClr val="dk1">
          <a:lumMod val="75000"/>
          <a:lumOff val="25000"/>
        </a:schemeClr>
      </a:solidFill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downBar>
  <cs:drop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dropLine>
  <cs:errorBa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errorBar>
  <cs:floor>
    <cs:lnRef idx="0"/>
    <cs:fillRef idx="0"/>
    <cs:effectRef idx="0"/>
    <cs:fontRef idx="minor">
      <a:schemeClr val="tx1"/>
    </cs:fontRef>
    <cs:spPr>
      <a:noFill/>
      <a:ln>
        <a:noFill/>
      </a:ln>
    </cs:spPr>
  </cs:floor>
  <cs:gridlineMaj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</cs:gridlineMajor>
  <cs:gridlineMin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"/>
            <a:lumOff val="95000"/>
          </a:schemeClr>
        </a:solidFill>
        <a:round/>
      </a:ln>
    </cs:spPr>
  </cs:gridlineMinor>
  <cs:hiLo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0"/>
            <a:lumOff val="50000"/>
          </a:schemeClr>
        </a:solidFill>
        <a:round/>
      </a:ln>
    </cs:spPr>
  </cs:hiLoLine>
  <cs:leader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leaderLine>
  <cs:legend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legend>
  <cs:plotArea mods="allowNoFillOverride allowNoLineOverride">
    <cs:lnRef idx="0"/>
    <cs:fillRef idx="0"/>
    <cs:effectRef idx="0"/>
    <cs:fontRef idx="minor">
      <a:schemeClr val="tx1"/>
    </cs:fontRef>
  </cs:plotArea>
  <cs:plotArea3D mods="allowNoFillOverride allowNoLineOverride">
    <cs:lnRef idx="0"/>
    <cs:fillRef idx="0"/>
    <cs:effectRef idx="0"/>
    <cs:fontRef idx="minor">
      <a:schemeClr val="tx1"/>
    </cs:fontRef>
  </cs:plotArea3D>
  <cs:series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seriesAxis>
  <cs:series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seriesLine>
  <cs:title>
    <cs:lnRef idx="0"/>
    <cs:fillRef idx="0"/>
    <cs:effectRef idx="0"/>
    <cs:fontRef idx="minor">
      <a:schemeClr val="tx1">
        <a:lumMod val="65000"/>
        <a:lumOff val="35000"/>
      </a:schemeClr>
    </cs:fontRef>
    <cs:defRPr sz="1400" b="0" kern="1200" spc="0" baseline="0"/>
  </cs:title>
  <cs:trendline>
    <cs:lnRef idx="0">
      <cs:styleClr val="auto"/>
    </cs:lnRef>
    <cs:fillRef idx="0"/>
    <cs:effectRef idx="0"/>
    <cs:fontRef idx="minor">
      <a:schemeClr val="tx1"/>
    </cs:fontRef>
    <cs:spPr>
      <a:ln w="19050" cap="rnd">
        <a:solidFill>
          <a:schemeClr val="phClr"/>
        </a:solidFill>
        <a:prstDash val="sysDot"/>
      </a:ln>
    </cs:spPr>
  </cs:trendline>
  <cs:trendlineLabel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trendlineLabel>
  <cs:upBar>
    <cs:lnRef idx="0"/>
    <cs:fillRef idx="0"/>
    <cs:effectRef idx="0"/>
    <cs:fontRef idx="minor">
      <a:schemeClr val="tx1"/>
    </cs:fontRef>
    <cs:spPr>
      <a:solidFill>
        <a:schemeClr val="lt1"/>
      </a:solidFill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upBar>
  <cs:valueAxis>
    <cs:lnRef idx="0"/>
    <cs:fillRef idx="0"/>
    <cs:effectRef idx="0"/>
    <cs:fontRef idx="minor">
      <a:schemeClr val="tx1">
        <a:lumMod val="65000"/>
        <a:lumOff val="35000"/>
      </a:schemeClr>
    </cs:fontRef>
    <cs:spPr>
      <a:ln w="9525" cap="flat" cmpd="sng" algn="ctr">
        <a:solidFill>
          <a:schemeClr val="tx1">
            <a:lumMod val="25000"/>
            <a:lumOff val="75000"/>
          </a:schemeClr>
        </a:solidFill>
        <a:round/>
      </a:ln>
    </cs:spPr>
    <cs:defRPr sz="900" kern="1200"/>
  </cs:valueAxis>
  <cs:wall>
    <cs:lnRef idx="0"/>
    <cs:fillRef idx="0"/>
    <cs:effectRef idx="0"/>
    <cs:fontRef idx="minor">
      <a:schemeClr val="tx1"/>
    </cs:fontRef>
    <cs:spPr>
      <a:noFill/>
      <a:ln>
        <a:noFill/>
      </a:ln>
    </cs:spPr>
  </cs:wall>
</cs:chartStyle>
</file>

<file path=word/charts/style3.xml><?xml version="1.0" encoding="utf-8"?>
<cs:chartStyle xmlns:cs="http://schemas.microsoft.com/office/drawing/2012/chartStyle" xmlns:a="http://schemas.openxmlformats.org/drawingml/2006/main" id="240">
  <cs:axisTitle>
    <cs:lnRef idx="0"/>
    <cs:fillRef idx="0"/>
    <cs:effectRef idx="0"/>
    <cs:fontRef idx="minor">
      <a:schemeClr val="tx1">
        <a:lumMod val="65000"/>
        <a:lumOff val="35000"/>
      </a:schemeClr>
    </cs:fontRef>
    <cs:defRPr sz="1000" kern="1200"/>
  </cs:axisTitle>
  <cs:categoryAxis>
    <cs:lnRef idx="0"/>
    <cs:fillRef idx="0"/>
    <cs:effectRef idx="0"/>
    <cs:fontRef idx="minor">
      <a:schemeClr val="tx1">
        <a:lumMod val="65000"/>
        <a:lumOff val="35000"/>
      </a:schemeClr>
    </cs:fontRef>
    <cs:spPr>
      <a:ln w="9525" cap="flat" cmpd="sng" algn="ctr">
        <a:solidFill>
          <a:schemeClr val="tx1">
            <a:lumMod val="25000"/>
            <a:lumOff val="75000"/>
          </a:schemeClr>
        </a:solidFill>
        <a:round/>
      </a:ln>
    </cs:spPr>
    <cs:defRPr sz="900" kern="1200"/>
  </cs:categoryAxis>
  <cs:chartArea mods="allowNoFillOverride allowNoLineOverride">
    <cs:lnRef idx="0"/>
    <cs:fillRef idx="0"/>
    <cs:effectRef idx="0"/>
    <cs:fontRef idx="minor">
      <a:schemeClr val="tx1"/>
    </cs:fontRef>
    <cs:spPr>
      <a:solidFill>
        <a:schemeClr val="bg1"/>
      </a:solidFill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1000" kern="1200"/>
  </cs:chartArea>
  <cs:dataLabel>
    <cs:lnRef idx="0"/>
    <cs:fillRef idx="0"/>
    <cs:effectRef idx="0"/>
    <cs:fontRef idx="minor">
      <a:schemeClr val="tx1">
        <a:lumMod val="75000"/>
        <a:lumOff val="25000"/>
      </a:schemeClr>
    </cs:fontRef>
    <cs:defRPr sz="900" kern="1200"/>
  </cs:dataLabel>
  <cs:dataLabelCallout>
    <cs:lnRef idx="0"/>
    <cs:fillRef idx="0"/>
    <cs:effectRef idx="0"/>
    <cs:fontRef idx="minor">
      <a:schemeClr val="dk1">
        <a:lumMod val="65000"/>
        <a:lumOff val="35000"/>
      </a:schemeClr>
    </cs:fontRef>
    <cs:spPr>
      <a:solidFill>
        <a:schemeClr val="lt1"/>
      </a:solidFill>
      <a:ln>
        <a:solidFill>
          <a:schemeClr val="dk1">
            <a:lumMod val="25000"/>
            <a:lumOff val="75000"/>
          </a:schemeClr>
        </a:solidFill>
      </a:ln>
    </cs:spPr>
    <cs:defRPr sz="900" kern="1200"/>
    <cs:bodyPr rot="0" spcFirstLastPara="1" vertOverflow="clip" horzOverflow="clip" vert="horz" wrap="square" lIns="36576" tIns="18288" rIns="36576" bIns="18288" anchor="ctr" anchorCtr="1">
      <a:spAutoFit/>
    </cs:bodyPr>
  </cs:dataLabelCallout>
  <cs:dataPoint>
    <cs:lnRef idx="0"/>
    <cs:fillRef idx="1">
      <cs:styleClr val="auto"/>
    </cs:fillRef>
    <cs:effectRef idx="0"/>
    <cs:fontRef idx="minor">
      <a:schemeClr val="tx1"/>
    </cs:fontRef>
  </cs:dataPoint>
  <cs:dataPoint3D>
    <cs:lnRef idx="0"/>
    <cs:fillRef idx="1">
      <cs:styleClr val="auto"/>
    </cs:fillRef>
    <cs:effectRef idx="0"/>
    <cs:fontRef idx="minor">
      <a:schemeClr val="tx1"/>
    </cs:fontRef>
  </cs:dataPoint3D>
  <cs:dataPointLine>
    <cs:lnRef idx="0">
      <cs:styleClr val="auto"/>
    </cs:lnRef>
    <cs:fillRef idx="1"/>
    <cs:effectRef idx="0"/>
    <cs:fontRef idx="minor">
      <a:schemeClr val="tx1"/>
    </cs:fontRef>
    <cs:spPr>
      <a:ln w="19050" cap="rnd">
        <a:solidFill>
          <a:schemeClr val="phClr"/>
        </a:solidFill>
        <a:round/>
      </a:ln>
    </cs:spPr>
  </cs:dataPointLine>
  <cs:dataPointMarker>
    <cs:lnRef idx="0">
      <cs:styleClr val="auto"/>
    </cs:lnRef>
    <cs:fillRef idx="1">
      <cs:styleClr val="auto"/>
    </cs:fillRef>
    <cs:effectRef idx="0"/>
    <cs:fontRef idx="minor">
      <a:schemeClr val="tx1"/>
    </cs:fontRef>
    <cs:spPr>
      <a:ln w="9525">
        <a:solidFill>
          <a:schemeClr val="phClr"/>
        </a:solidFill>
      </a:ln>
    </cs:spPr>
  </cs:dataPointMarker>
  <cs:dataPointMarkerLayout symbol="circle" size="5"/>
  <cs:dataPointWireframe>
    <cs:lnRef idx="0">
      <cs:styleClr val="auto"/>
    </cs:lnRef>
    <cs:fillRef idx="0"/>
    <cs:effectRef idx="0"/>
    <cs:fontRef idx="minor">
      <a:schemeClr val="dk1"/>
    </cs:fontRef>
    <cs:spPr>
      <a:ln w="9525" cap="rnd">
        <a:solidFill>
          <a:schemeClr val="phClr"/>
        </a:solidFill>
        <a:round/>
      </a:ln>
    </cs:spPr>
  </cs:dataPointWireframe>
  <cs:dataTable>
    <cs:lnRef idx="0"/>
    <cs:fillRef idx="0"/>
    <cs:effectRef idx="0"/>
    <cs:fontRef idx="minor">
      <a:schemeClr val="tx1">
        <a:lumMod val="65000"/>
        <a:lumOff val="35000"/>
      </a:schemeClr>
    </cs:fontRef>
    <cs:spPr>
      <a:noFill/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dataTable>
  <cs:downBar>
    <cs:lnRef idx="0"/>
    <cs:fillRef idx="0"/>
    <cs:effectRef idx="0"/>
    <cs:fontRef idx="minor">
      <a:schemeClr val="tx1"/>
    </cs:fontRef>
    <cs:spPr>
      <a:solidFill>
        <a:schemeClr val="dk1">
          <a:lumMod val="75000"/>
          <a:lumOff val="25000"/>
        </a:schemeClr>
      </a:solidFill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downBar>
  <cs:drop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dropLine>
  <cs:errorBa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errorBar>
  <cs:floor>
    <cs:lnRef idx="0"/>
    <cs:fillRef idx="0"/>
    <cs:effectRef idx="0"/>
    <cs:fontRef idx="minor">
      <a:schemeClr val="tx1"/>
    </cs:fontRef>
    <cs:spPr>
      <a:noFill/>
      <a:ln>
        <a:noFill/>
      </a:ln>
    </cs:spPr>
  </cs:floor>
  <cs:gridlineMaj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</cs:gridlineMajor>
  <cs:gridlineMin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"/>
            <a:lumOff val="95000"/>
          </a:schemeClr>
        </a:solidFill>
        <a:round/>
      </a:ln>
    </cs:spPr>
  </cs:gridlineMinor>
  <cs:hiLo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0"/>
            <a:lumOff val="50000"/>
          </a:schemeClr>
        </a:solidFill>
        <a:round/>
      </a:ln>
    </cs:spPr>
  </cs:hiLoLine>
  <cs:leader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leaderLine>
  <cs:legend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legend>
  <cs:plotArea mods="allowNoFillOverride allowNoLineOverride">
    <cs:lnRef idx="0"/>
    <cs:fillRef idx="0"/>
    <cs:effectRef idx="0"/>
    <cs:fontRef idx="minor">
      <a:schemeClr val="tx1"/>
    </cs:fontRef>
  </cs:plotArea>
  <cs:plotArea3D mods="allowNoFillOverride allowNoLineOverride">
    <cs:lnRef idx="0"/>
    <cs:fillRef idx="0"/>
    <cs:effectRef idx="0"/>
    <cs:fontRef idx="minor">
      <a:schemeClr val="tx1"/>
    </cs:fontRef>
  </cs:plotArea3D>
  <cs:series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seriesAxis>
  <cs:series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seriesLine>
  <cs:title>
    <cs:lnRef idx="0"/>
    <cs:fillRef idx="0"/>
    <cs:effectRef idx="0"/>
    <cs:fontRef idx="minor">
      <a:schemeClr val="tx1">
        <a:lumMod val="65000"/>
        <a:lumOff val="35000"/>
      </a:schemeClr>
    </cs:fontRef>
    <cs:defRPr sz="1400" b="0" kern="1200" spc="0" baseline="0"/>
  </cs:title>
  <cs:trendline>
    <cs:lnRef idx="0">
      <cs:styleClr val="auto"/>
    </cs:lnRef>
    <cs:fillRef idx="0"/>
    <cs:effectRef idx="0"/>
    <cs:fontRef idx="minor">
      <a:schemeClr val="tx1"/>
    </cs:fontRef>
    <cs:spPr>
      <a:ln w="19050" cap="rnd">
        <a:solidFill>
          <a:schemeClr val="phClr"/>
        </a:solidFill>
        <a:prstDash val="sysDot"/>
      </a:ln>
    </cs:spPr>
  </cs:trendline>
  <cs:trendlineLabel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trendlineLabel>
  <cs:upBar>
    <cs:lnRef idx="0"/>
    <cs:fillRef idx="0"/>
    <cs:effectRef idx="0"/>
    <cs:fontRef idx="minor">
      <a:schemeClr val="tx1"/>
    </cs:fontRef>
    <cs:spPr>
      <a:solidFill>
        <a:schemeClr val="lt1"/>
      </a:solidFill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upBar>
  <cs:valueAxis>
    <cs:lnRef idx="0"/>
    <cs:fillRef idx="0"/>
    <cs:effectRef idx="0"/>
    <cs:fontRef idx="minor">
      <a:schemeClr val="tx1">
        <a:lumMod val="65000"/>
        <a:lumOff val="35000"/>
      </a:schemeClr>
    </cs:fontRef>
    <cs:spPr>
      <a:ln w="9525" cap="flat" cmpd="sng" algn="ctr">
        <a:solidFill>
          <a:schemeClr val="tx1">
            <a:lumMod val="25000"/>
            <a:lumOff val="75000"/>
          </a:schemeClr>
        </a:solidFill>
        <a:round/>
      </a:ln>
    </cs:spPr>
    <cs:defRPr sz="900" kern="1200"/>
  </cs:valueAxis>
  <cs:wall>
    <cs:lnRef idx="0"/>
    <cs:fillRef idx="0"/>
    <cs:effectRef idx="0"/>
    <cs:fontRef idx="minor">
      <a:schemeClr val="tx1"/>
    </cs:fontRef>
    <cs:spPr>
      <a:noFill/>
      <a:ln>
        <a:noFill/>
      </a:ln>
    </cs:spPr>
  </cs:wall>
</cs:chartStyle>
</file>

<file path=word/charts/style10.xml><?xml version="1.0" encoding="utf-8"?>
<cs:chartStyle xmlns:cs="http://schemas.microsoft.com/office/drawing/2012/chartStyle" xmlns:a="http://schemas.openxmlformats.org/drawingml/2006/main" id="240">
  <cs:axisTitle>
    <cs:lnRef idx="0"/>
    <cs:fillRef idx="0"/>
    <cs:effectRef idx="0"/>
    <cs:fontRef idx="minor">
      <a:schemeClr val="tx1">
        <a:lumMod val="65000"/>
        <a:lumOff val="35000"/>
      </a:schemeClr>
    </cs:fontRef>
    <cs:defRPr sz="1000" kern="1200"/>
  </cs:axisTitle>
  <cs:categoryAxis>
    <cs:lnRef idx="0"/>
    <cs:fillRef idx="0"/>
    <cs:effectRef idx="0"/>
    <cs:fontRef idx="minor">
      <a:schemeClr val="tx1">
        <a:lumMod val="65000"/>
        <a:lumOff val="35000"/>
      </a:schemeClr>
    </cs:fontRef>
    <cs:spPr>
      <a:ln w="9525" cap="flat" cmpd="sng" algn="ctr">
        <a:solidFill>
          <a:schemeClr val="tx1">
            <a:lumMod val="25000"/>
            <a:lumOff val="75000"/>
          </a:schemeClr>
        </a:solidFill>
        <a:round/>
      </a:ln>
    </cs:spPr>
    <cs:defRPr sz="900" kern="1200"/>
  </cs:categoryAxis>
  <cs:chartArea mods="allowNoFillOverride allowNoLineOverride">
    <cs:lnRef idx="0"/>
    <cs:fillRef idx="0"/>
    <cs:effectRef idx="0"/>
    <cs:fontRef idx="minor">
      <a:schemeClr val="tx1"/>
    </cs:fontRef>
    <cs:spPr>
      <a:solidFill>
        <a:schemeClr val="bg1"/>
      </a:solidFill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1000" kern="1200"/>
  </cs:chartArea>
  <cs:dataLabel>
    <cs:lnRef idx="0"/>
    <cs:fillRef idx="0"/>
    <cs:effectRef idx="0"/>
    <cs:fontRef idx="minor">
      <a:schemeClr val="tx1">
        <a:lumMod val="75000"/>
        <a:lumOff val="25000"/>
      </a:schemeClr>
    </cs:fontRef>
    <cs:defRPr sz="900" kern="1200"/>
  </cs:dataLabel>
  <cs:dataLabelCallout>
    <cs:lnRef idx="0"/>
    <cs:fillRef idx="0"/>
    <cs:effectRef idx="0"/>
    <cs:fontRef idx="minor">
      <a:schemeClr val="dk1">
        <a:lumMod val="65000"/>
        <a:lumOff val="35000"/>
      </a:schemeClr>
    </cs:fontRef>
    <cs:spPr>
      <a:solidFill>
        <a:schemeClr val="lt1"/>
      </a:solidFill>
      <a:ln>
        <a:solidFill>
          <a:schemeClr val="dk1">
            <a:lumMod val="25000"/>
            <a:lumOff val="75000"/>
          </a:schemeClr>
        </a:solidFill>
      </a:ln>
    </cs:spPr>
    <cs:defRPr sz="900" kern="1200"/>
    <cs:bodyPr rot="0" spcFirstLastPara="1" vertOverflow="clip" horzOverflow="clip" vert="horz" wrap="square" lIns="36576" tIns="18288" rIns="36576" bIns="18288" anchor="ctr" anchorCtr="1">
      <a:spAutoFit/>
    </cs:bodyPr>
  </cs:dataLabelCallout>
  <cs:dataPoint>
    <cs:lnRef idx="0"/>
    <cs:fillRef idx="1">
      <cs:styleClr val="auto"/>
    </cs:fillRef>
    <cs:effectRef idx="0"/>
    <cs:fontRef idx="minor">
      <a:schemeClr val="tx1"/>
    </cs:fontRef>
  </cs:dataPoint>
  <cs:dataPoint3D>
    <cs:lnRef idx="0"/>
    <cs:fillRef idx="1">
      <cs:styleClr val="auto"/>
    </cs:fillRef>
    <cs:effectRef idx="0"/>
    <cs:fontRef idx="minor">
      <a:schemeClr val="tx1"/>
    </cs:fontRef>
  </cs:dataPoint3D>
  <cs:dataPointLine>
    <cs:lnRef idx="0">
      <cs:styleClr val="auto"/>
    </cs:lnRef>
    <cs:fillRef idx="1"/>
    <cs:effectRef idx="0"/>
    <cs:fontRef idx="minor">
      <a:schemeClr val="tx1"/>
    </cs:fontRef>
    <cs:spPr>
      <a:ln w="19050" cap="rnd">
        <a:solidFill>
          <a:schemeClr val="phClr"/>
        </a:solidFill>
        <a:round/>
      </a:ln>
    </cs:spPr>
  </cs:dataPointLine>
  <cs:dataPointMarker>
    <cs:lnRef idx="0">
      <cs:styleClr val="auto"/>
    </cs:lnRef>
    <cs:fillRef idx="1">
      <cs:styleClr val="auto"/>
    </cs:fillRef>
    <cs:effectRef idx="0"/>
    <cs:fontRef idx="minor">
      <a:schemeClr val="tx1"/>
    </cs:fontRef>
    <cs:spPr>
      <a:ln w="9525">
        <a:solidFill>
          <a:schemeClr val="phClr"/>
        </a:solidFill>
      </a:ln>
    </cs:spPr>
  </cs:dataPointMarker>
  <cs:dataPointMarkerLayout symbol="circle" size="5"/>
  <cs:dataPointWireframe>
    <cs:lnRef idx="0">
      <cs:styleClr val="auto"/>
    </cs:lnRef>
    <cs:fillRef idx="0"/>
    <cs:effectRef idx="0"/>
    <cs:fontRef idx="minor">
      <a:schemeClr val="dk1"/>
    </cs:fontRef>
    <cs:spPr>
      <a:ln w="9525" cap="rnd">
        <a:solidFill>
          <a:schemeClr val="phClr"/>
        </a:solidFill>
        <a:round/>
      </a:ln>
    </cs:spPr>
  </cs:dataPointWireframe>
  <cs:dataTable>
    <cs:lnRef idx="0"/>
    <cs:fillRef idx="0"/>
    <cs:effectRef idx="0"/>
    <cs:fontRef idx="minor">
      <a:schemeClr val="tx1">
        <a:lumMod val="65000"/>
        <a:lumOff val="35000"/>
      </a:schemeClr>
    </cs:fontRef>
    <cs:spPr>
      <a:noFill/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dataTable>
  <cs:downBar>
    <cs:lnRef idx="0"/>
    <cs:fillRef idx="0"/>
    <cs:effectRef idx="0"/>
    <cs:fontRef idx="minor">
      <a:schemeClr val="tx1"/>
    </cs:fontRef>
    <cs:spPr>
      <a:solidFill>
        <a:schemeClr val="dk1">
          <a:lumMod val="75000"/>
          <a:lumOff val="25000"/>
        </a:schemeClr>
      </a:solidFill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downBar>
  <cs:drop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dropLine>
  <cs:errorBa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errorBar>
  <cs:floor>
    <cs:lnRef idx="0"/>
    <cs:fillRef idx="0"/>
    <cs:effectRef idx="0"/>
    <cs:fontRef idx="minor">
      <a:schemeClr val="tx1"/>
    </cs:fontRef>
    <cs:spPr>
      <a:noFill/>
      <a:ln>
        <a:noFill/>
      </a:ln>
    </cs:spPr>
  </cs:floor>
  <cs:gridlineMaj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</cs:gridlineMajor>
  <cs:gridlineMin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"/>
            <a:lumOff val="95000"/>
          </a:schemeClr>
        </a:solidFill>
        <a:round/>
      </a:ln>
    </cs:spPr>
  </cs:gridlineMinor>
  <cs:hiLo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0"/>
            <a:lumOff val="50000"/>
          </a:schemeClr>
        </a:solidFill>
        <a:round/>
      </a:ln>
    </cs:spPr>
  </cs:hiLoLine>
  <cs:leader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leaderLine>
  <cs:legend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legend>
  <cs:plotArea mods="allowNoFillOverride allowNoLineOverride">
    <cs:lnRef idx="0"/>
    <cs:fillRef idx="0"/>
    <cs:effectRef idx="0"/>
    <cs:fontRef idx="minor">
      <a:schemeClr val="tx1"/>
    </cs:fontRef>
  </cs:plotArea>
  <cs:plotArea3D mods="allowNoFillOverride allowNoLineOverride">
    <cs:lnRef idx="0"/>
    <cs:fillRef idx="0"/>
    <cs:effectRef idx="0"/>
    <cs:fontRef idx="minor">
      <a:schemeClr val="tx1"/>
    </cs:fontRef>
  </cs:plotArea3D>
  <cs:series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seriesAxis>
  <cs:series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seriesLine>
  <cs:title>
    <cs:lnRef idx="0"/>
    <cs:fillRef idx="0"/>
    <cs:effectRef idx="0"/>
    <cs:fontRef idx="minor">
      <a:schemeClr val="tx1">
        <a:lumMod val="65000"/>
        <a:lumOff val="35000"/>
      </a:schemeClr>
    </cs:fontRef>
    <cs:defRPr sz="1400" b="0" kern="1200" spc="0" baseline="0"/>
  </cs:title>
  <cs:trendline>
    <cs:lnRef idx="0">
      <cs:styleClr val="auto"/>
    </cs:lnRef>
    <cs:fillRef idx="0"/>
    <cs:effectRef idx="0"/>
    <cs:fontRef idx="minor">
      <a:schemeClr val="tx1"/>
    </cs:fontRef>
    <cs:spPr>
      <a:ln w="19050" cap="rnd">
        <a:solidFill>
          <a:schemeClr val="phClr"/>
        </a:solidFill>
        <a:prstDash val="sysDot"/>
      </a:ln>
    </cs:spPr>
  </cs:trendline>
  <cs:trendlineLabel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trendlineLabel>
  <cs:upBar>
    <cs:lnRef idx="0"/>
    <cs:fillRef idx="0"/>
    <cs:effectRef idx="0"/>
    <cs:fontRef idx="minor">
      <a:schemeClr val="tx1"/>
    </cs:fontRef>
    <cs:spPr>
      <a:solidFill>
        <a:schemeClr val="lt1"/>
      </a:solidFill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upBar>
  <cs:valueAxis>
    <cs:lnRef idx="0"/>
    <cs:fillRef idx="0"/>
    <cs:effectRef idx="0"/>
    <cs:fontRef idx="minor">
      <a:schemeClr val="tx1">
        <a:lumMod val="65000"/>
        <a:lumOff val="35000"/>
      </a:schemeClr>
    </cs:fontRef>
    <cs:spPr>
      <a:ln w="9525" cap="flat" cmpd="sng" algn="ctr">
        <a:solidFill>
          <a:schemeClr val="tx1">
            <a:lumMod val="25000"/>
            <a:lumOff val="75000"/>
          </a:schemeClr>
        </a:solidFill>
        <a:round/>
      </a:ln>
    </cs:spPr>
    <cs:defRPr sz="900" kern="1200"/>
  </cs:valueAxis>
  <cs:wall>
    <cs:lnRef idx="0"/>
    <cs:fillRef idx="0"/>
    <cs:effectRef idx="0"/>
    <cs:fontRef idx="minor">
      <a:schemeClr val="tx1"/>
    </cs:fontRef>
    <cs:spPr>
      <a:noFill/>
      <a:ln>
        <a:noFill/>
      </a:ln>
    </cs:spPr>
  </cs:wall>
</cs:chartStyle>
</file>

<file path=word/charts/style20.xml><?xml version="1.0" encoding="utf-8"?>
<cs:chartStyle xmlns:cs="http://schemas.microsoft.com/office/drawing/2012/chartStyle" xmlns:a="http://schemas.openxmlformats.org/drawingml/2006/main" id="240">
  <cs:axisTitle>
    <cs:lnRef idx="0"/>
    <cs:fillRef idx="0"/>
    <cs:effectRef idx="0"/>
    <cs:fontRef idx="minor">
      <a:schemeClr val="tx1">
        <a:lumMod val="65000"/>
        <a:lumOff val="35000"/>
      </a:schemeClr>
    </cs:fontRef>
    <cs:defRPr sz="1000" kern="1200"/>
  </cs:axisTitle>
  <cs:categoryAxis>
    <cs:lnRef idx="0"/>
    <cs:fillRef idx="0"/>
    <cs:effectRef idx="0"/>
    <cs:fontRef idx="minor">
      <a:schemeClr val="tx1">
        <a:lumMod val="65000"/>
        <a:lumOff val="35000"/>
      </a:schemeClr>
    </cs:fontRef>
    <cs:spPr>
      <a:ln w="9525" cap="flat" cmpd="sng" algn="ctr">
        <a:solidFill>
          <a:schemeClr val="tx1">
            <a:lumMod val="25000"/>
            <a:lumOff val="75000"/>
          </a:schemeClr>
        </a:solidFill>
        <a:round/>
      </a:ln>
    </cs:spPr>
    <cs:defRPr sz="900" kern="1200"/>
  </cs:categoryAxis>
  <cs:chartArea mods="allowNoFillOverride allowNoLineOverride">
    <cs:lnRef idx="0"/>
    <cs:fillRef idx="0"/>
    <cs:effectRef idx="0"/>
    <cs:fontRef idx="minor">
      <a:schemeClr val="tx1"/>
    </cs:fontRef>
    <cs:spPr>
      <a:solidFill>
        <a:schemeClr val="bg1"/>
      </a:solidFill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1000" kern="1200"/>
  </cs:chartArea>
  <cs:dataLabel>
    <cs:lnRef idx="0"/>
    <cs:fillRef idx="0"/>
    <cs:effectRef idx="0"/>
    <cs:fontRef idx="minor">
      <a:schemeClr val="tx1">
        <a:lumMod val="75000"/>
        <a:lumOff val="25000"/>
      </a:schemeClr>
    </cs:fontRef>
    <cs:defRPr sz="900" kern="1200"/>
  </cs:dataLabel>
  <cs:dataLabelCallout>
    <cs:lnRef idx="0"/>
    <cs:fillRef idx="0"/>
    <cs:effectRef idx="0"/>
    <cs:fontRef idx="minor">
      <a:schemeClr val="dk1">
        <a:lumMod val="65000"/>
        <a:lumOff val="35000"/>
      </a:schemeClr>
    </cs:fontRef>
    <cs:spPr>
      <a:solidFill>
        <a:schemeClr val="lt1"/>
      </a:solidFill>
      <a:ln>
        <a:solidFill>
          <a:schemeClr val="dk1">
            <a:lumMod val="25000"/>
            <a:lumOff val="75000"/>
          </a:schemeClr>
        </a:solidFill>
      </a:ln>
    </cs:spPr>
    <cs:defRPr sz="900" kern="1200"/>
    <cs:bodyPr rot="0" spcFirstLastPara="1" vertOverflow="clip" horzOverflow="clip" vert="horz" wrap="square" lIns="36576" tIns="18288" rIns="36576" bIns="18288" anchor="ctr" anchorCtr="1">
      <a:spAutoFit/>
    </cs:bodyPr>
  </cs:dataLabelCallout>
  <cs:dataPoint>
    <cs:lnRef idx="0"/>
    <cs:fillRef idx="1">
      <cs:styleClr val="auto"/>
    </cs:fillRef>
    <cs:effectRef idx="0"/>
    <cs:fontRef idx="minor">
      <a:schemeClr val="tx1"/>
    </cs:fontRef>
  </cs:dataPoint>
  <cs:dataPoint3D>
    <cs:lnRef idx="0"/>
    <cs:fillRef idx="1">
      <cs:styleClr val="auto"/>
    </cs:fillRef>
    <cs:effectRef idx="0"/>
    <cs:fontRef idx="minor">
      <a:schemeClr val="tx1"/>
    </cs:fontRef>
  </cs:dataPoint3D>
  <cs:dataPointLine>
    <cs:lnRef idx="0">
      <cs:styleClr val="auto"/>
    </cs:lnRef>
    <cs:fillRef idx="1"/>
    <cs:effectRef idx="0"/>
    <cs:fontRef idx="minor">
      <a:schemeClr val="tx1"/>
    </cs:fontRef>
    <cs:spPr>
      <a:ln w="19050" cap="rnd">
        <a:solidFill>
          <a:schemeClr val="phClr"/>
        </a:solidFill>
        <a:round/>
      </a:ln>
    </cs:spPr>
  </cs:dataPointLine>
  <cs:dataPointMarker>
    <cs:lnRef idx="0">
      <cs:styleClr val="auto"/>
    </cs:lnRef>
    <cs:fillRef idx="1">
      <cs:styleClr val="auto"/>
    </cs:fillRef>
    <cs:effectRef idx="0"/>
    <cs:fontRef idx="minor">
      <a:schemeClr val="tx1"/>
    </cs:fontRef>
    <cs:spPr>
      <a:ln w="9525">
        <a:solidFill>
          <a:schemeClr val="phClr"/>
        </a:solidFill>
      </a:ln>
    </cs:spPr>
  </cs:dataPointMarker>
  <cs:dataPointMarkerLayout symbol="circle" size="5"/>
  <cs:dataPointWireframe>
    <cs:lnRef idx="0">
      <cs:styleClr val="auto"/>
    </cs:lnRef>
    <cs:fillRef idx="0"/>
    <cs:effectRef idx="0"/>
    <cs:fontRef idx="minor">
      <a:schemeClr val="dk1"/>
    </cs:fontRef>
    <cs:spPr>
      <a:ln w="9525" cap="rnd">
        <a:solidFill>
          <a:schemeClr val="phClr"/>
        </a:solidFill>
        <a:round/>
      </a:ln>
    </cs:spPr>
  </cs:dataPointWireframe>
  <cs:dataTable>
    <cs:lnRef idx="0"/>
    <cs:fillRef idx="0"/>
    <cs:effectRef idx="0"/>
    <cs:fontRef idx="minor">
      <a:schemeClr val="tx1">
        <a:lumMod val="65000"/>
        <a:lumOff val="35000"/>
      </a:schemeClr>
    </cs:fontRef>
    <cs:spPr>
      <a:noFill/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dataTable>
  <cs:downBar>
    <cs:lnRef idx="0"/>
    <cs:fillRef idx="0"/>
    <cs:effectRef idx="0"/>
    <cs:fontRef idx="minor">
      <a:schemeClr val="tx1"/>
    </cs:fontRef>
    <cs:spPr>
      <a:solidFill>
        <a:schemeClr val="dk1">
          <a:lumMod val="75000"/>
          <a:lumOff val="25000"/>
        </a:schemeClr>
      </a:solidFill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downBar>
  <cs:drop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dropLine>
  <cs:errorBa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errorBar>
  <cs:floor>
    <cs:lnRef idx="0"/>
    <cs:fillRef idx="0"/>
    <cs:effectRef idx="0"/>
    <cs:fontRef idx="minor">
      <a:schemeClr val="tx1"/>
    </cs:fontRef>
    <cs:spPr>
      <a:noFill/>
      <a:ln>
        <a:noFill/>
      </a:ln>
    </cs:spPr>
  </cs:floor>
  <cs:gridlineMaj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</cs:gridlineMajor>
  <cs:gridlineMin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"/>
            <a:lumOff val="95000"/>
          </a:schemeClr>
        </a:solidFill>
        <a:round/>
      </a:ln>
    </cs:spPr>
  </cs:gridlineMinor>
  <cs:hiLo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0"/>
            <a:lumOff val="50000"/>
          </a:schemeClr>
        </a:solidFill>
        <a:round/>
      </a:ln>
    </cs:spPr>
  </cs:hiLoLine>
  <cs:leader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leaderLine>
  <cs:legend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legend>
  <cs:plotArea mods="allowNoFillOverride allowNoLineOverride">
    <cs:lnRef idx="0"/>
    <cs:fillRef idx="0"/>
    <cs:effectRef idx="0"/>
    <cs:fontRef idx="minor">
      <a:schemeClr val="tx1"/>
    </cs:fontRef>
  </cs:plotArea>
  <cs:plotArea3D mods="allowNoFillOverride allowNoLineOverride">
    <cs:lnRef idx="0"/>
    <cs:fillRef idx="0"/>
    <cs:effectRef idx="0"/>
    <cs:fontRef idx="minor">
      <a:schemeClr val="tx1"/>
    </cs:fontRef>
  </cs:plotArea3D>
  <cs:series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seriesAxis>
  <cs:series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seriesLine>
  <cs:title>
    <cs:lnRef idx="0"/>
    <cs:fillRef idx="0"/>
    <cs:effectRef idx="0"/>
    <cs:fontRef idx="minor">
      <a:schemeClr val="tx1">
        <a:lumMod val="65000"/>
        <a:lumOff val="35000"/>
      </a:schemeClr>
    </cs:fontRef>
    <cs:defRPr sz="1400" b="0" kern="1200" spc="0" baseline="0"/>
  </cs:title>
  <cs:trendline>
    <cs:lnRef idx="0">
      <cs:styleClr val="auto"/>
    </cs:lnRef>
    <cs:fillRef idx="0"/>
    <cs:effectRef idx="0"/>
    <cs:fontRef idx="minor">
      <a:schemeClr val="tx1"/>
    </cs:fontRef>
    <cs:spPr>
      <a:ln w="19050" cap="rnd">
        <a:solidFill>
          <a:schemeClr val="phClr"/>
        </a:solidFill>
        <a:prstDash val="sysDot"/>
      </a:ln>
    </cs:spPr>
  </cs:trendline>
  <cs:trendlineLabel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trendlineLabel>
  <cs:upBar>
    <cs:lnRef idx="0"/>
    <cs:fillRef idx="0"/>
    <cs:effectRef idx="0"/>
    <cs:fontRef idx="minor">
      <a:schemeClr val="tx1"/>
    </cs:fontRef>
    <cs:spPr>
      <a:solidFill>
        <a:schemeClr val="lt1"/>
      </a:solidFill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upBar>
  <cs:valueAxis>
    <cs:lnRef idx="0"/>
    <cs:fillRef idx="0"/>
    <cs:effectRef idx="0"/>
    <cs:fontRef idx="minor">
      <a:schemeClr val="tx1">
        <a:lumMod val="65000"/>
        <a:lumOff val="35000"/>
      </a:schemeClr>
    </cs:fontRef>
    <cs:spPr>
      <a:ln w="9525" cap="flat" cmpd="sng" algn="ctr">
        <a:solidFill>
          <a:schemeClr val="tx1">
            <a:lumMod val="25000"/>
            <a:lumOff val="75000"/>
          </a:schemeClr>
        </a:solidFill>
        <a:round/>
      </a:ln>
    </cs:spPr>
    <cs:defRPr sz="900" kern="1200"/>
  </cs:valueAxis>
  <cs:wall>
    <cs:lnRef idx="0"/>
    <cs:fillRef idx="0"/>
    <cs:effectRef idx="0"/>
    <cs:fontRef idx="minor">
      <a:schemeClr val="tx1"/>
    </cs:fontRef>
    <cs:spPr>
      <a:noFill/>
      <a:ln>
        <a:noFill/>
      </a:ln>
    </cs:spPr>
  </cs:wall>
</cs:chartStyle>
</file>

<file path=word/charts/style30.xml><?xml version="1.0" encoding="utf-8"?>
<cs:chartStyle xmlns:cs="http://schemas.microsoft.com/office/drawing/2012/chartStyle" xmlns:a="http://schemas.openxmlformats.org/drawingml/2006/main" id="240">
  <cs:axisTitle>
    <cs:lnRef idx="0"/>
    <cs:fillRef idx="0"/>
    <cs:effectRef idx="0"/>
    <cs:fontRef idx="minor">
      <a:schemeClr val="tx1">
        <a:lumMod val="65000"/>
        <a:lumOff val="35000"/>
      </a:schemeClr>
    </cs:fontRef>
    <cs:defRPr sz="1000" kern="1200"/>
  </cs:axisTitle>
  <cs:categoryAxis>
    <cs:lnRef idx="0"/>
    <cs:fillRef idx="0"/>
    <cs:effectRef idx="0"/>
    <cs:fontRef idx="minor">
      <a:schemeClr val="tx1">
        <a:lumMod val="65000"/>
        <a:lumOff val="35000"/>
      </a:schemeClr>
    </cs:fontRef>
    <cs:spPr>
      <a:ln w="9525" cap="flat" cmpd="sng" algn="ctr">
        <a:solidFill>
          <a:schemeClr val="tx1">
            <a:lumMod val="25000"/>
            <a:lumOff val="75000"/>
          </a:schemeClr>
        </a:solidFill>
        <a:round/>
      </a:ln>
    </cs:spPr>
    <cs:defRPr sz="900" kern="1200"/>
  </cs:categoryAxis>
  <cs:chartArea mods="allowNoFillOverride allowNoLineOverride">
    <cs:lnRef idx="0"/>
    <cs:fillRef idx="0"/>
    <cs:effectRef idx="0"/>
    <cs:fontRef idx="minor">
      <a:schemeClr val="tx1"/>
    </cs:fontRef>
    <cs:spPr>
      <a:solidFill>
        <a:schemeClr val="bg1"/>
      </a:solidFill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1000" kern="1200"/>
  </cs:chartArea>
  <cs:dataLabel>
    <cs:lnRef idx="0"/>
    <cs:fillRef idx="0"/>
    <cs:effectRef idx="0"/>
    <cs:fontRef idx="minor">
      <a:schemeClr val="tx1">
        <a:lumMod val="75000"/>
        <a:lumOff val="25000"/>
      </a:schemeClr>
    </cs:fontRef>
    <cs:defRPr sz="900" kern="1200"/>
  </cs:dataLabel>
  <cs:dataLabelCallout>
    <cs:lnRef idx="0"/>
    <cs:fillRef idx="0"/>
    <cs:effectRef idx="0"/>
    <cs:fontRef idx="minor">
      <a:schemeClr val="dk1">
        <a:lumMod val="65000"/>
        <a:lumOff val="35000"/>
      </a:schemeClr>
    </cs:fontRef>
    <cs:spPr>
      <a:solidFill>
        <a:schemeClr val="lt1"/>
      </a:solidFill>
      <a:ln>
        <a:solidFill>
          <a:schemeClr val="dk1">
            <a:lumMod val="25000"/>
            <a:lumOff val="75000"/>
          </a:schemeClr>
        </a:solidFill>
      </a:ln>
    </cs:spPr>
    <cs:defRPr sz="900" kern="1200"/>
    <cs:bodyPr rot="0" spcFirstLastPara="1" vertOverflow="clip" horzOverflow="clip" vert="horz" wrap="square" lIns="36576" tIns="18288" rIns="36576" bIns="18288" anchor="ctr" anchorCtr="1">
      <a:spAutoFit/>
    </cs:bodyPr>
  </cs:dataLabelCallout>
  <cs:dataPoint>
    <cs:lnRef idx="0"/>
    <cs:fillRef idx="1">
      <cs:styleClr val="auto"/>
    </cs:fillRef>
    <cs:effectRef idx="0"/>
    <cs:fontRef idx="minor">
      <a:schemeClr val="tx1"/>
    </cs:fontRef>
  </cs:dataPoint>
  <cs:dataPoint3D>
    <cs:lnRef idx="0"/>
    <cs:fillRef idx="1">
      <cs:styleClr val="auto"/>
    </cs:fillRef>
    <cs:effectRef idx="0"/>
    <cs:fontRef idx="minor">
      <a:schemeClr val="tx1"/>
    </cs:fontRef>
  </cs:dataPoint3D>
  <cs:dataPointLine>
    <cs:lnRef idx="0">
      <cs:styleClr val="auto"/>
    </cs:lnRef>
    <cs:fillRef idx="1"/>
    <cs:effectRef idx="0"/>
    <cs:fontRef idx="minor">
      <a:schemeClr val="tx1"/>
    </cs:fontRef>
    <cs:spPr>
      <a:ln w="19050" cap="rnd">
        <a:solidFill>
          <a:schemeClr val="phClr"/>
        </a:solidFill>
        <a:round/>
      </a:ln>
    </cs:spPr>
  </cs:dataPointLine>
  <cs:dataPointMarker>
    <cs:lnRef idx="0">
      <cs:styleClr val="auto"/>
    </cs:lnRef>
    <cs:fillRef idx="1">
      <cs:styleClr val="auto"/>
    </cs:fillRef>
    <cs:effectRef idx="0"/>
    <cs:fontRef idx="minor">
      <a:schemeClr val="tx1"/>
    </cs:fontRef>
    <cs:spPr>
      <a:ln w="9525">
        <a:solidFill>
          <a:schemeClr val="phClr"/>
        </a:solidFill>
      </a:ln>
    </cs:spPr>
  </cs:dataPointMarker>
  <cs:dataPointMarkerLayout symbol="circle" size="5"/>
  <cs:dataPointWireframe>
    <cs:lnRef idx="0">
      <cs:styleClr val="auto"/>
    </cs:lnRef>
    <cs:fillRef idx="0"/>
    <cs:effectRef idx="0"/>
    <cs:fontRef idx="minor">
      <a:schemeClr val="dk1"/>
    </cs:fontRef>
    <cs:spPr>
      <a:ln w="9525" cap="rnd">
        <a:solidFill>
          <a:schemeClr val="phClr"/>
        </a:solidFill>
        <a:round/>
      </a:ln>
    </cs:spPr>
  </cs:dataPointWireframe>
  <cs:dataTable>
    <cs:lnRef idx="0"/>
    <cs:fillRef idx="0"/>
    <cs:effectRef idx="0"/>
    <cs:fontRef idx="minor">
      <a:schemeClr val="tx1">
        <a:lumMod val="65000"/>
        <a:lumOff val="35000"/>
      </a:schemeClr>
    </cs:fontRef>
    <cs:spPr>
      <a:noFill/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dataTable>
  <cs:downBar>
    <cs:lnRef idx="0"/>
    <cs:fillRef idx="0"/>
    <cs:effectRef idx="0"/>
    <cs:fontRef idx="minor">
      <a:schemeClr val="tx1"/>
    </cs:fontRef>
    <cs:spPr>
      <a:solidFill>
        <a:schemeClr val="dk1">
          <a:lumMod val="75000"/>
          <a:lumOff val="25000"/>
        </a:schemeClr>
      </a:solidFill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downBar>
  <cs:drop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dropLine>
  <cs:errorBa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errorBar>
  <cs:floor>
    <cs:lnRef idx="0"/>
    <cs:fillRef idx="0"/>
    <cs:effectRef idx="0"/>
    <cs:fontRef idx="minor">
      <a:schemeClr val="tx1"/>
    </cs:fontRef>
    <cs:spPr>
      <a:noFill/>
      <a:ln>
        <a:noFill/>
      </a:ln>
    </cs:spPr>
  </cs:floor>
  <cs:gridlineMaj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</cs:gridlineMajor>
  <cs:gridlineMin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"/>
            <a:lumOff val="95000"/>
          </a:schemeClr>
        </a:solidFill>
        <a:round/>
      </a:ln>
    </cs:spPr>
  </cs:gridlineMinor>
  <cs:hiLo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0"/>
            <a:lumOff val="50000"/>
          </a:schemeClr>
        </a:solidFill>
        <a:round/>
      </a:ln>
    </cs:spPr>
  </cs:hiLoLine>
  <cs:leader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leaderLine>
  <cs:legend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legend>
  <cs:plotArea mods="allowNoFillOverride allowNoLineOverride">
    <cs:lnRef idx="0"/>
    <cs:fillRef idx="0"/>
    <cs:effectRef idx="0"/>
    <cs:fontRef idx="minor">
      <a:schemeClr val="tx1"/>
    </cs:fontRef>
  </cs:plotArea>
  <cs:plotArea3D mods="allowNoFillOverride allowNoLineOverride">
    <cs:lnRef idx="0"/>
    <cs:fillRef idx="0"/>
    <cs:effectRef idx="0"/>
    <cs:fontRef idx="minor">
      <a:schemeClr val="tx1"/>
    </cs:fontRef>
  </cs:plotArea3D>
  <cs:series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seriesAxis>
  <cs:series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seriesLine>
  <cs:title>
    <cs:lnRef idx="0"/>
    <cs:fillRef idx="0"/>
    <cs:effectRef idx="0"/>
    <cs:fontRef idx="minor">
      <a:schemeClr val="tx1">
        <a:lumMod val="65000"/>
        <a:lumOff val="35000"/>
      </a:schemeClr>
    </cs:fontRef>
    <cs:defRPr sz="1400" b="0" kern="1200" spc="0" baseline="0"/>
  </cs:title>
  <cs:trendline>
    <cs:lnRef idx="0">
      <cs:styleClr val="auto"/>
    </cs:lnRef>
    <cs:fillRef idx="0"/>
    <cs:effectRef idx="0"/>
    <cs:fontRef idx="minor">
      <a:schemeClr val="tx1"/>
    </cs:fontRef>
    <cs:spPr>
      <a:ln w="19050" cap="rnd">
        <a:solidFill>
          <a:schemeClr val="phClr"/>
        </a:solidFill>
        <a:prstDash val="sysDot"/>
      </a:ln>
    </cs:spPr>
  </cs:trendline>
  <cs:trendlineLabel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trendlineLabel>
  <cs:upBar>
    <cs:lnRef idx="0"/>
    <cs:fillRef idx="0"/>
    <cs:effectRef idx="0"/>
    <cs:fontRef idx="minor">
      <a:schemeClr val="tx1"/>
    </cs:fontRef>
    <cs:spPr>
      <a:solidFill>
        <a:schemeClr val="lt1"/>
      </a:solidFill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upBar>
  <cs:valueAxis>
    <cs:lnRef idx="0"/>
    <cs:fillRef idx="0"/>
    <cs:effectRef idx="0"/>
    <cs:fontRef idx="minor">
      <a:schemeClr val="tx1">
        <a:lumMod val="65000"/>
        <a:lumOff val="35000"/>
      </a:schemeClr>
    </cs:fontRef>
    <cs:spPr>
      <a:ln w="9525" cap="flat" cmpd="sng" algn="ctr">
        <a:solidFill>
          <a:schemeClr val="tx1">
            <a:lumMod val="25000"/>
            <a:lumOff val="75000"/>
          </a:schemeClr>
        </a:solidFill>
        <a:round/>
      </a:ln>
    </cs:spPr>
    <cs:defRPr sz="900" kern="1200"/>
  </cs:valueAxis>
  <cs:wall>
    <cs:lnRef idx="0"/>
    <cs:fillRef idx="0"/>
    <cs:effectRef idx="0"/>
    <cs:fontRef idx="minor">
      <a:schemeClr val="tx1"/>
    </cs:fontRef>
    <cs:spPr>
      <a:noFill/>
      <a:ln>
        <a:noFill/>
      </a:ln>
    </cs:spPr>
  </cs:wall>
</cs:chartStyle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IEEE2006OfficeOnline.xsl" StyleName="IEEE" Version="2006"/>
</file>

<file path=customXml/itemProps1.xml><?xml version="1.0" encoding="utf-8"?>
<ds:datastoreItem xmlns:ds="http://schemas.openxmlformats.org/officeDocument/2006/customXml" ds:itemID="{227E8E20-3751-4BE6-88D0-801198929F6F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1261</TotalTime>
  <Pages>20</Pages>
  <Words>3109</Words>
  <Characters>17724</Characters>
  <Application>Microsoft Office Word</Application>
  <DocSecurity>0</DocSecurity>
  <Lines>147</Lines>
  <Paragraphs>41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20792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Shepherdson Simon AWE</dc:creator>
  <cp:keywords/>
  <dc:description/>
  <cp:lastModifiedBy>Shepherdson Simon AWE</cp:lastModifiedBy>
  <cp:revision>377</cp:revision>
  <dcterms:created xsi:type="dcterms:W3CDTF">2024-11-11T13:30:00Z</dcterms:created>
  <dcterms:modified xsi:type="dcterms:W3CDTF">2024-11-26T13:14:00Z</dcterms:modified>
</cp:coreProperties>
</file>