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AB840C3" w14:textId="77777777" w:rsidR="00A22403" w:rsidRDefault="00000000">
      <w:pPr>
        <w:jc w:val="center"/>
        <w:rPr>
          <w:b/>
          <w:bCs/>
          <w:sz w:val="28"/>
          <w:szCs w:val="28"/>
        </w:rPr>
      </w:pPr>
      <w:r>
        <w:rPr>
          <w:b/>
          <w:bCs/>
          <w:noProof/>
          <w:sz w:val="28"/>
          <w:szCs w:val="28"/>
        </w:rPr>
        <w:drawing>
          <wp:inline distT="0" distB="0" distL="0" distR="0" wp14:anchorId="2785EF2A" wp14:editId="5834DE2C">
            <wp:extent cx="2187130" cy="891617"/>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2187130" cy="891617"/>
                    </a:xfrm>
                    <a:prstGeom prst="rect">
                      <a:avLst/>
                    </a:prstGeom>
                    <a:ln/>
                  </pic:spPr>
                </pic:pic>
              </a:graphicData>
            </a:graphic>
          </wp:inline>
        </w:drawing>
      </w:r>
    </w:p>
    <w:p w14:paraId="29992A72" w14:textId="77777777" w:rsidR="00A22403" w:rsidRDefault="00A22403">
      <w:pPr>
        <w:jc w:val="center"/>
        <w:rPr>
          <w:b/>
          <w:bCs/>
          <w:sz w:val="28"/>
          <w:szCs w:val="28"/>
        </w:rPr>
      </w:pPr>
    </w:p>
    <w:p w14:paraId="73FE1454" w14:textId="77777777" w:rsidR="00A22403" w:rsidRDefault="00A22403">
      <w:pPr>
        <w:jc w:val="center"/>
        <w:rPr>
          <w:b/>
          <w:bCs/>
          <w:sz w:val="28"/>
          <w:szCs w:val="28"/>
        </w:rPr>
      </w:pPr>
    </w:p>
    <w:p w14:paraId="755ECE34" w14:textId="77777777" w:rsidR="00A22403" w:rsidRDefault="00000000">
      <w:pPr>
        <w:jc w:val="center"/>
        <w:rPr>
          <w:b/>
          <w:bCs/>
          <w:sz w:val="28"/>
          <w:szCs w:val="28"/>
        </w:rPr>
      </w:pPr>
      <w:r>
        <w:rPr>
          <w:b/>
          <w:bCs/>
          <w:sz w:val="28"/>
          <w:szCs w:val="28"/>
        </w:rPr>
        <w:t>Programme name: Master of Business Administration</w:t>
      </w:r>
    </w:p>
    <w:p w14:paraId="51198C1D" w14:textId="77777777" w:rsidR="00A22403" w:rsidRDefault="00000000">
      <w:pPr>
        <w:jc w:val="center"/>
        <w:rPr>
          <w:b/>
          <w:bCs/>
          <w:sz w:val="28"/>
          <w:szCs w:val="28"/>
        </w:rPr>
      </w:pPr>
      <w:r>
        <w:rPr>
          <w:b/>
          <w:bCs/>
          <w:sz w:val="28"/>
          <w:szCs w:val="28"/>
        </w:rPr>
        <w:t>Module name: Marketing Management</w:t>
      </w:r>
    </w:p>
    <w:p w14:paraId="5C210BAD" w14:textId="77777777" w:rsidR="00A22403" w:rsidRDefault="00000000">
      <w:pPr>
        <w:jc w:val="center"/>
        <w:rPr>
          <w:b/>
          <w:bCs/>
          <w:sz w:val="28"/>
          <w:szCs w:val="28"/>
        </w:rPr>
      </w:pPr>
      <w:r>
        <w:rPr>
          <w:b/>
          <w:bCs/>
          <w:sz w:val="28"/>
          <w:szCs w:val="28"/>
        </w:rPr>
        <w:t>Module code: LCMB7024</w:t>
      </w:r>
    </w:p>
    <w:p w14:paraId="7AC9CF33" w14:textId="77777777" w:rsidR="00A22403" w:rsidRDefault="00A22403">
      <w:pPr>
        <w:jc w:val="center"/>
        <w:rPr>
          <w:b/>
          <w:bCs/>
          <w:sz w:val="28"/>
          <w:szCs w:val="28"/>
        </w:rPr>
      </w:pPr>
    </w:p>
    <w:p w14:paraId="2B1ED230" w14:textId="77777777" w:rsidR="00A22403" w:rsidRDefault="00000000">
      <w:pPr>
        <w:jc w:val="center"/>
        <w:rPr>
          <w:b/>
          <w:bCs/>
          <w:sz w:val="28"/>
          <w:szCs w:val="28"/>
        </w:rPr>
      </w:pPr>
      <w:r>
        <w:rPr>
          <w:b/>
          <w:bCs/>
          <w:sz w:val="28"/>
          <w:szCs w:val="28"/>
        </w:rPr>
        <w:t>STRATEGIC MARKETING ANALYSIS OF BHP’S LOWER-CARBON TRANSITION: ENVIRONMENTAL INFLUENCES, SUSTAINABLE GROWTH STRATEGY AND COMPETITIVE POSITIONING</w:t>
      </w:r>
    </w:p>
    <w:p w14:paraId="58723C40" w14:textId="77777777" w:rsidR="00A22403" w:rsidRDefault="00A22403">
      <w:pPr>
        <w:jc w:val="center"/>
        <w:rPr>
          <w:b/>
          <w:bCs/>
          <w:sz w:val="28"/>
          <w:szCs w:val="28"/>
        </w:rPr>
      </w:pPr>
    </w:p>
    <w:p w14:paraId="317E41A9" w14:textId="77777777" w:rsidR="00A22403" w:rsidRDefault="00000000">
      <w:pPr>
        <w:jc w:val="center"/>
        <w:rPr>
          <w:b/>
          <w:bCs/>
        </w:rPr>
      </w:pPr>
      <w:r>
        <w:rPr>
          <w:b/>
          <w:bCs/>
        </w:rPr>
        <w:t xml:space="preserve">Lecturer’s name: Laila Maazouz, Taonga Kaonga </w:t>
      </w:r>
      <w:proofErr w:type="spellStart"/>
      <w:r>
        <w:rPr>
          <w:b/>
          <w:bCs/>
        </w:rPr>
        <w:t>Sobere-Snithers</w:t>
      </w:r>
      <w:proofErr w:type="spellEnd"/>
    </w:p>
    <w:p w14:paraId="53A9C523" w14:textId="77777777" w:rsidR="00A22403" w:rsidRDefault="00000000">
      <w:pPr>
        <w:jc w:val="center"/>
        <w:rPr>
          <w:b/>
          <w:bCs/>
        </w:rPr>
      </w:pPr>
      <w:r>
        <w:rPr>
          <w:b/>
          <w:bCs/>
        </w:rPr>
        <w:t xml:space="preserve">Student name: Arshi Parveen </w:t>
      </w:r>
    </w:p>
    <w:p w14:paraId="32FCBA44" w14:textId="77777777" w:rsidR="00A22403" w:rsidRDefault="00000000">
      <w:pPr>
        <w:jc w:val="center"/>
        <w:rPr>
          <w:b/>
          <w:bCs/>
        </w:rPr>
      </w:pPr>
      <w:r>
        <w:rPr>
          <w:b/>
          <w:bCs/>
        </w:rPr>
        <w:t>Student ID: 2545115</w:t>
      </w:r>
    </w:p>
    <w:p w14:paraId="2482816C" w14:textId="77777777" w:rsidR="00A22403" w:rsidRDefault="00000000">
      <w:pPr>
        <w:jc w:val="center"/>
        <w:rPr>
          <w:b/>
          <w:bCs/>
        </w:rPr>
      </w:pPr>
      <w:r>
        <w:rPr>
          <w:b/>
          <w:bCs/>
        </w:rPr>
        <w:t xml:space="preserve">Word count: 2448 </w:t>
      </w:r>
    </w:p>
    <w:p w14:paraId="3DABC0FC" w14:textId="77777777" w:rsidR="00A22403" w:rsidRDefault="00A22403">
      <w:pPr>
        <w:jc w:val="left"/>
        <w:rPr>
          <w:b/>
          <w:bCs/>
        </w:rPr>
      </w:pPr>
    </w:p>
    <w:p w14:paraId="01175898" w14:textId="77777777" w:rsidR="00A22403" w:rsidRDefault="00000000">
      <w:pPr>
        <w:spacing w:line="259" w:lineRule="auto"/>
        <w:jc w:val="left"/>
        <w:rPr>
          <w:b/>
          <w:bCs/>
        </w:rPr>
      </w:pPr>
      <w:r>
        <w:br w:type="page"/>
      </w:r>
    </w:p>
    <w:p w14:paraId="77AE78E9" w14:textId="77777777" w:rsidR="00A22403" w:rsidRDefault="00000000">
      <w:pPr>
        <w:jc w:val="center"/>
        <w:rPr>
          <w:b/>
          <w:bCs/>
          <w:sz w:val="28"/>
          <w:szCs w:val="28"/>
        </w:rPr>
      </w:pPr>
      <w:r>
        <w:rPr>
          <w:b/>
          <w:bCs/>
          <w:sz w:val="28"/>
          <w:szCs w:val="28"/>
        </w:rPr>
        <w:lastRenderedPageBreak/>
        <w:t>Table of Contents</w:t>
      </w:r>
    </w:p>
    <w:p w14:paraId="7B617D9A" w14:textId="77777777" w:rsidR="00A22403" w:rsidRDefault="00A22403">
      <w:pPr>
        <w:keepNext/>
        <w:keepLines/>
        <w:pBdr>
          <w:top w:val="nil"/>
          <w:left w:val="nil"/>
          <w:bottom w:val="nil"/>
          <w:right w:val="nil"/>
          <w:between w:val="nil"/>
        </w:pBdr>
        <w:spacing w:before="240" w:after="0" w:line="259" w:lineRule="auto"/>
        <w:jc w:val="left"/>
        <w:rPr>
          <w:rFonts w:ascii="Calibri" w:eastAsia="Calibri" w:hAnsi="Calibri" w:cs="Calibri"/>
          <w:color w:val="2F5496"/>
          <w:sz w:val="32"/>
          <w:szCs w:val="32"/>
        </w:rPr>
      </w:pPr>
    </w:p>
    <w:sdt>
      <w:sdtPr>
        <w:id w:val="-1322629813"/>
        <w:docPartObj>
          <w:docPartGallery w:val="Table of Contents"/>
          <w:docPartUnique/>
        </w:docPartObj>
      </w:sdtPr>
      <w:sdtContent>
        <w:p w14:paraId="661C652B" w14:textId="77777777" w:rsidR="00A22403" w:rsidRDefault="00000000">
          <w:pPr>
            <w:pBdr>
              <w:top w:val="nil"/>
              <w:left w:val="nil"/>
              <w:bottom w:val="nil"/>
              <w:right w:val="nil"/>
              <w:between w:val="nil"/>
            </w:pBdr>
            <w:tabs>
              <w:tab w:val="right" w:leader="dot" w:pos="9016"/>
            </w:tabs>
            <w:spacing w:after="100"/>
            <w:rPr>
              <w:rFonts w:ascii="Calibri" w:eastAsia="Calibri" w:hAnsi="Calibri" w:cs="Calibri"/>
              <w:color w:val="000000"/>
            </w:rPr>
          </w:pPr>
          <w:r>
            <w:fldChar w:fldCharType="begin"/>
          </w:r>
          <w:r>
            <w:instrText xml:space="preserve"> TOC \h \u \z \t "Heading 1,1,Heading 2,2,Heading 3,3,"</w:instrText>
          </w:r>
          <w:r>
            <w:fldChar w:fldCharType="separate"/>
          </w:r>
          <w:hyperlink w:anchor="_jr5fumjsjfz3">
            <w:r w:rsidR="00A22403">
              <w:rPr>
                <w:color w:val="000000"/>
              </w:rPr>
              <w:t>Introduction</w:t>
            </w:r>
            <w:r w:rsidR="00A22403">
              <w:rPr>
                <w:color w:val="000000"/>
              </w:rPr>
              <w:tab/>
              <w:t>3</w:t>
            </w:r>
          </w:hyperlink>
        </w:p>
        <w:p w14:paraId="6A6215EF" w14:textId="77777777" w:rsidR="00A22403" w:rsidRDefault="00A22403">
          <w:pPr>
            <w:pBdr>
              <w:top w:val="nil"/>
              <w:left w:val="nil"/>
              <w:bottom w:val="nil"/>
              <w:right w:val="nil"/>
              <w:between w:val="nil"/>
            </w:pBdr>
            <w:tabs>
              <w:tab w:val="right" w:leader="dot" w:pos="9016"/>
            </w:tabs>
            <w:spacing w:after="100"/>
            <w:rPr>
              <w:rFonts w:ascii="Calibri" w:eastAsia="Calibri" w:hAnsi="Calibri" w:cs="Calibri"/>
              <w:color w:val="000000"/>
            </w:rPr>
          </w:pPr>
          <w:hyperlink w:anchor="_i7r9em6m9v35">
            <w:r>
              <w:rPr>
                <w:color w:val="000000"/>
              </w:rPr>
              <w:t>Task 1: Marketing environment analysis</w:t>
            </w:r>
            <w:r>
              <w:rPr>
                <w:color w:val="000000"/>
              </w:rPr>
              <w:tab/>
              <w:t>3</w:t>
            </w:r>
          </w:hyperlink>
        </w:p>
        <w:p w14:paraId="4FF06091" w14:textId="77777777" w:rsidR="00A22403" w:rsidRDefault="00A22403">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osw53r6pyuff">
            <w:r>
              <w:rPr>
                <w:color w:val="000000"/>
              </w:rPr>
              <w:t>1.1 Company background</w:t>
            </w:r>
            <w:r>
              <w:rPr>
                <w:color w:val="000000"/>
              </w:rPr>
              <w:tab/>
              <w:t>3</w:t>
            </w:r>
          </w:hyperlink>
        </w:p>
        <w:p w14:paraId="53B58659" w14:textId="77777777" w:rsidR="00A22403" w:rsidRDefault="00A22403">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iikvxku4p5t6">
            <w:r>
              <w:rPr>
                <w:color w:val="000000"/>
              </w:rPr>
              <w:t>1.2 Marketing environment overview</w:t>
            </w:r>
            <w:r>
              <w:rPr>
                <w:color w:val="000000"/>
              </w:rPr>
              <w:tab/>
              <w:t>4</w:t>
            </w:r>
          </w:hyperlink>
        </w:p>
        <w:p w14:paraId="75EFDED8" w14:textId="77777777" w:rsidR="00A22403" w:rsidRDefault="00A22403">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8bsrm1muz0up">
            <w:r>
              <w:rPr>
                <w:color w:val="000000"/>
              </w:rPr>
              <w:t>1.3 External actor 1 – Natural environment</w:t>
            </w:r>
            <w:r>
              <w:rPr>
                <w:color w:val="000000"/>
              </w:rPr>
              <w:tab/>
              <w:t>4</w:t>
            </w:r>
          </w:hyperlink>
        </w:p>
        <w:p w14:paraId="0E44EE7F" w14:textId="77777777" w:rsidR="00A22403" w:rsidRDefault="00A22403">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9vfw0lefov30">
            <w:r>
              <w:rPr>
                <w:color w:val="000000"/>
              </w:rPr>
              <w:t>1.4 External actor 2 – Publics (Stakeholders)</w:t>
            </w:r>
            <w:r>
              <w:rPr>
                <w:color w:val="000000"/>
              </w:rPr>
              <w:tab/>
              <w:t>6</w:t>
            </w:r>
          </w:hyperlink>
        </w:p>
        <w:p w14:paraId="057E3284" w14:textId="77777777" w:rsidR="00A22403" w:rsidRDefault="00A22403">
          <w:pPr>
            <w:pBdr>
              <w:top w:val="nil"/>
              <w:left w:val="nil"/>
              <w:bottom w:val="nil"/>
              <w:right w:val="nil"/>
              <w:between w:val="nil"/>
            </w:pBdr>
            <w:tabs>
              <w:tab w:val="right" w:leader="dot" w:pos="9016"/>
            </w:tabs>
            <w:spacing w:after="100"/>
            <w:rPr>
              <w:rFonts w:ascii="Calibri" w:eastAsia="Calibri" w:hAnsi="Calibri" w:cs="Calibri"/>
              <w:color w:val="000000"/>
            </w:rPr>
          </w:pPr>
          <w:hyperlink w:anchor="_hec3hjo09toy">
            <w:r>
              <w:rPr>
                <w:color w:val="000000"/>
              </w:rPr>
              <w:t>Task 2: Strategic growth and competitive positioning</w:t>
            </w:r>
            <w:r>
              <w:rPr>
                <w:color w:val="000000"/>
              </w:rPr>
              <w:tab/>
              <w:t>7</w:t>
            </w:r>
          </w:hyperlink>
        </w:p>
        <w:p w14:paraId="5564A427" w14:textId="77777777" w:rsidR="00A22403" w:rsidRDefault="00A22403">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bjtyw9xr491p">
            <w:r>
              <w:rPr>
                <w:color w:val="000000"/>
              </w:rPr>
              <w:t>2.1 Overview of Ansoff matrix</w:t>
            </w:r>
            <w:r>
              <w:rPr>
                <w:color w:val="000000"/>
              </w:rPr>
              <w:tab/>
              <w:t>7</w:t>
            </w:r>
          </w:hyperlink>
        </w:p>
        <w:p w14:paraId="10FA60D6" w14:textId="77777777" w:rsidR="00A22403" w:rsidRDefault="00A22403">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389ynvy55fpb">
            <w:r>
              <w:rPr>
                <w:color w:val="000000"/>
              </w:rPr>
              <w:t>2.2 Recommended growth strategy – Product development</w:t>
            </w:r>
            <w:r>
              <w:rPr>
                <w:color w:val="000000"/>
              </w:rPr>
              <w:tab/>
              <w:t>10</w:t>
            </w:r>
          </w:hyperlink>
        </w:p>
        <w:p w14:paraId="70619E19" w14:textId="77777777" w:rsidR="00A22403" w:rsidRDefault="00A22403">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8wjgxdthh0fc">
            <w:r>
              <w:rPr>
                <w:color w:val="000000"/>
              </w:rPr>
              <w:t>2.3 Achieving competitive advantage</w:t>
            </w:r>
            <w:r>
              <w:rPr>
                <w:color w:val="000000"/>
              </w:rPr>
              <w:tab/>
              <w:t>11</w:t>
            </w:r>
          </w:hyperlink>
        </w:p>
        <w:p w14:paraId="6BFB134D" w14:textId="77777777" w:rsidR="00A22403" w:rsidRDefault="00A22403">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bijwzwq0bbf8">
            <w:r>
              <w:rPr>
                <w:color w:val="000000"/>
              </w:rPr>
              <w:t>2.4 Implementation recommendations</w:t>
            </w:r>
            <w:r>
              <w:rPr>
                <w:color w:val="000000"/>
              </w:rPr>
              <w:tab/>
              <w:t>11</w:t>
            </w:r>
          </w:hyperlink>
        </w:p>
        <w:p w14:paraId="1A20524F" w14:textId="77777777" w:rsidR="00A22403" w:rsidRDefault="00A22403">
          <w:pPr>
            <w:pBdr>
              <w:top w:val="nil"/>
              <w:left w:val="nil"/>
              <w:bottom w:val="nil"/>
              <w:right w:val="nil"/>
              <w:between w:val="nil"/>
            </w:pBdr>
            <w:tabs>
              <w:tab w:val="right" w:leader="dot" w:pos="9016"/>
            </w:tabs>
            <w:spacing w:after="100"/>
            <w:rPr>
              <w:rFonts w:ascii="Calibri" w:eastAsia="Calibri" w:hAnsi="Calibri" w:cs="Calibri"/>
              <w:color w:val="000000"/>
            </w:rPr>
          </w:pPr>
          <w:hyperlink w:anchor="_gtjhqlizeccs">
            <w:r>
              <w:rPr>
                <w:color w:val="000000"/>
              </w:rPr>
              <w:t>Task 3: Critical reflection on AI usage</w:t>
            </w:r>
            <w:r>
              <w:rPr>
                <w:color w:val="000000"/>
              </w:rPr>
              <w:tab/>
              <w:t>12</w:t>
            </w:r>
          </w:hyperlink>
        </w:p>
        <w:p w14:paraId="65025260" w14:textId="77777777" w:rsidR="00A22403" w:rsidRDefault="00A22403">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ygxu2koa4y94">
            <w:r>
              <w:rPr>
                <w:color w:val="000000"/>
              </w:rPr>
              <w:t>3.1 Tool disclosure</w:t>
            </w:r>
            <w:r>
              <w:rPr>
                <w:color w:val="000000"/>
              </w:rPr>
              <w:tab/>
              <w:t>12</w:t>
            </w:r>
          </w:hyperlink>
        </w:p>
        <w:p w14:paraId="251F1720" w14:textId="77777777" w:rsidR="00A22403" w:rsidRDefault="00A22403">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fj6z4ui1gmx2">
            <w:r>
              <w:rPr>
                <w:color w:val="000000"/>
              </w:rPr>
              <w:t>3.2 Critical evaluation of AI output</w:t>
            </w:r>
            <w:r>
              <w:rPr>
                <w:color w:val="000000"/>
              </w:rPr>
              <w:tab/>
              <w:t>12</w:t>
            </w:r>
          </w:hyperlink>
        </w:p>
        <w:p w14:paraId="34C6EFD5" w14:textId="77777777" w:rsidR="00A22403" w:rsidRDefault="00A22403">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itg39hm4s0y7">
            <w:r>
              <w:rPr>
                <w:color w:val="000000"/>
              </w:rPr>
              <w:t>3.3 Contribution analysis</w:t>
            </w:r>
            <w:r>
              <w:rPr>
                <w:color w:val="000000"/>
              </w:rPr>
              <w:tab/>
              <w:t>13</w:t>
            </w:r>
          </w:hyperlink>
        </w:p>
        <w:p w14:paraId="4EEB839D" w14:textId="77777777" w:rsidR="00A22403" w:rsidRDefault="00A22403">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h844teustyf4">
            <w:r>
              <w:rPr>
                <w:color w:val="000000"/>
              </w:rPr>
              <w:t>3.4 Ethical and professional reflection</w:t>
            </w:r>
            <w:r>
              <w:rPr>
                <w:color w:val="000000"/>
              </w:rPr>
              <w:tab/>
              <w:t>13</w:t>
            </w:r>
          </w:hyperlink>
        </w:p>
        <w:p w14:paraId="3C24F195" w14:textId="77777777" w:rsidR="00A22403" w:rsidRDefault="00A22403">
          <w:pPr>
            <w:pBdr>
              <w:top w:val="nil"/>
              <w:left w:val="nil"/>
              <w:bottom w:val="nil"/>
              <w:right w:val="nil"/>
              <w:between w:val="nil"/>
            </w:pBdr>
            <w:tabs>
              <w:tab w:val="right" w:leader="dot" w:pos="9016"/>
            </w:tabs>
            <w:spacing w:after="100"/>
            <w:rPr>
              <w:rFonts w:ascii="Calibri" w:eastAsia="Calibri" w:hAnsi="Calibri" w:cs="Calibri"/>
              <w:color w:val="000000"/>
            </w:rPr>
          </w:pPr>
          <w:hyperlink w:anchor="_b9dw8j9sfns5">
            <w:r>
              <w:rPr>
                <w:color w:val="000000"/>
              </w:rPr>
              <w:t>Conclusion</w:t>
            </w:r>
            <w:r>
              <w:rPr>
                <w:color w:val="000000"/>
              </w:rPr>
              <w:tab/>
              <w:t>13</w:t>
            </w:r>
          </w:hyperlink>
        </w:p>
        <w:p w14:paraId="7054A8E8" w14:textId="77777777" w:rsidR="00A22403" w:rsidRDefault="00A22403">
          <w:pPr>
            <w:pBdr>
              <w:top w:val="nil"/>
              <w:left w:val="nil"/>
              <w:bottom w:val="nil"/>
              <w:right w:val="nil"/>
              <w:between w:val="nil"/>
            </w:pBdr>
            <w:tabs>
              <w:tab w:val="right" w:leader="dot" w:pos="9016"/>
            </w:tabs>
            <w:spacing w:after="100"/>
            <w:rPr>
              <w:rFonts w:ascii="Calibri" w:eastAsia="Calibri" w:hAnsi="Calibri" w:cs="Calibri"/>
              <w:color w:val="000000"/>
            </w:rPr>
          </w:pPr>
          <w:hyperlink w:anchor="_i221jrmzgtzk">
            <w:r>
              <w:rPr>
                <w:color w:val="000000"/>
              </w:rPr>
              <w:t>References</w:t>
            </w:r>
            <w:r>
              <w:rPr>
                <w:color w:val="000000"/>
              </w:rPr>
              <w:tab/>
              <w:t>14</w:t>
            </w:r>
          </w:hyperlink>
        </w:p>
        <w:p w14:paraId="7AE0CCEE" w14:textId="77777777" w:rsidR="00A22403" w:rsidRDefault="00A22403">
          <w:pPr>
            <w:pBdr>
              <w:top w:val="nil"/>
              <w:left w:val="nil"/>
              <w:bottom w:val="nil"/>
              <w:right w:val="nil"/>
              <w:between w:val="nil"/>
            </w:pBdr>
            <w:tabs>
              <w:tab w:val="right" w:leader="dot" w:pos="9016"/>
            </w:tabs>
            <w:spacing w:after="100"/>
            <w:rPr>
              <w:rFonts w:ascii="Calibri" w:eastAsia="Calibri" w:hAnsi="Calibri" w:cs="Calibri"/>
              <w:color w:val="000000"/>
            </w:rPr>
          </w:pPr>
          <w:hyperlink w:anchor="_b82yiy1wbru1">
            <w:r>
              <w:rPr>
                <w:color w:val="000000"/>
              </w:rPr>
              <w:t>Appendix: Porter’s generic strategies</w:t>
            </w:r>
            <w:r>
              <w:rPr>
                <w:color w:val="000000"/>
              </w:rPr>
              <w:tab/>
              <w:t>17</w:t>
            </w:r>
          </w:hyperlink>
        </w:p>
        <w:p w14:paraId="1D22C205" w14:textId="77777777" w:rsidR="00A22403" w:rsidRDefault="00000000">
          <w:r>
            <w:fldChar w:fldCharType="end"/>
          </w:r>
        </w:p>
      </w:sdtContent>
    </w:sdt>
    <w:p w14:paraId="597A0186" w14:textId="77777777" w:rsidR="00A22403" w:rsidRDefault="00A22403"/>
    <w:p w14:paraId="38994500" w14:textId="77777777" w:rsidR="00A22403" w:rsidRDefault="00000000">
      <w:pPr>
        <w:spacing w:line="259" w:lineRule="auto"/>
        <w:jc w:val="left"/>
        <w:rPr>
          <w:b/>
          <w:bCs/>
        </w:rPr>
      </w:pPr>
      <w:r>
        <w:br w:type="page"/>
      </w:r>
    </w:p>
    <w:p w14:paraId="6AF8EA3D" w14:textId="77777777" w:rsidR="00A22403" w:rsidRDefault="00000000">
      <w:pPr>
        <w:pStyle w:val="Heading1"/>
      </w:pPr>
      <w:bookmarkStart w:id="0" w:name="_jr5fumjsjfz3" w:colFirst="0" w:colLast="0"/>
      <w:bookmarkEnd w:id="0"/>
      <w:r>
        <w:lastRenderedPageBreak/>
        <w:t xml:space="preserve">Introduction </w:t>
      </w:r>
    </w:p>
    <w:p w14:paraId="6A3F0CCF" w14:textId="77777777" w:rsidR="00A22403" w:rsidRDefault="00000000">
      <w:r>
        <w:t xml:space="preserve">BHP is one of the biggest mining organizations in the world, and it provides iron ore, copper, and other metals needed for global energy transition. The mining industry is responsible for 25% of total greenhouse gas (GHG) emissions of 12,000 biggest organizations in the world, thus making sustainability as strategic priority (Mining2030, 2024). BHP decreased its operational GHG emissions by 5% in fiscal year 2025 and is still working to have more sustainable business (BHP, 2025). The report investigates major external marketing environment </w:t>
      </w:r>
      <w:proofErr w:type="gramStart"/>
      <w:r>
        <w:t>players</w:t>
      </w:r>
      <w:proofErr w:type="gramEnd"/>
      <w:r>
        <w:t xml:space="preserve"> and it suggests an Ansoff growth strategy, it then provide a critical reflection on responsible use of AI for analysis development.</w:t>
      </w:r>
    </w:p>
    <w:p w14:paraId="0FDB5BB6" w14:textId="77777777" w:rsidR="00A22403" w:rsidRDefault="00000000">
      <w:pPr>
        <w:jc w:val="center"/>
      </w:pPr>
      <w:r>
        <w:rPr>
          <w:noProof/>
        </w:rPr>
        <w:drawing>
          <wp:inline distT="0" distB="0" distL="0" distR="0" wp14:anchorId="7F3C157F" wp14:editId="3F11AF55">
            <wp:extent cx="4397121" cy="2491956"/>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4397121" cy="2491956"/>
                    </a:xfrm>
                    <a:prstGeom prst="rect">
                      <a:avLst/>
                    </a:prstGeom>
                    <a:ln/>
                  </pic:spPr>
                </pic:pic>
              </a:graphicData>
            </a:graphic>
          </wp:inline>
        </w:drawing>
      </w:r>
    </w:p>
    <w:p w14:paraId="6D5A07EB" w14:textId="77777777" w:rsidR="00A22403" w:rsidRDefault="00000000">
      <w:pPr>
        <w:jc w:val="center"/>
        <w:rPr>
          <w:b/>
          <w:bCs/>
        </w:rPr>
      </w:pPr>
      <w:r>
        <w:rPr>
          <w:b/>
          <w:bCs/>
        </w:rPr>
        <w:t>Figure 1: Sustainability plan of BHP</w:t>
      </w:r>
    </w:p>
    <w:p w14:paraId="31EEA20E" w14:textId="77777777" w:rsidR="00A22403" w:rsidRDefault="00000000">
      <w:pPr>
        <w:jc w:val="center"/>
      </w:pPr>
      <w:r>
        <w:t>(Source: BHP, 2025)</w:t>
      </w:r>
    </w:p>
    <w:p w14:paraId="2ACBCB47" w14:textId="77777777" w:rsidR="00A22403" w:rsidRDefault="00000000">
      <w:pPr>
        <w:pStyle w:val="Heading1"/>
      </w:pPr>
      <w:bookmarkStart w:id="1" w:name="_i7r9em6m9v35" w:colFirst="0" w:colLast="0"/>
      <w:bookmarkEnd w:id="1"/>
      <w:r>
        <w:t xml:space="preserve">Task 1: Marketing environment analysis </w:t>
      </w:r>
    </w:p>
    <w:p w14:paraId="6742349D" w14:textId="77777777" w:rsidR="00A22403" w:rsidRDefault="00000000">
      <w:pPr>
        <w:pStyle w:val="Heading2"/>
      </w:pPr>
      <w:bookmarkStart w:id="2" w:name="_osw53r6pyuff" w:colFirst="0" w:colLast="0"/>
      <w:bookmarkEnd w:id="2"/>
      <w:r>
        <w:t>1.1 Company background</w:t>
      </w:r>
    </w:p>
    <w:p w14:paraId="71E9525C" w14:textId="77777777" w:rsidR="00A22403" w:rsidRDefault="00000000">
      <w:r>
        <w:t xml:space="preserve">BHP is one of the largest diversified mining corporations in the world. It has operations at over 90 sites across globe and employs about 38,000 workers, including direct workers and contractors (Reuters, 2007). BHP supplies iron ore, copper, nickel, and potash that are needed for construction purposes and renewable energy sources and electric vehicles (BHP, 2026). The company is one of the biggest suppliers of iron ore and a top producer of copper in the world. Goal of the company is to have zero net greenhouse gas emissions from its operations by 2050. The strategy of a lower carbon </w:t>
      </w:r>
      <w:r>
        <w:lastRenderedPageBreak/>
        <w:t>transition of BHP involves renewable power, mine electrification, efficiency, and collaboration on lower carbon steelmaking. Implementation of such measures increases competitiveness by addressing concerns about environment.</w:t>
      </w:r>
    </w:p>
    <w:p w14:paraId="1F097FC5" w14:textId="77777777" w:rsidR="00A22403" w:rsidRDefault="00000000">
      <w:pPr>
        <w:pStyle w:val="Heading2"/>
      </w:pPr>
      <w:bookmarkStart w:id="3" w:name="_iikvxku4p5t6" w:colFirst="0" w:colLast="0"/>
      <w:bookmarkEnd w:id="3"/>
      <w:r>
        <w:t>1.2 Marketing environment overview</w:t>
      </w:r>
    </w:p>
    <w:p w14:paraId="4A777538" w14:textId="77777777" w:rsidR="00A22403" w:rsidRDefault="00000000">
      <w:r>
        <w:t xml:space="preserve">Macro marketing environment consists of elements, which affect organizational decision-making </w:t>
      </w:r>
      <w:proofErr w:type="gramStart"/>
      <w:r>
        <w:t>process</w:t>
      </w:r>
      <w:proofErr w:type="gramEnd"/>
      <w:r>
        <w:t xml:space="preserve"> but which cannot be controlled by the firm. As mentioned by Kotler et al. (2024), analysis of such elements enables organizations to determine opportunities and threats in market and develop right strategy. In relation to BHP, Natural Environment and Publics (Stakeholders) are the most important external parties. Their behaviour and expectations are main factors influencing investment, corporate reputation, and sustainability trends; thus, making them key factors for marketing strategies and positioning (Martín</w:t>
      </w:r>
      <w:r>
        <w:rPr>
          <w:rFonts w:ascii="Cambria Math" w:eastAsia="Cambria Math" w:hAnsi="Cambria Math" w:cs="Cambria Math"/>
        </w:rPr>
        <w:t>‐</w:t>
      </w:r>
      <w:r>
        <w:t xml:space="preserve">de Castro </w:t>
      </w:r>
      <w:r>
        <w:rPr>
          <w:i/>
          <w:iCs/>
        </w:rPr>
        <w:t xml:space="preserve">et al. </w:t>
      </w:r>
      <w:r>
        <w:t>2020).</w:t>
      </w:r>
    </w:p>
    <w:tbl>
      <w:tblPr>
        <w:tblStyle w:val="a"/>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406"/>
        <w:gridCol w:w="3543"/>
        <w:gridCol w:w="3067"/>
      </w:tblGrid>
      <w:tr w:rsidR="00A22403" w14:paraId="33C98CA9" w14:textId="77777777">
        <w:tc>
          <w:tcPr>
            <w:tcW w:w="2406" w:type="dxa"/>
          </w:tcPr>
          <w:p w14:paraId="63D8B836" w14:textId="77777777" w:rsidR="00A22403" w:rsidRDefault="00000000">
            <w:pPr>
              <w:jc w:val="center"/>
              <w:rPr>
                <w:b/>
                <w:bCs/>
                <w:i/>
                <w:iCs/>
              </w:rPr>
            </w:pPr>
            <w:r>
              <w:rPr>
                <w:b/>
                <w:bCs/>
                <w:i/>
                <w:iCs/>
              </w:rPr>
              <w:t>Marketing environment actor</w:t>
            </w:r>
          </w:p>
        </w:tc>
        <w:tc>
          <w:tcPr>
            <w:tcW w:w="3543" w:type="dxa"/>
          </w:tcPr>
          <w:p w14:paraId="0C1FEBC7" w14:textId="77777777" w:rsidR="00A22403" w:rsidRDefault="00000000">
            <w:pPr>
              <w:jc w:val="center"/>
              <w:rPr>
                <w:b/>
                <w:bCs/>
                <w:i/>
                <w:iCs/>
              </w:rPr>
            </w:pPr>
            <w:r>
              <w:rPr>
                <w:b/>
                <w:bCs/>
                <w:i/>
                <w:iCs/>
              </w:rPr>
              <w:t>Influence on BHP</w:t>
            </w:r>
          </w:p>
        </w:tc>
        <w:tc>
          <w:tcPr>
            <w:tcW w:w="3067" w:type="dxa"/>
          </w:tcPr>
          <w:p w14:paraId="3FA4E3F2" w14:textId="77777777" w:rsidR="00A22403" w:rsidRDefault="00000000">
            <w:pPr>
              <w:jc w:val="center"/>
              <w:rPr>
                <w:b/>
                <w:bCs/>
                <w:i/>
                <w:iCs/>
              </w:rPr>
            </w:pPr>
            <w:r>
              <w:rPr>
                <w:b/>
                <w:bCs/>
                <w:i/>
                <w:iCs/>
              </w:rPr>
              <w:t>Strategic importance</w:t>
            </w:r>
          </w:p>
        </w:tc>
      </w:tr>
      <w:tr w:rsidR="00A22403" w14:paraId="47858B6A" w14:textId="77777777">
        <w:tc>
          <w:tcPr>
            <w:tcW w:w="2406" w:type="dxa"/>
          </w:tcPr>
          <w:p w14:paraId="56260FC0" w14:textId="77777777" w:rsidR="00A22403" w:rsidRDefault="00000000">
            <w:r>
              <w:t>Natural environment</w:t>
            </w:r>
          </w:p>
        </w:tc>
        <w:tc>
          <w:tcPr>
            <w:tcW w:w="3543" w:type="dxa"/>
          </w:tcPr>
          <w:p w14:paraId="0D372939" w14:textId="77777777" w:rsidR="00A22403" w:rsidRDefault="00000000">
            <w:r>
              <w:t>Climate change, carbon emissions, water scarcity, biodiversity protection and resource availability</w:t>
            </w:r>
          </w:p>
        </w:tc>
        <w:tc>
          <w:tcPr>
            <w:tcW w:w="3067" w:type="dxa"/>
          </w:tcPr>
          <w:p w14:paraId="18351579" w14:textId="77777777" w:rsidR="00A22403" w:rsidRDefault="00000000">
            <w:r>
              <w:t>Drives lower-carbon operations, innovation and regulatory compliance</w:t>
            </w:r>
          </w:p>
        </w:tc>
      </w:tr>
      <w:tr w:rsidR="00A22403" w14:paraId="643C37A3" w14:textId="77777777">
        <w:tc>
          <w:tcPr>
            <w:tcW w:w="2406" w:type="dxa"/>
          </w:tcPr>
          <w:p w14:paraId="69422DC8" w14:textId="77777777" w:rsidR="00A22403" w:rsidRDefault="00000000">
            <w:r>
              <w:t>Publics (Stakeholders)</w:t>
            </w:r>
          </w:p>
        </w:tc>
        <w:tc>
          <w:tcPr>
            <w:tcW w:w="3543" w:type="dxa"/>
          </w:tcPr>
          <w:p w14:paraId="2AE34E6A" w14:textId="77777777" w:rsidR="00A22403" w:rsidRDefault="00000000">
            <w:r>
              <w:t>Investors, governments, local communities, NGOs, employees and media</w:t>
            </w:r>
          </w:p>
        </w:tc>
        <w:tc>
          <w:tcPr>
            <w:tcW w:w="3067" w:type="dxa"/>
          </w:tcPr>
          <w:p w14:paraId="6D43FC8A" w14:textId="77777777" w:rsidR="00A22403" w:rsidRDefault="00000000">
            <w:r>
              <w:t>Influences reputation, ESG performance, stakeholder trust and investment decisions</w:t>
            </w:r>
          </w:p>
        </w:tc>
      </w:tr>
    </w:tbl>
    <w:p w14:paraId="752F4BA4" w14:textId="77777777" w:rsidR="00A22403" w:rsidRDefault="00000000">
      <w:pPr>
        <w:jc w:val="center"/>
        <w:rPr>
          <w:b/>
          <w:bCs/>
        </w:rPr>
      </w:pPr>
      <w:r>
        <w:rPr>
          <w:b/>
          <w:bCs/>
        </w:rPr>
        <w:t>Table 1: External marketing environment actors affecting BHP</w:t>
      </w:r>
    </w:p>
    <w:p w14:paraId="3275D435" w14:textId="77777777" w:rsidR="00A22403" w:rsidRDefault="00000000">
      <w:pPr>
        <w:jc w:val="center"/>
      </w:pPr>
      <w:r>
        <w:t>(Source: Self-created in Ms-Word)</w:t>
      </w:r>
    </w:p>
    <w:p w14:paraId="6D5AB205" w14:textId="77777777" w:rsidR="00A22403" w:rsidRDefault="00000000">
      <w:pPr>
        <w:pStyle w:val="Heading2"/>
      </w:pPr>
      <w:bookmarkStart w:id="4" w:name="_8bsrm1muz0up" w:colFirst="0" w:colLast="0"/>
      <w:bookmarkEnd w:id="4"/>
      <w:r>
        <w:t>1.3 External actor 1 – Natural environment</w:t>
      </w:r>
    </w:p>
    <w:p w14:paraId="4B6C4F92" w14:textId="77777777" w:rsidR="00A22403" w:rsidRDefault="00000000">
      <w:r>
        <w:t>The most influential external marketing environment actor that affects BHP’s transformation into low carbon products is Natural Environment. Climate change has put mining companies under pressure to reduce their greenhouse gas emissions; since, the mining and metals industry accounts for about 25% of greenhouse gas emissions by the world’s 12,000 biggest corporations (McKinsey, 2020). Governments, investors, and consumers want mining companies to help the planet achieve its climate objectives by producing in a sustainable manner (</w:t>
      </w:r>
      <w:proofErr w:type="spellStart"/>
      <w:r>
        <w:t>Sovacool</w:t>
      </w:r>
      <w:proofErr w:type="spellEnd"/>
      <w:r>
        <w:t xml:space="preserve"> </w:t>
      </w:r>
      <w:r>
        <w:rPr>
          <w:i/>
          <w:iCs/>
        </w:rPr>
        <w:t xml:space="preserve">et al. </w:t>
      </w:r>
      <w:r>
        <w:t>202).</w:t>
      </w:r>
    </w:p>
    <w:p w14:paraId="1535614B" w14:textId="77777777" w:rsidR="00A22403" w:rsidRDefault="00000000">
      <w:r>
        <w:lastRenderedPageBreak/>
        <w:t xml:space="preserve">Mining is associated with high energy and water usage and effect on biodiversity and natural habitats (Barbarossa </w:t>
      </w:r>
      <w:r>
        <w:rPr>
          <w:i/>
          <w:iCs/>
        </w:rPr>
        <w:t xml:space="preserve">et al. </w:t>
      </w:r>
      <w:r>
        <w:t>2026). With growing mineral demand, businesses should find ways of reconciling their business interests with sustainable development objectives. This objective has been achieved by BHP using renewable electricity and electrification of mining machines to enhance efficiency. Operational greenhouse gas emissions were reduced by 5% in FY2025 which is the outcome of a joint effort with the organization toward a green carbon-neutral future. These kinds of measures both help environment and the company to realize its environmental goals.</w:t>
      </w:r>
    </w:p>
    <w:p w14:paraId="3BE23823" w14:textId="77777777" w:rsidR="00A22403" w:rsidRDefault="00000000">
      <w:r>
        <w:t xml:space="preserve">Renewable energy adoption provides substantial business opportunities. Use of electric vehicles, batteries, and renewable energy systems relies on copper and nickel so there will be an upward demand of these two metals (Nguyen </w:t>
      </w:r>
      <w:r>
        <w:rPr>
          <w:i/>
          <w:iCs/>
        </w:rPr>
        <w:t xml:space="preserve">et al. </w:t>
      </w:r>
      <w:r>
        <w:t xml:space="preserve">2021). BHP is increasing investment in these important metals in partnership with steel makers to create steel-making technologies that have reduced carbon emissions. This makes the company well-placed in the market and more attractive to investors looking for companies with strong ESG performance. </w:t>
      </w:r>
    </w:p>
    <w:p w14:paraId="709071E6" w14:textId="77777777" w:rsidR="00A22403" w:rsidRDefault="00000000">
      <w:r>
        <w:t>However, there are some major obstacles for environmental sustainability. The first obstacle is investment in huge financial resources for introduction of technologies related to renewable energy sources, electrification of mines, and reduction of carbon emissions (</w:t>
      </w:r>
      <w:proofErr w:type="spellStart"/>
      <w:r>
        <w:t>Amegboleza</w:t>
      </w:r>
      <w:proofErr w:type="spellEnd"/>
      <w:r>
        <w:t xml:space="preserve">, and Ülkü, 2025). Stronger environmental regulations increase cost of compliance and need for continuous monitoring of emissions, consumption of water, and effects on biodiversity. There will be necessity for supply-chains to adopt lower carbon standards; thus, complicating their operations even further. Inability to meet stakeholders' expectations will result in loss of investors' trust and negative consequences for the company's image and growth potential. </w:t>
      </w:r>
    </w:p>
    <w:p w14:paraId="706E86ED" w14:textId="77777777" w:rsidR="00A22403" w:rsidRDefault="00000000">
      <w:r>
        <w:t>BHP's sustainable development activities provide a significant competitive advantage through innovation and resource sustainability. However, sustaining this competitive advantage entails consistent efforts to invest, provide transparent report, and perform well environmentally to meet stakeholders' expectations.</w:t>
      </w:r>
    </w:p>
    <w:tbl>
      <w:tblPr>
        <w:tblStyle w:val="a0"/>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420"/>
        <w:gridCol w:w="4596"/>
      </w:tblGrid>
      <w:tr w:rsidR="00A22403" w14:paraId="439B5924" w14:textId="77777777">
        <w:tc>
          <w:tcPr>
            <w:tcW w:w="4420" w:type="dxa"/>
          </w:tcPr>
          <w:p w14:paraId="5B3B3466" w14:textId="77777777" w:rsidR="00A22403" w:rsidRDefault="00000000">
            <w:pPr>
              <w:jc w:val="center"/>
              <w:rPr>
                <w:b/>
                <w:bCs/>
                <w:i/>
                <w:iCs/>
              </w:rPr>
            </w:pPr>
            <w:r>
              <w:rPr>
                <w:b/>
                <w:bCs/>
                <w:i/>
                <w:iCs/>
              </w:rPr>
              <w:t>Opportunities</w:t>
            </w:r>
          </w:p>
        </w:tc>
        <w:tc>
          <w:tcPr>
            <w:tcW w:w="4596" w:type="dxa"/>
          </w:tcPr>
          <w:p w14:paraId="0956021A" w14:textId="77777777" w:rsidR="00A22403" w:rsidRDefault="00000000">
            <w:pPr>
              <w:jc w:val="center"/>
              <w:rPr>
                <w:b/>
                <w:bCs/>
                <w:i/>
                <w:iCs/>
              </w:rPr>
            </w:pPr>
            <w:r>
              <w:rPr>
                <w:b/>
                <w:bCs/>
                <w:i/>
                <w:iCs/>
              </w:rPr>
              <w:t>Challenges</w:t>
            </w:r>
          </w:p>
        </w:tc>
      </w:tr>
      <w:tr w:rsidR="00A22403" w14:paraId="7B403B09" w14:textId="77777777">
        <w:tc>
          <w:tcPr>
            <w:tcW w:w="4420" w:type="dxa"/>
          </w:tcPr>
          <w:p w14:paraId="39B78EAC" w14:textId="77777777" w:rsidR="00A22403" w:rsidRDefault="00000000">
            <w:r>
              <w:t>Growing demand for copper and nickel</w:t>
            </w:r>
          </w:p>
        </w:tc>
        <w:tc>
          <w:tcPr>
            <w:tcW w:w="4596" w:type="dxa"/>
          </w:tcPr>
          <w:p w14:paraId="51E93918" w14:textId="77777777" w:rsidR="00A22403" w:rsidRDefault="00000000">
            <w:r>
              <w:t>High capital investment in clean technologies</w:t>
            </w:r>
          </w:p>
        </w:tc>
      </w:tr>
      <w:tr w:rsidR="00A22403" w14:paraId="05B9EDDC" w14:textId="77777777">
        <w:tc>
          <w:tcPr>
            <w:tcW w:w="4420" w:type="dxa"/>
          </w:tcPr>
          <w:p w14:paraId="6A25C8FE" w14:textId="77777777" w:rsidR="00A22403" w:rsidRDefault="00000000">
            <w:r>
              <w:t>Renewable electricity integration</w:t>
            </w:r>
          </w:p>
        </w:tc>
        <w:tc>
          <w:tcPr>
            <w:tcW w:w="4596" w:type="dxa"/>
          </w:tcPr>
          <w:p w14:paraId="469CBAE0" w14:textId="77777777" w:rsidR="00A22403" w:rsidRDefault="00000000">
            <w:r>
              <w:t>Increasing environmental compliance costs</w:t>
            </w:r>
          </w:p>
        </w:tc>
      </w:tr>
      <w:tr w:rsidR="00A22403" w14:paraId="64DAEC1B" w14:textId="77777777">
        <w:tc>
          <w:tcPr>
            <w:tcW w:w="4420" w:type="dxa"/>
          </w:tcPr>
          <w:p w14:paraId="48E6B32A" w14:textId="77777777" w:rsidR="00A22403" w:rsidRDefault="00000000">
            <w:r>
              <w:t>Green mining technologies</w:t>
            </w:r>
          </w:p>
        </w:tc>
        <w:tc>
          <w:tcPr>
            <w:tcW w:w="4596" w:type="dxa"/>
          </w:tcPr>
          <w:p w14:paraId="55742C78" w14:textId="77777777" w:rsidR="00A22403" w:rsidRDefault="00000000">
            <w:r>
              <w:t>Operational disruption during transition</w:t>
            </w:r>
          </w:p>
        </w:tc>
      </w:tr>
      <w:tr w:rsidR="00A22403" w14:paraId="2AAE92F4" w14:textId="77777777">
        <w:tc>
          <w:tcPr>
            <w:tcW w:w="4420" w:type="dxa"/>
          </w:tcPr>
          <w:p w14:paraId="3DA0B2F5" w14:textId="77777777" w:rsidR="00A22403" w:rsidRDefault="00000000">
            <w:r>
              <w:lastRenderedPageBreak/>
              <w:t>Hydrogen and low-carbon steel partnerships</w:t>
            </w:r>
          </w:p>
        </w:tc>
        <w:tc>
          <w:tcPr>
            <w:tcW w:w="4596" w:type="dxa"/>
          </w:tcPr>
          <w:p w14:paraId="58FE311A" w14:textId="77777777" w:rsidR="00A22403" w:rsidRDefault="00000000">
            <w:r>
              <w:t>Carbon reduction targets</w:t>
            </w:r>
          </w:p>
        </w:tc>
      </w:tr>
      <w:tr w:rsidR="00A22403" w14:paraId="3AE1E313" w14:textId="77777777">
        <w:tc>
          <w:tcPr>
            <w:tcW w:w="4420" w:type="dxa"/>
          </w:tcPr>
          <w:p w14:paraId="064872AF" w14:textId="77777777" w:rsidR="00A22403" w:rsidRDefault="00000000">
            <w:r>
              <w:t>Higher ESG investment</w:t>
            </w:r>
          </w:p>
        </w:tc>
        <w:tc>
          <w:tcPr>
            <w:tcW w:w="4596" w:type="dxa"/>
          </w:tcPr>
          <w:p w14:paraId="24646776" w14:textId="77777777" w:rsidR="00A22403" w:rsidRDefault="00000000">
            <w:r>
              <w:t>Supply chain adaptation</w:t>
            </w:r>
          </w:p>
        </w:tc>
      </w:tr>
      <w:tr w:rsidR="00A22403" w14:paraId="00FDD920" w14:textId="77777777">
        <w:tc>
          <w:tcPr>
            <w:tcW w:w="4420" w:type="dxa"/>
          </w:tcPr>
          <w:p w14:paraId="06D11524" w14:textId="77777777" w:rsidR="00A22403" w:rsidRDefault="00000000">
            <w:r>
              <w:t>Stronger sustainability reputation</w:t>
            </w:r>
          </w:p>
        </w:tc>
        <w:tc>
          <w:tcPr>
            <w:tcW w:w="4596" w:type="dxa"/>
          </w:tcPr>
          <w:p w14:paraId="1E24B343" w14:textId="77777777" w:rsidR="00A22403" w:rsidRDefault="00000000">
            <w:r>
              <w:t>Biodiversity and water management pressures</w:t>
            </w:r>
          </w:p>
        </w:tc>
      </w:tr>
    </w:tbl>
    <w:p w14:paraId="257F548D" w14:textId="77777777" w:rsidR="00A22403" w:rsidRDefault="00000000">
      <w:pPr>
        <w:jc w:val="center"/>
        <w:rPr>
          <w:b/>
          <w:bCs/>
        </w:rPr>
      </w:pPr>
      <w:r>
        <w:rPr>
          <w:b/>
          <w:bCs/>
        </w:rPr>
        <w:t>Table 2: Natural environment - Opportunities and challenges for BHP</w:t>
      </w:r>
    </w:p>
    <w:p w14:paraId="20DB7A58" w14:textId="77777777" w:rsidR="00A22403" w:rsidRDefault="00000000">
      <w:pPr>
        <w:jc w:val="center"/>
      </w:pPr>
      <w:r>
        <w:t>(Source: Self-created in Ms-Word)</w:t>
      </w:r>
    </w:p>
    <w:p w14:paraId="1EF14E23" w14:textId="77777777" w:rsidR="00A22403" w:rsidRDefault="00000000">
      <w:pPr>
        <w:pStyle w:val="Heading2"/>
      </w:pPr>
      <w:bookmarkStart w:id="5" w:name="_9vfw0lefov30" w:colFirst="0" w:colLast="0"/>
      <w:bookmarkEnd w:id="5"/>
      <w:r>
        <w:t>1.4 External actor 2 – Publics (Stakeholders)</w:t>
      </w:r>
    </w:p>
    <w:p w14:paraId="2A4F4D7A" w14:textId="77777777" w:rsidR="00A22403" w:rsidRDefault="00000000">
      <w:r>
        <w:t xml:space="preserve">Other key player that has an impact on decarbonization journey of BHP is Publics that consists of investors, governments, communities, NGOs, environmental organizations, employees and media organizations. They are increasingly judging mining companies through ESG criteria, climate action and transparency. Investors are expecting increased reporting due to potential of environmental risk in their long-term performance, while governments are focusing on climate policies and communities are expecting responsible mining (Lee </w:t>
      </w:r>
      <w:r>
        <w:rPr>
          <w:i/>
          <w:iCs/>
        </w:rPr>
        <w:t xml:space="preserve">et al. </w:t>
      </w:r>
      <w:r>
        <w:t>2020).</w:t>
      </w:r>
    </w:p>
    <w:p w14:paraId="3F5BF85B" w14:textId="77777777" w:rsidR="00A22403" w:rsidRDefault="00000000">
      <w:r>
        <w:t>Effective stakeholder communication gives BHP a chance to build corporate reputation, increase investor confidence, and access sustainable finance. Expectations of stakeholders may pose some issues for BHP. For instance, environmental and media stakeholders might raise concerns about sustainability of mining operations if they perceive claims made by BHP as inadequate or not entirely true (de Castilho Rossoni, and Lima, 2026). Risks of greenwashing and negative publicity might expose the company’s social license to operate.</w:t>
      </w:r>
    </w:p>
    <w:p w14:paraId="465391A3" w14:textId="77777777" w:rsidR="00A22403" w:rsidRDefault="00000000">
      <w:pPr>
        <w:jc w:val="center"/>
      </w:pPr>
      <w:r>
        <w:rPr>
          <w:noProof/>
        </w:rPr>
        <w:lastRenderedPageBreak/>
        <w:drawing>
          <wp:inline distT="0" distB="0" distL="0" distR="0" wp14:anchorId="24803602" wp14:editId="65A4B44E">
            <wp:extent cx="5731510" cy="427609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510" cy="4276090"/>
                    </a:xfrm>
                    <a:prstGeom prst="rect">
                      <a:avLst/>
                    </a:prstGeom>
                    <a:ln/>
                  </pic:spPr>
                </pic:pic>
              </a:graphicData>
            </a:graphic>
          </wp:inline>
        </w:drawing>
      </w:r>
    </w:p>
    <w:p w14:paraId="0F0702D1" w14:textId="77777777" w:rsidR="00A22403" w:rsidRDefault="00000000">
      <w:pPr>
        <w:jc w:val="center"/>
        <w:rPr>
          <w:b/>
          <w:bCs/>
        </w:rPr>
      </w:pPr>
      <w:r>
        <w:rPr>
          <w:b/>
          <w:bCs/>
        </w:rPr>
        <w:t>Table 3: Influence of stakeholders on BHP’s lower-carbon transition</w:t>
      </w:r>
    </w:p>
    <w:p w14:paraId="1B03D548" w14:textId="77777777" w:rsidR="00A22403" w:rsidRDefault="00000000">
      <w:pPr>
        <w:jc w:val="center"/>
      </w:pPr>
      <w:r>
        <w:t>(Source: Self-created in Ms-Word)</w:t>
      </w:r>
    </w:p>
    <w:p w14:paraId="7D19FE53" w14:textId="77777777" w:rsidR="00A22403" w:rsidRDefault="00000000">
      <w:pPr>
        <w:pStyle w:val="Heading1"/>
      </w:pPr>
      <w:bookmarkStart w:id="6" w:name="_hec3hjo09toy" w:colFirst="0" w:colLast="0"/>
      <w:bookmarkEnd w:id="6"/>
      <w:r>
        <w:t xml:space="preserve">Task 2: Strategic growth and competitive positioning </w:t>
      </w:r>
    </w:p>
    <w:p w14:paraId="693EA7D1" w14:textId="77777777" w:rsidR="00A22403" w:rsidRDefault="00000000">
      <w:pPr>
        <w:pStyle w:val="Heading2"/>
      </w:pPr>
      <w:bookmarkStart w:id="7" w:name="_bjtyw9xr491p" w:colFirst="0" w:colLast="0"/>
      <w:bookmarkEnd w:id="7"/>
      <w:r>
        <w:t xml:space="preserve">2.1 Overview of Ansoff matrix </w:t>
      </w:r>
    </w:p>
    <w:p w14:paraId="23B8EBE6" w14:textId="77777777" w:rsidR="00A22403" w:rsidRDefault="00000000">
      <w:r>
        <w:t>The Ansoff matrix is a growth model used by organisations to select appropriate growth options depending on existing and new markets and products (Clarissia, 2020). For BHP, Ansoff matrix allows for evaluation of ways of growth that will help organisation transition to low carbon mining.</w:t>
      </w:r>
    </w:p>
    <w:p w14:paraId="083E8A69" w14:textId="77777777" w:rsidR="00A22403" w:rsidRDefault="00000000">
      <w:pPr>
        <w:numPr>
          <w:ilvl w:val="0"/>
          <w:numId w:val="1"/>
        </w:numPr>
        <w:pBdr>
          <w:top w:val="nil"/>
          <w:left w:val="nil"/>
          <w:bottom w:val="nil"/>
          <w:right w:val="nil"/>
          <w:between w:val="nil"/>
        </w:pBdr>
        <w:spacing w:after="0"/>
        <w:rPr>
          <w:color w:val="000000"/>
        </w:rPr>
      </w:pPr>
      <w:r>
        <w:rPr>
          <w:color w:val="000000"/>
        </w:rPr>
        <w:t>Market Penetration is all about selling more of existing product in same market. In case of BHP, it may be about increasing sales of iron ores to their steel customers. Nonetheless, this approach brings limited sustainability benefits as it keeps industry dependent on traditional mining products (World Economic Forum, 2024).</w:t>
      </w:r>
    </w:p>
    <w:p w14:paraId="625085EE" w14:textId="77777777" w:rsidR="00A22403" w:rsidRDefault="00000000">
      <w:pPr>
        <w:numPr>
          <w:ilvl w:val="0"/>
          <w:numId w:val="1"/>
        </w:numPr>
        <w:pBdr>
          <w:top w:val="nil"/>
          <w:left w:val="nil"/>
          <w:bottom w:val="nil"/>
          <w:right w:val="nil"/>
          <w:between w:val="nil"/>
        </w:pBdr>
        <w:rPr>
          <w:color w:val="000000"/>
        </w:rPr>
      </w:pPr>
      <w:r>
        <w:rPr>
          <w:color w:val="000000"/>
        </w:rPr>
        <w:lastRenderedPageBreak/>
        <w:t xml:space="preserve">Market Development means entering new geographic or customer markets using same products. BHP can consider supplying minerals to new renewable energy markets. This option might not help much in satisfying increased demand for low-carbon products (BHP, 2020). </w:t>
      </w:r>
    </w:p>
    <w:p w14:paraId="462EE69C" w14:textId="77777777" w:rsidR="00A22403" w:rsidRDefault="00000000">
      <w:pPr>
        <w:jc w:val="center"/>
      </w:pPr>
      <w:r>
        <w:rPr>
          <w:noProof/>
        </w:rPr>
        <w:drawing>
          <wp:inline distT="0" distB="0" distL="0" distR="0" wp14:anchorId="7AA5FC68" wp14:editId="4CD12D72">
            <wp:extent cx="5731510" cy="160401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5731510" cy="1604010"/>
                    </a:xfrm>
                    <a:prstGeom prst="rect">
                      <a:avLst/>
                    </a:prstGeom>
                    <a:ln/>
                  </pic:spPr>
                </pic:pic>
              </a:graphicData>
            </a:graphic>
          </wp:inline>
        </w:drawing>
      </w:r>
    </w:p>
    <w:p w14:paraId="1051BEC6" w14:textId="77777777" w:rsidR="00A22403" w:rsidRDefault="00000000">
      <w:pPr>
        <w:jc w:val="center"/>
        <w:rPr>
          <w:b/>
          <w:bCs/>
        </w:rPr>
      </w:pPr>
      <w:r>
        <w:rPr>
          <w:b/>
          <w:bCs/>
        </w:rPr>
        <w:t>Figure 2: Product development at BHP in 2020</w:t>
      </w:r>
    </w:p>
    <w:p w14:paraId="2B106C13" w14:textId="77777777" w:rsidR="00A22403" w:rsidRDefault="00000000">
      <w:pPr>
        <w:jc w:val="center"/>
      </w:pPr>
      <w:r>
        <w:t>(Source: BHP, 2020)</w:t>
      </w:r>
    </w:p>
    <w:p w14:paraId="300EECF2" w14:textId="77777777" w:rsidR="00A22403" w:rsidRDefault="00000000">
      <w:pPr>
        <w:numPr>
          <w:ilvl w:val="0"/>
          <w:numId w:val="1"/>
        </w:numPr>
        <w:pBdr>
          <w:top w:val="nil"/>
          <w:left w:val="nil"/>
          <w:bottom w:val="nil"/>
          <w:right w:val="nil"/>
          <w:between w:val="nil"/>
        </w:pBdr>
        <w:spacing w:after="0"/>
        <w:rPr>
          <w:color w:val="000000"/>
        </w:rPr>
      </w:pPr>
      <w:r>
        <w:rPr>
          <w:color w:val="000000"/>
        </w:rPr>
        <w:t>Product Development is the development of new products in existing markets. This is an appropriate choice for BHP because customers are looking for sustainable minerals with lower environmental impacts. Development of low-carbon products will enable BHP to meet expectations about climate without losing its current customers.</w:t>
      </w:r>
    </w:p>
    <w:p w14:paraId="47A4C3CD" w14:textId="77777777" w:rsidR="00A22403" w:rsidRDefault="00000000">
      <w:pPr>
        <w:numPr>
          <w:ilvl w:val="0"/>
          <w:numId w:val="1"/>
        </w:numPr>
        <w:pBdr>
          <w:top w:val="nil"/>
          <w:left w:val="nil"/>
          <w:bottom w:val="nil"/>
          <w:right w:val="nil"/>
          <w:between w:val="nil"/>
        </w:pBdr>
        <w:rPr>
          <w:color w:val="000000"/>
        </w:rPr>
      </w:pPr>
      <w:r>
        <w:rPr>
          <w:color w:val="000000"/>
        </w:rPr>
        <w:t>Diversification refers to creation of new products for new markets. While this may present some advantages, diversification is quite hazardous due to new markets and high capital costs (</w:t>
      </w:r>
      <w:proofErr w:type="spellStart"/>
      <w:r>
        <w:rPr>
          <w:color w:val="000000"/>
        </w:rPr>
        <w:t>Zaimovic</w:t>
      </w:r>
      <w:proofErr w:type="spellEnd"/>
      <w:r>
        <w:rPr>
          <w:color w:val="000000"/>
        </w:rPr>
        <w:t xml:space="preserve"> </w:t>
      </w:r>
      <w:r>
        <w:rPr>
          <w:i/>
          <w:iCs/>
          <w:color w:val="000000"/>
        </w:rPr>
        <w:t xml:space="preserve">et al. </w:t>
      </w:r>
      <w:r>
        <w:rPr>
          <w:color w:val="000000"/>
        </w:rPr>
        <w:t>2021).</w:t>
      </w:r>
    </w:p>
    <w:tbl>
      <w:tblPr>
        <w:tblStyle w:val="a1"/>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10"/>
        <w:gridCol w:w="2396"/>
        <w:gridCol w:w="2268"/>
        <w:gridCol w:w="2642"/>
      </w:tblGrid>
      <w:tr w:rsidR="00A22403" w14:paraId="6606B517" w14:textId="77777777">
        <w:tc>
          <w:tcPr>
            <w:tcW w:w="1710" w:type="dxa"/>
          </w:tcPr>
          <w:p w14:paraId="16F858AE" w14:textId="77777777" w:rsidR="00A22403" w:rsidRDefault="00000000">
            <w:pPr>
              <w:jc w:val="center"/>
              <w:rPr>
                <w:b/>
                <w:bCs/>
                <w:i/>
                <w:iCs/>
              </w:rPr>
            </w:pPr>
            <w:r>
              <w:rPr>
                <w:b/>
                <w:bCs/>
                <w:i/>
                <w:iCs/>
              </w:rPr>
              <w:t>Strategy</w:t>
            </w:r>
          </w:p>
        </w:tc>
        <w:tc>
          <w:tcPr>
            <w:tcW w:w="2396" w:type="dxa"/>
          </w:tcPr>
          <w:p w14:paraId="506ED072" w14:textId="77777777" w:rsidR="00A22403" w:rsidRDefault="00000000">
            <w:pPr>
              <w:jc w:val="center"/>
              <w:rPr>
                <w:b/>
                <w:bCs/>
                <w:i/>
                <w:iCs/>
              </w:rPr>
            </w:pPr>
            <w:r>
              <w:rPr>
                <w:b/>
                <w:bCs/>
                <w:i/>
                <w:iCs/>
              </w:rPr>
              <w:t>Application for BHP</w:t>
            </w:r>
          </w:p>
        </w:tc>
        <w:tc>
          <w:tcPr>
            <w:tcW w:w="2268" w:type="dxa"/>
          </w:tcPr>
          <w:p w14:paraId="463F78F6" w14:textId="77777777" w:rsidR="00A22403" w:rsidRDefault="00000000">
            <w:pPr>
              <w:jc w:val="center"/>
              <w:rPr>
                <w:b/>
                <w:bCs/>
                <w:i/>
                <w:iCs/>
              </w:rPr>
            </w:pPr>
            <w:r>
              <w:rPr>
                <w:b/>
                <w:bCs/>
                <w:i/>
                <w:iCs/>
              </w:rPr>
              <w:t>Benefits</w:t>
            </w:r>
          </w:p>
        </w:tc>
        <w:tc>
          <w:tcPr>
            <w:tcW w:w="2642" w:type="dxa"/>
          </w:tcPr>
          <w:p w14:paraId="0C103D27" w14:textId="77777777" w:rsidR="00A22403" w:rsidRDefault="00000000">
            <w:pPr>
              <w:jc w:val="center"/>
              <w:rPr>
                <w:b/>
                <w:bCs/>
                <w:i/>
                <w:iCs/>
              </w:rPr>
            </w:pPr>
            <w:r>
              <w:rPr>
                <w:b/>
                <w:bCs/>
                <w:i/>
                <w:iCs/>
              </w:rPr>
              <w:t>Limitations</w:t>
            </w:r>
          </w:p>
        </w:tc>
      </w:tr>
      <w:tr w:rsidR="00A22403" w14:paraId="1DCBAEF1" w14:textId="77777777">
        <w:tc>
          <w:tcPr>
            <w:tcW w:w="1710" w:type="dxa"/>
          </w:tcPr>
          <w:p w14:paraId="2A5E2ED7" w14:textId="77777777" w:rsidR="00A22403" w:rsidRDefault="00000000">
            <w:r>
              <w:t>Market penetration</w:t>
            </w:r>
          </w:p>
        </w:tc>
        <w:tc>
          <w:tcPr>
            <w:tcW w:w="2396" w:type="dxa"/>
          </w:tcPr>
          <w:p w14:paraId="7A37AEC4" w14:textId="77777777" w:rsidR="00A22403" w:rsidRDefault="00000000">
            <w:r>
              <w:t>Increase sales of existing minerals</w:t>
            </w:r>
          </w:p>
        </w:tc>
        <w:tc>
          <w:tcPr>
            <w:tcW w:w="2268" w:type="dxa"/>
          </w:tcPr>
          <w:p w14:paraId="45388C0A" w14:textId="77777777" w:rsidR="00A22403" w:rsidRDefault="00000000">
            <w:r>
              <w:t>Lower risk and stable revenue</w:t>
            </w:r>
          </w:p>
        </w:tc>
        <w:tc>
          <w:tcPr>
            <w:tcW w:w="2642" w:type="dxa"/>
          </w:tcPr>
          <w:p w14:paraId="256138C5" w14:textId="77777777" w:rsidR="00A22403" w:rsidRDefault="00000000">
            <w:r>
              <w:t>Limited sustainability improvement</w:t>
            </w:r>
          </w:p>
        </w:tc>
      </w:tr>
      <w:tr w:rsidR="00A22403" w14:paraId="293197DC" w14:textId="77777777">
        <w:tc>
          <w:tcPr>
            <w:tcW w:w="1710" w:type="dxa"/>
          </w:tcPr>
          <w:p w14:paraId="2A031112" w14:textId="77777777" w:rsidR="00A22403" w:rsidRDefault="00000000">
            <w:r>
              <w:t>Market development</w:t>
            </w:r>
          </w:p>
        </w:tc>
        <w:tc>
          <w:tcPr>
            <w:tcW w:w="2396" w:type="dxa"/>
          </w:tcPr>
          <w:p w14:paraId="52B297E2" w14:textId="77777777" w:rsidR="00A22403" w:rsidRDefault="00000000">
            <w:r>
              <w:t>Expand mineral supply into new markets</w:t>
            </w:r>
          </w:p>
        </w:tc>
        <w:tc>
          <w:tcPr>
            <w:tcW w:w="2268" w:type="dxa"/>
          </w:tcPr>
          <w:p w14:paraId="2879A9B8" w14:textId="77777777" w:rsidR="00A22403" w:rsidRDefault="00000000">
            <w:r>
              <w:t>Access to new customers</w:t>
            </w:r>
          </w:p>
        </w:tc>
        <w:tc>
          <w:tcPr>
            <w:tcW w:w="2642" w:type="dxa"/>
          </w:tcPr>
          <w:p w14:paraId="5E70D1E8" w14:textId="77777777" w:rsidR="00A22403" w:rsidRDefault="00000000">
            <w:r>
              <w:t>Does not strongly reduce carbon impact</w:t>
            </w:r>
          </w:p>
        </w:tc>
      </w:tr>
      <w:tr w:rsidR="00A22403" w14:paraId="52A55CB0" w14:textId="77777777">
        <w:tc>
          <w:tcPr>
            <w:tcW w:w="1710" w:type="dxa"/>
          </w:tcPr>
          <w:p w14:paraId="6E9B9FF2" w14:textId="77777777" w:rsidR="00A22403" w:rsidRDefault="00000000">
            <w:r>
              <w:t>Product development</w:t>
            </w:r>
          </w:p>
        </w:tc>
        <w:tc>
          <w:tcPr>
            <w:tcW w:w="2396" w:type="dxa"/>
          </w:tcPr>
          <w:p w14:paraId="6353FCA0" w14:textId="77777777" w:rsidR="00A22403" w:rsidRDefault="00000000">
            <w:r>
              <w:t>Develop low-carbon minerals and technologies</w:t>
            </w:r>
          </w:p>
        </w:tc>
        <w:tc>
          <w:tcPr>
            <w:tcW w:w="2268" w:type="dxa"/>
          </w:tcPr>
          <w:p w14:paraId="280F6DC1" w14:textId="77777777" w:rsidR="00A22403" w:rsidRDefault="00000000">
            <w:r>
              <w:t>Supports sustainability and competitive advantage</w:t>
            </w:r>
          </w:p>
        </w:tc>
        <w:tc>
          <w:tcPr>
            <w:tcW w:w="2642" w:type="dxa"/>
          </w:tcPr>
          <w:p w14:paraId="72F2409B" w14:textId="77777777" w:rsidR="00A22403" w:rsidRDefault="00000000">
            <w:r>
              <w:t>Requires high investment</w:t>
            </w:r>
          </w:p>
        </w:tc>
      </w:tr>
      <w:tr w:rsidR="00A22403" w14:paraId="663566E3" w14:textId="77777777">
        <w:tc>
          <w:tcPr>
            <w:tcW w:w="1710" w:type="dxa"/>
          </w:tcPr>
          <w:p w14:paraId="2CE1B8CF" w14:textId="77777777" w:rsidR="00A22403" w:rsidRDefault="00000000">
            <w:r>
              <w:t>Diversification</w:t>
            </w:r>
          </w:p>
        </w:tc>
        <w:tc>
          <w:tcPr>
            <w:tcW w:w="2396" w:type="dxa"/>
          </w:tcPr>
          <w:p w14:paraId="6A7BB41D" w14:textId="77777777" w:rsidR="00A22403" w:rsidRDefault="00000000">
            <w:r>
              <w:t>Enter unrelated industries</w:t>
            </w:r>
          </w:p>
        </w:tc>
        <w:tc>
          <w:tcPr>
            <w:tcW w:w="2268" w:type="dxa"/>
          </w:tcPr>
          <w:p w14:paraId="26B9B15A" w14:textId="77777777" w:rsidR="00A22403" w:rsidRDefault="00000000">
            <w:r>
              <w:t>Potential new revenue streams</w:t>
            </w:r>
          </w:p>
        </w:tc>
        <w:tc>
          <w:tcPr>
            <w:tcW w:w="2642" w:type="dxa"/>
          </w:tcPr>
          <w:p w14:paraId="3CD583FD" w14:textId="77777777" w:rsidR="00A22403" w:rsidRDefault="00000000">
            <w:r>
              <w:t>Highest financial and operational risk</w:t>
            </w:r>
          </w:p>
        </w:tc>
      </w:tr>
    </w:tbl>
    <w:p w14:paraId="29B8F479" w14:textId="77777777" w:rsidR="00A22403" w:rsidRDefault="00000000">
      <w:pPr>
        <w:jc w:val="center"/>
        <w:rPr>
          <w:b/>
          <w:bCs/>
        </w:rPr>
      </w:pPr>
      <w:r>
        <w:rPr>
          <w:b/>
          <w:bCs/>
        </w:rPr>
        <w:t>Table 4: Comparison of Ansoff growth strategies for BHP</w:t>
      </w:r>
    </w:p>
    <w:p w14:paraId="37878FE9" w14:textId="77777777" w:rsidR="00A22403" w:rsidRDefault="00000000">
      <w:pPr>
        <w:jc w:val="center"/>
      </w:pPr>
      <w:r>
        <w:t>(Source: Self-created in Ms-Word)</w:t>
      </w:r>
    </w:p>
    <w:p w14:paraId="66A8C232" w14:textId="77777777" w:rsidR="00A22403" w:rsidRDefault="00000000">
      <w:pPr>
        <w:jc w:val="center"/>
      </w:pPr>
      <w:r>
        <w:rPr>
          <w:noProof/>
        </w:rPr>
        <w:lastRenderedPageBreak/>
        <w:drawing>
          <wp:inline distT="0" distB="0" distL="0" distR="0" wp14:anchorId="0FC95E6F" wp14:editId="3B389101">
            <wp:extent cx="5731510" cy="513715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731510" cy="5137150"/>
                    </a:xfrm>
                    <a:prstGeom prst="rect">
                      <a:avLst/>
                    </a:prstGeom>
                    <a:ln/>
                  </pic:spPr>
                </pic:pic>
              </a:graphicData>
            </a:graphic>
          </wp:inline>
        </w:drawing>
      </w:r>
    </w:p>
    <w:p w14:paraId="732EEF39" w14:textId="77777777" w:rsidR="00A22403" w:rsidRDefault="00000000">
      <w:pPr>
        <w:jc w:val="center"/>
        <w:rPr>
          <w:b/>
          <w:bCs/>
        </w:rPr>
      </w:pPr>
      <w:r>
        <w:rPr>
          <w:b/>
          <w:bCs/>
        </w:rPr>
        <w:t xml:space="preserve">Figure 3: Ansoff matrix </w:t>
      </w:r>
    </w:p>
    <w:p w14:paraId="6A9C4F99" w14:textId="77777777" w:rsidR="00A22403" w:rsidRDefault="00000000">
      <w:pPr>
        <w:jc w:val="center"/>
      </w:pPr>
      <w:r>
        <w:t>(Source: Self-created)</w:t>
      </w:r>
    </w:p>
    <w:p w14:paraId="09A67E05" w14:textId="77777777" w:rsidR="00A22403" w:rsidRDefault="00000000">
      <w:pPr>
        <w:spacing w:line="259" w:lineRule="auto"/>
        <w:jc w:val="left"/>
        <w:rPr>
          <w:b/>
          <w:bCs/>
        </w:rPr>
      </w:pPr>
      <w:r>
        <w:br w:type="page"/>
      </w:r>
    </w:p>
    <w:p w14:paraId="533D4CB3" w14:textId="77777777" w:rsidR="00A22403" w:rsidRDefault="00000000">
      <w:pPr>
        <w:pStyle w:val="Heading2"/>
      </w:pPr>
      <w:bookmarkStart w:id="8" w:name="_389ynvy55fpb" w:colFirst="0" w:colLast="0"/>
      <w:bookmarkEnd w:id="8"/>
      <w:r>
        <w:lastRenderedPageBreak/>
        <w:t>2.2 Recommended growth strategy – Product development</w:t>
      </w:r>
    </w:p>
    <w:p w14:paraId="71B4426B" w14:textId="77777777" w:rsidR="00A22403" w:rsidRDefault="00000000">
      <w:r>
        <w:t xml:space="preserve">Product development would be the most appropriate strategy for growth in BHP owing to rising demand for sustainable material in international mining industry (Gasimov </w:t>
      </w:r>
      <w:r>
        <w:rPr>
          <w:i/>
          <w:iCs/>
        </w:rPr>
        <w:t xml:space="preserve">et al. </w:t>
      </w:r>
      <w:r>
        <w:t xml:space="preserve">2025). With increased movement toward renewable energy sources and electric cars, there will be more need for metals such as copper, nickel, and iron ore. In this case, developing less carbon-intensive products enables BHP to respond to customers' evolving expectations without compromising its position in market but </w:t>
      </w:r>
      <w:proofErr w:type="gramStart"/>
      <w:r>
        <w:t>actually enhancing</w:t>
      </w:r>
      <w:proofErr w:type="gramEnd"/>
      <w:r>
        <w:t xml:space="preserve"> it.</w:t>
      </w:r>
    </w:p>
    <w:p w14:paraId="2B650972" w14:textId="77777777" w:rsidR="00A22403" w:rsidRDefault="00000000">
      <w:r>
        <w:t xml:space="preserve">BHP can reduce carbon footprint of iron ore through improved mining processes, use of renewable energy and cleaner steel manufacturing processes. The fact that manufacturing process of steel is one of the biggest sources of industrial emissions makes partnership with steel manufacturers to manufacture green steel beneficial in terms of creating value in long term (Qian </w:t>
      </w:r>
      <w:r>
        <w:rPr>
          <w:i/>
          <w:iCs/>
        </w:rPr>
        <w:t xml:space="preserve">et al. </w:t>
      </w:r>
      <w:r>
        <w:t>2024). Moreover, BHP's strategy of targeting crucial minerals like copper and nickel aligns with their business interests and helps to promote development of renewable energy systems, batteries, and electric vehicles, which need such metals.</w:t>
      </w:r>
    </w:p>
    <w:p w14:paraId="5E281694" w14:textId="77777777" w:rsidR="00A22403" w:rsidRDefault="00000000">
      <w:r>
        <w:t>Integration of renewable energies constitutes another component of product development strategy. Utilization of renewable electricity in company’s mining facilities and investments in clean energy will contribute to emission reductions and help BHP become more environmentally efficient; thus, achieve goal of reaching net-zero operational GHG emissions by 2050 (</w:t>
      </w:r>
      <w:proofErr w:type="spellStart"/>
      <w:r>
        <w:t>Amegboleza</w:t>
      </w:r>
      <w:proofErr w:type="spellEnd"/>
      <w:r>
        <w:t>, and Ülkü, 2025).</w:t>
      </w:r>
    </w:p>
    <w:tbl>
      <w:tblPr>
        <w:tblStyle w:val="a2"/>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991"/>
        <w:gridCol w:w="6025"/>
      </w:tblGrid>
      <w:tr w:rsidR="00A22403" w14:paraId="194FF894" w14:textId="77777777">
        <w:tc>
          <w:tcPr>
            <w:tcW w:w="2991" w:type="dxa"/>
          </w:tcPr>
          <w:p w14:paraId="42F72680" w14:textId="77777777" w:rsidR="00A22403" w:rsidRDefault="00000000">
            <w:pPr>
              <w:jc w:val="center"/>
              <w:rPr>
                <w:b/>
                <w:bCs/>
                <w:i/>
                <w:iCs/>
              </w:rPr>
            </w:pPr>
            <w:r>
              <w:rPr>
                <w:b/>
                <w:bCs/>
                <w:i/>
                <w:iCs/>
              </w:rPr>
              <w:t>Development area</w:t>
            </w:r>
          </w:p>
        </w:tc>
        <w:tc>
          <w:tcPr>
            <w:tcW w:w="6025" w:type="dxa"/>
          </w:tcPr>
          <w:p w14:paraId="1E8CC435" w14:textId="77777777" w:rsidR="00A22403" w:rsidRDefault="00000000">
            <w:pPr>
              <w:jc w:val="center"/>
              <w:rPr>
                <w:b/>
                <w:bCs/>
                <w:i/>
                <w:iCs/>
              </w:rPr>
            </w:pPr>
            <w:r>
              <w:rPr>
                <w:b/>
                <w:bCs/>
                <w:i/>
                <w:iCs/>
              </w:rPr>
              <w:t>Strategic importance</w:t>
            </w:r>
          </w:p>
        </w:tc>
      </w:tr>
      <w:tr w:rsidR="00A22403" w14:paraId="15E0B56E" w14:textId="77777777">
        <w:tc>
          <w:tcPr>
            <w:tcW w:w="2991" w:type="dxa"/>
          </w:tcPr>
          <w:p w14:paraId="2BFFF8A5" w14:textId="77777777" w:rsidR="00A22403" w:rsidRDefault="00000000">
            <w:r>
              <w:t>Lower-carbon iron ore</w:t>
            </w:r>
          </w:p>
        </w:tc>
        <w:tc>
          <w:tcPr>
            <w:tcW w:w="6025" w:type="dxa"/>
          </w:tcPr>
          <w:p w14:paraId="15F2923C" w14:textId="77777777" w:rsidR="00A22403" w:rsidRDefault="00000000">
            <w:r>
              <w:t>Supports cleaner steel production and reduces emissions intensity</w:t>
            </w:r>
          </w:p>
        </w:tc>
      </w:tr>
      <w:tr w:rsidR="00A22403" w14:paraId="77512426" w14:textId="77777777">
        <w:tc>
          <w:tcPr>
            <w:tcW w:w="2991" w:type="dxa"/>
          </w:tcPr>
          <w:p w14:paraId="689D0830" w14:textId="77777777" w:rsidR="00A22403" w:rsidRDefault="00000000">
            <w:r>
              <w:t>Green steel partnerships</w:t>
            </w:r>
          </w:p>
        </w:tc>
        <w:tc>
          <w:tcPr>
            <w:tcW w:w="6025" w:type="dxa"/>
          </w:tcPr>
          <w:p w14:paraId="6B50015C" w14:textId="77777777" w:rsidR="00A22403" w:rsidRDefault="00000000">
            <w:r>
              <w:t>Creates value through collaboration with steel manufacturers</w:t>
            </w:r>
          </w:p>
        </w:tc>
      </w:tr>
      <w:tr w:rsidR="00A22403" w14:paraId="568959C2" w14:textId="77777777">
        <w:tc>
          <w:tcPr>
            <w:tcW w:w="2991" w:type="dxa"/>
          </w:tcPr>
          <w:p w14:paraId="7EE4BE36" w14:textId="77777777" w:rsidR="00A22403" w:rsidRDefault="00000000">
            <w:r>
              <w:t>Sustainable copper</w:t>
            </w:r>
          </w:p>
        </w:tc>
        <w:tc>
          <w:tcPr>
            <w:tcW w:w="6025" w:type="dxa"/>
          </w:tcPr>
          <w:p w14:paraId="286219ED" w14:textId="77777777" w:rsidR="00A22403" w:rsidRDefault="00000000">
            <w:r>
              <w:t>Meets increasing demand from renewable energy and electrification</w:t>
            </w:r>
          </w:p>
        </w:tc>
      </w:tr>
      <w:tr w:rsidR="00A22403" w14:paraId="104EB63C" w14:textId="77777777">
        <w:tc>
          <w:tcPr>
            <w:tcW w:w="2991" w:type="dxa"/>
          </w:tcPr>
          <w:p w14:paraId="6E455E4F" w14:textId="77777777" w:rsidR="00A22403" w:rsidRDefault="00000000">
            <w:r>
              <w:t>Low-carbon nickel</w:t>
            </w:r>
          </w:p>
        </w:tc>
        <w:tc>
          <w:tcPr>
            <w:tcW w:w="6025" w:type="dxa"/>
          </w:tcPr>
          <w:p w14:paraId="7640000C" w14:textId="77777777" w:rsidR="00A22403" w:rsidRDefault="00000000">
            <w:r>
              <w:t>Supports electric vehicle battery markets</w:t>
            </w:r>
          </w:p>
        </w:tc>
      </w:tr>
      <w:tr w:rsidR="00A22403" w14:paraId="29A8C7E1" w14:textId="77777777">
        <w:tc>
          <w:tcPr>
            <w:tcW w:w="2991" w:type="dxa"/>
          </w:tcPr>
          <w:p w14:paraId="36B1E899" w14:textId="77777777" w:rsidR="00A22403" w:rsidRDefault="00000000">
            <w:r>
              <w:t>Renewable energy integration</w:t>
            </w:r>
          </w:p>
        </w:tc>
        <w:tc>
          <w:tcPr>
            <w:tcW w:w="6025" w:type="dxa"/>
          </w:tcPr>
          <w:p w14:paraId="62351663" w14:textId="77777777" w:rsidR="00A22403" w:rsidRDefault="00000000">
            <w:r>
              <w:t>Reduces operational emissions and improves ESG performance</w:t>
            </w:r>
          </w:p>
        </w:tc>
      </w:tr>
    </w:tbl>
    <w:p w14:paraId="4B08DC81" w14:textId="77777777" w:rsidR="00A22403" w:rsidRDefault="00000000">
      <w:pPr>
        <w:jc w:val="center"/>
        <w:rPr>
          <w:b/>
          <w:bCs/>
        </w:rPr>
      </w:pPr>
      <w:r>
        <w:rPr>
          <w:b/>
          <w:bCs/>
        </w:rPr>
        <w:t>Table 5: Product development opportunities for BHP</w:t>
      </w:r>
    </w:p>
    <w:p w14:paraId="2E000B91" w14:textId="77777777" w:rsidR="00A22403" w:rsidRDefault="00000000">
      <w:pPr>
        <w:jc w:val="center"/>
      </w:pPr>
      <w:r>
        <w:t>(Source: Self-created in Ms-Word)</w:t>
      </w:r>
    </w:p>
    <w:p w14:paraId="52C8972F" w14:textId="77777777" w:rsidR="00A22403" w:rsidRDefault="00000000">
      <w:r>
        <w:t xml:space="preserve">Product Development strategy is better than other Ansoff matrix strategies as it ensures a balance between growth and sustainability (Villamil </w:t>
      </w:r>
      <w:r>
        <w:rPr>
          <w:i/>
          <w:iCs/>
        </w:rPr>
        <w:t xml:space="preserve">et al. </w:t>
      </w:r>
      <w:r>
        <w:t xml:space="preserve">2022). Unlike </w:t>
      </w:r>
      <w:r>
        <w:lastRenderedPageBreak/>
        <w:t xml:space="preserve">market penetration, it does not rely on increased traditional mineral extraction alone. It is also less hazardous as compared to diversification because BHP already has experience in mining operations with effective customer relationship and industry knowledge. </w:t>
      </w:r>
    </w:p>
    <w:p w14:paraId="745CDA49" w14:textId="77777777" w:rsidR="00A22403" w:rsidRDefault="00000000">
      <w:r>
        <w:t>Nevertheless, there are several issues that must be overcome to implement this strategy. It takes much effort to develop low-carbon mining technologies; since, prior research and development needs to be done. Introduction of renewable energy sources, electrification, and carbon reduction technologies demands large initial investments. Another concern is customer willingness to pay premium prices for sustainable products. Operational transformation would disrupt at short-term level because new mining processes would need to be established. Therefore, it is imperative for BHP to manage investment decisions carefully, while being transparent about long-term value of sustainable products.</w:t>
      </w:r>
    </w:p>
    <w:p w14:paraId="292F1829" w14:textId="77777777" w:rsidR="00A22403" w:rsidRDefault="00000000">
      <w:pPr>
        <w:pStyle w:val="Heading2"/>
      </w:pPr>
      <w:bookmarkStart w:id="9" w:name="_8wjgxdthh0fc" w:colFirst="0" w:colLast="0"/>
      <w:bookmarkEnd w:id="9"/>
      <w:r>
        <w:t>2.3 Achieving competitive advantage</w:t>
      </w:r>
    </w:p>
    <w:p w14:paraId="0EBE9744" w14:textId="77777777" w:rsidR="00A22403" w:rsidRDefault="00000000">
      <w:r>
        <w:t>According to Porter’s Generic Strategies, BHP should implement a differentiation strategy over cost leadership. This strategy will allow BHP to compete by using eco-friendly products, innovations, and sustainability performance. BHP could differentiate itself by producing low-carbon minerals, providing transparency on its ESG practices, and engaging in collaboration for green industry development. Superior environmental performance will enhance company's reputation, help BHP attract ESG investors, and position itself differently in those markets where customers value sustainable supply chains (</w:t>
      </w:r>
      <w:proofErr w:type="spellStart"/>
      <w:r>
        <w:t>Leruth</w:t>
      </w:r>
      <w:proofErr w:type="spellEnd"/>
      <w:r>
        <w:t xml:space="preserve"> </w:t>
      </w:r>
      <w:r>
        <w:rPr>
          <w:i/>
          <w:iCs/>
        </w:rPr>
        <w:t xml:space="preserve">et al. </w:t>
      </w:r>
      <w:r>
        <w:t>2022). Cost leadership is not an appropriate strategy because cost reduction might be inconsistent with goals of sustainability. Investments in low-carbon technologies are costly and competition based on pricing could limit BHP's innovation and environment-related improvements. [</w:t>
      </w:r>
      <w:r>
        <w:rPr>
          <w:b/>
          <w:bCs/>
          <w:i/>
          <w:iCs/>
        </w:rPr>
        <w:t>Referred to Appendix</w:t>
      </w:r>
      <w:r>
        <w:t>]</w:t>
      </w:r>
    </w:p>
    <w:p w14:paraId="40BDD249" w14:textId="77777777" w:rsidR="00A22403" w:rsidRDefault="00000000">
      <w:pPr>
        <w:pStyle w:val="Heading2"/>
      </w:pPr>
      <w:bookmarkStart w:id="10" w:name="_bijwzwq0bbf8" w:colFirst="0" w:colLast="0"/>
      <w:bookmarkEnd w:id="10"/>
      <w:r>
        <w:t>2.4 Implementation recommendations</w:t>
      </w:r>
    </w:p>
    <w:p w14:paraId="4D391867" w14:textId="77777777" w:rsidR="00A22403" w:rsidRDefault="00000000">
      <w:r>
        <w:t xml:space="preserve">For this strategy to be implemented effectively, BHP needs to increase level of investments in its sustainable mining operations, increase research and development efforts and enhance cooperation with its stakeholders including steel manufacturers and technological firms. BHP should also enhance its sustainable communications by engaging its stakeholders and communicating openly about sustainability issues. These actions are likely to enhance trust, mitigate brand risk to some extent and further </w:t>
      </w:r>
      <w:r>
        <w:lastRenderedPageBreak/>
        <w:t>support BHP's status as leader in global mining sectors to shift towards sustainability mining.</w:t>
      </w:r>
    </w:p>
    <w:p w14:paraId="226A181D" w14:textId="77777777" w:rsidR="00A22403" w:rsidRDefault="00000000">
      <w:pPr>
        <w:pStyle w:val="Heading1"/>
      </w:pPr>
      <w:bookmarkStart w:id="11" w:name="_gtjhqlizeccs" w:colFirst="0" w:colLast="0"/>
      <w:bookmarkEnd w:id="11"/>
      <w:r>
        <w:t xml:space="preserve">Task 3: Critical reflection on AI usage </w:t>
      </w:r>
    </w:p>
    <w:p w14:paraId="5B2BCB34" w14:textId="77777777" w:rsidR="00A22403" w:rsidRDefault="00000000">
      <w:pPr>
        <w:pStyle w:val="Heading2"/>
      </w:pPr>
      <w:bookmarkStart w:id="12" w:name="_ygxu2koa4y94" w:colFirst="0" w:colLast="0"/>
      <w:bookmarkEnd w:id="12"/>
      <w:r>
        <w:t xml:space="preserve">3.1 Tool disclosure </w:t>
      </w:r>
    </w:p>
    <w:p w14:paraId="3A1F6C59" w14:textId="77777777" w:rsidR="00A22403" w:rsidRDefault="00000000">
      <w:r>
        <w:t>Artificial Intelligence (AI) tools have been employed as ancillary aids, while preparing the report. ChatGPT has been used as an idea generator and in structuring report, enhancing sentence clarity, and summarizing marketing concepts concerning sustainability shift of BHP. Microsoft Copilot and Grammarly have been utilized in improving language, proofreading, and improving quality of academic writing wherever available (Selvi, and Eser, 2025). AI tools have been helpful in organizing key segments and identifying important frameworks including Ansoff Matrix and Porter’s Generic Strategies Framework. All AI-related work was carried out in a way that strictly followed regulations of institution. Moreover, wherever required, proper credits were given.</w:t>
      </w:r>
    </w:p>
    <w:p w14:paraId="628C5FBB" w14:textId="77777777" w:rsidR="00A22403" w:rsidRDefault="00000000">
      <w:pPr>
        <w:pStyle w:val="Heading2"/>
      </w:pPr>
      <w:bookmarkStart w:id="13" w:name="_fj6z4ui1gmx2" w:colFirst="0" w:colLast="0"/>
      <w:bookmarkEnd w:id="13"/>
      <w:r>
        <w:t xml:space="preserve">3.2 Critical evaluation of AI output </w:t>
      </w:r>
    </w:p>
    <w:p w14:paraId="3E417B20" w14:textId="77777777" w:rsidR="00A22403" w:rsidRDefault="00000000">
      <w:r>
        <w:t xml:space="preserve">Information generated through AI was thoroughly scrutinized before its incorporation into the report. Accuracy of information was analysed through cross-referencing between AI generated text with legitimate sources such as annual and sustainability reports of BHP and peer reviewed publications. For example, any mention of reduction of greenhouse gases, sustainability programs, and low carbon options provided by BHP were compared to their company reports (Yang </w:t>
      </w:r>
      <w:r>
        <w:rPr>
          <w:i/>
          <w:iCs/>
        </w:rPr>
        <w:t xml:space="preserve">et al. </w:t>
      </w:r>
      <w:r>
        <w:t>2024). Hallucinations such as statistics and unproven facts were identified using evidence from credible sources. Outdated data has been deleted and updated information has been added; therefore, analysis accurately represents the latest sustainability issues the mining industry is facing.</w:t>
      </w:r>
    </w:p>
    <w:p w14:paraId="711D4D91" w14:textId="77777777" w:rsidR="00A22403" w:rsidRDefault="00000000">
      <w:pPr>
        <w:pStyle w:val="Heading2"/>
      </w:pPr>
      <w:bookmarkStart w:id="14" w:name="_itg39hm4s0y7" w:colFirst="0" w:colLast="0"/>
      <w:bookmarkEnd w:id="14"/>
      <w:r>
        <w:t xml:space="preserve">3.3 Contribution analysis </w:t>
      </w:r>
    </w:p>
    <w:p w14:paraId="0C35B6CE" w14:textId="77777777" w:rsidR="00A22403" w:rsidRDefault="00000000">
      <w:r>
        <w:t xml:space="preserve">AI was used primarily for creation of structure, information summary, and language improvement. Nevertheless, analysis itself was conducted separately. Choosing the company for analysis, consideration of environment and stakeholders, use of marketing approaches, and recommendations were selected according to individual </w:t>
      </w:r>
      <w:r>
        <w:lastRenderedPageBreak/>
        <w:t>assessment and academic research. Conclusions drawn from this analysis reflect individual interpretation of results.</w:t>
      </w:r>
    </w:p>
    <w:p w14:paraId="03B2AB85" w14:textId="77777777" w:rsidR="00A22403" w:rsidRDefault="00000000">
      <w:pPr>
        <w:pStyle w:val="Heading2"/>
      </w:pPr>
      <w:bookmarkStart w:id="15" w:name="_h844teustyf4" w:colFirst="0" w:colLast="0"/>
      <w:bookmarkEnd w:id="15"/>
      <w:r>
        <w:t xml:space="preserve">3.4 Ethical and professional reflection </w:t>
      </w:r>
    </w:p>
    <w:p w14:paraId="786AC702" w14:textId="77777777" w:rsidR="00A22403" w:rsidRDefault="00000000">
      <w:r>
        <w:t xml:space="preserve">It is imperative to apply AI ethically to maintain academic integrity and honesty. Although AI can help in doing research, it must not override human abilities of critical thinking and reasoning. One must be aware of limitations that AI has, including bias, inaccuracy, and unreliability. As far as marketing analysis is concerned, human accountability is key since decisions made impact the stakeholders and company's reputation. Hence, AI served primarily as an aiding tool, leaving key decisions, and accountability to human professionals, </w:t>
      </w:r>
      <w:proofErr w:type="gramStart"/>
      <w:r>
        <w:t>in spite of</w:t>
      </w:r>
      <w:proofErr w:type="gramEnd"/>
      <w:r>
        <w:t xml:space="preserve"> its role.</w:t>
      </w:r>
    </w:p>
    <w:p w14:paraId="336192AF" w14:textId="77777777" w:rsidR="00A22403" w:rsidRDefault="00000000">
      <w:pPr>
        <w:pStyle w:val="Heading1"/>
      </w:pPr>
      <w:bookmarkStart w:id="16" w:name="_b9dw8j9sfns5" w:colFirst="0" w:colLast="0"/>
      <w:bookmarkEnd w:id="16"/>
      <w:r>
        <w:t xml:space="preserve">Conclusion </w:t>
      </w:r>
    </w:p>
    <w:p w14:paraId="41452043" w14:textId="77777777" w:rsidR="00A22403" w:rsidRDefault="00000000">
      <w:r>
        <w:t>Environmental analysis is vital to discover opportunities and threats that impact transition of BHP to a low-carbon economy. The Natural Environment and Publics have a huge impact on sustainability-related decisions made by BHP because of climate change, ESG and stakeholder concerns. Product Development is an ideal growth strategy as it helps achieve a low-carbon economy, innovation and growth. A Differentiation strategy will help create a competitive advantage through sustainable products and reputation.</w:t>
      </w:r>
      <w:r>
        <w:rPr>
          <w:color w:val="FFFFFF"/>
          <w:sz w:val="27"/>
          <w:szCs w:val="27"/>
        </w:rPr>
        <w:t xml:space="preserve"> </w:t>
      </w:r>
      <w:r>
        <w:t>Responsible AI usage can help to ensure accurate, ethical, and evidence-based marketing analysis and decisions.</w:t>
      </w:r>
    </w:p>
    <w:p w14:paraId="13F37845" w14:textId="77777777" w:rsidR="00A22403" w:rsidRDefault="00000000">
      <w:pPr>
        <w:spacing w:line="259" w:lineRule="auto"/>
        <w:jc w:val="left"/>
        <w:rPr>
          <w:b/>
          <w:bCs/>
        </w:rPr>
      </w:pPr>
      <w:r>
        <w:br w:type="page"/>
      </w:r>
    </w:p>
    <w:p w14:paraId="7E599EF1" w14:textId="77777777" w:rsidR="00A22403" w:rsidRDefault="00000000">
      <w:pPr>
        <w:pStyle w:val="Heading1"/>
      </w:pPr>
      <w:bookmarkStart w:id="17" w:name="_i221jrmzgtzk" w:colFirst="0" w:colLast="0"/>
      <w:bookmarkEnd w:id="17"/>
      <w:r>
        <w:lastRenderedPageBreak/>
        <w:t xml:space="preserve">References </w:t>
      </w:r>
    </w:p>
    <w:p w14:paraId="4F338660" w14:textId="77777777" w:rsidR="00A22403" w:rsidRDefault="00000000">
      <w:proofErr w:type="spellStart"/>
      <w:r>
        <w:t>Amegboleza</w:t>
      </w:r>
      <w:proofErr w:type="spellEnd"/>
      <w:r>
        <w:t>, A.A. and Ülkü, M.A., 2025. Sustainable energy transition for the mining industry: a bibliometric analysis of trends and emerging research pathways. </w:t>
      </w:r>
      <w:r>
        <w:rPr>
          <w:i/>
          <w:iCs/>
        </w:rPr>
        <w:t>Sustainability</w:t>
      </w:r>
      <w:r>
        <w:t>, </w:t>
      </w:r>
      <w:r>
        <w:rPr>
          <w:i/>
          <w:iCs/>
        </w:rPr>
        <w:t>17</w:t>
      </w:r>
      <w:r>
        <w:t>(5), p.2292.</w:t>
      </w:r>
    </w:p>
    <w:p w14:paraId="06B6F06A" w14:textId="77777777" w:rsidR="00A22403" w:rsidRDefault="00000000">
      <w:r>
        <w:t>Barbarossa, V., Schipper, A.M., Andringa, I., van Oorschot, M., Sonter, L.J. and Marques, A., 2026. The Many Pathways of Mining Impacts on Biodiversity. </w:t>
      </w:r>
      <w:r>
        <w:rPr>
          <w:i/>
          <w:iCs/>
        </w:rPr>
        <w:t>Conservation Letters</w:t>
      </w:r>
      <w:r>
        <w:t>, </w:t>
      </w:r>
      <w:r>
        <w:rPr>
          <w:i/>
          <w:iCs/>
        </w:rPr>
        <w:t>19</w:t>
      </w:r>
      <w:r>
        <w:t>(1), p.e70000.</w:t>
      </w:r>
    </w:p>
    <w:p w14:paraId="3331B653" w14:textId="77777777" w:rsidR="00A22403" w:rsidRDefault="00000000">
      <w:r>
        <w:t xml:space="preserve">BHP, 2020. </w:t>
      </w:r>
      <w:r>
        <w:rPr>
          <w:i/>
          <w:iCs/>
        </w:rPr>
        <w:t>Climate Change Report 2020</w:t>
      </w:r>
      <w:r>
        <w:t xml:space="preserve">. Available at: </w:t>
      </w:r>
      <w:hyperlink r:id="rId12">
        <w:r w:rsidR="00A22403">
          <w:rPr>
            <w:color w:val="0563C1"/>
            <w:u w:val="single"/>
          </w:rPr>
          <w:t>https://www.bhp.com/-/media/documents/investors/annual-reports/2020/200910_bhpclimatechangereport2020.pdf</w:t>
        </w:r>
      </w:hyperlink>
      <w:r>
        <w:t xml:space="preserve"> [Accessed: 21.07.2026]</w:t>
      </w:r>
    </w:p>
    <w:p w14:paraId="152C6140" w14:textId="77777777" w:rsidR="00A22403" w:rsidRDefault="00000000">
      <w:r>
        <w:t xml:space="preserve">BHP, 2025. </w:t>
      </w:r>
      <w:r>
        <w:rPr>
          <w:i/>
          <w:iCs/>
        </w:rPr>
        <w:t>Annual Report 2025.</w:t>
      </w:r>
      <w:r>
        <w:t xml:space="preserve"> Available at: </w:t>
      </w:r>
      <w:hyperlink r:id="rId13">
        <w:r w:rsidR="00A22403">
          <w:rPr>
            <w:color w:val="0563C1"/>
            <w:u w:val="single"/>
          </w:rPr>
          <w:t>https://www.bhp.com/investor-hub/reports-and-presentations/annual-report</w:t>
        </w:r>
      </w:hyperlink>
      <w:r>
        <w:t xml:space="preserve"> [Accessed: 21.07.2026]</w:t>
      </w:r>
    </w:p>
    <w:p w14:paraId="629B9895" w14:textId="77777777" w:rsidR="00A22403" w:rsidRDefault="00000000">
      <w:r>
        <w:t xml:space="preserve">BHP, 2026. </w:t>
      </w:r>
      <w:r>
        <w:rPr>
          <w:i/>
          <w:iCs/>
        </w:rPr>
        <w:t>Building what’s next is what BHP does best</w:t>
      </w:r>
      <w:r>
        <w:t xml:space="preserve">. Available at: </w:t>
      </w:r>
      <w:hyperlink r:id="rId14">
        <w:r w:rsidR="00A22403">
          <w:rPr>
            <w:color w:val="0563C1"/>
            <w:u w:val="single"/>
          </w:rPr>
          <w:t>https://www.bhp.com/</w:t>
        </w:r>
      </w:hyperlink>
      <w:r>
        <w:t xml:space="preserve"> [Accessed: 21.07.2026]</w:t>
      </w:r>
    </w:p>
    <w:p w14:paraId="06397F26" w14:textId="77777777" w:rsidR="00A22403" w:rsidRDefault="00000000">
      <w:r>
        <w:t>Clarissia, S.M.S., 2020. A study on Ansoff Matrix Technique: As a growth strategy and an adaptive learning technique adopted in the leading brand of products. </w:t>
      </w:r>
      <w:r>
        <w:rPr>
          <w:i/>
          <w:iCs/>
        </w:rPr>
        <w:t>BIMS Journal of Management</w:t>
      </w:r>
      <w:r>
        <w:t>, </w:t>
      </w:r>
      <w:r>
        <w:rPr>
          <w:i/>
          <w:iCs/>
        </w:rPr>
        <w:t>18</w:t>
      </w:r>
      <w:r>
        <w:t>.</w:t>
      </w:r>
    </w:p>
    <w:p w14:paraId="66CF814F" w14:textId="77777777" w:rsidR="00A22403" w:rsidRDefault="00000000">
      <w:r>
        <w:t>de Castilho Rossoni, R.L. and Lima, M.C., 2026. Critical Discourse Analysis in Corporate Reports: Legitimation Strategies in the Context of Environmental Controversies. </w:t>
      </w:r>
      <w:r>
        <w:rPr>
          <w:i/>
          <w:iCs/>
        </w:rPr>
        <w:t>Corporate Social Responsibility and Environmental Management</w:t>
      </w:r>
      <w:r>
        <w:t>, </w:t>
      </w:r>
      <w:r>
        <w:rPr>
          <w:i/>
          <w:iCs/>
        </w:rPr>
        <w:t>33</w:t>
      </w:r>
      <w:r>
        <w:t>(3), pp.3563-3581.</w:t>
      </w:r>
    </w:p>
    <w:p w14:paraId="41A0AFDB" w14:textId="77777777" w:rsidR="00A22403" w:rsidRDefault="00000000">
      <w:r>
        <w:t xml:space="preserve">Gasimov, F., Williams, R.A. and </w:t>
      </w:r>
      <w:proofErr w:type="spellStart"/>
      <w:r>
        <w:t>Krishanan</w:t>
      </w:r>
      <w:proofErr w:type="spellEnd"/>
      <w:r>
        <w:t>, M.G., 2025. Key pathways towards sustainable processing of critical minerals. </w:t>
      </w:r>
      <w:r>
        <w:rPr>
          <w:i/>
          <w:iCs/>
        </w:rPr>
        <w:t>Minerals Engineering</w:t>
      </w:r>
      <w:r>
        <w:t>, </w:t>
      </w:r>
      <w:r>
        <w:rPr>
          <w:i/>
          <w:iCs/>
        </w:rPr>
        <w:t>233</w:t>
      </w:r>
      <w:r>
        <w:t>, p.109644.</w:t>
      </w:r>
    </w:p>
    <w:p w14:paraId="4C873D93" w14:textId="77777777" w:rsidR="00A22403" w:rsidRDefault="00000000">
      <w:r>
        <w:t xml:space="preserve">Lee, J., Bazilian, M., </w:t>
      </w:r>
      <w:proofErr w:type="spellStart"/>
      <w:r>
        <w:t>Sovacool</w:t>
      </w:r>
      <w:proofErr w:type="spellEnd"/>
      <w:r>
        <w:t>, B. and Greene, S., 2020. Responsible or reckless? A critical review of the environmental and climate assessments of mineral supply chains. </w:t>
      </w:r>
      <w:r>
        <w:rPr>
          <w:i/>
          <w:iCs/>
        </w:rPr>
        <w:t>Environmental Research Letters</w:t>
      </w:r>
      <w:r>
        <w:t>, </w:t>
      </w:r>
      <w:r>
        <w:rPr>
          <w:i/>
          <w:iCs/>
        </w:rPr>
        <w:t>15</w:t>
      </w:r>
      <w:r>
        <w:t>(10).</w:t>
      </w:r>
    </w:p>
    <w:p w14:paraId="7B520225" w14:textId="77777777" w:rsidR="00A22403" w:rsidRDefault="00000000">
      <w:proofErr w:type="spellStart"/>
      <w:r>
        <w:t>Leruth</w:t>
      </w:r>
      <w:proofErr w:type="spellEnd"/>
      <w:r>
        <w:t xml:space="preserve">, L., </w:t>
      </w:r>
      <w:proofErr w:type="spellStart"/>
      <w:r>
        <w:t>Mazarei</w:t>
      </w:r>
      <w:proofErr w:type="spellEnd"/>
      <w:r>
        <w:t xml:space="preserve">, A., </w:t>
      </w:r>
      <w:proofErr w:type="spellStart"/>
      <w:r>
        <w:t>Régibeau</w:t>
      </w:r>
      <w:proofErr w:type="spellEnd"/>
      <w:r>
        <w:t xml:space="preserve">, P. and </w:t>
      </w:r>
      <w:proofErr w:type="spellStart"/>
      <w:r>
        <w:t>Renneboog</w:t>
      </w:r>
      <w:proofErr w:type="spellEnd"/>
      <w:r>
        <w:t xml:space="preserve">, L., 2022. Green energy depends on critical minerals. Who controls the supply </w:t>
      </w:r>
      <w:proofErr w:type="gramStart"/>
      <w:r>
        <w:t>chains?.</w:t>
      </w:r>
      <w:proofErr w:type="gramEnd"/>
      <w:r>
        <w:t> </w:t>
      </w:r>
      <w:r>
        <w:rPr>
          <w:i/>
          <w:iCs/>
        </w:rPr>
        <w:t>Peterson Institute for International Economics Working Paper</w:t>
      </w:r>
      <w:r>
        <w:t>, (22-12).</w:t>
      </w:r>
    </w:p>
    <w:p w14:paraId="14294C2A" w14:textId="77777777" w:rsidR="00A22403" w:rsidRDefault="00000000">
      <w:r>
        <w:lastRenderedPageBreak/>
        <w:t>Martín</w:t>
      </w:r>
      <w:r>
        <w:rPr>
          <w:rFonts w:ascii="Cambria Math" w:eastAsia="Cambria Math" w:hAnsi="Cambria Math" w:cs="Cambria Math"/>
        </w:rPr>
        <w:t>‐</w:t>
      </w:r>
      <w:r>
        <w:t>de Castro, G., Amores</w:t>
      </w:r>
      <w:r>
        <w:rPr>
          <w:rFonts w:ascii="Cambria Math" w:eastAsia="Cambria Math" w:hAnsi="Cambria Math" w:cs="Cambria Math"/>
        </w:rPr>
        <w:t>‐</w:t>
      </w:r>
      <w:proofErr w:type="spellStart"/>
      <w:r>
        <w:t>Salvadó</w:t>
      </w:r>
      <w:proofErr w:type="spellEnd"/>
      <w:r>
        <w:t>, J., Navas</w:t>
      </w:r>
      <w:r>
        <w:rPr>
          <w:rFonts w:ascii="Cambria Math" w:eastAsia="Cambria Math" w:hAnsi="Cambria Math" w:cs="Cambria Math"/>
        </w:rPr>
        <w:t>‐</w:t>
      </w:r>
      <w:r>
        <w:t>López, J.E. and Balarezo</w:t>
      </w:r>
      <w:r>
        <w:rPr>
          <w:rFonts w:ascii="Cambria Math" w:eastAsia="Cambria Math" w:hAnsi="Cambria Math" w:cs="Cambria Math"/>
        </w:rPr>
        <w:t>‐</w:t>
      </w:r>
      <w:r>
        <w:t>Núñez, R.M., 2020. Corporate environmental reputation: Exploring its definitional landscape. </w:t>
      </w:r>
      <w:r>
        <w:rPr>
          <w:i/>
          <w:iCs/>
        </w:rPr>
        <w:t>Business Ethics: A European Review</w:t>
      </w:r>
      <w:r>
        <w:t>, </w:t>
      </w:r>
      <w:r>
        <w:rPr>
          <w:i/>
          <w:iCs/>
        </w:rPr>
        <w:t>29</w:t>
      </w:r>
      <w:r>
        <w:t>(1), pp.130-142.</w:t>
      </w:r>
    </w:p>
    <w:p w14:paraId="0F5BB184" w14:textId="77777777" w:rsidR="00A22403" w:rsidRDefault="00000000">
      <w:r>
        <w:t xml:space="preserve">McKinsey, 2020. </w:t>
      </w:r>
      <w:r>
        <w:rPr>
          <w:i/>
          <w:iCs/>
        </w:rPr>
        <w:t>Climate risk and decarbonization: What every mining CEO needs to know.</w:t>
      </w:r>
      <w:r>
        <w:t xml:space="preserve"> Available at: </w:t>
      </w:r>
      <w:hyperlink r:id="rId15">
        <w:r w:rsidR="00A22403">
          <w:rPr>
            <w:color w:val="0563C1"/>
            <w:u w:val="single"/>
          </w:rPr>
          <w:t>https://www.mckinsey.com/capabilities/sustainability/our-insights/climate-risk-and-decarbonization-what-every-mining-ceo-needs-to-know</w:t>
        </w:r>
      </w:hyperlink>
      <w:r>
        <w:t xml:space="preserve"> [Accessed: 21.07.2026]</w:t>
      </w:r>
    </w:p>
    <w:p w14:paraId="4BB5C8A7" w14:textId="77777777" w:rsidR="00A22403" w:rsidRDefault="00000000">
      <w:r>
        <w:t xml:space="preserve">Mining2030, 2024. </w:t>
      </w:r>
      <w:r>
        <w:rPr>
          <w:i/>
          <w:iCs/>
        </w:rPr>
        <w:t xml:space="preserve">Landscape report. </w:t>
      </w:r>
      <w:r>
        <w:t xml:space="preserve">Available at: </w:t>
      </w:r>
      <w:hyperlink r:id="rId16">
        <w:r w:rsidR="00A22403">
          <w:rPr>
            <w:color w:val="0563C1"/>
            <w:u w:val="single"/>
          </w:rPr>
          <w:t>https://mining2030.org/wp-content/uploads/2024/10/Mining2030-Report-v4.pdf</w:t>
        </w:r>
      </w:hyperlink>
      <w:r>
        <w:t xml:space="preserve"> [Accessed: 21.07.2026]</w:t>
      </w:r>
    </w:p>
    <w:p w14:paraId="17DF953F" w14:textId="77777777" w:rsidR="00A22403" w:rsidRDefault="00000000">
      <w:r>
        <w:t>Nguyen, R.T., Eggert, R.G., Severson, M.H. and Anderson, C.G., 2021. Global electrification of vehicles and intertwined material supply chains of cobalt, copper and nickel. </w:t>
      </w:r>
      <w:r>
        <w:rPr>
          <w:i/>
          <w:iCs/>
        </w:rPr>
        <w:t>Resources, Conservation and Recycling</w:t>
      </w:r>
      <w:r>
        <w:t>, </w:t>
      </w:r>
      <w:r>
        <w:rPr>
          <w:i/>
          <w:iCs/>
        </w:rPr>
        <w:t>167</w:t>
      </w:r>
      <w:r>
        <w:t>, p.105198.</w:t>
      </w:r>
    </w:p>
    <w:p w14:paraId="776D5EE9" w14:textId="77777777" w:rsidR="00A22403" w:rsidRDefault="00000000">
      <w:r>
        <w:t>Qian, Y., Li, Y., Hao, Y., Yu, T. and Hu, H., 2024. Greenhouse gas control in steel manufacturing: Inventory, assurance, and strategic reduction review. </w:t>
      </w:r>
      <w:r>
        <w:rPr>
          <w:i/>
          <w:iCs/>
        </w:rPr>
        <w:t>Carbon Research</w:t>
      </w:r>
      <w:r>
        <w:t>, </w:t>
      </w:r>
      <w:r>
        <w:rPr>
          <w:i/>
          <w:iCs/>
        </w:rPr>
        <w:t>3</w:t>
      </w:r>
      <w:r>
        <w:t>(1), p.27.</w:t>
      </w:r>
    </w:p>
    <w:p w14:paraId="39DF065C" w14:textId="77777777" w:rsidR="00A22403" w:rsidRDefault="00000000">
      <w:r>
        <w:t xml:space="preserve">Reuters, 2007. </w:t>
      </w:r>
      <w:r>
        <w:rPr>
          <w:i/>
          <w:iCs/>
        </w:rPr>
        <w:t>FACTBOX: BHP Billiton and Rio Tinto, the world's largest miners.</w:t>
      </w:r>
      <w:r>
        <w:t xml:space="preserve"> Available at: </w:t>
      </w:r>
      <w:hyperlink r:id="rId17">
        <w:r w:rsidR="00A22403">
          <w:rPr>
            <w:color w:val="0563C1"/>
            <w:u w:val="single"/>
          </w:rPr>
          <w:t>https://www.reuters.com/article/lifestyle/factbox-bhp-billiton-and-rio-tinto-the-worlds-largest-miners-idUSKUA931796/</w:t>
        </w:r>
      </w:hyperlink>
      <w:r>
        <w:t xml:space="preserve"> [Accessed: 21.07.2026]</w:t>
      </w:r>
    </w:p>
    <w:p w14:paraId="3C03B8AF" w14:textId="77777777" w:rsidR="00A22403" w:rsidRDefault="00000000">
      <w:r>
        <w:t>Selvi, B. and Eser, R.S.A., 2025. Digital Tools for Academic Writing: A Systematic Analysis of AI and Technology-Enhanced Support. </w:t>
      </w:r>
      <w:r>
        <w:rPr>
          <w:i/>
          <w:iCs/>
        </w:rPr>
        <w:t xml:space="preserve">Türkiye </w:t>
      </w:r>
      <w:proofErr w:type="spellStart"/>
      <w:r>
        <w:rPr>
          <w:i/>
          <w:iCs/>
        </w:rPr>
        <w:t>Eğitim</w:t>
      </w:r>
      <w:proofErr w:type="spellEnd"/>
      <w:r>
        <w:rPr>
          <w:i/>
          <w:iCs/>
        </w:rPr>
        <w:t xml:space="preserve"> Dergisi</w:t>
      </w:r>
      <w:r>
        <w:t>, </w:t>
      </w:r>
      <w:r>
        <w:rPr>
          <w:i/>
          <w:iCs/>
        </w:rPr>
        <w:t>10</w:t>
      </w:r>
      <w:r>
        <w:t>(2), pp.275-297.</w:t>
      </w:r>
    </w:p>
    <w:p w14:paraId="75D0F36D" w14:textId="77777777" w:rsidR="00A22403" w:rsidRDefault="00000000">
      <w:proofErr w:type="spellStart"/>
      <w:r>
        <w:t>Sovacool</w:t>
      </w:r>
      <w:proofErr w:type="spellEnd"/>
      <w:r>
        <w:t xml:space="preserve">, B.K., Ali, S.H., Bazilian, M., Radley, B., </w:t>
      </w:r>
      <w:proofErr w:type="spellStart"/>
      <w:r>
        <w:t>Nemery</w:t>
      </w:r>
      <w:proofErr w:type="spellEnd"/>
      <w:r>
        <w:t xml:space="preserve">, B., </w:t>
      </w:r>
      <w:proofErr w:type="spellStart"/>
      <w:r>
        <w:t>Okatz</w:t>
      </w:r>
      <w:proofErr w:type="spellEnd"/>
      <w:r>
        <w:t>, J. and Mulvaney, D., 2020. Sustainable minerals and metals for a low-carbon future. </w:t>
      </w:r>
      <w:r>
        <w:rPr>
          <w:i/>
          <w:iCs/>
        </w:rPr>
        <w:t>Science</w:t>
      </w:r>
      <w:r>
        <w:t>, </w:t>
      </w:r>
      <w:r>
        <w:rPr>
          <w:i/>
          <w:iCs/>
        </w:rPr>
        <w:t>367</w:t>
      </w:r>
      <w:r>
        <w:t>(6473), pp.30-33.</w:t>
      </w:r>
    </w:p>
    <w:p w14:paraId="6C17A557" w14:textId="77777777" w:rsidR="00A22403" w:rsidRDefault="00000000">
      <w:r>
        <w:t xml:space="preserve">Villamil, C., Schulte, J. and </w:t>
      </w:r>
      <w:proofErr w:type="spellStart"/>
      <w:r>
        <w:t>Hallstedt</w:t>
      </w:r>
      <w:proofErr w:type="spellEnd"/>
      <w:r>
        <w:t>, S., 2022. Sustainability risk and portfolio management—A strategic scenario method for sustainable product development. </w:t>
      </w:r>
      <w:r>
        <w:rPr>
          <w:i/>
          <w:iCs/>
        </w:rPr>
        <w:t>Business strategy and the environment</w:t>
      </w:r>
      <w:r>
        <w:t>, </w:t>
      </w:r>
      <w:r>
        <w:rPr>
          <w:i/>
          <w:iCs/>
        </w:rPr>
        <w:t>31</w:t>
      </w:r>
      <w:r>
        <w:t>(3), pp.1042-1057.</w:t>
      </w:r>
    </w:p>
    <w:p w14:paraId="622EE779" w14:textId="77777777" w:rsidR="00A22403" w:rsidRDefault="00000000">
      <w:r>
        <w:t xml:space="preserve">World Economic Forum, 2024. </w:t>
      </w:r>
      <w:r>
        <w:rPr>
          <w:i/>
          <w:iCs/>
        </w:rPr>
        <w:t>BHP’s approach to Scope 3 reporting supports progress towards value chain decarbonization.</w:t>
      </w:r>
      <w:r>
        <w:t xml:space="preserve"> Available at: </w:t>
      </w:r>
      <w:hyperlink r:id="rId18">
        <w:r w:rsidR="00A22403">
          <w:rPr>
            <w:color w:val="0563C1"/>
            <w:u w:val="single"/>
          </w:rPr>
          <w:t>https://www3.weforum.org/docs/WEF_ISSB_Knowledge_Hub_BHP_Case_Study_November_2024.pdf</w:t>
        </w:r>
      </w:hyperlink>
      <w:r>
        <w:t xml:space="preserve"> [Accessed: 21.07.2026]</w:t>
      </w:r>
    </w:p>
    <w:p w14:paraId="3C730A50" w14:textId="77777777" w:rsidR="00A22403" w:rsidRDefault="00000000">
      <w:pPr>
        <w:rPr>
          <w:b/>
          <w:bCs/>
        </w:rPr>
      </w:pPr>
      <w:r>
        <w:t>Yang, P., Fiedler, T. and Free, C., 2024. The visibility of climate</w:t>
      </w:r>
      <w:r>
        <w:rPr>
          <w:rFonts w:ascii="Cambria Math" w:eastAsia="Cambria Math" w:hAnsi="Cambria Math" w:cs="Cambria Math"/>
        </w:rPr>
        <w:t>‐</w:t>
      </w:r>
      <w:r>
        <w:t>related disclosures by large Australian companies. </w:t>
      </w:r>
      <w:r>
        <w:rPr>
          <w:i/>
          <w:iCs/>
        </w:rPr>
        <w:t>Australian Accounting Review</w:t>
      </w:r>
      <w:r>
        <w:t>, </w:t>
      </w:r>
      <w:r>
        <w:rPr>
          <w:i/>
          <w:iCs/>
        </w:rPr>
        <w:t>34</w:t>
      </w:r>
      <w:r>
        <w:t>(4), pp.265-282.</w:t>
      </w:r>
      <w:r>
        <w:rPr>
          <w:b/>
          <w:bCs/>
        </w:rPr>
        <w:t xml:space="preserve"> </w:t>
      </w:r>
    </w:p>
    <w:p w14:paraId="245F747C" w14:textId="77777777" w:rsidR="00A22403" w:rsidRDefault="00000000">
      <w:pPr>
        <w:spacing w:line="259" w:lineRule="auto"/>
        <w:jc w:val="left"/>
        <w:rPr>
          <w:b/>
          <w:bCs/>
        </w:rPr>
      </w:pPr>
      <w:r>
        <w:br w:type="page"/>
      </w:r>
    </w:p>
    <w:p w14:paraId="7D046F37" w14:textId="77777777" w:rsidR="00A22403" w:rsidRDefault="00000000">
      <w:pPr>
        <w:pStyle w:val="Heading1"/>
      </w:pPr>
      <w:bookmarkStart w:id="18" w:name="_b82yiy1wbru1" w:colFirst="0" w:colLast="0"/>
      <w:bookmarkEnd w:id="18"/>
      <w:r>
        <w:lastRenderedPageBreak/>
        <w:t xml:space="preserve">Appendix: Porter’s generic strategies </w:t>
      </w:r>
    </w:p>
    <w:p w14:paraId="2E2B9DB2" w14:textId="77777777" w:rsidR="00A22403" w:rsidRDefault="00000000">
      <w:proofErr w:type="spellStart"/>
      <w:r>
        <w:t>Zaimovic</w:t>
      </w:r>
      <w:proofErr w:type="spellEnd"/>
      <w:r>
        <w:t>, A., Omanovic, A. and Arnaut-Berilo, A., 2021. How many stocks are sufficient for equity portfolio diversification? A review of the literature. </w:t>
      </w:r>
      <w:r>
        <w:rPr>
          <w:i/>
          <w:iCs/>
        </w:rPr>
        <w:t>Journal of Risk and Financial Management</w:t>
      </w:r>
      <w:r>
        <w:t>, </w:t>
      </w:r>
      <w:r>
        <w:rPr>
          <w:i/>
          <w:iCs/>
        </w:rPr>
        <w:t>14</w:t>
      </w:r>
      <w:r>
        <w:t>(11), p.551.</w:t>
      </w:r>
    </w:p>
    <w:p w14:paraId="5A4D944C" w14:textId="77777777" w:rsidR="00A22403" w:rsidRDefault="00000000">
      <w:pPr>
        <w:jc w:val="center"/>
      </w:pPr>
      <w:r>
        <w:rPr>
          <w:noProof/>
        </w:rPr>
        <w:drawing>
          <wp:inline distT="0" distB="0" distL="0" distR="0" wp14:anchorId="041FB48D" wp14:editId="4F5E28E3">
            <wp:extent cx="5731510" cy="33623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9"/>
                    <a:srcRect/>
                    <a:stretch>
                      <a:fillRect/>
                    </a:stretch>
                  </pic:blipFill>
                  <pic:spPr>
                    <a:xfrm>
                      <a:off x="0" y="0"/>
                      <a:ext cx="5731510" cy="3362325"/>
                    </a:xfrm>
                    <a:prstGeom prst="rect">
                      <a:avLst/>
                    </a:prstGeom>
                    <a:ln/>
                  </pic:spPr>
                </pic:pic>
              </a:graphicData>
            </a:graphic>
          </wp:inline>
        </w:drawing>
      </w:r>
    </w:p>
    <w:p w14:paraId="6D3F1141" w14:textId="77777777" w:rsidR="00A22403" w:rsidRDefault="00000000">
      <w:pPr>
        <w:jc w:val="center"/>
      </w:pPr>
      <w:r>
        <w:t>(Source: Self-created in Ms-Word)</w:t>
      </w:r>
    </w:p>
    <w:sectPr w:rsidR="00A22403">
      <w:footerReference w:type="default" r:id="rId20"/>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D9D35DF" w14:textId="77777777" w:rsidR="00127EBF" w:rsidRDefault="00127EBF">
      <w:pPr>
        <w:spacing w:after="0" w:line="240" w:lineRule="auto"/>
      </w:pPr>
      <w:r>
        <w:separator/>
      </w:r>
    </w:p>
  </w:endnote>
  <w:endnote w:type="continuationSeparator" w:id="0">
    <w:p w14:paraId="42D222D1" w14:textId="77777777" w:rsidR="00127EBF" w:rsidRDefault="00127E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Noto Sans Symbols">
    <w:altName w:val="Calibri"/>
    <w:panose1 w:val="020B0604020202020204"/>
    <w:charset w:val="00"/>
    <w:family w:val="auto"/>
    <w:pitch w:val="default"/>
  </w:font>
  <w:font w:name="Courier New">
    <w:panose1 w:val="02070309020205020404"/>
    <w:charset w:val="00"/>
    <w:family w:val="modern"/>
    <w:pitch w:val="fixed"/>
    <w:sig w:usb0="E0002EFF" w:usb1="C0007843" w:usb2="00000009" w:usb3="00000000" w:csb0="000001FF" w:csb1="00000000"/>
    <w:embedRegular r:id="rId2" w:fontKey="{DD7FF4BC-0800-9D4A-9AC5-8847610FBD1F}"/>
  </w:font>
  <w:font w:name="Arial">
    <w:panose1 w:val="020B0604020202020204"/>
    <w:charset w:val="00"/>
    <w:family w:val="swiss"/>
    <w:pitch w:val="variable"/>
    <w:sig w:usb0="E0002EFF" w:usb1="C000785B" w:usb2="00000009" w:usb3="00000000" w:csb0="000001FF" w:csb1="00000000"/>
    <w:embedRegular r:id="rId3" w:fontKey="{CA1763D6-E977-3E4A-B42A-F7138CDBFC27}"/>
    <w:embedBold r:id="rId4" w:fontKey="{DB4F502C-740D-8447-908F-7E251F9B1BE2}"/>
    <w:embedItalic r:id="rId5" w:fontKey="{27BCC2F5-3097-B341-86B5-0EC3B6ED6F5F}"/>
    <w:embedBoldItalic r:id="rId6" w:fontKey="{24B5659E-EEF9-994A-8021-7AFC26478896}"/>
  </w:font>
  <w:font w:name="Times New Roman">
    <w:panose1 w:val="02020603050405020304"/>
    <w:charset w:val="00"/>
    <w:family w:val="roman"/>
    <w:pitch w:val="variable"/>
    <w:sig w:usb0="E0002EFF" w:usb1="C000785B" w:usb2="00000009" w:usb3="00000000" w:csb0="000001FF" w:csb1="00000000"/>
    <w:embedRegular r:id="rId7" w:fontKey="{A8AE657E-8602-9E46-9844-C2DD791EC25E}"/>
  </w:font>
  <w:font w:name="Calibri">
    <w:panose1 w:val="020F0502020204030204"/>
    <w:charset w:val="00"/>
    <w:family w:val="swiss"/>
    <w:pitch w:val="variable"/>
    <w:sig w:usb0="E0002AFF" w:usb1="C000247B" w:usb2="00000009" w:usb3="00000000" w:csb0="000001FF" w:csb1="00000000"/>
    <w:embedRegular r:id="rId8" w:fontKey="{8855EE53-6902-294C-955E-29ACAE8D4AAD}"/>
  </w:font>
  <w:font w:name="Cambria Math">
    <w:panose1 w:val="02040503050406030204"/>
    <w:charset w:val="00"/>
    <w:family w:val="roman"/>
    <w:pitch w:val="variable"/>
    <w:sig w:usb0="E00006FF" w:usb1="420024FF" w:usb2="02000000" w:usb3="00000000" w:csb0="0000019F" w:csb1="00000000"/>
    <w:embedRegular r:id="rId9" w:fontKey="{7303B12F-3405-AF40-8987-E5FCFCBA7F5A}"/>
  </w:font>
  <w:font w:name="Cambria">
    <w:panose1 w:val="02040503050406030204"/>
    <w:charset w:val="00"/>
    <w:family w:val="roman"/>
    <w:pitch w:val="variable"/>
    <w:sig w:usb0="E00002FF" w:usb1="400004FF" w:usb2="00000000" w:usb3="00000000" w:csb0="0000019F" w:csb1="00000000"/>
    <w:embedRegular r:id="rId10" w:fontKey="{FA180218-B924-6444-A7F5-465D9EB1D00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A1018F6" w14:textId="77777777" w:rsidR="00A22403"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sz w:val="20"/>
        <w:szCs w:val="20"/>
      </w:rPr>
      <w:fldChar w:fldCharType="begin"/>
    </w:r>
    <w:r>
      <w:rPr>
        <w:color w:val="000000"/>
        <w:sz w:val="20"/>
        <w:szCs w:val="20"/>
      </w:rPr>
      <w:instrText>PAGE</w:instrText>
    </w:r>
    <w:r>
      <w:rPr>
        <w:color w:val="000000"/>
        <w:sz w:val="20"/>
        <w:szCs w:val="20"/>
      </w:rPr>
      <w:fldChar w:fldCharType="separate"/>
    </w:r>
    <w:r w:rsidR="00E90063">
      <w:rPr>
        <w:noProof/>
        <w:color w:val="000000"/>
        <w:sz w:val="20"/>
        <w:szCs w:val="20"/>
      </w:rPr>
      <w:t>1</w:t>
    </w:r>
    <w:r>
      <w:rPr>
        <w:color w:val="000000"/>
        <w:sz w:val="20"/>
        <w:szCs w:val="20"/>
      </w:rPr>
      <w:fldChar w:fldCharType="end"/>
    </w:r>
  </w:p>
  <w:p w14:paraId="469A5847" w14:textId="77777777" w:rsidR="00A22403" w:rsidRDefault="00A22403">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D28D192" w14:textId="77777777" w:rsidR="00127EBF" w:rsidRDefault="00127EBF">
      <w:pPr>
        <w:spacing w:after="0" w:line="240" w:lineRule="auto"/>
      </w:pPr>
      <w:r>
        <w:separator/>
      </w:r>
    </w:p>
  </w:footnote>
  <w:footnote w:type="continuationSeparator" w:id="0">
    <w:p w14:paraId="31D0164B" w14:textId="77777777" w:rsidR="00127EBF" w:rsidRDefault="00127E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C793780"/>
    <w:multiLevelType w:val="multilevel"/>
    <w:tmpl w:val="ACE66DA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460800115">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2403"/>
    <w:rsid w:val="0009725A"/>
    <w:rsid w:val="00127EBF"/>
    <w:rsid w:val="005431F3"/>
    <w:rsid w:val="006833DF"/>
    <w:rsid w:val="00A22403"/>
    <w:rsid w:val="00E9006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7405FD34"/>
  <w15:docId w15:val="{0DBAD93E-D4B5-E742-A3D7-424B5B64B8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b/>
      <w:bCs/>
      <w:sz w:val="28"/>
      <w:szCs w:val="28"/>
    </w:rPr>
  </w:style>
  <w:style w:type="paragraph" w:styleId="Heading2">
    <w:name w:val="heading 2"/>
    <w:basedOn w:val="Normal"/>
    <w:next w:val="Normal"/>
    <w:uiPriority w:val="9"/>
    <w:unhideWhenUsed/>
    <w:qFormat/>
    <w:pPr>
      <w:keepNext/>
      <w:keepLines/>
      <w:spacing w:before="160" w:after="80"/>
      <w:outlineLvl w:val="1"/>
    </w:pPr>
    <w:rPr>
      <w:b/>
      <w:bCs/>
      <w:sz w:val="26"/>
      <w:szCs w:val="26"/>
    </w:rPr>
  </w:style>
  <w:style w:type="paragraph" w:styleId="Heading3">
    <w:name w:val="heading 3"/>
    <w:basedOn w:val="Normal"/>
    <w:next w:val="Normal"/>
    <w:uiPriority w:val="9"/>
    <w:semiHidden/>
    <w:unhideWhenUsed/>
    <w:qFormat/>
    <w:pPr>
      <w:keepNext/>
      <w:keepLines/>
      <w:spacing w:before="160" w:after="80"/>
      <w:outlineLvl w:val="2"/>
    </w:pPr>
    <w:rPr>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2F5496"/>
    </w:rPr>
  </w:style>
  <w:style w:type="paragraph" w:styleId="Heading5">
    <w:name w:val="heading 5"/>
    <w:basedOn w:val="Normal"/>
    <w:next w:val="Normal"/>
    <w:uiPriority w:val="9"/>
    <w:semiHidden/>
    <w:unhideWhenUsed/>
    <w:qFormat/>
    <w:pPr>
      <w:keepNext/>
      <w:keepLines/>
      <w:spacing w:before="80" w:after="40"/>
      <w:outlineLvl w:val="4"/>
    </w:pPr>
    <w:rPr>
      <w:color w:val="2F5496"/>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Calibri" w:eastAsia="Calibri" w:hAnsi="Calibri" w:cs="Calibri"/>
      <w:sz w:val="56"/>
      <w:szCs w:val="56"/>
    </w:rPr>
  </w:style>
  <w:style w:type="paragraph" w:styleId="Subtitle">
    <w:name w:val="Subtitle"/>
    <w:basedOn w:val="Normal"/>
    <w:next w:val="Normal"/>
    <w:uiPriority w:val="11"/>
    <w:qFormat/>
    <w:rPr>
      <w:color w:val="595959"/>
      <w:sz w:val="28"/>
      <w:szCs w:val="2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0">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1">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2">
    <w:basedOn w:val="TableNormal0"/>
    <w:pPr>
      <w:spacing w:after="0" w:line="240" w:lineRule="auto"/>
    </w:pPr>
    <w:tblPr>
      <w:tblStyleRowBandSize w:val="1"/>
      <w:tblStyleColBandSize w:val="1"/>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hp.com/investor-hub/reports-and-presentations/annual-report" TargetMode="External"/><Relationship Id="rId18" Type="http://schemas.openxmlformats.org/officeDocument/2006/relationships/hyperlink" Target="https://www3.weforum.org/docs/WEF_ISSB_Knowledge_Hub_BHP_Case_Study_November_2024.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bhp.com/-/media/documents/investors/annual-reports/2020/200910_bhpclimatechangereport2020.pdf" TargetMode="External"/><Relationship Id="rId17" Type="http://schemas.openxmlformats.org/officeDocument/2006/relationships/hyperlink" Target="https://www.reuters.com/article/lifestyle/factbox-bhp-billiton-and-rio-tinto-the-worlds-largest-miners-idUSKUA931796/" TargetMode="External"/><Relationship Id="rId2" Type="http://schemas.openxmlformats.org/officeDocument/2006/relationships/styles" Target="styles.xml"/><Relationship Id="rId16" Type="http://schemas.openxmlformats.org/officeDocument/2006/relationships/hyperlink" Target="https://mining2030.org/wp-content/uploads/2024/10/Mining2030-Report-v4.pdf"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mckinsey.com/capabilities/sustainability/our-insights/climate-risk-and-decarbonization-what-every-mining-ceo-needs-to-know" TargetMode="External"/><Relationship Id="rId10" Type="http://schemas.openxmlformats.org/officeDocument/2006/relationships/image" Target="media/image4.png"/><Relationship Id="rId19"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bhp.com/" TargetMode="External"/><Relationship Id="rId22"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3707</Words>
  <Characters>21130</Characters>
  <Application>Microsoft Office Word</Application>
  <DocSecurity>0</DocSecurity>
  <Lines>176</Lines>
  <Paragraphs>49</Paragraphs>
  <ScaleCrop>false</ScaleCrop>
  <Company/>
  <LinksUpToDate>false</LinksUpToDate>
  <CharactersWithSpaces>24788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Vishal Singh (2543470)</cp:lastModifiedBy>
  <cp:revision>2</cp:revision>
  <dcterms:created xsi:type="dcterms:W3CDTF">2026-07-24T08:12:00Z</dcterms:created>
  <dcterms:modified xsi:type="dcterms:W3CDTF">2026-07-24T08:12:00Z</dcterms:modified>
</cp:coreProperties>
</file>