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758604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9104F">
        <w:rPr>
          <w:rFonts w:asciiTheme="minorBidi" w:hAnsiTheme="minorBidi"/>
          <w:sz w:val="28"/>
          <w:szCs w:val="28"/>
        </w:rPr>
        <w:t>Tania Miranda</w:t>
      </w:r>
    </w:p>
    <w:p w14:paraId="485B6F49" w14:textId="26F1284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9104F">
        <w:rPr>
          <w:rFonts w:asciiTheme="minorBidi" w:hAnsiTheme="minorBidi"/>
          <w:sz w:val="28"/>
          <w:szCs w:val="28"/>
        </w:rPr>
        <w:t>2435112</w:t>
      </w:r>
    </w:p>
    <w:p w14:paraId="04C5ECB6" w14:textId="69BA3533" w:rsidR="0079104F"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9104F">
        <w:rPr>
          <w:rFonts w:asciiTheme="minorBidi" w:hAnsiTheme="minorBidi"/>
          <w:sz w:val="28"/>
          <w:szCs w:val="28"/>
        </w:rPr>
        <w:t>LCHS4001_BIRM</w:t>
      </w:r>
    </w:p>
    <w:p w14:paraId="4EEB2DA3" w14:textId="374998C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9104F">
        <w:rPr>
          <w:rFonts w:asciiTheme="minorBidi" w:hAnsiTheme="minorBidi"/>
          <w:sz w:val="28"/>
          <w:szCs w:val="28"/>
        </w:rPr>
        <w:t>Academic and Employability Skills</w:t>
      </w:r>
    </w:p>
    <w:p w14:paraId="112342CB" w14:textId="00D5FA5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9104F">
        <w:rPr>
          <w:rFonts w:asciiTheme="minorBidi" w:hAnsiTheme="minorBidi"/>
          <w:sz w:val="28"/>
          <w:szCs w:val="28"/>
        </w:rPr>
        <w:t xml:space="preserve">Reza </w:t>
      </w:r>
      <w:proofErr w:type="spellStart"/>
      <w:r w:rsidR="0079104F">
        <w:rPr>
          <w:rFonts w:asciiTheme="minorBidi" w:hAnsiTheme="minorBidi"/>
          <w:sz w:val="28"/>
          <w:szCs w:val="28"/>
        </w:rPr>
        <w:t>Taghizadeh</w:t>
      </w:r>
      <w:proofErr w:type="spellEnd"/>
    </w:p>
    <w:p w14:paraId="072506E1" w14:textId="45654D1A"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79104F">
        <w:rPr>
          <w:rFonts w:asciiTheme="minorBidi" w:hAnsiTheme="minorBidi"/>
          <w:sz w:val="28"/>
          <w:szCs w:val="28"/>
        </w:rPr>
        <w:t>19/11/2025</w:t>
      </w:r>
      <w:r>
        <w:rPr>
          <w:rFonts w:asciiTheme="minorBidi" w:hAnsiTheme="minorBidi"/>
          <w:sz w:val="28"/>
          <w:szCs w:val="28"/>
        </w:rPr>
        <w:t xml:space="preserve"> </w:t>
      </w:r>
    </w:p>
    <w:p w14:paraId="24378DB9" w14:textId="77777777" w:rsidR="0079104F" w:rsidRDefault="0079104F" w:rsidP="00ED5964">
      <w:pPr>
        <w:jc w:val="both"/>
        <w:rPr>
          <w:rFonts w:asciiTheme="minorBidi" w:hAnsiTheme="minorBidi"/>
          <w:sz w:val="28"/>
          <w:szCs w:val="28"/>
        </w:rPr>
      </w:pPr>
    </w:p>
    <w:p w14:paraId="1FC88E69" w14:textId="703AF34B" w:rsidR="0079104F" w:rsidRPr="005835E5" w:rsidRDefault="0079104F" w:rsidP="005835E5">
      <w:pPr>
        <w:jc w:val="center"/>
        <w:rPr>
          <w:rFonts w:asciiTheme="minorBidi" w:hAnsiTheme="minorBidi"/>
          <w:b/>
          <w:bCs/>
          <w:sz w:val="36"/>
          <w:szCs w:val="36"/>
        </w:rPr>
      </w:pPr>
      <w:r w:rsidRPr="005835E5">
        <w:rPr>
          <w:rFonts w:asciiTheme="minorBidi" w:hAnsiTheme="minorBidi"/>
          <w:b/>
          <w:bCs/>
          <w:sz w:val="36"/>
          <w:szCs w:val="36"/>
        </w:rPr>
        <w:t>Report</w:t>
      </w:r>
    </w:p>
    <w:p w14:paraId="4AD7A5C1" w14:textId="46C0B826" w:rsidR="002A5577" w:rsidRDefault="002A5577" w:rsidP="002A5577">
      <w:pPr>
        <w:rPr>
          <w:b/>
          <w:bCs/>
          <w:sz w:val="21"/>
          <w:szCs w:val="21"/>
        </w:rPr>
      </w:pPr>
    </w:p>
    <w:p w14:paraId="2EF9BBA2" w14:textId="77777777" w:rsidR="00BE28A0" w:rsidRDefault="00BE28A0" w:rsidP="002A5577">
      <w:pPr>
        <w:rPr>
          <w:b/>
          <w:bCs/>
          <w:sz w:val="21"/>
          <w:szCs w:val="21"/>
        </w:rPr>
      </w:pPr>
    </w:p>
    <w:p w14:paraId="72319A15"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1.1 Introduction</w:t>
      </w:r>
    </w:p>
    <w:p w14:paraId="73F11DD3" w14:textId="77777777" w:rsidR="0079104F" w:rsidRDefault="0079104F" w:rsidP="0079104F">
      <w:pPr>
        <w:spacing w:line="360" w:lineRule="auto"/>
        <w:rPr>
          <w:rFonts w:ascii="Arial" w:eastAsia="Arial" w:hAnsi="Arial" w:cs="Arial"/>
          <w:sz w:val="22"/>
        </w:rPr>
      </w:pPr>
      <w:r w:rsidRPr="005835E5">
        <w:rPr>
          <w:rFonts w:ascii="Arial" w:eastAsia="Arial" w:hAnsi="Arial" w:cs="Arial"/>
          <w:sz w:val="22"/>
        </w:rPr>
        <w:t xml:space="preserve">Mental Health Support Workers (MHSWs) play a crucial role in settings where service-user needs can change rapidly, requiring staff to respond with sensitivity, awareness, and professionalism. This role was chosen because it helps to create a path for effective and respectful support for individuals who are often vulnerable or in crisis. The report examines the key responsibilities of the MHSW and critically evaluates three essential skills that underpin high-quality care: empathy and compassion, observational skills, and stress management. It also explores three advanced strategies shadowing experienced practitioners, service-user co-production, and mindfulness-based stress reduction—that support ongoing professional development. </w:t>
      </w:r>
    </w:p>
    <w:p w14:paraId="271B0AB4" w14:textId="77777777" w:rsidR="00BE28A0" w:rsidRDefault="00BE28A0" w:rsidP="0079104F">
      <w:pPr>
        <w:spacing w:line="360" w:lineRule="auto"/>
        <w:rPr>
          <w:rFonts w:ascii="Arial" w:eastAsia="Arial" w:hAnsi="Arial" w:cs="Arial"/>
          <w:sz w:val="22"/>
        </w:rPr>
      </w:pPr>
    </w:p>
    <w:p w14:paraId="7DEFFE7B" w14:textId="77777777" w:rsidR="00BE28A0" w:rsidRPr="005835E5" w:rsidRDefault="00BE28A0" w:rsidP="0079104F">
      <w:pPr>
        <w:spacing w:line="360" w:lineRule="auto"/>
        <w:rPr>
          <w:rFonts w:ascii="Arial" w:eastAsia="Arial" w:hAnsi="Arial" w:cs="Arial"/>
          <w:sz w:val="22"/>
        </w:rPr>
      </w:pPr>
    </w:p>
    <w:p w14:paraId="04120DC9"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1.2 Description of, and Background to, the MHSW Role In Healthcare</w:t>
      </w:r>
    </w:p>
    <w:p w14:paraId="43A77B50"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The Mental Health Support Worker (MHSW) plays an essential role within contemporary health and social care, offering practical and emotional support to individuals experiencing a wide range of mental health difficulties. Working alongside multidisciplinary teams, MHSWs assist with daily living activities, encourage engagement with therapeutic interventions, and help maintain safe, person-centred environments for people who may be distressed, vulnerable, or in crisis. A key responsibility of the role involves observing changes in a person’s behaviour or mental state and reporting concerns to senior clinicians. This reflects wider evidence that support workers regularly manage the tension between promoting independence and protecting individuals from potential risk, particularly when working with vulnerable service users (Hawkins, Redley and Holland, 2011).</w:t>
      </w:r>
    </w:p>
    <w:p w14:paraId="0B3274BF"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A key aspect of the role is maintaining a safe and supportive environment for individuals who may be vulnerable, distressed, or experiencing crisis. This requires sensitivity, professional boundaries, and an ability to respond calmly to rapidly changing circumstances. MHSWs also help implement personalised care plans, promote social inclusion, and encourage independence where possible. However, the ability to carry out these responsibilities effectively can be influenced by staffing levels, workload pressures, and the emotional demands of the environment.</w:t>
      </w:r>
    </w:p>
    <w:p w14:paraId="29B57E35"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The importance of this role lies in its close, day-to-day contact with service users, which allows staff to recognise subtle changes that may indicate a decline in wellbeing. Through consistent support, clear communication, and collaboration with clinical teams, MHSWs play an essential part in improving service-user experiences and contributing to positive mental health outcomes.</w:t>
      </w:r>
    </w:p>
    <w:p w14:paraId="32B78149"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1.3 Evaluation of the Skills Needed for a MHSW in Healthcare</w:t>
      </w:r>
    </w:p>
    <w:p w14:paraId="44E792AE"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Effective practice as a MHSW relies on skills that enable staff to respond sensitively, recognise emerging risks, and manage the emotional demands of mental health settings. The three skills selected are empathy and compassion, observational skills, and stress management were chosen because they directly influence safety, person-centred care, and professional resilience, all of which are essential in frontline mental health work.</w:t>
      </w:r>
    </w:p>
    <w:p w14:paraId="02F2E9CB"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Empathy and Compassion</w:t>
      </w:r>
      <w:r w:rsidRPr="005835E5">
        <w:rPr>
          <w:rFonts w:ascii="Arial" w:eastAsia="Arial" w:hAnsi="Arial" w:cs="Arial"/>
          <w:sz w:val="22"/>
        </w:rPr>
        <w:br/>
        <w:t xml:space="preserve">Empathy and compassion allow MHSWs to build trusting, therapeutic relationships with individuals who may feel anxious, distressed, or misunderstood. These skills help service users feel respected and emotionally supported, which encourages engagement with care </w:t>
      </w:r>
      <w:r w:rsidRPr="005835E5">
        <w:rPr>
          <w:rFonts w:ascii="Arial" w:eastAsia="Arial" w:hAnsi="Arial" w:cs="Arial"/>
          <w:sz w:val="22"/>
        </w:rPr>
        <w:lastRenderedPageBreak/>
        <w:t>plans and reduces feelings of isolation. Research shows that compassionate approaches improve service-user experience and foster positive care relationships (Hawkins, Redley and Holland, 2011). In practice, an MHSW may demonstrate empathy by reassuring a service user who becomes distressed during a medication round. However, the absence of empathy can lead to frustration, withdrawal, or increased agitation, potentially escalating risk and reducing cooperation. Sustained emotional demands can also contribute to compassion fatigue if staff do not maintain professional boundaries.</w:t>
      </w:r>
    </w:p>
    <w:p w14:paraId="3BFFB649"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Observational Skills</w:t>
      </w:r>
      <w:r w:rsidRPr="005835E5">
        <w:rPr>
          <w:rFonts w:ascii="Arial" w:eastAsia="Arial" w:hAnsi="Arial" w:cs="Arial"/>
          <w:sz w:val="22"/>
        </w:rPr>
        <w:br/>
        <w:t>Observational skills are essential for recognising early changes in behaviour, mood, or routine—changes that may indicate deterioration or increased risk. In mental health settings, subtle cues such as restlessness, social withdrawal, or shifts in communication style can signal declining wellbeing. Support workers often manage the tension between promoting autonomy and preventing harm, making accurate observation central to safe practice (Hawkins, Redley and Holland, 2011). For example, noticing that an ordinarily engaged service user has stopped attending group activities may prompt an MHSW to report concerns to senior staff. Without strong observational skills, important warning signs may be missed, delaying intervention and increasing the likelihood of crisis.</w:t>
      </w:r>
    </w:p>
    <w:p w14:paraId="5C00E86F" w14:textId="10747502"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Stress Management</w:t>
      </w:r>
      <w:r w:rsidRPr="005835E5">
        <w:rPr>
          <w:rFonts w:ascii="Arial" w:eastAsia="Arial" w:hAnsi="Arial" w:cs="Arial"/>
          <w:sz w:val="22"/>
        </w:rPr>
        <w:br/>
        <w:t>Mental health environments can be unpredictable and emotionally demanding, making stress management vital for maintaining professionalism and decision-making. High emotional demands and workload pressures can increase tension and exhaustion among frontline workers (</w:t>
      </w:r>
      <w:r w:rsidR="00FB2BE3" w:rsidRPr="005835E5">
        <w:rPr>
          <w:rFonts w:ascii="Arial" w:eastAsia="Arial" w:hAnsi="Arial" w:cs="Arial"/>
          <w:sz w:val="22"/>
        </w:rPr>
        <w:t>Ridel</w:t>
      </w:r>
      <w:r w:rsidRPr="005835E5">
        <w:rPr>
          <w:rFonts w:ascii="Arial" w:eastAsia="Arial" w:hAnsi="Arial" w:cs="Arial"/>
          <w:sz w:val="22"/>
        </w:rPr>
        <w:t xml:space="preserve"> and Thomas, 2019). In practice, an MHSW may use grounding techniques before entering a challenging situation to remain calm and focused. Without effective stress management, staff may become overwhelmed, leading to reduced concentration, impaired judgment, and increased risk to both </w:t>
      </w:r>
      <w:r w:rsidR="00FB2BE3" w:rsidRPr="005835E5">
        <w:rPr>
          <w:rFonts w:ascii="Arial" w:eastAsia="Arial" w:hAnsi="Arial" w:cs="Arial"/>
          <w:sz w:val="22"/>
        </w:rPr>
        <w:t>them</w:t>
      </w:r>
      <w:r w:rsidRPr="005835E5">
        <w:rPr>
          <w:rFonts w:ascii="Arial" w:eastAsia="Arial" w:hAnsi="Arial" w:cs="Arial"/>
          <w:sz w:val="22"/>
        </w:rPr>
        <w:t xml:space="preserve"> and service users.</w:t>
      </w:r>
    </w:p>
    <w:p w14:paraId="29E1D9F8"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 xml:space="preserve">1.4 Strategies to Improve the Skills Needed for a MHSW </w:t>
      </w:r>
    </w:p>
    <w:p w14:paraId="5873CB4B"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Improving the skills required for effective MHSW can be achieved through strategies that develop interpersonal awareness, strengthen communication, and enhance emotional regulation. Three strategies that are particularly useful for improving the chosen skills are shadowing experienced practitioners, service-user co-production, and mindfulness-based stress reduction (MBSR). These strategies were chosen because they support both practical skill development and reflective growth, helping MHSWs respond confidently in complex, emotionally demanding situations.</w:t>
      </w:r>
    </w:p>
    <w:p w14:paraId="6D4AF208"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Shadowing experienced practitioners</w:t>
      </w:r>
      <w:r w:rsidRPr="005835E5">
        <w:rPr>
          <w:rFonts w:ascii="Arial" w:eastAsia="Arial" w:hAnsi="Arial" w:cs="Arial"/>
          <w:sz w:val="22"/>
        </w:rPr>
        <w:t xml:space="preserve"> is a valuable strategy for improving both empathy and observational skills. Shadowing allows new or developing staff to observe how </w:t>
      </w:r>
      <w:r w:rsidRPr="005835E5">
        <w:rPr>
          <w:rFonts w:ascii="Arial" w:eastAsia="Arial" w:hAnsi="Arial" w:cs="Arial"/>
          <w:sz w:val="22"/>
        </w:rPr>
        <w:lastRenderedPageBreak/>
        <w:t>experienced MHSWs communicate, respond to distress, and identify subtle behavioural cues. Evidence shows that experiential learning deepens reflective capacity and helps staff integrate theoretical knowledge with real-world practice (Mann, Gordon and MacLeod, 2009). For example, observing a senior worker calmly de-escalate a distressed service user can help a newer MHSW recognise tone of voice, body language, and pacing techniques that support safety. In everyday practice, shadowing can help staff notice early signs of agitation or withdrawal, improving their ability to intervene before risks escalate.</w:t>
      </w:r>
    </w:p>
    <w:p w14:paraId="6F340B6C"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Service-user co-production</w:t>
      </w:r>
      <w:r w:rsidRPr="005835E5">
        <w:rPr>
          <w:rFonts w:ascii="Arial" w:eastAsia="Arial" w:hAnsi="Arial" w:cs="Arial"/>
          <w:sz w:val="22"/>
        </w:rPr>
        <w:t xml:space="preserve"> is an effective strategy for improving empathy, compassion, and communication. Co-production involves working collaboratively with service users to shape aspects of care, drawing on their lived experiences to improve understanding and practice. Research shows that co-production can enhance emotional insight, increase relational awareness, and build stronger therapeutic partnerships (Slay and Stephens, 2013). In practice, an MHSW might participate in a co-produced workshop where people with lived experience describe how staff responses affect their wellbeing. Hearing these perspectives directly can help workers understand triggers, preferences, and emotional needs, which strengthens compassionate and person-centred support.</w:t>
      </w:r>
    </w:p>
    <w:p w14:paraId="3AA72B71"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b/>
          <w:bCs/>
          <w:sz w:val="22"/>
        </w:rPr>
        <w:t>Mindfulness-based stress reduction (MBSR)</w:t>
      </w:r>
      <w:r w:rsidRPr="005835E5">
        <w:rPr>
          <w:rFonts w:ascii="Arial" w:eastAsia="Arial" w:hAnsi="Arial" w:cs="Arial"/>
          <w:sz w:val="22"/>
        </w:rPr>
        <w:t xml:space="preserve"> is a widely recognised strategy for improving stress management and emotional regulation. MBSR helps staff remain calm during high-pressure situations by increasing awareness of their own stress responses. Evidence shows that mindfulness improves emotional stability and reduces burnout among healthcare professionals (Irving, Dobkin and Park, 2009). In a mental health setting, an MHSW might use brief breathing techniques before entering a challenging interaction or during a de-escalation scenario to maintain focus and composure. Without such strategies, staff may become overwhelmed, affecting their ability to communicate clearly or make safe decisions.</w:t>
      </w:r>
    </w:p>
    <w:p w14:paraId="3A3A559C"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These strategies collectively support the development of safer and more confident MHSW practice.</w:t>
      </w:r>
    </w:p>
    <w:p w14:paraId="6AF3070E"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1.5 Conclusion</w:t>
      </w:r>
    </w:p>
    <w:p w14:paraId="08628592"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The role of the MHSW is essential to delivering safe, high-quality mental health care, particularly because of the close, daily contact MHSWs have with service users. The role involves supporting wellbeing, recognising early changes in behaviour, and managing the emotional demands of complex environments. Developing key skills such as empathy, observational awareness, and stress management is therefore vital. Strategies including shadowing experienced practitioners, service-user co-production, and mindfulness-based stress reduction offer practical ways to strengthen these skills. Overall, enhancing these capabilities supports more responsive, person-centred, and resilient mental health practice.</w:t>
      </w:r>
    </w:p>
    <w:p w14:paraId="46AAF1A7" w14:textId="77777777" w:rsidR="0079104F" w:rsidRPr="005835E5" w:rsidRDefault="0079104F" w:rsidP="0079104F">
      <w:pPr>
        <w:spacing w:line="360" w:lineRule="auto"/>
        <w:rPr>
          <w:rFonts w:ascii="Arial" w:eastAsia="Arial" w:hAnsi="Arial" w:cs="Arial"/>
          <w:b/>
          <w:bCs/>
          <w:sz w:val="22"/>
        </w:rPr>
      </w:pPr>
    </w:p>
    <w:p w14:paraId="5A43F829" w14:textId="77777777" w:rsidR="0079104F" w:rsidRPr="005835E5" w:rsidRDefault="0079104F" w:rsidP="0079104F">
      <w:pPr>
        <w:spacing w:line="360" w:lineRule="auto"/>
        <w:rPr>
          <w:rFonts w:ascii="Arial" w:eastAsia="Arial" w:hAnsi="Arial" w:cs="Arial"/>
          <w:b/>
          <w:bCs/>
          <w:sz w:val="22"/>
        </w:rPr>
      </w:pPr>
    </w:p>
    <w:p w14:paraId="7C9419F4" w14:textId="77777777" w:rsidR="0079104F" w:rsidRPr="005835E5" w:rsidRDefault="0079104F" w:rsidP="0079104F">
      <w:pPr>
        <w:spacing w:line="360" w:lineRule="auto"/>
        <w:rPr>
          <w:rFonts w:ascii="Arial" w:eastAsia="Arial" w:hAnsi="Arial" w:cs="Arial"/>
          <w:b/>
          <w:bCs/>
          <w:sz w:val="22"/>
        </w:rPr>
      </w:pPr>
      <w:r w:rsidRPr="005835E5">
        <w:rPr>
          <w:rFonts w:ascii="Arial" w:eastAsia="Arial" w:hAnsi="Arial" w:cs="Arial"/>
          <w:b/>
          <w:bCs/>
          <w:sz w:val="22"/>
        </w:rPr>
        <w:t xml:space="preserve">References </w:t>
      </w:r>
    </w:p>
    <w:p w14:paraId="58B49668"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Hawkins, R., Redley, M. and Holland, A.J., 2011. Duty of care and autonomy: how support workers managed the tension between protecting service users from risk and promoting their independence in a specialist group home. </w:t>
      </w:r>
      <w:r w:rsidRPr="005835E5">
        <w:rPr>
          <w:rFonts w:ascii="Arial" w:eastAsia="Arial" w:hAnsi="Arial" w:cs="Arial"/>
          <w:i/>
          <w:iCs/>
          <w:sz w:val="22"/>
        </w:rPr>
        <w:t>Journal of Intellectual Disability Research</w:t>
      </w:r>
      <w:r w:rsidRPr="005835E5">
        <w:rPr>
          <w:rFonts w:ascii="Arial" w:eastAsia="Arial" w:hAnsi="Arial" w:cs="Arial"/>
          <w:sz w:val="22"/>
        </w:rPr>
        <w:t>, </w:t>
      </w:r>
      <w:r w:rsidRPr="005835E5">
        <w:rPr>
          <w:rFonts w:ascii="Arial" w:eastAsia="Arial" w:hAnsi="Arial" w:cs="Arial"/>
          <w:i/>
          <w:iCs/>
          <w:sz w:val="22"/>
        </w:rPr>
        <w:t>55</w:t>
      </w:r>
      <w:r w:rsidRPr="005835E5">
        <w:rPr>
          <w:rFonts w:ascii="Arial" w:eastAsia="Arial" w:hAnsi="Arial" w:cs="Arial"/>
          <w:sz w:val="22"/>
        </w:rPr>
        <w:t>(9), pp.873-884.</w:t>
      </w:r>
    </w:p>
    <w:p w14:paraId="22FAFBDC"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Irving, J.A., Dobkin, P.L. and Park, J., 2009. Cultivating mindfulness in health care professionals: A review of empirical studies of mindfulness-based stress reduction (MBSR). </w:t>
      </w:r>
      <w:r w:rsidRPr="005835E5">
        <w:rPr>
          <w:rFonts w:ascii="Arial" w:eastAsia="Arial" w:hAnsi="Arial" w:cs="Arial"/>
          <w:i/>
          <w:iCs/>
          <w:sz w:val="22"/>
        </w:rPr>
        <w:t>Complementary therapies in clinical practice</w:t>
      </w:r>
      <w:r w:rsidRPr="005835E5">
        <w:rPr>
          <w:rFonts w:ascii="Arial" w:eastAsia="Arial" w:hAnsi="Arial" w:cs="Arial"/>
          <w:sz w:val="22"/>
        </w:rPr>
        <w:t>, </w:t>
      </w:r>
      <w:r w:rsidRPr="005835E5">
        <w:rPr>
          <w:rFonts w:ascii="Arial" w:eastAsia="Arial" w:hAnsi="Arial" w:cs="Arial"/>
          <w:i/>
          <w:iCs/>
          <w:sz w:val="22"/>
        </w:rPr>
        <w:t>15</w:t>
      </w:r>
      <w:r w:rsidRPr="005835E5">
        <w:rPr>
          <w:rFonts w:ascii="Arial" w:eastAsia="Arial" w:hAnsi="Arial" w:cs="Arial"/>
          <w:sz w:val="22"/>
        </w:rPr>
        <w:t>(2), pp.61-66.</w:t>
      </w:r>
    </w:p>
    <w:p w14:paraId="119CE5DD"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Mann, K., Gordon, J. and MacLeod, A., 2009. Reflection and reflective practice in health professions education: a systematic review. </w:t>
      </w:r>
      <w:r w:rsidRPr="005835E5">
        <w:rPr>
          <w:rFonts w:ascii="Arial" w:eastAsia="Arial" w:hAnsi="Arial" w:cs="Arial"/>
          <w:i/>
          <w:iCs/>
          <w:sz w:val="22"/>
        </w:rPr>
        <w:t>Advances in health sciences education</w:t>
      </w:r>
      <w:r w:rsidRPr="005835E5">
        <w:rPr>
          <w:rFonts w:ascii="Arial" w:eastAsia="Arial" w:hAnsi="Arial" w:cs="Arial"/>
          <w:sz w:val="22"/>
        </w:rPr>
        <w:t>, </w:t>
      </w:r>
      <w:r w:rsidRPr="005835E5">
        <w:rPr>
          <w:rFonts w:ascii="Arial" w:eastAsia="Arial" w:hAnsi="Arial" w:cs="Arial"/>
          <w:i/>
          <w:iCs/>
          <w:sz w:val="22"/>
        </w:rPr>
        <w:t>14</w:t>
      </w:r>
      <w:r w:rsidRPr="005835E5">
        <w:rPr>
          <w:rFonts w:ascii="Arial" w:eastAsia="Arial" w:hAnsi="Arial" w:cs="Arial"/>
          <w:sz w:val="22"/>
        </w:rPr>
        <w:t>(4), pp.595-621.</w:t>
      </w:r>
    </w:p>
    <w:p w14:paraId="4B2B18F0" w14:textId="77777777" w:rsidR="0079104F" w:rsidRPr="005835E5" w:rsidRDefault="0079104F" w:rsidP="0079104F">
      <w:pPr>
        <w:spacing w:line="360" w:lineRule="auto"/>
        <w:rPr>
          <w:rFonts w:ascii="Arial" w:eastAsia="Arial" w:hAnsi="Arial" w:cs="Arial"/>
          <w:sz w:val="22"/>
        </w:rPr>
      </w:pPr>
      <w:proofErr w:type="spellStart"/>
      <w:r w:rsidRPr="005835E5">
        <w:rPr>
          <w:rFonts w:ascii="Arial" w:eastAsia="Arial" w:hAnsi="Arial" w:cs="Arial"/>
          <w:sz w:val="22"/>
        </w:rPr>
        <w:t>Riedl</w:t>
      </w:r>
      <w:proofErr w:type="spellEnd"/>
      <w:r w:rsidRPr="005835E5">
        <w:rPr>
          <w:rFonts w:ascii="Arial" w:eastAsia="Arial" w:hAnsi="Arial" w:cs="Arial"/>
          <w:sz w:val="22"/>
        </w:rPr>
        <w:t>, E.M. and Thomas, J., 2019. The moderating role of work pressure on the relationships between emotional demands and tension, exhaustion, and work engagement: An experience sampling study among nurses. </w:t>
      </w:r>
      <w:r w:rsidRPr="005835E5">
        <w:rPr>
          <w:rFonts w:ascii="Arial" w:eastAsia="Arial" w:hAnsi="Arial" w:cs="Arial"/>
          <w:i/>
          <w:iCs/>
          <w:sz w:val="22"/>
        </w:rPr>
        <w:t>European Journal of Work and Organizational Psychology</w:t>
      </w:r>
      <w:r w:rsidRPr="005835E5">
        <w:rPr>
          <w:rFonts w:ascii="Arial" w:eastAsia="Arial" w:hAnsi="Arial" w:cs="Arial"/>
          <w:sz w:val="22"/>
        </w:rPr>
        <w:t>, </w:t>
      </w:r>
      <w:r w:rsidRPr="005835E5">
        <w:rPr>
          <w:rFonts w:ascii="Arial" w:eastAsia="Arial" w:hAnsi="Arial" w:cs="Arial"/>
          <w:i/>
          <w:iCs/>
          <w:sz w:val="22"/>
        </w:rPr>
        <w:t>28</w:t>
      </w:r>
      <w:r w:rsidRPr="005835E5">
        <w:rPr>
          <w:rFonts w:ascii="Arial" w:eastAsia="Arial" w:hAnsi="Arial" w:cs="Arial"/>
          <w:sz w:val="22"/>
        </w:rPr>
        <w:t>(3), pp.414-429.</w:t>
      </w:r>
    </w:p>
    <w:p w14:paraId="4F689E3B" w14:textId="77777777" w:rsidR="0079104F" w:rsidRPr="005835E5" w:rsidRDefault="0079104F" w:rsidP="0079104F">
      <w:pPr>
        <w:spacing w:line="360" w:lineRule="auto"/>
        <w:rPr>
          <w:rFonts w:ascii="Arial" w:eastAsia="Arial" w:hAnsi="Arial" w:cs="Arial"/>
          <w:sz w:val="22"/>
        </w:rPr>
      </w:pPr>
      <w:r w:rsidRPr="005835E5">
        <w:rPr>
          <w:rFonts w:ascii="Arial" w:eastAsia="Arial" w:hAnsi="Arial" w:cs="Arial"/>
          <w:sz w:val="22"/>
        </w:rPr>
        <w:t>Slay, J. and Stephens, L., 2013. Co-production in mental health: A literature review. </w:t>
      </w:r>
      <w:r w:rsidRPr="005835E5">
        <w:rPr>
          <w:rFonts w:ascii="Arial" w:eastAsia="Arial" w:hAnsi="Arial" w:cs="Arial"/>
          <w:i/>
          <w:iCs/>
          <w:sz w:val="22"/>
        </w:rPr>
        <w:t>London: new economics foundation</w:t>
      </w:r>
      <w:r w:rsidRPr="005835E5">
        <w:rPr>
          <w:rFonts w:ascii="Arial" w:eastAsia="Arial" w:hAnsi="Arial" w:cs="Arial"/>
          <w:sz w:val="22"/>
        </w:rPr>
        <w:t>, </w:t>
      </w:r>
      <w:r w:rsidRPr="005835E5">
        <w:rPr>
          <w:rFonts w:ascii="Arial" w:eastAsia="Arial" w:hAnsi="Arial" w:cs="Arial"/>
          <w:i/>
          <w:iCs/>
          <w:sz w:val="22"/>
        </w:rPr>
        <w:t>4</w:t>
      </w:r>
      <w:r w:rsidRPr="005835E5">
        <w:rPr>
          <w:rFonts w:ascii="Arial" w:eastAsia="Arial" w:hAnsi="Arial" w:cs="Arial"/>
          <w:sz w:val="22"/>
        </w:rPr>
        <w:t>, pp.1-36.</w:t>
      </w:r>
    </w:p>
    <w:p w14:paraId="7B8B1E9D" w14:textId="77777777" w:rsidR="0079104F" w:rsidRPr="005835E5" w:rsidRDefault="0079104F" w:rsidP="0079104F">
      <w:pPr>
        <w:spacing w:line="360" w:lineRule="auto"/>
        <w:rPr>
          <w:rFonts w:ascii="Arial" w:eastAsia="Arial" w:hAnsi="Arial" w:cs="Arial"/>
          <w:sz w:val="22"/>
        </w:rPr>
      </w:pPr>
    </w:p>
    <w:p w14:paraId="23225D6E" w14:textId="77777777" w:rsidR="0079104F" w:rsidRPr="005835E5" w:rsidRDefault="0079104F" w:rsidP="0079104F">
      <w:pPr>
        <w:spacing w:line="360" w:lineRule="auto"/>
        <w:rPr>
          <w:rFonts w:ascii="Arial" w:eastAsia="Arial" w:hAnsi="Arial" w:cs="Arial"/>
          <w:sz w:val="22"/>
        </w:rPr>
      </w:pPr>
    </w:p>
    <w:p w14:paraId="78670A1E" w14:textId="77777777" w:rsidR="0079104F" w:rsidRPr="005835E5" w:rsidRDefault="0079104F" w:rsidP="0079104F">
      <w:pPr>
        <w:spacing w:line="360" w:lineRule="auto"/>
        <w:rPr>
          <w:rFonts w:ascii="Arial" w:eastAsia="Arial" w:hAnsi="Arial" w:cs="Arial"/>
          <w:b/>
          <w:bCs/>
          <w:sz w:val="22"/>
        </w:rPr>
      </w:pPr>
    </w:p>
    <w:p w14:paraId="23FC13D7" w14:textId="77777777" w:rsidR="0079104F" w:rsidRPr="005835E5" w:rsidRDefault="0079104F" w:rsidP="0079104F">
      <w:pPr>
        <w:spacing w:line="360" w:lineRule="auto"/>
        <w:rPr>
          <w:rFonts w:ascii="Arial" w:eastAsia="Arial" w:hAnsi="Arial" w:cs="Arial"/>
          <w:b/>
          <w:bCs/>
          <w:sz w:val="22"/>
        </w:rPr>
      </w:pPr>
    </w:p>
    <w:p w14:paraId="1891EB29" w14:textId="77777777" w:rsidR="0079104F" w:rsidRPr="005835E5" w:rsidRDefault="0079104F" w:rsidP="0079104F">
      <w:pPr>
        <w:spacing w:line="360" w:lineRule="auto"/>
        <w:rPr>
          <w:rFonts w:ascii="Arial" w:eastAsia="Arial" w:hAnsi="Arial" w:cs="Arial"/>
          <w:b/>
          <w:bCs/>
          <w:sz w:val="22"/>
        </w:rPr>
      </w:pPr>
    </w:p>
    <w:p w14:paraId="30F74562" w14:textId="77777777" w:rsidR="0079104F" w:rsidRPr="005835E5" w:rsidRDefault="0079104F" w:rsidP="0079104F">
      <w:pPr>
        <w:spacing w:line="360" w:lineRule="auto"/>
        <w:rPr>
          <w:rFonts w:ascii="Arial" w:eastAsia="Arial" w:hAnsi="Arial" w:cs="Arial"/>
          <w:b/>
          <w:bCs/>
          <w:sz w:val="22"/>
        </w:rPr>
      </w:pPr>
    </w:p>
    <w:p w14:paraId="192D9101" w14:textId="77777777" w:rsidR="0079104F" w:rsidRPr="005835E5" w:rsidRDefault="0079104F" w:rsidP="0079104F">
      <w:pPr>
        <w:spacing w:line="360" w:lineRule="auto"/>
        <w:rPr>
          <w:rFonts w:ascii="Arial" w:eastAsia="Arial" w:hAnsi="Arial" w:cs="Arial"/>
          <w:sz w:val="22"/>
        </w:rPr>
      </w:pPr>
    </w:p>
    <w:p w14:paraId="04208306" w14:textId="77777777" w:rsidR="0079104F" w:rsidRPr="005835E5" w:rsidRDefault="0079104F" w:rsidP="0079104F">
      <w:pPr>
        <w:spacing w:line="360" w:lineRule="auto"/>
        <w:rPr>
          <w:rFonts w:ascii="Arial" w:eastAsia="Arial" w:hAnsi="Arial" w:cs="Arial"/>
          <w:sz w:val="22"/>
        </w:rPr>
      </w:pPr>
    </w:p>
    <w:p w14:paraId="4ECF0110" w14:textId="77777777" w:rsidR="0079104F" w:rsidRPr="005835E5" w:rsidRDefault="0079104F" w:rsidP="002A5577">
      <w:pPr>
        <w:rPr>
          <w:b/>
          <w:bCs/>
          <w:sz w:val="22"/>
        </w:rPr>
      </w:pPr>
    </w:p>
    <w:p w14:paraId="2493D842" w14:textId="77777777" w:rsidR="0079104F" w:rsidRPr="005835E5" w:rsidRDefault="0079104F" w:rsidP="002A5577">
      <w:pPr>
        <w:rPr>
          <w:b/>
          <w:bCs/>
          <w:sz w:val="22"/>
        </w:rPr>
      </w:pPr>
    </w:p>
    <w:p w14:paraId="27996CC5" w14:textId="77777777" w:rsidR="0079104F" w:rsidRPr="005835E5" w:rsidRDefault="0079104F" w:rsidP="002A5577">
      <w:pPr>
        <w:rPr>
          <w:b/>
          <w:bCs/>
          <w:sz w:val="22"/>
        </w:rPr>
      </w:pPr>
    </w:p>
    <w:p w14:paraId="6F4401B3" w14:textId="77777777" w:rsidR="0079104F" w:rsidRPr="005835E5" w:rsidRDefault="0079104F" w:rsidP="002A5577">
      <w:pPr>
        <w:rPr>
          <w:b/>
          <w:bCs/>
          <w:sz w:val="22"/>
        </w:rPr>
      </w:pPr>
    </w:p>
    <w:p w14:paraId="154FBF00" w14:textId="77777777" w:rsidR="0079104F" w:rsidRPr="005835E5" w:rsidRDefault="0079104F" w:rsidP="002A5577">
      <w:pPr>
        <w:rPr>
          <w:b/>
          <w:bCs/>
          <w:sz w:val="22"/>
        </w:rPr>
      </w:pPr>
    </w:p>
    <w:sectPr w:rsidR="0079104F" w:rsidRPr="005835E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A6E39" w14:textId="77777777" w:rsidR="00401727" w:rsidRDefault="00401727" w:rsidP="003C7C97">
      <w:pPr>
        <w:spacing w:after="0" w:line="240" w:lineRule="auto"/>
      </w:pPr>
      <w:r>
        <w:separator/>
      </w:r>
    </w:p>
  </w:endnote>
  <w:endnote w:type="continuationSeparator" w:id="0">
    <w:p w14:paraId="62A9A807" w14:textId="77777777" w:rsidR="00401727" w:rsidRDefault="0040172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109870"/>
      <w:docPartObj>
        <w:docPartGallery w:val="Page Numbers (Bottom of Page)"/>
        <w:docPartUnique/>
      </w:docPartObj>
    </w:sdtPr>
    <w:sdtEndPr>
      <w:rPr>
        <w:noProof/>
      </w:rPr>
    </w:sdtEndPr>
    <w:sdtContent>
      <w:p w14:paraId="05442A64" w14:textId="1EA1D1F0" w:rsidR="00FB2BE3" w:rsidRDefault="00FB2B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17CFBA" w14:textId="77777777" w:rsidR="00FB2BE3" w:rsidRDefault="00FB2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D4213" w14:textId="77777777" w:rsidR="00401727" w:rsidRDefault="00401727" w:rsidP="003C7C97">
      <w:pPr>
        <w:spacing w:after="0" w:line="240" w:lineRule="auto"/>
      </w:pPr>
      <w:r>
        <w:separator/>
      </w:r>
    </w:p>
  </w:footnote>
  <w:footnote w:type="continuationSeparator" w:id="0">
    <w:p w14:paraId="68C05C04" w14:textId="77777777" w:rsidR="00401727" w:rsidRDefault="0040172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172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5E5"/>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9104F"/>
    <w:rsid w:val="007B0F6D"/>
    <w:rsid w:val="007C62C3"/>
    <w:rsid w:val="007D25AA"/>
    <w:rsid w:val="007F0873"/>
    <w:rsid w:val="00805726"/>
    <w:rsid w:val="00815117"/>
    <w:rsid w:val="008520F8"/>
    <w:rsid w:val="00855F34"/>
    <w:rsid w:val="008826B6"/>
    <w:rsid w:val="008B0B22"/>
    <w:rsid w:val="008C58B0"/>
    <w:rsid w:val="008C591B"/>
    <w:rsid w:val="008C6182"/>
    <w:rsid w:val="008F40C8"/>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037A"/>
    <w:rsid w:val="00AC7BE2"/>
    <w:rsid w:val="00AE35BF"/>
    <w:rsid w:val="00B1067E"/>
    <w:rsid w:val="00B81790"/>
    <w:rsid w:val="00B81BBC"/>
    <w:rsid w:val="00BD03D5"/>
    <w:rsid w:val="00BE28A0"/>
    <w:rsid w:val="00C3215E"/>
    <w:rsid w:val="00C45272"/>
    <w:rsid w:val="00C47770"/>
    <w:rsid w:val="00C75856"/>
    <w:rsid w:val="00C76AFD"/>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B2BE3"/>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tania miranda</cp:lastModifiedBy>
  <cp:revision>5</cp:revision>
  <dcterms:created xsi:type="dcterms:W3CDTF">2025-11-19T11:35:00Z</dcterms:created>
  <dcterms:modified xsi:type="dcterms:W3CDTF">2025-11-19T11:39:00Z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