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5FC8" w14:textId="2A6F52AB" w:rsidR="00883E11" w:rsidRPr="00883E11" w:rsidRDefault="00C26691" w:rsidP="00267779">
      <w:pPr>
        <w:spacing w:line="276" w:lineRule="auto"/>
        <w:ind w:left="720"/>
        <w:rPr>
          <w:rFonts w:ascii="Arial" w:hAnsi="Arial" w:cs="Arial"/>
          <w:sz w:val="30"/>
          <w:szCs w:val="30"/>
        </w:rPr>
      </w:pPr>
      <w:r>
        <w:rPr>
          <w:noProof/>
        </w:rPr>
        <w:drawing>
          <wp:inline distT="0" distB="0" distL="0" distR="0" wp14:anchorId="0D3AA0E6" wp14:editId="0148A707">
            <wp:extent cx="4443730" cy="3572142"/>
            <wp:effectExtent l="0" t="0" r="0" b="9525"/>
            <wp:docPr id="140668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53173" cy="3579733"/>
                    </a:xfrm>
                    <a:prstGeom prst="rect">
                      <a:avLst/>
                    </a:prstGeom>
                    <a:noFill/>
                    <a:ln>
                      <a:noFill/>
                    </a:ln>
                  </pic:spPr>
                </pic:pic>
              </a:graphicData>
            </a:graphic>
          </wp:inline>
        </w:drawing>
      </w:r>
      <w:r>
        <w:rPr>
          <w:rFonts w:ascii="Arial" w:hAnsi="Arial" w:cs="Arial"/>
          <w:b/>
          <w:bCs/>
          <w:sz w:val="30"/>
          <w:szCs w:val="30"/>
        </w:rPr>
        <w:br/>
      </w:r>
      <w:r>
        <w:rPr>
          <w:rFonts w:ascii="Arial" w:hAnsi="Arial" w:cs="Arial"/>
          <w:b/>
          <w:bCs/>
          <w:sz w:val="30"/>
          <w:szCs w:val="30"/>
        </w:rPr>
        <w:br/>
      </w:r>
      <w:r w:rsidR="00883E11" w:rsidRPr="00883E11">
        <w:rPr>
          <w:rFonts w:ascii="Arial" w:hAnsi="Arial" w:cs="Arial"/>
          <w:b/>
          <w:bCs/>
          <w:sz w:val="30"/>
          <w:szCs w:val="30"/>
        </w:rPr>
        <w:t>Module:</w:t>
      </w:r>
      <w:r w:rsidR="00883E11" w:rsidRPr="00883E11">
        <w:rPr>
          <w:rFonts w:ascii="Arial" w:hAnsi="Arial" w:cs="Arial"/>
          <w:sz w:val="30"/>
          <w:szCs w:val="30"/>
        </w:rPr>
        <w:t xml:space="preserve"> LCLM6001 – Strategic Management for Business</w:t>
      </w:r>
    </w:p>
    <w:p w14:paraId="61EA4C47" w14:textId="77777777" w:rsidR="00883E11" w:rsidRPr="00883E11" w:rsidRDefault="00883E11" w:rsidP="00267779">
      <w:pPr>
        <w:spacing w:line="276" w:lineRule="auto"/>
        <w:ind w:left="720"/>
        <w:rPr>
          <w:rFonts w:ascii="Arial" w:hAnsi="Arial" w:cs="Arial"/>
          <w:sz w:val="30"/>
          <w:szCs w:val="30"/>
        </w:rPr>
      </w:pPr>
      <w:r w:rsidRPr="00883E11">
        <w:rPr>
          <w:rFonts w:ascii="Arial" w:hAnsi="Arial" w:cs="Arial"/>
          <w:b/>
          <w:bCs/>
          <w:sz w:val="30"/>
          <w:szCs w:val="30"/>
        </w:rPr>
        <w:t>Student:</w:t>
      </w:r>
      <w:r w:rsidRPr="00883E11">
        <w:rPr>
          <w:rFonts w:ascii="Arial" w:hAnsi="Arial" w:cs="Arial"/>
          <w:sz w:val="30"/>
          <w:szCs w:val="30"/>
        </w:rPr>
        <w:t xml:space="preserve"> Alin-Florin Iordache</w:t>
      </w:r>
    </w:p>
    <w:p w14:paraId="747D2AB6" w14:textId="77777777" w:rsidR="00883E11" w:rsidRPr="00883E11" w:rsidRDefault="00883E11" w:rsidP="00267779">
      <w:pPr>
        <w:spacing w:line="276" w:lineRule="auto"/>
        <w:ind w:left="720"/>
        <w:rPr>
          <w:rFonts w:ascii="Arial" w:hAnsi="Arial" w:cs="Arial"/>
          <w:sz w:val="30"/>
          <w:szCs w:val="30"/>
        </w:rPr>
      </w:pPr>
      <w:r w:rsidRPr="00883E11">
        <w:rPr>
          <w:rFonts w:ascii="Arial" w:hAnsi="Arial" w:cs="Arial"/>
          <w:b/>
          <w:bCs/>
          <w:sz w:val="30"/>
          <w:szCs w:val="30"/>
        </w:rPr>
        <w:t>Student ID:</w:t>
      </w:r>
      <w:r w:rsidRPr="00883E11">
        <w:rPr>
          <w:rFonts w:ascii="Arial" w:hAnsi="Arial" w:cs="Arial"/>
          <w:sz w:val="30"/>
          <w:szCs w:val="30"/>
        </w:rPr>
        <w:t xml:space="preserve"> 2330653</w:t>
      </w:r>
    </w:p>
    <w:p w14:paraId="00DC900B" w14:textId="7DABAD87" w:rsidR="00883E11" w:rsidRPr="00883E11" w:rsidRDefault="00883E11" w:rsidP="00267779">
      <w:pPr>
        <w:spacing w:line="276" w:lineRule="auto"/>
        <w:ind w:left="720"/>
        <w:rPr>
          <w:rFonts w:ascii="Arial" w:hAnsi="Arial" w:cs="Arial"/>
          <w:sz w:val="30"/>
          <w:szCs w:val="30"/>
        </w:rPr>
      </w:pPr>
      <w:r w:rsidRPr="00883E11">
        <w:rPr>
          <w:rFonts w:ascii="Arial" w:hAnsi="Arial" w:cs="Arial"/>
          <w:b/>
          <w:bCs/>
          <w:sz w:val="30"/>
          <w:szCs w:val="30"/>
        </w:rPr>
        <w:t>Module Tutor:</w:t>
      </w:r>
      <w:r w:rsidRPr="00883E11">
        <w:rPr>
          <w:rFonts w:ascii="Arial" w:hAnsi="Arial" w:cs="Arial"/>
          <w:sz w:val="30"/>
          <w:szCs w:val="30"/>
        </w:rPr>
        <w:t xml:space="preserve"> </w:t>
      </w:r>
      <w:r w:rsidRPr="00883E11">
        <w:rPr>
          <w:rFonts w:ascii="Arial" w:hAnsi="Arial" w:cs="Arial"/>
          <w:i/>
          <w:iCs/>
          <w:sz w:val="30"/>
          <w:szCs w:val="30"/>
        </w:rPr>
        <w:t>Yohan Mendis</w:t>
      </w:r>
    </w:p>
    <w:p w14:paraId="35FD9CD3" w14:textId="2CDC8026" w:rsidR="00484F83" w:rsidRDefault="00883E11" w:rsidP="00267779">
      <w:pPr>
        <w:spacing w:line="276" w:lineRule="auto"/>
        <w:ind w:left="720"/>
      </w:pPr>
      <w:r w:rsidRPr="00883E11">
        <w:rPr>
          <w:rFonts w:ascii="Arial" w:hAnsi="Arial" w:cs="Arial"/>
          <w:b/>
          <w:bCs/>
          <w:sz w:val="30"/>
          <w:szCs w:val="30"/>
        </w:rPr>
        <w:t>University:</w:t>
      </w:r>
      <w:r w:rsidRPr="00883E11">
        <w:rPr>
          <w:rFonts w:ascii="Arial" w:hAnsi="Arial" w:cs="Arial"/>
          <w:sz w:val="30"/>
          <w:szCs w:val="30"/>
        </w:rPr>
        <w:t xml:space="preserve"> University of Wales Trinity Saint David</w:t>
      </w:r>
      <w:r w:rsidR="00A77E9C">
        <w:rPr>
          <w:rFonts w:ascii="Arial" w:hAnsi="Arial" w:cs="Arial"/>
          <w:sz w:val="30"/>
          <w:szCs w:val="30"/>
        </w:rPr>
        <w:br/>
      </w:r>
      <w:r w:rsidR="00A77E9C">
        <w:rPr>
          <w:rFonts w:ascii="Arial" w:hAnsi="Arial" w:cs="Arial"/>
          <w:sz w:val="30"/>
          <w:szCs w:val="30"/>
        </w:rPr>
        <w:br/>
      </w:r>
      <w:r w:rsidR="004F7BC0" w:rsidRPr="00A77E9C">
        <w:rPr>
          <w:rFonts w:ascii="Arial" w:hAnsi="Arial" w:cs="Arial"/>
          <w:b/>
          <w:bCs/>
          <w:sz w:val="30"/>
          <w:szCs w:val="30"/>
        </w:rPr>
        <w:t>Assignment</w:t>
      </w:r>
      <w:r w:rsidR="004F7BC0">
        <w:rPr>
          <w:rFonts w:ascii="Arial" w:hAnsi="Arial" w:cs="Arial"/>
          <w:b/>
          <w:bCs/>
          <w:sz w:val="30"/>
          <w:szCs w:val="30"/>
        </w:rPr>
        <w:t xml:space="preserve"> Title</w:t>
      </w:r>
      <w:r w:rsidR="00690113">
        <w:rPr>
          <w:rFonts w:ascii="Arial" w:hAnsi="Arial" w:cs="Arial"/>
          <w:b/>
          <w:bCs/>
          <w:sz w:val="30"/>
          <w:szCs w:val="30"/>
        </w:rPr>
        <w:t xml:space="preserve">: </w:t>
      </w:r>
      <w:r w:rsidR="00A77E9C">
        <w:rPr>
          <w:rFonts w:ascii="Arial" w:hAnsi="Arial" w:cs="Arial"/>
          <w:sz w:val="30"/>
          <w:szCs w:val="30"/>
        </w:rPr>
        <w:t xml:space="preserve"> Component </w:t>
      </w:r>
      <w:r w:rsidR="00690113">
        <w:rPr>
          <w:rFonts w:ascii="Arial" w:hAnsi="Arial" w:cs="Arial"/>
          <w:sz w:val="30"/>
          <w:szCs w:val="30"/>
        </w:rPr>
        <w:t>2 – Vodafone Merger</w:t>
      </w:r>
      <w:r w:rsidRPr="00883E11">
        <w:rPr>
          <w:rFonts w:ascii="Arial" w:hAnsi="Arial" w:cs="Arial"/>
          <w:sz w:val="30"/>
          <w:szCs w:val="30"/>
        </w:rPr>
        <w:br/>
      </w:r>
      <w:r>
        <w:br/>
      </w:r>
      <w:r>
        <w:br/>
      </w:r>
    </w:p>
    <w:p w14:paraId="152F8C4E" w14:textId="77777777" w:rsidR="00484F83" w:rsidRDefault="00484F83" w:rsidP="00267779">
      <w:pPr>
        <w:spacing w:line="276" w:lineRule="auto"/>
        <w:ind w:left="720"/>
      </w:pPr>
    </w:p>
    <w:p w14:paraId="45E31846" w14:textId="77777777" w:rsidR="00484F83" w:rsidRDefault="00484F83" w:rsidP="00267779">
      <w:pPr>
        <w:spacing w:line="276" w:lineRule="auto"/>
        <w:ind w:left="720"/>
      </w:pPr>
    </w:p>
    <w:p w14:paraId="7377BD53" w14:textId="77777777" w:rsidR="007B4E5B" w:rsidRDefault="00883E11" w:rsidP="00267779">
      <w:pPr>
        <w:spacing w:line="276" w:lineRule="auto"/>
        <w:ind w:left="720"/>
        <w:rPr>
          <w:rFonts w:ascii="Arial" w:hAnsi="Arial" w:cs="Arial"/>
          <w:b/>
          <w:bCs/>
          <w:sz w:val="22"/>
          <w:szCs w:val="22"/>
        </w:rPr>
      </w:pPr>
      <w:r>
        <w:br/>
      </w:r>
      <w:r w:rsidR="00A77E9C">
        <w:br/>
      </w:r>
    </w:p>
    <w:p w14:paraId="4BCF71E1" w14:textId="77777777" w:rsidR="007B4E5B" w:rsidRDefault="007B4E5B" w:rsidP="00267779">
      <w:pPr>
        <w:spacing w:line="276" w:lineRule="auto"/>
        <w:ind w:left="720"/>
        <w:rPr>
          <w:rFonts w:ascii="Arial" w:hAnsi="Arial" w:cs="Arial"/>
          <w:b/>
          <w:bCs/>
          <w:sz w:val="22"/>
          <w:szCs w:val="22"/>
        </w:rPr>
      </w:pPr>
    </w:p>
    <w:p w14:paraId="5E79159A" w14:textId="77777777" w:rsidR="007B4E5B" w:rsidRDefault="007B4E5B" w:rsidP="00267779">
      <w:pPr>
        <w:spacing w:line="276" w:lineRule="auto"/>
        <w:ind w:left="720"/>
        <w:rPr>
          <w:rFonts w:ascii="Arial" w:hAnsi="Arial" w:cs="Arial"/>
          <w:b/>
          <w:bCs/>
          <w:sz w:val="22"/>
          <w:szCs w:val="22"/>
        </w:rPr>
      </w:pPr>
    </w:p>
    <w:p w14:paraId="0B5FAB05" w14:textId="77777777" w:rsidR="007B4E5B" w:rsidRDefault="007B4E5B" w:rsidP="00267779">
      <w:pPr>
        <w:spacing w:line="276" w:lineRule="auto"/>
        <w:ind w:left="720"/>
        <w:rPr>
          <w:rFonts w:ascii="Arial" w:hAnsi="Arial" w:cs="Arial"/>
          <w:b/>
          <w:bCs/>
          <w:sz w:val="22"/>
          <w:szCs w:val="22"/>
        </w:rPr>
      </w:pPr>
    </w:p>
    <w:p w14:paraId="175DC0E7" w14:textId="77777777" w:rsidR="007F11CF" w:rsidRPr="004A3526" w:rsidRDefault="002F4E03" w:rsidP="00267779">
      <w:pPr>
        <w:spacing w:line="276" w:lineRule="auto"/>
        <w:ind w:left="720"/>
      </w:pPr>
      <w:r>
        <w:rPr>
          <w:rFonts w:ascii="Arial" w:hAnsi="Arial" w:cs="Arial"/>
          <w:b/>
          <w:bCs/>
          <w:sz w:val="22"/>
          <w:szCs w:val="22"/>
        </w:rPr>
        <w:lastRenderedPageBreak/>
        <w:br/>
      </w:r>
    </w:p>
    <w:sdt>
      <w:sdtPr>
        <w:id w:val="-164433918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2BE0B67" w14:textId="7979C172" w:rsidR="007F11CF" w:rsidRPr="00C81F81" w:rsidRDefault="007F11CF">
          <w:pPr>
            <w:pStyle w:val="TOCHeading"/>
            <w:rPr>
              <w:b/>
              <w:bCs/>
              <w:color w:val="auto"/>
            </w:rPr>
          </w:pPr>
          <w:r w:rsidRPr="00C81F81">
            <w:rPr>
              <w:b/>
              <w:bCs/>
              <w:color w:val="auto"/>
            </w:rPr>
            <w:t>Contents</w:t>
          </w:r>
        </w:p>
        <w:p w14:paraId="2A75A3BB" w14:textId="35698FCF" w:rsidR="00C81F81" w:rsidRDefault="007F11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847068" w:history="1">
            <w:r w:rsidR="00C81F81" w:rsidRPr="004E575C">
              <w:rPr>
                <w:rStyle w:val="Hyperlink"/>
                <w:rFonts w:ascii="Arial" w:hAnsi="Arial" w:cs="Arial"/>
                <w:noProof/>
              </w:rPr>
              <w:t>1. Introduction to VodafoneThree</w:t>
            </w:r>
            <w:r w:rsidR="00C81F81">
              <w:rPr>
                <w:noProof/>
                <w:webHidden/>
              </w:rPr>
              <w:tab/>
            </w:r>
            <w:r w:rsidR="00C81F81">
              <w:rPr>
                <w:noProof/>
                <w:webHidden/>
              </w:rPr>
              <w:fldChar w:fldCharType="begin"/>
            </w:r>
            <w:r w:rsidR="00C81F81">
              <w:rPr>
                <w:noProof/>
                <w:webHidden/>
              </w:rPr>
              <w:instrText xml:space="preserve"> PAGEREF _Toc234847068 \h </w:instrText>
            </w:r>
            <w:r w:rsidR="00C81F81">
              <w:rPr>
                <w:noProof/>
                <w:webHidden/>
              </w:rPr>
            </w:r>
            <w:r w:rsidR="00C81F81">
              <w:rPr>
                <w:noProof/>
                <w:webHidden/>
              </w:rPr>
              <w:fldChar w:fldCharType="separate"/>
            </w:r>
            <w:r w:rsidR="00C81F81">
              <w:rPr>
                <w:noProof/>
                <w:webHidden/>
              </w:rPr>
              <w:t>3</w:t>
            </w:r>
            <w:r w:rsidR="00C81F81">
              <w:rPr>
                <w:noProof/>
                <w:webHidden/>
              </w:rPr>
              <w:fldChar w:fldCharType="end"/>
            </w:r>
          </w:hyperlink>
        </w:p>
        <w:p w14:paraId="7E170742" w14:textId="0DC02D78" w:rsidR="00C81F81" w:rsidRDefault="00C81F81">
          <w:pPr>
            <w:pStyle w:val="TOC1"/>
            <w:tabs>
              <w:tab w:val="right" w:leader="dot" w:pos="9016"/>
            </w:tabs>
            <w:rPr>
              <w:rFonts w:eastAsiaTheme="minorEastAsia"/>
              <w:noProof/>
              <w:lang w:eastAsia="en-GB"/>
            </w:rPr>
          </w:pPr>
          <w:hyperlink w:anchor="_Toc234847069" w:history="1">
            <w:r w:rsidRPr="004E575C">
              <w:rPr>
                <w:rStyle w:val="Hyperlink"/>
                <w:rFonts w:ascii="Arial" w:hAnsi="Arial" w:cs="Arial"/>
                <w:noProof/>
              </w:rPr>
              <w:t>2. Evaluation of the Current Market Situation</w:t>
            </w:r>
            <w:r>
              <w:rPr>
                <w:noProof/>
                <w:webHidden/>
              </w:rPr>
              <w:tab/>
            </w:r>
            <w:r>
              <w:rPr>
                <w:noProof/>
                <w:webHidden/>
              </w:rPr>
              <w:fldChar w:fldCharType="begin"/>
            </w:r>
            <w:r>
              <w:rPr>
                <w:noProof/>
                <w:webHidden/>
              </w:rPr>
              <w:instrText xml:space="preserve"> PAGEREF _Toc234847069 \h </w:instrText>
            </w:r>
            <w:r>
              <w:rPr>
                <w:noProof/>
                <w:webHidden/>
              </w:rPr>
            </w:r>
            <w:r>
              <w:rPr>
                <w:noProof/>
                <w:webHidden/>
              </w:rPr>
              <w:fldChar w:fldCharType="separate"/>
            </w:r>
            <w:r>
              <w:rPr>
                <w:noProof/>
                <w:webHidden/>
              </w:rPr>
              <w:t>4</w:t>
            </w:r>
            <w:r>
              <w:rPr>
                <w:noProof/>
                <w:webHidden/>
              </w:rPr>
              <w:fldChar w:fldCharType="end"/>
            </w:r>
          </w:hyperlink>
        </w:p>
        <w:p w14:paraId="547E765F" w14:textId="4622AB7E" w:rsidR="00C81F81" w:rsidRDefault="00C81F81">
          <w:pPr>
            <w:pStyle w:val="TOC2"/>
            <w:tabs>
              <w:tab w:val="right" w:leader="dot" w:pos="9016"/>
            </w:tabs>
            <w:rPr>
              <w:rFonts w:eastAsiaTheme="minorEastAsia"/>
              <w:noProof/>
              <w:lang w:eastAsia="en-GB"/>
            </w:rPr>
          </w:pPr>
          <w:hyperlink w:anchor="_Toc234847070" w:history="1">
            <w:r w:rsidRPr="004E575C">
              <w:rPr>
                <w:rStyle w:val="Hyperlink"/>
                <w:rFonts w:ascii="Arial" w:hAnsi="Arial" w:cs="Arial"/>
                <w:b/>
                <w:bCs/>
                <w:noProof/>
              </w:rPr>
              <w:t>2.1 PESTEL Analysis</w:t>
            </w:r>
            <w:r>
              <w:rPr>
                <w:noProof/>
                <w:webHidden/>
              </w:rPr>
              <w:tab/>
            </w:r>
            <w:r>
              <w:rPr>
                <w:noProof/>
                <w:webHidden/>
              </w:rPr>
              <w:fldChar w:fldCharType="begin"/>
            </w:r>
            <w:r>
              <w:rPr>
                <w:noProof/>
                <w:webHidden/>
              </w:rPr>
              <w:instrText xml:space="preserve"> PAGEREF _Toc234847070 \h </w:instrText>
            </w:r>
            <w:r>
              <w:rPr>
                <w:noProof/>
                <w:webHidden/>
              </w:rPr>
            </w:r>
            <w:r>
              <w:rPr>
                <w:noProof/>
                <w:webHidden/>
              </w:rPr>
              <w:fldChar w:fldCharType="separate"/>
            </w:r>
            <w:r>
              <w:rPr>
                <w:noProof/>
                <w:webHidden/>
              </w:rPr>
              <w:t>4</w:t>
            </w:r>
            <w:r>
              <w:rPr>
                <w:noProof/>
                <w:webHidden/>
              </w:rPr>
              <w:fldChar w:fldCharType="end"/>
            </w:r>
          </w:hyperlink>
        </w:p>
        <w:p w14:paraId="128FFD0C" w14:textId="68CDB740" w:rsidR="00C81F81" w:rsidRDefault="00C81F81">
          <w:pPr>
            <w:pStyle w:val="TOC2"/>
            <w:tabs>
              <w:tab w:val="right" w:leader="dot" w:pos="9016"/>
            </w:tabs>
            <w:rPr>
              <w:rFonts w:eastAsiaTheme="minorEastAsia"/>
              <w:noProof/>
              <w:lang w:eastAsia="en-GB"/>
            </w:rPr>
          </w:pPr>
          <w:hyperlink w:anchor="_Toc234847071" w:history="1">
            <w:r w:rsidRPr="004E575C">
              <w:rPr>
                <w:rStyle w:val="Hyperlink"/>
                <w:rFonts w:ascii="Arial" w:hAnsi="Arial" w:cs="Arial"/>
                <w:b/>
                <w:bCs/>
                <w:noProof/>
              </w:rPr>
              <w:t>2.2 Porter's Five Forces Analysis</w:t>
            </w:r>
            <w:r>
              <w:rPr>
                <w:noProof/>
                <w:webHidden/>
              </w:rPr>
              <w:tab/>
            </w:r>
            <w:r>
              <w:rPr>
                <w:noProof/>
                <w:webHidden/>
              </w:rPr>
              <w:fldChar w:fldCharType="begin"/>
            </w:r>
            <w:r>
              <w:rPr>
                <w:noProof/>
                <w:webHidden/>
              </w:rPr>
              <w:instrText xml:space="preserve"> PAGEREF _Toc234847071 \h </w:instrText>
            </w:r>
            <w:r>
              <w:rPr>
                <w:noProof/>
                <w:webHidden/>
              </w:rPr>
            </w:r>
            <w:r>
              <w:rPr>
                <w:noProof/>
                <w:webHidden/>
              </w:rPr>
              <w:fldChar w:fldCharType="separate"/>
            </w:r>
            <w:r>
              <w:rPr>
                <w:noProof/>
                <w:webHidden/>
              </w:rPr>
              <w:t>5</w:t>
            </w:r>
            <w:r>
              <w:rPr>
                <w:noProof/>
                <w:webHidden/>
              </w:rPr>
              <w:fldChar w:fldCharType="end"/>
            </w:r>
          </w:hyperlink>
        </w:p>
        <w:p w14:paraId="38EB635E" w14:textId="7BF5C4FF" w:rsidR="00C81F81" w:rsidRDefault="00C81F81">
          <w:pPr>
            <w:pStyle w:val="TOC2"/>
            <w:tabs>
              <w:tab w:val="right" w:leader="dot" w:pos="9016"/>
            </w:tabs>
            <w:rPr>
              <w:rFonts w:eastAsiaTheme="minorEastAsia"/>
              <w:noProof/>
              <w:lang w:eastAsia="en-GB"/>
            </w:rPr>
          </w:pPr>
          <w:hyperlink w:anchor="_Toc234847072" w:history="1">
            <w:r w:rsidRPr="004E575C">
              <w:rPr>
                <w:rStyle w:val="Hyperlink"/>
                <w:rFonts w:ascii="Arial" w:hAnsi="Arial" w:cs="Arial"/>
                <w:b/>
                <w:bCs/>
                <w:noProof/>
              </w:rPr>
              <w:t>2.3 SWOT Analysis</w:t>
            </w:r>
            <w:r>
              <w:rPr>
                <w:noProof/>
                <w:webHidden/>
              </w:rPr>
              <w:tab/>
            </w:r>
            <w:r>
              <w:rPr>
                <w:noProof/>
                <w:webHidden/>
              </w:rPr>
              <w:fldChar w:fldCharType="begin"/>
            </w:r>
            <w:r>
              <w:rPr>
                <w:noProof/>
                <w:webHidden/>
              </w:rPr>
              <w:instrText xml:space="preserve"> PAGEREF _Toc234847072 \h </w:instrText>
            </w:r>
            <w:r>
              <w:rPr>
                <w:noProof/>
                <w:webHidden/>
              </w:rPr>
            </w:r>
            <w:r>
              <w:rPr>
                <w:noProof/>
                <w:webHidden/>
              </w:rPr>
              <w:fldChar w:fldCharType="separate"/>
            </w:r>
            <w:r>
              <w:rPr>
                <w:noProof/>
                <w:webHidden/>
              </w:rPr>
              <w:t>6</w:t>
            </w:r>
            <w:r>
              <w:rPr>
                <w:noProof/>
                <w:webHidden/>
              </w:rPr>
              <w:fldChar w:fldCharType="end"/>
            </w:r>
          </w:hyperlink>
        </w:p>
        <w:p w14:paraId="394FD4DB" w14:textId="15CD4A95" w:rsidR="00C81F81" w:rsidRDefault="00C81F81">
          <w:pPr>
            <w:pStyle w:val="TOC1"/>
            <w:tabs>
              <w:tab w:val="right" w:leader="dot" w:pos="9016"/>
            </w:tabs>
            <w:rPr>
              <w:rFonts w:eastAsiaTheme="minorEastAsia"/>
              <w:noProof/>
              <w:lang w:eastAsia="en-GB"/>
            </w:rPr>
          </w:pPr>
          <w:hyperlink w:anchor="_Toc234847073" w:history="1">
            <w:r w:rsidRPr="004E575C">
              <w:rPr>
                <w:rStyle w:val="Hyperlink"/>
                <w:rFonts w:ascii="Arial" w:hAnsi="Arial" w:cs="Arial"/>
                <w:noProof/>
              </w:rPr>
              <w:t>3. Strategic Growth Options and Proposed Strategy</w:t>
            </w:r>
            <w:r>
              <w:rPr>
                <w:noProof/>
                <w:webHidden/>
              </w:rPr>
              <w:tab/>
            </w:r>
            <w:r>
              <w:rPr>
                <w:noProof/>
                <w:webHidden/>
              </w:rPr>
              <w:fldChar w:fldCharType="begin"/>
            </w:r>
            <w:r>
              <w:rPr>
                <w:noProof/>
                <w:webHidden/>
              </w:rPr>
              <w:instrText xml:space="preserve"> PAGEREF _Toc234847073 \h </w:instrText>
            </w:r>
            <w:r>
              <w:rPr>
                <w:noProof/>
                <w:webHidden/>
              </w:rPr>
            </w:r>
            <w:r>
              <w:rPr>
                <w:noProof/>
                <w:webHidden/>
              </w:rPr>
              <w:fldChar w:fldCharType="separate"/>
            </w:r>
            <w:r>
              <w:rPr>
                <w:noProof/>
                <w:webHidden/>
              </w:rPr>
              <w:t>8</w:t>
            </w:r>
            <w:r>
              <w:rPr>
                <w:noProof/>
                <w:webHidden/>
              </w:rPr>
              <w:fldChar w:fldCharType="end"/>
            </w:r>
          </w:hyperlink>
        </w:p>
        <w:p w14:paraId="46A5A8E1" w14:textId="0CA1DD87" w:rsidR="00C81F81" w:rsidRDefault="00C81F81">
          <w:pPr>
            <w:pStyle w:val="TOC1"/>
            <w:tabs>
              <w:tab w:val="right" w:leader="dot" w:pos="9016"/>
            </w:tabs>
            <w:rPr>
              <w:rFonts w:eastAsiaTheme="minorEastAsia"/>
              <w:noProof/>
              <w:lang w:eastAsia="en-GB"/>
            </w:rPr>
          </w:pPr>
          <w:hyperlink w:anchor="_Toc234847074" w:history="1">
            <w:r w:rsidRPr="004E575C">
              <w:rPr>
                <w:rStyle w:val="Hyperlink"/>
                <w:rFonts w:ascii="Arial" w:hAnsi="Arial" w:cs="Arial"/>
                <w:noProof/>
              </w:rPr>
              <w:t>4. Strategy Evaluation (SFA Framework)</w:t>
            </w:r>
            <w:r>
              <w:rPr>
                <w:noProof/>
                <w:webHidden/>
              </w:rPr>
              <w:tab/>
            </w:r>
            <w:r>
              <w:rPr>
                <w:noProof/>
                <w:webHidden/>
              </w:rPr>
              <w:fldChar w:fldCharType="begin"/>
            </w:r>
            <w:r>
              <w:rPr>
                <w:noProof/>
                <w:webHidden/>
              </w:rPr>
              <w:instrText xml:space="preserve"> PAGEREF _Toc234847074 \h </w:instrText>
            </w:r>
            <w:r>
              <w:rPr>
                <w:noProof/>
                <w:webHidden/>
              </w:rPr>
            </w:r>
            <w:r>
              <w:rPr>
                <w:noProof/>
                <w:webHidden/>
              </w:rPr>
              <w:fldChar w:fldCharType="separate"/>
            </w:r>
            <w:r>
              <w:rPr>
                <w:noProof/>
                <w:webHidden/>
              </w:rPr>
              <w:t>10</w:t>
            </w:r>
            <w:r>
              <w:rPr>
                <w:noProof/>
                <w:webHidden/>
              </w:rPr>
              <w:fldChar w:fldCharType="end"/>
            </w:r>
          </w:hyperlink>
        </w:p>
        <w:p w14:paraId="5C4C98FA" w14:textId="2A065FD5" w:rsidR="00C81F81" w:rsidRDefault="00C81F81">
          <w:pPr>
            <w:pStyle w:val="TOC1"/>
            <w:tabs>
              <w:tab w:val="right" w:leader="dot" w:pos="9016"/>
            </w:tabs>
            <w:rPr>
              <w:rFonts w:eastAsiaTheme="minorEastAsia"/>
              <w:noProof/>
              <w:lang w:eastAsia="en-GB"/>
            </w:rPr>
          </w:pPr>
          <w:hyperlink w:anchor="_Toc234847075" w:history="1">
            <w:r w:rsidRPr="004E575C">
              <w:rPr>
                <w:rStyle w:val="Hyperlink"/>
                <w:rFonts w:ascii="Arial" w:hAnsi="Arial" w:cs="Arial"/>
                <w:noProof/>
              </w:rPr>
              <w:t>5. Stakeholder Analysis</w:t>
            </w:r>
            <w:r>
              <w:rPr>
                <w:noProof/>
                <w:webHidden/>
              </w:rPr>
              <w:tab/>
            </w:r>
            <w:r>
              <w:rPr>
                <w:noProof/>
                <w:webHidden/>
              </w:rPr>
              <w:fldChar w:fldCharType="begin"/>
            </w:r>
            <w:r>
              <w:rPr>
                <w:noProof/>
                <w:webHidden/>
              </w:rPr>
              <w:instrText xml:space="preserve"> PAGEREF _Toc234847075 \h </w:instrText>
            </w:r>
            <w:r>
              <w:rPr>
                <w:noProof/>
                <w:webHidden/>
              </w:rPr>
            </w:r>
            <w:r>
              <w:rPr>
                <w:noProof/>
                <w:webHidden/>
              </w:rPr>
              <w:fldChar w:fldCharType="separate"/>
            </w:r>
            <w:r>
              <w:rPr>
                <w:noProof/>
                <w:webHidden/>
              </w:rPr>
              <w:t>11</w:t>
            </w:r>
            <w:r>
              <w:rPr>
                <w:noProof/>
                <w:webHidden/>
              </w:rPr>
              <w:fldChar w:fldCharType="end"/>
            </w:r>
          </w:hyperlink>
        </w:p>
        <w:p w14:paraId="0195957A" w14:textId="307303C8" w:rsidR="00C81F81" w:rsidRDefault="00C81F81">
          <w:pPr>
            <w:pStyle w:val="TOC1"/>
            <w:tabs>
              <w:tab w:val="right" w:leader="dot" w:pos="9016"/>
            </w:tabs>
            <w:rPr>
              <w:rFonts w:eastAsiaTheme="minorEastAsia"/>
              <w:noProof/>
              <w:lang w:eastAsia="en-GB"/>
            </w:rPr>
          </w:pPr>
          <w:hyperlink w:anchor="_Toc234847076" w:history="1">
            <w:r w:rsidRPr="004E575C">
              <w:rPr>
                <w:rStyle w:val="Hyperlink"/>
                <w:rFonts w:ascii="Arial" w:hAnsi="Arial" w:cs="Arial"/>
                <w:noProof/>
              </w:rPr>
              <w:t>6. Implementation and Monitoring</w:t>
            </w:r>
            <w:r>
              <w:rPr>
                <w:noProof/>
                <w:webHidden/>
              </w:rPr>
              <w:tab/>
            </w:r>
            <w:r>
              <w:rPr>
                <w:noProof/>
                <w:webHidden/>
              </w:rPr>
              <w:fldChar w:fldCharType="begin"/>
            </w:r>
            <w:r>
              <w:rPr>
                <w:noProof/>
                <w:webHidden/>
              </w:rPr>
              <w:instrText xml:space="preserve"> PAGEREF _Toc234847076 \h </w:instrText>
            </w:r>
            <w:r>
              <w:rPr>
                <w:noProof/>
                <w:webHidden/>
              </w:rPr>
            </w:r>
            <w:r>
              <w:rPr>
                <w:noProof/>
                <w:webHidden/>
              </w:rPr>
              <w:fldChar w:fldCharType="separate"/>
            </w:r>
            <w:r>
              <w:rPr>
                <w:noProof/>
                <w:webHidden/>
              </w:rPr>
              <w:t>13</w:t>
            </w:r>
            <w:r>
              <w:rPr>
                <w:noProof/>
                <w:webHidden/>
              </w:rPr>
              <w:fldChar w:fldCharType="end"/>
            </w:r>
          </w:hyperlink>
        </w:p>
        <w:p w14:paraId="629416F3" w14:textId="01A9E97D" w:rsidR="00C81F81" w:rsidRDefault="00C81F81">
          <w:pPr>
            <w:pStyle w:val="TOC1"/>
            <w:tabs>
              <w:tab w:val="right" w:leader="dot" w:pos="9016"/>
            </w:tabs>
            <w:rPr>
              <w:rFonts w:eastAsiaTheme="minorEastAsia"/>
              <w:noProof/>
              <w:lang w:eastAsia="en-GB"/>
            </w:rPr>
          </w:pPr>
          <w:hyperlink w:anchor="_Toc234847077" w:history="1">
            <w:r w:rsidRPr="004E575C">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_Toc234847077 \h </w:instrText>
            </w:r>
            <w:r>
              <w:rPr>
                <w:noProof/>
                <w:webHidden/>
              </w:rPr>
            </w:r>
            <w:r>
              <w:rPr>
                <w:noProof/>
                <w:webHidden/>
              </w:rPr>
              <w:fldChar w:fldCharType="separate"/>
            </w:r>
            <w:r>
              <w:rPr>
                <w:noProof/>
                <w:webHidden/>
              </w:rPr>
              <w:t>14</w:t>
            </w:r>
            <w:r>
              <w:rPr>
                <w:noProof/>
                <w:webHidden/>
              </w:rPr>
              <w:fldChar w:fldCharType="end"/>
            </w:r>
          </w:hyperlink>
        </w:p>
        <w:p w14:paraId="664159DE" w14:textId="38DEA02B" w:rsidR="00C81F81" w:rsidRDefault="00C81F81">
          <w:pPr>
            <w:pStyle w:val="TOC1"/>
            <w:tabs>
              <w:tab w:val="right" w:leader="dot" w:pos="9016"/>
            </w:tabs>
            <w:rPr>
              <w:rFonts w:eastAsiaTheme="minorEastAsia"/>
              <w:noProof/>
              <w:lang w:eastAsia="en-GB"/>
            </w:rPr>
          </w:pPr>
          <w:hyperlink w:anchor="_Toc234847078" w:history="1">
            <w:r w:rsidRPr="004E575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_Toc234847078 \h </w:instrText>
            </w:r>
            <w:r>
              <w:rPr>
                <w:noProof/>
                <w:webHidden/>
              </w:rPr>
            </w:r>
            <w:r>
              <w:rPr>
                <w:noProof/>
                <w:webHidden/>
              </w:rPr>
              <w:fldChar w:fldCharType="separate"/>
            </w:r>
            <w:r>
              <w:rPr>
                <w:noProof/>
                <w:webHidden/>
              </w:rPr>
              <w:t>15</w:t>
            </w:r>
            <w:r>
              <w:rPr>
                <w:noProof/>
                <w:webHidden/>
              </w:rPr>
              <w:fldChar w:fldCharType="end"/>
            </w:r>
          </w:hyperlink>
        </w:p>
        <w:p w14:paraId="4FC82BB5" w14:textId="74218D09" w:rsidR="007F11CF" w:rsidRDefault="007F11CF">
          <w:r>
            <w:rPr>
              <w:b/>
              <w:bCs/>
            </w:rPr>
            <w:fldChar w:fldCharType="end"/>
          </w:r>
        </w:p>
      </w:sdtContent>
    </w:sdt>
    <w:p w14:paraId="3EEAF023" w14:textId="10252E86" w:rsidR="000456CD" w:rsidRPr="004A3526" w:rsidRDefault="002F4E03" w:rsidP="00267779">
      <w:pPr>
        <w:spacing w:line="276" w:lineRule="auto"/>
        <w:ind w:left="720"/>
      </w:pP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lastRenderedPageBreak/>
        <w:br/>
      </w:r>
      <w:r w:rsidR="000456CD" w:rsidRPr="004A3526">
        <w:rPr>
          <w:rFonts w:ascii="Arial" w:hAnsi="Arial" w:cs="Arial"/>
          <w:b/>
          <w:bCs/>
          <w:sz w:val="22"/>
          <w:szCs w:val="22"/>
        </w:rPr>
        <w:t>Executive Summary</w:t>
      </w:r>
    </w:p>
    <w:p w14:paraId="560B5285" w14:textId="77777777" w:rsidR="000456CD" w:rsidRPr="00B90274" w:rsidRDefault="000456CD"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This report evaluates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strategic position following the merger between Vodafone UK and Three UK and recommends a growth strategy to strengthen its long-term competitive advantage. To achieve this, recognised strategic management frameworks, including PESTEL, Porter's Five Forces, SWOT Analysis, Ansoff's Matrix, Porter's Generic Strategies and the Suitability, Feasibility and Acceptability (SFA) framework, are applied to assess the organisation's internal capabilities and external business environment (Porter, 1980; Ansoff, 1957; Johnson et al., 2020).</w:t>
      </w:r>
    </w:p>
    <w:p w14:paraId="0B699010" w14:textId="77777777" w:rsidR="000456CD" w:rsidRPr="00B90274" w:rsidRDefault="000456CD"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analysis finds that the merger has significantly strengthened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market position through increased scale, enhanced spectrum assets and a planned £11 billion investment in the UK's standalone 5G network. However, the company continues to face intense competition, evolving customer expectations and increased regulatory scrutiny, requiring a strategy focused on innovation and service differentiation rather than price competition (Vodafone Group Plc, 2025).</w:t>
      </w:r>
    </w:p>
    <w:p w14:paraId="6BC85DD2" w14:textId="77777777" w:rsidR="000456CD" w:rsidRPr="00B90274" w:rsidRDefault="000456CD"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report recommends a product development strategy supported by Porter's differentiation strategy, enabling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to leverage its expanded network capabilities to deliver innovative digital services, enhance customer experience and improve customer retention (Porter, 1985). The proposed strategy is evaluated as suitable, feasible and acceptable, provided that effective stakeholder engagement, phased implementation and continuous performance monitoring are maintained. Successful implementation will strengthen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competitive position and support sustainable growth while creating long-term value for customers, shareholders and the wider UK economy.</w:t>
      </w:r>
    </w:p>
    <w:p w14:paraId="4D2FA409" w14:textId="2142BA79" w:rsidR="00EA474B" w:rsidRPr="004A3526" w:rsidRDefault="00EA474B" w:rsidP="00267779">
      <w:pPr>
        <w:pStyle w:val="Heading1"/>
        <w:spacing w:line="276" w:lineRule="auto"/>
        <w:rPr>
          <w:rFonts w:ascii="Arial" w:hAnsi="Arial" w:cs="Arial"/>
          <w:color w:val="auto"/>
          <w:sz w:val="24"/>
          <w:szCs w:val="24"/>
        </w:rPr>
      </w:pPr>
      <w:bookmarkStart w:id="0" w:name="_Toc234847068"/>
      <w:r w:rsidRPr="004A3526">
        <w:rPr>
          <w:rFonts w:ascii="Arial" w:hAnsi="Arial" w:cs="Arial"/>
          <w:color w:val="auto"/>
          <w:sz w:val="24"/>
          <w:szCs w:val="24"/>
        </w:rPr>
        <w:t xml:space="preserve">1. Introduction to </w:t>
      </w:r>
      <w:proofErr w:type="spellStart"/>
      <w:r w:rsidRPr="004A3526">
        <w:rPr>
          <w:rFonts w:ascii="Arial" w:hAnsi="Arial" w:cs="Arial"/>
          <w:color w:val="auto"/>
          <w:sz w:val="24"/>
          <w:szCs w:val="24"/>
        </w:rPr>
        <w:t>VodafoneThree</w:t>
      </w:r>
      <w:bookmarkEnd w:id="0"/>
      <w:proofErr w:type="spellEnd"/>
    </w:p>
    <w:p w14:paraId="37B4D4E5" w14:textId="77777777" w:rsidR="00EA474B" w:rsidRPr="00B90274" w:rsidRDefault="00EA474B"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Vodafone Group is one of the world's largest telecommunications providers, delivering mobile, broadband and digital connectivity services across Europe and Africa. In June 2025, Vodafone UK completed its merger with Three UK to form </w:t>
      </w:r>
      <w:proofErr w:type="spellStart"/>
      <w:r w:rsidRPr="00B90274">
        <w:rPr>
          <w:rFonts w:ascii="Arial" w:hAnsi="Arial" w:cs="Arial"/>
          <w:sz w:val="22"/>
          <w:szCs w:val="22"/>
        </w:rPr>
        <w:t>VodafoneThree</w:t>
      </w:r>
      <w:proofErr w:type="spellEnd"/>
      <w:r w:rsidRPr="00B90274">
        <w:rPr>
          <w:rFonts w:ascii="Arial" w:hAnsi="Arial" w:cs="Arial"/>
          <w:sz w:val="22"/>
          <w:szCs w:val="22"/>
        </w:rPr>
        <w:t>, creating the UK's largest mobile network operator with approximately 27 million customers. The merger represents a significant transformation within the UK telecommunications sector, aiming to improve network quality, accelerate the rollout of standalone 5G technology and enhance long-term competitiveness (Vodafone Group Plc, 2025).</w:t>
      </w:r>
    </w:p>
    <w:p w14:paraId="2F58370D" w14:textId="77777777" w:rsidR="00EA474B" w:rsidRPr="00B90274" w:rsidRDefault="00EA474B" w:rsidP="00267779">
      <w:pPr>
        <w:spacing w:afterLines="160" w:after="384" w:line="276" w:lineRule="auto"/>
        <w:ind w:left="720"/>
        <w:rPr>
          <w:rFonts w:ascii="Arial" w:hAnsi="Arial" w:cs="Arial"/>
          <w:sz w:val="22"/>
          <w:szCs w:val="22"/>
        </w:rPr>
      </w:pPr>
      <w:r w:rsidRPr="00B90274">
        <w:rPr>
          <w:rFonts w:ascii="Arial" w:hAnsi="Arial" w:cs="Arial"/>
          <w:sz w:val="22"/>
          <w:szCs w:val="22"/>
        </w:rPr>
        <w:t>Vodafone's corporate purpose, "Connecting for a Better Future," reflects its commitment to using technology to improve lives, support businesses and contribute to sustainable economic growth. The organisation's strategy focuses on enhancing customer experience, simplifying operations, investing in digital infrastructure and operating responsibly through its commitments to innovation, inclusion and sustainability (Vodafone Group Plc, 2025).</w:t>
      </w:r>
    </w:p>
    <w:p w14:paraId="6644A9BD" w14:textId="77777777" w:rsidR="00EA474B" w:rsidRPr="00B90274" w:rsidRDefault="00EA474B" w:rsidP="00267779">
      <w:pPr>
        <w:spacing w:afterLines="160" w:after="384" w:line="276" w:lineRule="auto"/>
        <w:ind w:left="720"/>
        <w:rPr>
          <w:rFonts w:ascii="Arial" w:hAnsi="Arial" w:cs="Arial"/>
          <w:sz w:val="22"/>
          <w:szCs w:val="22"/>
        </w:rPr>
      </w:pPr>
      <w:r w:rsidRPr="00B90274">
        <w:rPr>
          <w:rFonts w:ascii="Arial" w:hAnsi="Arial" w:cs="Arial"/>
          <w:sz w:val="22"/>
          <w:szCs w:val="22"/>
        </w:rPr>
        <w:lastRenderedPageBreak/>
        <w:t xml:space="preserve">The UK telecommunications industry is characterised by rapid technological change, evolving consumer expectations and increasing regulatory oversight. According to Johnson et al. (2020), organisations operating in dynamic markets must continually adapt their strategies to maintain competitive advantage. While the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merger provides opportunities to strengthen market position through greater operational scale and network investment, it also creates challenges relating to post-merger integration, customer retention and competition from established rivals such as BT/EE and Virgin Media O2.</w:t>
      </w:r>
    </w:p>
    <w:p w14:paraId="7330A474" w14:textId="77777777" w:rsidR="00EA474B" w:rsidRPr="00B90274" w:rsidRDefault="00EA474B"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This report critically evaluates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internal and external business environment before recommending a sustainable growth strategy designed to strengthen competitive advantage and support long-term organisational success.</w:t>
      </w:r>
    </w:p>
    <w:p w14:paraId="20263093" w14:textId="17F86B55" w:rsidR="00E40CA9" w:rsidRPr="004A3526" w:rsidRDefault="00E40CA9" w:rsidP="00267779">
      <w:pPr>
        <w:pStyle w:val="Heading1"/>
        <w:spacing w:line="276" w:lineRule="auto"/>
        <w:rPr>
          <w:rFonts w:ascii="Arial" w:hAnsi="Arial" w:cs="Arial"/>
          <w:color w:val="auto"/>
          <w:sz w:val="24"/>
          <w:szCs w:val="24"/>
        </w:rPr>
      </w:pPr>
      <w:bookmarkStart w:id="1" w:name="_Toc234847069"/>
      <w:r w:rsidRPr="004A3526">
        <w:rPr>
          <w:rFonts w:ascii="Arial" w:hAnsi="Arial" w:cs="Arial"/>
          <w:color w:val="auto"/>
          <w:sz w:val="24"/>
          <w:szCs w:val="24"/>
        </w:rPr>
        <w:t>2. Evaluation of the Current Market Situation</w:t>
      </w:r>
      <w:bookmarkEnd w:id="1"/>
    </w:p>
    <w:p w14:paraId="34756831" w14:textId="303A5846" w:rsidR="006F07F0" w:rsidRPr="004A3526" w:rsidRDefault="006F07F0" w:rsidP="004A3526">
      <w:pPr>
        <w:pStyle w:val="Heading2"/>
        <w:rPr>
          <w:rFonts w:ascii="Arial" w:hAnsi="Arial" w:cs="Arial"/>
          <w:b/>
          <w:bCs/>
          <w:color w:val="auto"/>
          <w:sz w:val="22"/>
          <w:szCs w:val="22"/>
        </w:rPr>
      </w:pPr>
      <w:bookmarkStart w:id="2" w:name="_Toc234847070"/>
      <w:r w:rsidRPr="004A3526">
        <w:rPr>
          <w:rFonts w:ascii="Arial" w:hAnsi="Arial" w:cs="Arial"/>
          <w:b/>
          <w:bCs/>
          <w:color w:val="auto"/>
          <w:sz w:val="22"/>
          <w:szCs w:val="22"/>
        </w:rPr>
        <w:t>2.1 PESTEL Analysis</w:t>
      </w:r>
      <w:bookmarkEnd w:id="2"/>
    </w:p>
    <w:p w14:paraId="172B0076" w14:textId="77777777" w:rsidR="006F07F0" w:rsidRPr="00B90274" w:rsidRDefault="006F07F0"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A PESTEL analysis evaluates the macro-environmental factors influencing an organisation's strategic decisions and long-term competitiveness (Johnson et al., 2020). For </w:t>
      </w:r>
      <w:proofErr w:type="spellStart"/>
      <w:r w:rsidRPr="00B90274">
        <w:rPr>
          <w:rFonts w:ascii="Arial" w:hAnsi="Arial" w:cs="Arial"/>
          <w:sz w:val="22"/>
          <w:szCs w:val="22"/>
        </w:rPr>
        <w:t>VodafoneThree</w:t>
      </w:r>
      <w:proofErr w:type="spellEnd"/>
      <w:r w:rsidRPr="00B90274">
        <w:rPr>
          <w:rFonts w:ascii="Arial" w:hAnsi="Arial" w:cs="Arial"/>
          <w:sz w:val="22"/>
          <w:szCs w:val="22"/>
        </w:rPr>
        <w:t>, these external forces present both significant opportunities and strategic risks.</w:t>
      </w:r>
    </w:p>
    <w:p w14:paraId="79CCBA0E" w14:textId="3D3A903B" w:rsidR="006A47FA" w:rsidRPr="00B90274" w:rsidRDefault="000C4B1B" w:rsidP="00267779">
      <w:pPr>
        <w:spacing w:afterLines="160" w:after="384" w:line="276" w:lineRule="auto"/>
        <w:ind w:left="720"/>
        <w:rPr>
          <w:rFonts w:ascii="Arial" w:hAnsi="Arial" w:cs="Arial"/>
          <w:sz w:val="22"/>
          <w:szCs w:val="22"/>
        </w:rPr>
      </w:pPr>
      <w:r w:rsidRPr="00861CA8">
        <w:rPr>
          <w:rFonts w:ascii="Arial" w:hAnsi="Arial" w:cs="Arial"/>
          <w:b/>
          <w:bCs/>
          <w:sz w:val="22"/>
          <w:szCs w:val="22"/>
        </w:rPr>
        <w:t>Politica</w:t>
      </w:r>
      <w:r w:rsidRPr="00F80BE6">
        <w:rPr>
          <w:rFonts w:ascii="Arial" w:hAnsi="Arial" w:cs="Arial"/>
          <w:b/>
          <w:bCs/>
          <w:sz w:val="22"/>
          <w:szCs w:val="22"/>
        </w:rPr>
        <w:t>l</w:t>
      </w:r>
      <w:r w:rsidRPr="000C4B1B">
        <w:rPr>
          <w:rFonts w:ascii="Arial" w:hAnsi="Arial" w:cs="Arial"/>
          <w:sz w:val="22"/>
          <w:szCs w:val="22"/>
        </w:rPr>
        <w:t xml:space="preserve"> factors strongly influence the UK telecommunications industry due to government regulation and digital infrastructure policies. Following the Vodafone–Three merger, the company must comply with conditions imposed by the Competition and Markets Authority (CMA) and Ofcom to maintain fair competition and consumer protection (Competition and Markets Authority, 2025; Ofcom, 2025)</w:t>
      </w:r>
      <w:r>
        <w:rPr>
          <w:rFonts w:ascii="Arial" w:hAnsi="Arial" w:cs="Arial"/>
          <w:sz w:val="22"/>
          <w:szCs w:val="22"/>
        </w:rPr>
        <w:t xml:space="preserve">. </w:t>
      </w:r>
      <w:r w:rsidR="006A47FA" w:rsidRPr="00B90274">
        <w:rPr>
          <w:rFonts w:ascii="Arial" w:hAnsi="Arial" w:cs="Arial"/>
          <w:sz w:val="22"/>
          <w:szCs w:val="22"/>
        </w:rPr>
        <w:t xml:space="preserve">Government support for nationwide 5G deployment creates significant opportunities for network expansion and economic growth. However, increased regulatory oversight following the merger may reduce </w:t>
      </w:r>
      <w:proofErr w:type="spellStart"/>
      <w:r w:rsidR="006A47FA" w:rsidRPr="00B90274">
        <w:rPr>
          <w:rFonts w:ascii="Arial" w:hAnsi="Arial" w:cs="Arial"/>
          <w:sz w:val="22"/>
          <w:szCs w:val="22"/>
        </w:rPr>
        <w:t>VodafoneThree's</w:t>
      </w:r>
      <w:proofErr w:type="spellEnd"/>
      <w:r w:rsidR="006A47FA" w:rsidRPr="00B90274">
        <w:rPr>
          <w:rFonts w:ascii="Arial" w:hAnsi="Arial" w:cs="Arial"/>
          <w:sz w:val="22"/>
          <w:szCs w:val="22"/>
        </w:rPr>
        <w:t xml:space="preserve"> strategic flexibility and delay future strategic initiatives (Ofcom, 2025)</w:t>
      </w:r>
    </w:p>
    <w:p w14:paraId="694446B0" w14:textId="3DC662AF" w:rsidR="006F07F0" w:rsidRPr="00B90274" w:rsidRDefault="006F07F0" w:rsidP="00267779">
      <w:pPr>
        <w:spacing w:afterLines="160" w:after="384" w:line="276" w:lineRule="auto"/>
        <w:ind w:left="720"/>
        <w:rPr>
          <w:rFonts w:ascii="Arial" w:hAnsi="Arial" w:cs="Arial"/>
          <w:sz w:val="22"/>
          <w:szCs w:val="22"/>
        </w:rPr>
      </w:pPr>
      <w:r w:rsidRPr="00861CA8">
        <w:rPr>
          <w:rFonts w:ascii="Arial" w:hAnsi="Arial" w:cs="Arial"/>
          <w:b/>
          <w:bCs/>
          <w:sz w:val="22"/>
          <w:szCs w:val="22"/>
        </w:rPr>
        <w:t>Economic</w:t>
      </w:r>
      <w:r w:rsidRPr="00B90274">
        <w:rPr>
          <w:rFonts w:ascii="Arial" w:hAnsi="Arial" w:cs="Arial"/>
          <w:sz w:val="22"/>
          <w:szCs w:val="22"/>
        </w:rPr>
        <w:t xml:space="preserve"> factors continue to shape consumer behaviour. Persistent inflation and cost-of-living pressures have increased price sensitivity, forcing providers to deliver greater value while protecting profit margins. However,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expects substantial operational savings through merger synergies, enabling continued investment in network infrastructure and digital innovation despite economic uncertainty (Vodafone Group Plc, 2025).</w:t>
      </w:r>
    </w:p>
    <w:p w14:paraId="0A14BD6B" w14:textId="31C17B77" w:rsidR="002844CF" w:rsidRPr="00B90274" w:rsidRDefault="006F07F0" w:rsidP="00267779">
      <w:pPr>
        <w:spacing w:afterLines="160" w:after="384" w:line="276" w:lineRule="auto"/>
        <w:ind w:left="720"/>
        <w:rPr>
          <w:rFonts w:ascii="Arial" w:hAnsi="Arial" w:cs="Arial"/>
          <w:sz w:val="22"/>
          <w:szCs w:val="22"/>
        </w:rPr>
      </w:pPr>
      <w:r w:rsidRPr="00861CA8">
        <w:rPr>
          <w:rFonts w:ascii="Arial" w:hAnsi="Arial" w:cs="Arial"/>
          <w:b/>
          <w:bCs/>
          <w:sz w:val="22"/>
          <w:szCs w:val="22"/>
        </w:rPr>
        <w:t>Social</w:t>
      </w:r>
      <w:r w:rsidRPr="00B90274">
        <w:rPr>
          <w:rFonts w:ascii="Arial" w:hAnsi="Arial" w:cs="Arial"/>
          <w:sz w:val="22"/>
          <w:szCs w:val="22"/>
        </w:rPr>
        <w:t xml:space="preserve"> factors reflect the growing dependence on reliable digital connectivity. The widespread adoption of remote working, online education and digital entertainment has increased demand for high-quality mobile and broadband services</w:t>
      </w:r>
      <w:r w:rsidR="00C354CB">
        <w:rPr>
          <w:rFonts w:ascii="Arial" w:hAnsi="Arial" w:cs="Arial"/>
          <w:sz w:val="22"/>
          <w:szCs w:val="22"/>
        </w:rPr>
        <w:t xml:space="preserve">. </w:t>
      </w:r>
      <w:r w:rsidR="008B7A62" w:rsidRPr="00B90274">
        <w:rPr>
          <w:rFonts w:ascii="Arial" w:hAnsi="Arial" w:cs="Arial"/>
          <w:sz w:val="22"/>
          <w:szCs w:val="22"/>
        </w:rPr>
        <w:t>Consequently, customer experience has become an important source of</w:t>
      </w:r>
      <w:r w:rsidR="003152BC" w:rsidRPr="00B90274">
        <w:rPr>
          <w:rFonts w:ascii="Arial" w:hAnsi="Arial" w:cs="Arial"/>
          <w:sz w:val="22"/>
          <w:szCs w:val="22"/>
        </w:rPr>
        <w:t xml:space="preserve"> </w:t>
      </w:r>
      <w:r w:rsidR="008B7A62" w:rsidRPr="00B90274">
        <w:rPr>
          <w:rFonts w:ascii="Arial" w:hAnsi="Arial" w:cs="Arial"/>
          <w:sz w:val="22"/>
          <w:szCs w:val="22"/>
        </w:rPr>
        <w:t>competitive advantage rather than simply a service expectation (Ofcom, 2025; Johnson et al., 2020).</w:t>
      </w:r>
    </w:p>
    <w:p w14:paraId="7B58BE40" w14:textId="58B35F6D" w:rsidR="006F07F0" w:rsidRPr="00B90274" w:rsidRDefault="006F07F0" w:rsidP="00267779">
      <w:pPr>
        <w:spacing w:afterLines="160" w:after="384" w:line="276" w:lineRule="auto"/>
        <w:ind w:left="720"/>
        <w:rPr>
          <w:rFonts w:ascii="Arial" w:hAnsi="Arial" w:cs="Arial"/>
          <w:sz w:val="22"/>
          <w:szCs w:val="22"/>
        </w:rPr>
      </w:pPr>
    </w:p>
    <w:p w14:paraId="5F17ACDE" w14:textId="77777777" w:rsidR="001E083F" w:rsidRPr="00B90274" w:rsidRDefault="006F07F0" w:rsidP="00267779">
      <w:pPr>
        <w:spacing w:afterLines="160" w:after="384" w:line="276" w:lineRule="auto"/>
        <w:ind w:left="720"/>
        <w:rPr>
          <w:rFonts w:ascii="Arial" w:hAnsi="Arial" w:cs="Arial"/>
          <w:sz w:val="22"/>
          <w:szCs w:val="22"/>
        </w:rPr>
      </w:pPr>
      <w:r w:rsidRPr="00861CA8">
        <w:rPr>
          <w:rFonts w:ascii="Arial" w:hAnsi="Arial" w:cs="Arial"/>
          <w:b/>
          <w:bCs/>
          <w:sz w:val="22"/>
          <w:szCs w:val="22"/>
        </w:rPr>
        <w:lastRenderedPageBreak/>
        <w:t>Technologica</w:t>
      </w:r>
      <w:r w:rsidRPr="00F80BE6">
        <w:rPr>
          <w:rFonts w:ascii="Arial" w:hAnsi="Arial" w:cs="Arial"/>
          <w:b/>
          <w:bCs/>
          <w:sz w:val="22"/>
          <w:szCs w:val="22"/>
        </w:rPr>
        <w:t>l</w:t>
      </w:r>
      <w:r w:rsidRPr="00B90274">
        <w:rPr>
          <w:rFonts w:ascii="Arial" w:hAnsi="Arial" w:cs="Arial"/>
          <w:sz w:val="22"/>
          <w:szCs w:val="22"/>
        </w:rPr>
        <w:t xml:space="preserve"> factors represent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greatest growth opportunity. </w:t>
      </w:r>
      <w:r w:rsidR="001E083F" w:rsidRPr="00B90274">
        <w:rPr>
          <w:rFonts w:ascii="Arial" w:hAnsi="Arial" w:cs="Arial"/>
          <w:sz w:val="22"/>
          <w:szCs w:val="22"/>
        </w:rPr>
        <w:t>The planned £11 billion investment in the UK's standalone 5G network provides the foundation for expanding services such as Artificial Intelligence (AI), the Internet of Things (IoT) and smart city technologies (</w:t>
      </w:r>
      <w:proofErr w:type="spellStart"/>
      <w:r w:rsidR="001E083F" w:rsidRPr="00B90274">
        <w:rPr>
          <w:rFonts w:ascii="Arial" w:hAnsi="Arial" w:cs="Arial"/>
          <w:sz w:val="22"/>
          <w:szCs w:val="22"/>
        </w:rPr>
        <w:t>VodafoneThree</w:t>
      </w:r>
      <w:proofErr w:type="spellEnd"/>
      <w:r w:rsidR="001E083F" w:rsidRPr="00B90274">
        <w:rPr>
          <w:rFonts w:ascii="Arial" w:hAnsi="Arial" w:cs="Arial"/>
          <w:sz w:val="22"/>
          <w:szCs w:val="22"/>
        </w:rPr>
        <w:t>, 2025; Vodafone Group Plc, 2025). Nevertheless, rapid technological change requires continuous investment to remain competitive against BT/EE and Virgin Media O2.</w:t>
      </w:r>
    </w:p>
    <w:p w14:paraId="6D4B4A77" w14:textId="7962D1CD" w:rsidR="006F07F0" w:rsidRPr="00B90274" w:rsidRDefault="006F07F0" w:rsidP="00267779">
      <w:pPr>
        <w:spacing w:afterLines="160" w:after="384" w:line="276" w:lineRule="auto"/>
        <w:ind w:left="720"/>
        <w:rPr>
          <w:rFonts w:ascii="Arial" w:hAnsi="Arial" w:cs="Arial"/>
          <w:sz w:val="22"/>
          <w:szCs w:val="22"/>
        </w:rPr>
      </w:pPr>
      <w:r w:rsidRPr="00861CA8">
        <w:rPr>
          <w:rFonts w:ascii="Arial" w:hAnsi="Arial" w:cs="Arial"/>
          <w:b/>
          <w:bCs/>
          <w:sz w:val="22"/>
          <w:szCs w:val="22"/>
        </w:rPr>
        <w:t>Environmental</w:t>
      </w:r>
      <w:r w:rsidRPr="00B90274">
        <w:rPr>
          <w:rFonts w:ascii="Arial" w:hAnsi="Arial" w:cs="Arial"/>
          <w:sz w:val="22"/>
          <w:szCs w:val="22"/>
        </w:rPr>
        <w:t xml:space="preserve"> factors are becoming increasingly important as stakeholders expect organisations to demonstrate sustainable business practices. Vodafone's commitment to achieving net-zero emissions by 2040 supports its environmental strategy while strengthening corporate reputation (Vodafone Group Plc, 2025).</w:t>
      </w:r>
    </w:p>
    <w:p w14:paraId="4DABC081" w14:textId="77777777" w:rsidR="00016393" w:rsidRPr="00B90274" w:rsidRDefault="00016393" w:rsidP="00267779">
      <w:pPr>
        <w:spacing w:afterLines="160" w:after="384" w:line="276" w:lineRule="auto"/>
        <w:ind w:left="720"/>
        <w:rPr>
          <w:rFonts w:ascii="Arial" w:hAnsi="Arial" w:cs="Arial"/>
          <w:sz w:val="22"/>
          <w:szCs w:val="22"/>
        </w:rPr>
      </w:pPr>
      <w:r w:rsidRPr="00861CA8">
        <w:rPr>
          <w:rFonts w:ascii="Arial" w:hAnsi="Arial" w:cs="Arial"/>
          <w:b/>
          <w:bCs/>
          <w:sz w:val="22"/>
          <w:szCs w:val="22"/>
        </w:rPr>
        <w:t>Lega</w:t>
      </w:r>
      <w:r w:rsidRPr="00F80BE6">
        <w:rPr>
          <w:rFonts w:ascii="Arial" w:hAnsi="Arial" w:cs="Arial"/>
          <w:b/>
          <w:bCs/>
          <w:sz w:val="22"/>
          <w:szCs w:val="22"/>
        </w:rPr>
        <w:t>l</w:t>
      </w:r>
      <w:r w:rsidRPr="00B90274">
        <w:rPr>
          <w:rFonts w:ascii="Arial" w:hAnsi="Arial" w:cs="Arial"/>
          <w:sz w:val="22"/>
          <w:szCs w:val="22"/>
        </w:rPr>
        <w:t xml:space="preserve"> factors remain critical because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operates within a highly regulated industry. Compliance with the UK General Data Protection Regulation (UK GDPR), consumer protection legislation and telecommunications regulations is essential to maintain customer trust, protect customer data and avoid financial or reputational damage (Information Commissioner's Office, 2025).</w:t>
      </w:r>
    </w:p>
    <w:p w14:paraId="249F8FCB" w14:textId="5DDBA091" w:rsidR="006F07F0" w:rsidRPr="00B90274" w:rsidRDefault="006F07F0"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Overall, the PESTEL analysis indicates that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operates in a dynamic environment where technological innovation and government investment create significant growth opportunities. However, long-term success will depend on balancing these opportunities with effective regulatory compliance, continuous innovation and a strong customer focus.</w:t>
      </w:r>
    </w:p>
    <w:p w14:paraId="76A14FE9" w14:textId="49593857" w:rsidR="006952A2" w:rsidRPr="004A3526" w:rsidRDefault="006952A2" w:rsidP="004A3526">
      <w:pPr>
        <w:pStyle w:val="Heading2"/>
        <w:rPr>
          <w:rFonts w:ascii="Arial" w:hAnsi="Arial" w:cs="Arial"/>
          <w:b/>
          <w:bCs/>
          <w:color w:val="auto"/>
          <w:sz w:val="22"/>
          <w:szCs w:val="22"/>
        </w:rPr>
      </w:pPr>
      <w:bookmarkStart w:id="3" w:name="_Toc234847071"/>
      <w:r w:rsidRPr="004A3526">
        <w:rPr>
          <w:rFonts w:ascii="Arial" w:hAnsi="Arial" w:cs="Arial"/>
          <w:b/>
          <w:bCs/>
          <w:color w:val="auto"/>
          <w:sz w:val="22"/>
          <w:szCs w:val="22"/>
        </w:rPr>
        <w:t>2.2 Porter's Five Forces Analysis</w:t>
      </w:r>
      <w:bookmarkEnd w:id="3"/>
    </w:p>
    <w:p w14:paraId="2583995A"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Porter's Five Forces framework evaluates the competitive pressures affecting industry profitability and an organisation's ability to achieve sustainable competitive advantage (Porter, 1980). For </w:t>
      </w:r>
      <w:proofErr w:type="spellStart"/>
      <w:r w:rsidRPr="00B90274">
        <w:rPr>
          <w:rFonts w:ascii="Arial" w:hAnsi="Arial" w:cs="Arial"/>
          <w:sz w:val="22"/>
          <w:szCs w:val="22"/>
        </w:rPr>
        <w:t>VodafoneThree</w:t>
      </w:r>
      <w:proofErr w:type="spellEnd"/>
      <w:r w:rsidRPr="00B90274">
        <w:rPr>
          <w:rFonts w:ascii="Arial" w:hAnsi="Arial" w:cs="Arial"/>
          <w:sz w:val="22"/>
          <w:szCs w:val="22"/>
        </w:rPr>
        <w:t>, the analysis indicates that despite the benefits of the merger, the UK telecommunications market remains highly competitive.</w:t>
      </w:r>
    </w:p>
    <w:p w14:paraId="449EE757" w14:textId="77777777" w:rsidR="006952A2" w:rsidRPr="00654281" w:rsidRDefault="006952A2"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Threat of New Entrants – Low</w:t>
      </w:r>
    </w:p>
    <w:p w14:paraId="1F1DBFB0"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threat of new entrants is low because establishing a nationwide telecommunications network requires substantial capital investment, spectrum licences and regulatory approval. Established operators such as </w:t>
      </w:r>
      <w:proofErr w:type="spellStart"/>
      <w:r w:rsidRPr="00B90274">
        <w:rPr>
          <w:rFonts w:ascii="Arial" w:hAnsi="Arial" w:cs="Arial"/>
          <w:sz w:val="22"/>
          <w:szCs w:val="22"/>
        </w:rPr>
        <w:t>VodafoneThree</w:t>
      </w:r>
      <w:proofErr w:type="spellEnd"/>
      <w:r w:rsidRPr="00B90274">
        <w:rPr>
          <w:rFonts w:ascii="Arial" w:hAnsi="Arial" w:cs="Arial"/>
          <w:sz w:val="22"/>
          <w:szCs w:val="22"/>
        </w:rPr>
        <w:t>, BT/EE and Virgin Media O2 benefit from extensive infrastructure, strong brand recognition and economies of scale, creating significant barriers to entry. Although Mobile Virtual Network Operators (MVNOs) can enter the market more easily, they remain dependent on network access provided by major operators.</w:t>
      </w:r>
    </w:p>
    <w:p w14:paraId="534F7690" w14:textId="77777777" w:rsidR="006952A2" w:rsidRPr="00654281" w:rsidRDefault="006952A2"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Bargaining Power of Suppliers – Moderate</w:t>
      </w:r>
    </w:p>
    <w:p w14:paraId="2A8451EC" w14:textId="77777777" w:rsidR="006952A2" w:rsidRPr="00B90274" w:rsidRDefault="006952A2" w:rsidP="00267779">
      <w:pPr>
        <w:spacing w:afterLines="160" w:after="384" w:line="276" w:lineRule="auto"/>
        <w:ind w:left="720"/>
        <w:rPr>
          <w:rFonts w:ascii="Arial" w:hAnsi="Arial" w:cs="Arial"/>
          <w:sz w:val="22"/>
          <w:szCs w:val="22"/>
        </w:rPr>
      </w:pP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relies on a limited number of specialist technology suppliers, including Ericsson and Nokia, increasing supplier bargaining power. However, the </w:t>
      </w:r>
      <w:r w:rsidRPr="00B90274">
        <w:rPr>
          <w:rFonts w:ascii="Arial" w:hAnsi="Arial" w:cs="Arial"/>
          <w:sz w:val="22"/>
          <w:szCs w:val="22"/>
        </w:rPr>
        <w:lastRenderedPageBreak/>
        <w:t xml:space="preserve">merger has strengthened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purchasing power, enabling the company to negotiate more favourable contracts and reduce procurement costs through economies of scale (Vodafone Group Plc, 2025).</w:t>
      </w:r>
    </w:p>
    <w:p w14:paraId="31479BE2" w14:textId="77777777" w:rsidR="006952A2" w:rsidRPr="00654281" w:rsidRDefault="006952A2"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Bargaining Power of Buyers – High</w:t>
      </w:r>
    </w:p>
    <w:p w14:paraId="2333FC14"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Customer bargaining power is high due to low switching costs, price transparency and the availability of competing providers. Consumers can easily compare tariffs and service quality, requiring operators to compete through customer experience, network performance and service innovation rather than pricing alone (Ofcom, 2025).</w:t>
      </w:r>
    </w:p>
    <w:p w14:paraId="1C5A4FFA" w14:textId="77777777" w:rsidR="006952A2" w:rsidRPr="00654281" w:rsidRDefault="006952A2"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Threat of Substitutes – Moderate</w:t>
      </w:r>
    </w:p>
    <w:p w14:paraId="4FBAF2F3"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Traditional voice and SMS services continue to be displaced by internet-based communication platforms such as WhatsApp, Microsoft Teams and Zoom. This trend increases the importance of developing value-added digital services, including cloud connectivity, IoT solutions and integrated mobile and broadband products.</w:t>
      </w:r>
    </w:p>
    <w:p w14:paraId="520738E8" w14:textId="77777777" w:rsidR="006952A2" w:rsidRPr="00654281" w:rsidRDefault="006952A2"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Competitive Rivalry – Very High</w:t>
      </w:r>
    </w:p>
    <w:p w14:paraId="7A1EF3F2"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Competition within the UK telecommunications market remains intense.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competes directly with BT/EE, Virgin Media O2 and numerous MVNOs, all of which continue investing heavily in 5G infrastructure and digital services. Consequently, competing on price alone is unlikely to generate sustainable growth. Instead, differentiation through network quality, innovation and customer experience offers a stronger basis for long-term competitive advantage (Porter, 1985).</w:t>
      </w:r>
    </w:p>
    <w:p w14:paraId="108178B0" w14:textId="77777777" w:rsidR="006952A2" w:rsidRPr="00B90274" w:rsidRDefault="006952A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Overall, Porter's Five Forces analysis demonstrates that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operates in a mature and highly competitive industry where continuous innovation and service differentiation are essential to maintaining market leadership.</w:t>
      </w:r>
    </w:p>
    <w:p w14:paraId="5E65B375" w14:textId="3C395156" w:rsidR="000A7FDF" w:rsidRPr="004A3526" w:rsidRDefault="000A7FDF" w:rsidP="004A3526">
      <w:pPr>
        <w:pStyle w:val="Heading2"/>
        <w:rPr>
          <w:rFonts w:ascii="Arial" w:hAnsi="Arial" w:cs="Arial"/>
          <w:b/>
          <w:bCs/>
          <w:sz w:val="22"/>
          <w:szCs w:val="22"/>
        </w:rPr>
      </w:pPr>
      <w:bookmarkStart w:id="4" w:name="_Toc234847072"/>
      <w:r w:rsidRPr="004A3526">
        <w:rPr>
          <w:rFonts w:ascii="Arial" w:hAnsi="Arial" w:cs="Arial"/>
          <w:b/>
          <w:bCs/>
          <w:color w:val="auto"/>
          <w:sz w:val="22"/>
          <w:szCs w:val="22"/>
        </w:rPr>
        <w:t>2.3 SWOT Analysis</w:t>
      </w:r>
      <w:bookmarkEnd w:id="4"/>
      <w:r w:rsidR="00F15BC1" w:rsidRPr="004A3526">
        <w:rPr>
          <w:rFonts w:ascii="Arial" w:hAnsi="Arial" w:cs="Arial"/>
          <w:b/>
          <w:bCs/>
          <w:sz w:val="22"/>
          <w:szCs w:val="22"/>
        </w:rPr>
        <w:br/>
      </w:r>
    </w:p>
    <w:p w14:paraId="7EA2819E" w14:textId="1E997BD4" w:rsidR="000A7FDF" w:rsidRDefault="00737F25"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SWOT analysis indicates that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greatest strength lies in combining increased operational scale with substantial investment in advanced digital infrastructure (Vodafone Group Plc, 2025). According to the Resource-Based View (RBV), organisations achieve sustainable competitive advantage by developing resources that are valuable, rare, inimitable and effectively organised (Barney, 1991). </w:t>
      </w:r>
      <w:proofErr w:type="spellStart"/>
      <w:r w:rsidR="00394DD0" w:rsidRPr="00B90274">
        <w:rPr>
          <w:rFonts w:ascii="Arial" w:hAnsi="Arial" w:cs="Arial"/>
          <w:sz w:val="22"/>
          <w:szCs w:val="22"/>
        </w:rPr>
        <w:t>VodafoneThree’s</w:t>
      </w:r>
      <w:proofErr w:type="spellEnd"/>
      <w:r w:rsidR="00394DD0" w:rsidRPr="00B90274">
        <w:rPr>
          <w:rFonts w:ascii="Arial" w:hAnsi="Arial" w:cs="Arial"/>
          <w:sz w:val="22"/>
          <w:szCs w:val="22"/>
        </w:rPr>
        <w:t xml:space="preserve"> enhanced spectrum assets</w:t>
      </w:r>
      <w:r w:rsidRPr="00B90274">
        <w:rPr>
          <w:rFonts w:ascii="Arial" w:hAnsi="Arial" w:cs="Arial"/>
          <w:sz w:val="22"/>
          <w:szCs w:val="22"/>
        </w:rPr>
        <w:t xml:space="preserve"> expanded network infrastructure and technological capabilities provide a strong foundation for exploiting the growing demand for 5G, Artificial Intelligence (AI) and the Internet of Things (IoT). However, these resources will only generate sustainable competitive advantage if the organisation successfully integrates its operations, maintains high levels of customer satisfaction and delivers the projected merger synergies.</w:t>
      </w:r>
    </w:p>
    <w:p w14:paraId="16B05C7B" w14:textId="167E1527" w:rsidR="000E7494" w:rsidRPr="000E7494" w:rsidRDefault="00900D57" w:rsidP="00267779">
      <w:pPr>
        <w:spacing w:afterLines="160" w:after="384" w:line="276" w:lineRule="auto"/>
        <w:ind w:left="720"/>
        <w:jc w:val="center"/>
        <w:rPr>
          <w:rFonts w:ascii="Arial" w:hAnsi="Arial" w:cs="Arial"/>
          <w:b/>
          <w:bCs/>
          <w:sz w:val="22"/>
          <w:szCs w:val="22"/>
        </w:rPr>
      </w:pPr>
      <w:r w:rsidRPr="00CE3678">
        <w:rPr>
          <w:rFonts w:ascii="Arial" w:hAnsi="Arial" w:cs="Arial"/>
          <w:b/>
          <w:bCs/>
          <w:sz w:val="22"/>
          <w:szCs w:val="22"/>
        </w:rPr>
        <w:lastRenderedPageBreak/>
        <w:t xml:space="preserve">Table </w:t>
      </w:r>
      <w:r w:rsidR="000E5457" w:rsidRPr="00CE3678">
        <w:rPr>
          <w:rFonts w:ascii="Arial" w:hAnsi="Arial" w:cs="Arial"/>
          <w:b/>
          <w:bCs/>
          <w:sz w:val="22"/>
          <w:szCs w:val="22"/>
        </w:rPr>
        <w:t>1. SWOT</w:t>
      </w:r>
      <w:r w:rsidR="000E7494" w:rsidRPr="00CE3678">
        <w:rPr>
          <w:rFonts w:ascii="Arial" w:hAnsi="Arial" w:cs="Arial"/>
          <w:b/>
          <w:bCs/>
          <w:sz w:val="22"/>
          <w:szCs w:val="22"/>
        </w:rPr>
        <w:t xml:space="preserve"> Analysis of </w:t>
      </w:r>
      <w:proofErr w:type="spellStart"/>
      <w:r w:rsidR="000E7494" w:rsidRPr="00CE3678">
        <w:rPr>
          <w:rFonts w:ascii="Arial" w:hAnsi="Arial" w:cs="Arial"/>
          <w:b/>
          <w:bCs/>
          <w:sz w:val="22"/>
          <w:szCs w:val="22"/>
        </w:rPr>
        <w:t>VodafoneThree</w:t>
      </w:r>
      <w:proofErr w:type="spellEnd"/>
      <w:r w:rsidR="00B2704A">
        <w:rPr>
          <w:rFonts w:ascii="Arial" w:hAnsi="Arial" w:cs="Arial"/>
          <w:b/>
          <w:bCs/>
          <w:sz w:val="22"/>
          <w:szCs w:val="22"/>
        </w:rPr>
        <w:br/>
      </w:r>
      <w:r w:rsidR="00B2704A">
        <w:rPr>
          <w:rFonts w:ascii="Arial" w:hAnsi="Arial" w:cs="Arial"/>
          <w:b/>
          <w:bCs/>
          <w:sz w:val="22"/>
          <w:szCs w:val="22"/>
        </w:rPr>
        <w:br/>
      </w:r>
      <w:r w:rsidR="006B7A8D">
        <w:rPr>
          <w:rFonts w:ascii="Arial" w:hAnsi="Arial" w:cs="Arial"/>
          <w:sz w:val="22"/>
          <w:szCs w:val="22"/>
        </w:rPr>
        <w:t xml:space="preserve">This table </w:t>
      </w:r>
      <w:r w:rsidRPr="00900D57">
        <w:rPr>
          <w:rFonts w:ascii="Arial" w:hAnsi="Arial" w:cs="Arial"/>
          <w:sz w:val="22"/>
          <w:szCs w:val="22"/>
        </w:rPr>
        <w:t xml:space="preserve">summarises </w:t>
      </w:r>
      <w:proofErr w:type="spellStart"/>
      <w:r w:rsidRPr="00900D57">
        <w:rPr>
          <w:rFonts w:ascii="Arial" w:hAnsi="Arial" w:cs="Arial"/>
          <w:sz w:val="22"/>
          <w:szCs w:val="22"/>
        </w:rPr>
        <w:t>VodafoneThree's</w:t>
      </w:r>
      <w:proofErr w:type="spellEnd"/>
      <w:r w:rsidRPr="00900D57">
        <w:rPr>
          <w:rFonts w:ascii="Arial" w:hAnsi="Arial" w:cs="Arial"/>
          <w:sz w:val="22"/>
          <w:szCs w:val="22"/>
        </w:rPr>
        <w:t xml:space="preserve"> key internal strengths and weaknesses alongside the external opportunities and threats influencing its future strategic position.</w:t>
      </w:r>
    </w:p>
    <w:tbl>
      <w:tblPr>
        <w:tblStyle w:val="TableGrid"/>
        <w:tblW w:w="5000" w:type="pct"/>
        <w:tblLook w:val="0620" w:firstRow="1" w:lastRow="0" w:firstColumn="0" w:lastColumn="0" w:noHBand="1" w:noVBand="1"/>
      </w:tblPr>
      <w:tblGrid>
        <w:gridCol w:w="4512"/>
        <w:gridCol w:w="4504"/>
      </w:tblGrid>
      <w:tr w:rsidR="000624EC" w14:paraId="65BFFAD8" w14:textId="77777777" w:rsidTr="008A1514">
        <w:tc>
          <w:tcPr>
            <w:tcW w:w="2502" w:type="pct"/>
            <w:shd w:val="clear" w:color="auto" w:fill="D9D9D9" w:themeFill="background1" w:themeFillShade="D9"/>
          </w:tcPr>
          <w:p w14:paraId="0C648798" w14:textId="77739BB0" w:rsidR="000624EC" w:rsidRPr="00074A87" w:rsidRDefault="00074A87" w:rsidP="00267779">
            <w:pPr>
              <w:spacing w:afterLines="160" w:after="384" w:line="276" w:lineRule="auto"/>
              <w:jc w:val="center"/>
              <w:rPr>
                <w:rFonts w:ascii="Arial" w:hAnsi="Arial" w:cs="Arial"/>
                <w:b/>
                <w:bCs/>
                <w:sz w:val="22"/>
                <w:szCs w:val="22"/>
              </w:rPr>
            </w:pPr>
            <w:r w:rsidRPr="00074A87">
              <w:rPr>
                <w:rFonts w:ascii="Arial" w:hAnsi="Arial" w:cs="Arial"/>
                <w:b/>
                <w:bCs/>
                <w:sz w:val="22"/>
                <w:szCs w:val="22"/>
              </w:rPr>
              <w:t>Strengths</w:t>
            </w:r>
          </w:p>
        </w:tc>
        <w:tc>
          <w:tcPr>
            <w:tcW w:w="2498" w:type="pct"/>
            <w:shd w:val="clear" w:color="auto" w:fill="D9D9D9" w:themeFill="background1" w:themeFillShade="D9"/>
          </w:tcPr>
          <w:p w14:paraId="07B27F08" w14:textId="0398AF4B" w:rsidR="000624EC" w:rsidRPr="00074A87" w:rsidRDefault="00074A87" w:rsidP="00267779">
            <w:pPr>
              <w:spacing w:afterLines="160" w:after="384" w:line="276" w:lineRule="auto"/>
              <w:jc w:val="center"/>
              <w:rPr>
                <w:rFonts w:ascii="Arial" w:hAnsi="Arial" w:cs="Arial"/>
                <w:b/>
                <w:bCs/>
                <w:sz w:val="22"/>
                <w:szCs w:val="22"/>
              </w:rPr>
            </w:pPr>
            <w:r w:rsidRPr="00074A87">
              <w:rPr>
                <w:rFonts w:ascii="Arial" w:hAnsi="Arial" w:cs="Arial"/>
                <w:b/>
                <w:bCs/>
                <w:sz w:val="22"/>
                <w:szCs w:val="22"/>
              </w:rPr>
              <w:t>Weaknesses</w:t>
            </w:r>
          </w:p>
        </w:tc>
      </w:tr>
      <w:tr w:rsidR="000624EC" w14:paraId="2E33332E" w14:textId="77777777" w:rsidTr="000C1087">
        <w:tc>
          <w:tcPr>
            <w:tcW w:w="2502" w:type="pct"/>
          </w:tcPr>
          <w:p w14:paraId="11071F5E" w14:textId="0FB472F9" w:rsidR="000624EC" w:rsidRDefault="00552897" w:rsidP="00267779">
            <w:pPr>
              <w:spacing w:afterLines="160" w:after="384" w:line="276" w:lineRule="auto"/>
              <w:rPr>
                <w:rFonts w:ascii="Arial" w:hAnsi="Arial" w:cs="Arial"/>
                <w:sz w:val="22"/>
                <w:szCs w:val="22"/>
              </w:rPr>
            </w:pPr>
            <w:r w:rsidRPr="00552897">
              <w:rPr>
                <w:rFonts w:ascii="Arial" w:hAnsi="Arial" w:cs="Arial"/>
                <w:sz w:val="22"/>
                <w:szCs w:val="22"/>
              </w:rPr>
              <w:t>UK's largest mobile network operator following the Vodafone–Three merger, serving approximately 27 million customers.</w:t>
            </w:r>
          </w:p>
        </w:tc>
        <w:tc>
          <w:tcPr>
            <w:tcW w:w="2498" w:type="pct"/>
          </w:tcPr>
          <w:p w14:paraId="594B0607" w14:textId="7928DFD6" w:rsidR="000624EC" w:rsidRDefault="00273E46" w:rsidP="00267779">
            <w:pPr>
              <w:spacing w:afterLines="160" w:after="384" w:line="276" w:lineRule="auto"/>
              <w:rPr>
                <w:rFonts w:ascii="Arial" w:hAnsi="Arial" w:cs="Arial"/>
                <w:sz w:val="22"/>
                <w:szCs w:val="22"/>
              </w:rPr>
            </w:pPr>
            <w:r w:rsidRPr="00273E46">
              <w:rPr>
                <w:rFonts w:ascii="Arial" w:hAnsi="Arial" w:cs="Arial"/>
                <w:sz w:val="22"/>
                <w:szCs w:val="22"/>
              </w:rPr>
              <w:t>Complex integration of networks, IT systems and organisational cultures following the merger.</w:t>
            </w:r>
          </w:p>
        </w:tc>
      </w:tr>
      <w:tr w:rsidR="000624EC" w14:paraId="5563F4DA" w14:textId="77777777" w:rsidTr="000C1087">
        <w:tc>
          <w:tcPr>
            <w:tcW w:w="2502" w:type="pct"/>
          </w:tcPr>
          <w:p w14:paraId="7D3F301E" w14:textId="3652CD07" w:rsidR="000624EC" w:rsidRDefault="00273E46" w:rsidP="00267779">
            <w:pPr>
              <w:spacing w:afterLines="160" w:after="384" w:line="276" w:lineRule="auto"/>
              <w:rPr>
                <w:rFonts w:ascii="Arial" w:hAnsi="Arial" w:cs="Arial"/>
                <w:sz w:val="22"/>
                <w:szCs w:val="22"/>
              </w:rPr>
            </w:pPr>
            <w:r w:rsidRPr="00273E46">
              <w:rPr>
                <w:rFonts w:ascii="Arial" w:hAnsi="Arial" w:cs="Arial"/>
                <w:sz w:val="22"/>
                <w:szCs w:val="22"/>
              </w:rPr>
              <w:t>£11 billion investment in the UK's standalone 5G network, strengthening future digital capabilities.</w:t>
            </w:r>
          </w:p>
        </w:tc>
        <w:tc>
          <w:tcPr>
            <w:tcW w:w="2498" w:type="pct"/>
          </w:tcPr>
          <w:p w14:paraId="7C25E8E1" w14:textId="396DE2A4" w:rsidR="000624EC" w:rsidRDefault="00273E46" w:rsidP="00267779">
            <w:pPr>
              <w:spacing w:afterLines="160" w:after="384" w:line="276" w:lineRule="auto"/>
              <w:rPr>
                <w:rFonts w:ascii="Arial" w:hAnsi="Arial" w:cs="Arial"/>
                <w:sz w:val="22"/>
                <w:szCs w:val="22"/>
              </w:rPr>
            </w:pPr>
            <w:r w:rsidRPr="00273E46">
              <w:rPr>
                <w:rFonts w:ascii="Arial" w:hAnsi="Arial" w:cs="Arial"/>
                <w:sz w:val="22"/>
                <w:szCs w:val="22"/>
              </w:rPr>
              <w:t>High capital expenditure required to maintain network infrastructure and technological leadership.</w:t>
            </w:r>
          </w:p>
        </w:tc>
      </w:tr>
      <w:tr w:rsidR="000624EC" w14:paraId="66E08F56" w14:textId="77777777" w:rsidTr="000C1087">
        <w:tc>
          <w:tcPr>
            <w:tcW w:w="2502" w:type="pct"/>
          </w:tcPr>
          <w:p w14:paraId="76B5256F" w14:textId="427FDB32" w:rsidR="000624EC" w:rsidRDefault="00C53805" w:rsidP="00267779">
            <w:pPr>
              <w:spacing w:afterLines="160" w:after="384" w:line="276" w:lineRule="auto"/>
              <w:rPr>
                <w:rFonts w:ascii="Arial" w:hAnsi="Arial" w:cs="Arial"/>
                <w:sz w:val="22"/>
                <w:szCs w:val="22"/>
              </w:rPr>
            </w:pPr>
            <w:r w:rsidRPr="00C53805">
              <w:rPr>
                <w:rFonts w:ascii="Arial" w:hAnsi="Arial" w:cs="Arial"/>
                <w:sz w:val="22"/>
                <w:szCs w:val="22"/>
              </w:rPr>
              <w:t>Strong brand reputation, expanded customer base and economies of scale.</w:t>
            </w:r>
          </w:p>
        </w:tc>
        <w:tc>
          <w:tcPr>
            <w:tcW w:w="2498" w:type="pct"/>
          </w:tcPr>
          <w:p w14:paraId="1E6A1627" w14:textId="1C90E7E2" w:rsidR="000624EC" w:rsidRDefault="00273E46" w:rsidP="00267779">
            <w:pPr>
              <w:spacing w:afterLines="160" w:after="384" w:line="276" w:lineRule="auto"/>
              <w:rPr>
                <w:rFonts w:ascii="Arial" w:hAnsi="Arial" w:cs="Arial"/>
                <w:sz w:val="22"/>
                <w:szCs w:val="22"/>
              </w:rPr>
            </w:pPr>
            <w:r w:rsidRPr="00273E46">
              <w:rPr>
                <w:rFonts w:ascii="Arial" w:hAnsi="Arial" w:cs="Arial"/>
                <w:sz w:val="22"/>
                <w:szCs w:val="22"/>
              </w:rPr>
              <w:t>Increased regulatory scrutiny and compliance obligations imposed by the Competition and Markets Authority (CMA) and Ofcom.</w:t>
            </w:r>
          </w:p>
        </w:tc>
      </w:tr>
      <w:tr w:rsidR="000624EC" w14:paraId="6DBFA33B" w14:textId="77777777" w:rsidTr="000C1087">
        <w:tc>
          <w:tcPr>
            <w:tcW w:w="2502" w:type="pct"/>
          </w:tcPr>
          <w:p w14:paraId="4FE7C6C9" w14:textId="151A070D" w:rsidR="000624EC" w:rsidRDefault="00273E46" w:rsidP="00267779">
            <w:pPr>
              <w:spacing w:afterLines="160" w:after="384" w:line="276" w:lineRule="auto"/>
              <w:rPr>
                <w:rFonts w:ascii="Arial" w:hAnsi="Arial" w:cs="Arial"/>
                <w:sz w:val="22"/>
                <w:szCs w:val="22"/>
              </w:rPr>
            </w:pPr>
            <w:r w:rsidRPr="00273E46">
              <w:rPr>
                <w:rFonts w:ascii="Arial" w:hAnsi="Arial" w:cs="Arial"/>
                <w:sz w:val="22"/>
                <w:szCs w:val="22"/>
              </w:rPr>
              <w:t>Enhanced spectrum assets, wider network coverage and improved operational efficiency.</w:t>
            </w:r>
          </w:p>
        </w:tc>
        <w:tc>
          <w:tcPr>
            <w:tcW w:w="2498" w:type="pct"/>
          </w:tcPr>
          <w:p w14:paraId="09C1E01E" w14:textId="1E6A1A8A" w:rsidR="000624EC" w:rsidRDefault="00D40D44" w:rsidP="00267779">
            <w:pPr>
              <w:spacing w:afterLines="160" w:after="384" w:line="276" w:lineRule="auto"/>
              <w:rPr>
                <w:rFonts w:ascii="Arial" w:hAnsi="Arial" w:cs="Arial"/>
                <w:sz w:val="22"/>
                <w:szCs w:val="22"/>
              </w:rPr>
            </w:pPr>
            <w:r w:rsidRPr="00D40D44">
              <w:rPr>
                <w:rFonts w:ascii="Arial" w:hAnsi="Arial" w:cs="Arial"/>
                <w:sz w:val="22"/>
                <w:szCs w:val="22"/>
              </w:rPr>
              <w:t>Risk of service disruption and customer dissatisfaction during post-merger integration.</w:t>
            </w:r>
          </w:p>
        </w:tc>
      </w:tr>
      <w:tr w:rsidR="000624EC" w14:paraId="307B750B" w14:textId="77777777" w:rsidTr="008A1514">
        <w:tc>
          <w:tcPr>
            <w:tcW w:w="2502" w:type="pct"/>
            <w:shd w:val="clear" w:color="auto" w:fill="D9D9D9" w:themeFill="background1" w:themeFillShade="D9"/>
          </w:tcPr>
          <w:p w14:paraId="6BE60172" w14:textId="1DF593E3" w:rsidR="000624EC" w:rsidRPr="00D40D44" w:rsidRDefault="00D40D44" w:rsidP="00267779">
            <w:pPr>
              <w:spacing w:afterLines="160" w:after="384" w:line="276" w:lineRule="auto"/>
              <w:jc w:val="center"/>
              <w:rPr>
                <w:rFonts w:ascii="Arial" w:hAnsi="Arial" w:cs="Arial"/>
                <w:b/>
                <w:bCs/>
                <w:sz w:val="22"/>
                <w:szCs w:val="22"/>
              </w:rPr>
            </w:pPr>
            <w:r w:rsidRPr="00D40D44">
              <w:rPr>
                <w:rFonts w:ascii="Arial" w:hAnsi="Arial" w:cs="Arial"/>
                <w:b/>
                <w:bCs/>
                <w:sz w:val="22"/>
                <w:szCs w:val="22"/>
              </w:rPr>
              <w:t>Opportunities</w:t>
            </w:r>
          </w:p>
        </w:tc>
        <w:tc>
          <w:tcPr>
            <w:tcW w:w="2498" w:type="pct"/>
            <w:shd w:val="clear" w:color="auto" w:fill="D9D9D9" w:themeFill="background1" w:themeFillShade="D9"/>
          </w:tcPr>
          <w:p w14:paraId="71D26BB8" w14:textId="09AB39FE" w:rsidR="000624EC" w:rsidRPr="00D40D44" w:rsidRDefault="00D40D44" w:rsidP="00267779">
            <w:pPr>
              <w:spacing w:afterLines="160" w:after="384" w:line="276" w:lineRule="auto"/>
              <w:jc w:val="center"/>
              <w:rPr>
                <w:rFonts w:ascii="Arial" w:hAnsi="Arial" w:cs="Arial"/>
                <w:b/>
                <w:bCs/>
                <w:sz w:val="22"/>
                <w:szCs w:val="22"/>
              </w:rPr>
            </w:pPr>
            <w:r w:rsidRPr="00D40D44">
              <w:rPr>
                <w:rFonts w:ascii="Arial" w:hAnsi="Arial" w:cs="Arial"/>
                <w:b/>
                <w:bCs/>
                <w:sz w:val="22"/>
                <w:szCs w:val="22"/>
              </w:rPr>
              <w:t>Threats</w:t>
            </w:r>
          </w:p>
        </w:tc>
      </w:tr>
      <w:tr w:rsidR="000624EC" w14:paraId="3BC6C7D6" w14:textId="77777777" w:rsidTr="000C1087">
        <w:tc>
          <w:tcPr>
            <w:tcW w:w="2502" w:type="pct"/>
          </w:tcPr>
          <w:p w14:paraId="0B4602F0" w14:textId="0E56712A" w:rsidR="000624EC" w:rsidRDefault="00D40D44" w:rsidP="00267779">
            <w:pPr>
              <w:spacing w:afterLines="160" w:after="384" w:line="276" w:lineRule="auto"/>
              <w:rPr>
                <w:rFonts w:ascii="Arial" w:hAnsi="Arial" w:cs="Arial"/>
                <w:sz w:val="22"/>
                <w:szCs w:val="22"/>
              </w:rPr>
            </w:pPr>
            <w:r w:rsidRPr="00D40D44">
              <w:rPr>
                <w:rFonts w:ascii="Arial" w:hAnsi="Arial" w:cs="Arial"/>
                <w:sz w:val="22"/>
                <w:szCs w:val="22"/>
              </w:rPr>
              <w:t>Growing demand for 5G, Artificial Intelligence (AI), Internet of Things (IoT) and cloud-based connectivity services.</w:t>
            </w:r>
          </w:p>
        </w:tc>
        <w:tc>
          <w:tcPr>
            <w:tcW w:w="2498" w:type="pct"/>
          </w:tcPr>
          <w:p w14:paraId="17EB5FCC" w14:textId="50D8D49C" w:rsidR="000624EC" w:rsidRDefault="003D42F5" w:rsidP="00267779">
            <w:pPr>
              <w:spacing w:afterLines="160" w:after="384" w:line="276" w:lineRule="auto"/>
              <w:rPr>
                <w:rFonts w:ascii="Arial" w:hAnsi="Arial" w:cs="Arial"/>
                <w:sz w:val="22"/>
                <w:szCs w:val="22"/>
              </w:rPr>
            </w:pPr>
            <w:r w:rsidRPr="003D42F5">
              <w:rPr>
                <w:rFonts w:ascii="Arial" w:hAnsi="Arial" w:cs="Arial"/>
                <w:sz w:val="22"/>
                <w:szCs w:val="22"/>
              </w:rPr>
              <w:t>Intense competition from BT/EE, Virgin Media O2 and Mobile Virtual Network Operators (MVNOs).</w:t>
            </w:r>
          </w:p>
        </w:tc>
      </w:tr>
      <w:tr w:rsidR="000624EC" w14:paraId="086B3482" w14:textId="77777777" w:rsidTr="000C1087">
        <w:tc>
          <w:tcPr>
            <w:tcW w:w="2502" w:type="pct"/>
          </w:tcPr>
          <w:p w14:paraId="53ED3575" w14:textId="04993D58" w:rsidR="000624EC" w:rsidRDefault="00D40D44" w:rsidP="00267779">
            <w:pPr>
              <w:spacing w:afterLines="160" w:after="384" w:line="276" w:lineRule="auto"/>
              <w:rPr>
                <w:rFonts w:ascii="Arial" w:hAnsi="Arial" w:cs="Arial"/>
                <w:sz w:val="22"/>
                <w:szCs w:val="22"/>
              </w:rPr>
            </w:pPr>
            <w:r w:rsidRPr="00D40D44">
              <w:rPr>
                <w:rFonts w:ascii="Arial" w:hAnsi="Arial" w:cs="Arial"/>
                <w:sz w:val="22"/>
                <w:szCs w:val="22"/>
              </w:rPr>
              <w:t>Expansion of digital services for business customers and public sector organisations.</w:t>
            </w:r>
          </w:p>
        </w:tc>
        <w:tc>
          <w:tcPr>
            <w:tcW w:w="2498" w:type="pct"/>
          </w:tcPr>
          <w:p w14:paraId="4E28A5BD" w14:textId="1A0A0385" w:rsidR="000624EC" w:rsidRDefault="003D42F5" w:rsidP="00267779">
            <w:pPr>
              <w:spacing w:afterLines="160" w:after="384" w:line="276" w:lineRule="auto"/>
              <w:rPr>
                <w:rFonts w:ascii="Arial" w:hAnsi="Arial" w:cs="Arial"/>
                <w:sz w:val="22"/>
                <w:szCs w:val="22"/>
              </w:rPr>
            </w:pPr>
            <w:r w:rsidRPr="003D42F5">
              <w:rPr>
                <w:rFonts w:ascii="Arial" w:hAnsi="Arial" w:cs="Arial"/>
                <w:sz w:val="22"/>
                <w:szCs w:val="22"/>
              </w:rPr>
              <w:t>Rapid technological change requiring continuous investment and innovation.</w:t>
            </w:r>
          </w:p>
        </w:tc>
      </w:tr>
      <w:tr w:rsidR="000624EC" w14:paraId="7454FD59" w14:textId="77777777" w:rsidTr="000C1087">
        <w:tc>
          <w:tcPr>
            <w:tcW w:w="2502" w:type="pct"/>
          </w:tcPr>
          <w:p w14:paraId="13CA0179" w14:textId="79CDF5D7" w:rsidR="000624EC" w:rsidRDefault="00D40D44" w:rsidP="00267779">
            <w:pPr>
              <w:spacing w:afterLines="160" w:after="384" w:line="276" w:lineRule="auto"/>
              <w:rPr>
                <w:rFonts w:ascii="Arial" w:hAnsi="Arial" w:cs="Arial"/>
                <w:sz w:val="22"/>
                <w:szCs w:val="22"/>
              </w:rPr>
            </w:pPr>
            <w:r w:rsidRPr="00D40D44">
              <w:rPr>
                <w:rFonts w:ascii="Arial" w:hAnsi="Arial" w:cs="Arial"/>
                <w:sz w:val="22"/>
                <w:szCs w:val="22"/>
              </w:rPr>
              <w:t>Development of converged broadband, mobile and entertainment bundles to improve customer retention.</w:t>
            </w:r>
          </w:p>
        </w:tc>
        <w:tc>
          <w:tcPr>
            <w:tcW w:w="2498" w:type="pct"/>
          </w:tcPr>
          <w:p w14:paraId="47A732CF" w14:textId="68DDBD9F" w:rsidR="000624EC" w:rsidRDefault="003D42F5" w:rsidP="00267779">
            <w:pPr>
              <w:spacing w:afterLines="160" w:after="384" w:line="276" w:lineRule="auto"/>
              <w:rPr>
                <w:rFonts w:ascii="Arial" w:hAnsi="Arial" w:cs="Arial"/>
                <w:sz w:val="22"/>
                <w:szCs w:val="22"/>
              </w:rPr>
            </w:pPr>
            <w:r w:rsidRPr="003D42F5">
              <w:rPr>
                <w:rFonts w:ascii="Arial" w:hAnsi="Arial" w:cs="Arial"/>
                <w:sz w:val="22"/>
                <w:szCs w:val="22"/>
              </w:rPr>
              <w:t>High customer price sensitivity and relatively low switching costs.</w:t>
            </w:r>
          </w:p>
        </w:tc>
      </w:tr>
      <w:tr w:rsidR="000624EC" w14:paraId="73A918FA" w14:textId="77777777" w:rsidTr="000C1087">
        <w:tc>
          <w:tcPr>
            <w:tcW w:w="2502" w:type="pct"/>
          </w:tcPr>
          <w:p w14:paraId="7B882A7A" w14:textId="1EAACB4B" w:rsidR="000624EC" w:rsidRDefault="00D40D44" w:rsidP="00267779">
            <w:pPr>
              <w:spacing w:afterLines="160" w:after="384" w:line="276" w:lineRule="auto"/>
              <w:rPr>
                <w:rFonts w:ascii="Arial" w:hAnsi="Arial" w:cs="Arial"/>
                <w:sz w:val="22"/>
                <w:szCs w:val="22"/>
              </w:rPr>
            </w:pPr>
            <w:r w:rsidRPr="00D40D44">
              <w:rPr>
                <w:rFonts w:ascii="Arial" w:hAnsi="Arial" w:cs="Arial"/>
                <w:sz w:val="22"/>
                <w:szCs w:val="22"/>
              </w:rPr>
              <w:t>Increasing consumer demand for integrated digital services and premium customer experiences.</w:t>
            </w:r>
          </w:p>
        </w:tc>
        <w:tc>
          <w:tcPr>
            <w:tcW w:w="2498" w:type="pct"/>
          </w:tcPr>
          <w:p w14:paraId="31D280EF" w14:textId="18CAD8FA" w:rsidR="000624EC" w:rsidRDefault="003D42F5" w:rsidP="00267779">
            <w:pPr>
              <w:spacing w:afterLines="160" w:after="384" w:line="276" w:lineRule="auto"/>
              <w:rPr>
                <w:rFonts w:ascii="Arial" w:hAnsi="Arial" w:cs="Arial"/>
                <w:sz w:val="22"/>
                <w:szCs w:val="22"/>
              </w:rPr>
            </w:pPr>
            <w:r w:rsidRPr="003D42F5">
              <w:rPr>
                <w:rFonts w:ascii="Arial" w:hAnsi="Arial" w:cs="Arial"/>
                <w:sz w:val="22"/>
                <w:szCs w:val="22"/>
              </w:rPr>
              <w:t>Changes in government regulation, cybersecurity risks and data protection requirements.</w:t>
            </w:r>
          </w:p>
        </w:tc>
      </w:tr>
    </w:tbl>
    <w:p w14:paraId="29D19886" w14:textId="01E449F5" w:rsidR="0027757A" w:rsidRDefault="00CC4CFB" w:rsidP="00267779">
      <w:pPr>
        <w:spacing w:afterLines="160" w:after="384" w:line="276" w:lineRule="auto"/>
        <w:ind w:left="720"/>
        <w:rPr>
          <w:rFonts w:ascii="Arial" w:hAnsi="Arial" w:cs="Arial"/>
          <w:sz w:val="22"/>
          <w:szCs w:val="22"/>
        </w:rPr>
      </w:pPr>
      <w:r>
        <w:rPr>
          <w:rFonts w:ascii="Arial" w:hAnsi="Arial" w:cs="Arial"/>
          <w:sz w:val="22"/>
          <w:szCs w:val="22"/>
        </w:rPr>
        <w:br/>
      </w:r>
      <w:r w:rsidR="001A5947">
        <w:rPr>
          <w:rFonts w:ascii="Arial" w:hAnsi="Arial" w:cs="Arial"/>
          <w:b/>
          <w:bCs/>
          <w:sz w:val="20"/>
          <w:szCs w:val="20"/>
        </w:rPr>
        <w:br/>
      </w:r>
      <w:r w:rsidR="00C258E4" w:rsidRPr="00C258E4">
        <w:rPr>
          <w:rFonts w:ascii="Arial" w:hAnsi="Arial" w:cs="Arial"/>
          <w:b/>
          <w:bCs/>
          <w:sz w:val="20"/>
          <w:szCs w:val="20"/>
        </w:rPr>
        <w:lastRenderedPageBreak/>
        <w:t>Source: Author's own compilation based on Vodafone Group Plc (2025), Ofcom (2025) and Competition and Markets Authority (2025).</w:t>
      </w:r>
      <w:r w:rsidR="00693326">
        <w:rPr>
          <w:rFonts w:ascii="Arial" w:hAnsi="Arial" w:cs="Arial"/>
          <w:b/>
          <w:bCs/>
          <w:sz w:val="20"/>
          <w:szCs w:val="20"/>
        </w:rPr>
        <w:br/>
      </w:r>
      <w:r w:rsidR="000F4A7A">
        <w:rPr>
          <w:rFonts w:ascii="Arial" w:hAnsi="Arial" w:cs="Arial"/>
          <w:sz w:val="22"/>
          <w:szCs w:val="22"/>
        </w:rPr>
        <w:br/>
      </w:r>
      <w:r w:rsidR="00140C45" w:rsidRPr="00140C45">
        <w:rPr>
          <w:rFonts w:ascii="Arial" w:hAnsi="Arial" w:cs="Arial"/>
          <w:sz w:val="22"/>
          <w:szCs w:val="22"/>
        </w:rPr>
        <w:t xml:space="preserve">As shown in Table 1, </w:t>
      </w:r>
      <w:proofErr w:type="spellStart"/>
      <w:r w:rsidR="00140C45" w:rsidRPr="00140C45">
        <w:rPr>
          <w:rFonts w:ascii="Arial" w:hAnsi="Arial" w:cs="Arial"/>
          <w:sz w:val="22"/>
          <w:szCs w:val="22"/>
        </w:rPr>
        <w:t>VodafoneThree</w:t>
      </w:r>
      <w:proofErr w:type="spellEnd"/>
      <w:r w:rsidR="00140C45" w:rsidRPr="00140C45">
        <w:rPr>
          <w:rFonts w:ascii="Arial" w:hAnsi="Arial" w:cs="Arial"/>
          <w:sz w:val="22"/>
          <w:szCs w:val="22"/>
        </w:rPr>
        <w:t xml:space="preserve"> possesses significant strategic strengths following the merger, particularly through its increased scale, enhanced spectrum assets and substantial investment in standalone 5G infrastructure. However, successful post-merger integration and intense competitive pressure remain key strategic challenges.</w:t>
      </w:r>
      <w:r w:rsidR="009B6503">
        <w:rPr>
          <w:rFonts w:ascii="Arial" w:hAnsi="Arial" w:cs="Arial"/>
          <w:sz w:val="22"/>
          <w:szCs w:val="22"/>
        </w:rPr>
        <w:br/>
      </w:r>
      <w:r w:rsidR="00140C45">
        <w:rPr>
          <w:rFonts w:ascii="Arial" w:hAnsi="Arial" w:cs="Arial"/>
          <w:sz w:val="22"/>
          <w:szCs w:val="22"/>
        </w:rPr>
        <w:br/>
      </w:r>
      <w:r w:rsidR="00B813FA" w:rsidRPr="00B813FA">
        <w:rPr>
          <w:rFonts w:ascii="Arial" w:hAnsi="Arial" w:cs="Arial"/>
          <w:sz w:val="22"/>
          <w:szCs w:val="22"/>
        </w:rPr>
        <w:t xml:space="preserve">The SWOT analysis demonstrates that </w:t>
      </w:r>
      <w:proofErr w:type="spellStart"/>
      <w:r w:rsidR="00B813FA" w:rsidRPr="00B813FA">
        <w:rPr>
          <w:rFonts w:ascii="Arial" w:hAnsi="Arial" w:cs="Arial"/>
          <w:sz w:val="22"/>
          <w:szCs w:val="22"/>
        </w:rPr>
        <w:t>VodafoneThree</w:t>
      </w:r>
      <w:proofErr w:type="spellEnd"/>
      <w:r w:rsidR="00B813FA" w:rsidRPr="00B813FA">
        <w:rPr>
          <w:rFonts w:ascii="Arial" w:hAnsi="Arial" w:cs="Arial"/>
          <w:sz w:val="22"/>
          <w:szCs w:val="22"/>
        </w:rPr>
        <w:t xml:space="preserve"> possesses strong internal capabilities and favourable market opportunities. However, achieving sustainable competitive advantage will depend on effectively integrating post-merger operations while continuing to differentiate through innovation rather than price competition.</w:t>
      </w:r>
    </w:p>
    <w:p w14:paraId="34ADE94F" w14:textId="29EDFB62" w:rsidR="008D3706" w:rsidRPr="00B90274" w:rsidRDefault="008D3706"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Furthermore, intense competition, regulatory oversight and rapid technological change reinforce the need for continuous innovation. Therefore,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should leverage its technological capabilities to develop differentiated products and services rather than competing primarily on price. This conclusion provides the foundation for evaluating the strategic growth options discussed in the following section.</w:t>
      </w:r>
    </w:p>
    <w:p w14:paraId="4C7BDDE0" w14:textId="09CA2883" w:rsidR="00F02B4F" w:rsidRPr="004A3526" w:rsidRDefault="00F02B4F" w:rsidP="00267779">
      <w:pPr>
        <w:pStyle w:val="Heading1"/>
        <w:spacing w:line="276" w:lineRule="auto"/>
        <w:rPr>
          <w:rFonts w:ascii="Arial" w:hAnsi="Arial" w:cs="Arial"/>
          <w:color w:val="auto"/>
          <w:sz w:val="24"/>
          <w:szCs w:val="24"/>
        </w:rPr>
      </w:pPr>
      <w:bookmarkStart w:id="5" w:name="_Toc234847073"/>
      <w:r w:rsidRPr="004A3526">
        <w:rPr>
          <w:rFonts w:ascii="Arial" w:hAnsi="Arial" w:cs="Arial"/>
          <w:color w:val="auto"/>
          <w:sz w:val="24"/>
          <w:szCs w:val="24"/>
        </w:rPr>
        <w:t>3. Strategic Growth Options and Proposed Strategy</w:t>
      </w:r>
      <w:bookmarkEnd w:id="5"/>
    </w:p>
    <w:p w14:paraId="46FBAA2C"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Following the analysis of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internal and external environment, the organisation must identify the most appropriate strategy to achieve sustainable growth. Ansoff's Matrix provides a structured framework for evaluating four strategic growth options: market penetration, market development, product development and diversification (Ansoff, 1957). Each option presents different levels of risk, investment and potential return.</w:t>
      </w:r>
    </w:p>
    <w:p w14:paraId="3FBC44FB" w14:textId="77777777" w:rsidR="00F02B4F" w:rsidRPr="00654281" w:rsidRDefault="00F02B4F"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Market Penetration</w:t>
      </w:r>
    </w:p>
    <w:p w14:paraId="34AF39B6"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Market penetration focuses on increasing market share by selling existing products to existing customers.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could achieve this through improved customer retention, competitive pricing and enhanced customer service. The merger also strengthens this strategy by expanding network coverage and improving service quality.</w:t>
      </w:r>
    </w:p>
    <w:p w14:paraId="4145BD81"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However, market penetration offers limited long-term growth because the UK telecommunications market is mature and highly competitive. As demonstrated in the Porter's Five Forces analysis, customers have high bargaining power and low switching costs, making price-based competition difficult to sustain (Porter, 1980). Consequently, while market penetration may improve short-term customer acquisition, it is unlikely to create sustainable competitive advantage.</w:t>
      </w:r>
    </w:p>
    <w:p w14:paraId="2B83D528" w14:textId="77777777" w:rsidR="00F02B4F" w:rsidRPr="00654281" w:rsidRDefault="00F02B4F"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Market Development</w:t>
      </w:r>
    </w:p>
    <w:p w14:paraId="7B952A75"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lastRenderedPageBreak/>
        <w:t xml:space="preserve">Market development involves offering existing products to new customer segments or geographical markets.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could strengthen its business-to-business (B2B) portfolio or improve connectivity within underserved rural communities, creating additional revenue opportunities.</w:t>
      </w:r>
    </w:p>
    <w:p w14:paraId="248ABCEC"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Despite this potential, the strategy requires considerable investment in infrastructure, marketing and customer acquisition. Furthermore, success depends on accurately understanding the needs of new markets, increasing both commercial uncertainty and implementation risk. Therefore, market development offers moderate growth potential but is less aligned with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immediate post-merger priorities.</w:t>
      </w:r>
    </w:p>
    <w:p w14:paraId="797E6B4B" w14:textId="77777777" w:rsidR="00F02B4F" w:rsidRPr="00654281" w:rsidRDefault="00F02B4F"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Product Development</w:t>
      </w:r>
    </w:p>
    <w:p w14:paraId="01E719FB"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Product development focuses on introducing new products and services to existing customers. This strategy closely aligns with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capabilities following the merger, particularly its investment in standalone 5G technology. Enhanced network capacity enables the organisation to expand services including Artificial Intelligence (AI), Internet of Things (IoT), cybersecurity, cloud connectivity and smart home solutions (Vodafone Group Plc, 2025).</w:t>
      </w:r>
    </w:p>
    <w:p w14:paraId="66300D8F" w14:textId="77777777" w:rsidR="00CB3C3F" w:rsidRPr="00B90274" w:rsidRDefault="00CB3C3F" w:rsidP="00267779">
      <w:pPr>
        <w:spacing w:afterLines="160" w:after="384" w:line="276" w:lineRule="auto"/>
        <w:ind w:left="720"/>
        <w:rPr>
          <w:rFonts w:ascii="Arial" w:hAnsi="Arial" w:cs="Arial"/>
          <w:sz w:val="22"/>
          <w:szCs w:val="22"/>
        </w:rPr>
      </w:pPr>
      <w:r w:rsidRPr="00B90274">
        <w:rPr>
          <w:rFonts w:ascii="Arial" w:hAnsi="Arial" w:cs="Arial"/>
          <w:sz w:val="22"/>
          <w:szCs w:val="22"/>
        </w:rPr>
        <w:t>Product innovation also increases customer value by improving service quality, increasing average revenue per user (ARPU) and reducing customer churn. Furthermore, organisations that continuously develop innovative capabilities are better positioned to respond to changing market conditions and sustain competitive advantage (Teece, 2018). Unlike price reductions, innovative products are more difficult for competitors to replicate, making this strategy a stronger source of sustainable competitive advantage (Porter, 1985).</w:t>
      </w:r>
    </w:p>
    <w:p w14:paraId="3609E385" w14:textId="19F4FA39" w:rsidR="00F02B4F" w:rsidRPr="00654281" w:rsidRDefault="00F02B4F"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Diversification</w:t>
      </w:r>
    </w:p>
    <w:p w14:paraId="346A35F1"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Diversification involves introducing new products into new markets and is generally considered the highest-risk growth strategy (Ansoff, 1957). Although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could diversify into sectors such as digital healthcare or financial technology, doing so would require substantial investment, new organisational capabilities and increased management complexity.</w:t>
      </w:r>
    </w:p>
    <w:p w14:paraId="69A4231C"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Given the ongoing integration of Vodafone and Three, diversification would divert resources away from delivering merger synergies and therefore represents an unnecessary strategic risk at this stage.</w:t>
      </w:r>
    </w:p>
    <w:p w14:paraId="58E3CABA" w14:textId="77777777" w:rsidR="00F02B4F" w:rsidRPr="00654281" w:rsidRDefault="00F02B4F"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Proposed Strategy</w:t>
      </w:r>
    </w:p>
    <w:p w14:paraId="35E52E71"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Based on Ansoff's Matrix, product development represents the most appropriate growth strategy for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The earlier PESTEL and SWOT analyses identified strong growth opportunities in digital connectivity, AI, cloud computing and </w:t>
      </w:r>
      <w:r w:rsidRPr="00B90274">
        <w:rPr>
          <w:rFonts w:ascii="Arial" w:hAnsi="Arial" w:cs="Arial"/>
          <w:sz w:val="22"/>
          <w:szCs w:val="22"/>
        </w:rPr>
        <w:lastRenderedPageBreak/>
        <w:t xml:space="preserve">IoT, while confirming that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possesses the technological capability and financial resources required to exploit these opportunities.</w:t>
      </w:r>
    </w:p>
    <w:p w14:paraId="34337BF8"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recommendation is further strengthened by Porter's Generic Strategies, which suggest that organisations operating in highly competitive industries achieve superior long-term performance through differentiation rather than cost leadership (Porter, 1985). By combining product development with a differentiation strategy,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can compete through network quality, digital innovation and superior customer experience instead of price competition.</w:t>
      </w:r>
    </w:p>
    <w:p w14:paraId="3627A78B" w14:textId="77777777" w:rsidR="00F02B4F" w:rsidRPr="00B90274" w:rsidRDefault="00F02B4F"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This strategy also aligns with Vodafone's corporate priorities of Customers, Simplicity and Growth, enabling the organisation to strengthen customer loyalty, improve profitability and maximise the strategic benefits of the merger. Consequently, a differentiation-led product development strategy provides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with the strongest opportunity to achieve sustainable competitive advantage while responding effectively to technological change, evolving customer expectations and increasing competitive pressure.</w:t>
      </w:r>
    </w:p>
    <w:p w14:paraId="769161CE" w14:textId="2B80D1FA" w:rsidR="007751B7" w:rsidRPr="004A3526" w:rsidRDefault="007751B7" w:rsidP="00267779">
      <w:pPr>
        <w:pStyle w:val="Heading1"/>
        <w:spacing w:line="276" w:lineRule="auto"/>
        <w:rPr>
          <w:rFonts w:ascii="Arial" w:hAnsi="Arial" w:cs="Arial"/>
          <w:color w:val="auto"/>
          <w:sz w:val="24"/>
          <w:szCs w:val="24"/>
        </w:rPr>
      </w:pPr>
      <w:bookmarkStart w:id="6" w:name="_Toc234847074"/>
      <w:r w:rsidRPr="004A3526">
        <w:rPr>
          <w:rFonts w:ascii="Arial" w:hAnsi="Arial" w:cs="Arial"/>
          <w:color w:val="auto"/>
          <w:sz w:val="24"/>
          <w:szCs w:val="24"/>
        </w:rPr>
        <w:t>4. Strategy Evaluation (SFA Framework)</w:t>
      </w:r>
      <w:bookmarkEnd w:id="6"/>
    </w:p>
    <w:p w14:paraId="426219CA"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To evaluate the proposed differentiation-led product development strategy, the Suitability, Feasibility and Acceptability (SFA) framework is applied. Developed by Johnson, Scholes and Whittington (2020), the SFA framework assesses whether a strategy addresses organisational challenges, can be successfully implemented and is likely to satisfy stakeholder expectations.</w:t>
      </w:r>
    </w:p>
    <w:p w14:paraId="48844142" w14:textId="77777777" w:rsidR="007751B7" w:rsidRPr="00654281" w:rsidRDefault="007751B7"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Suitability</w:t>
      </w:r>
    </w:p>
    <w:p w14:paraId="14C869E1"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The proposed strategy is highly suitable because it directly addresses the opportunities and threats identified through the PESTEL, Porter's Five Forces and SWOT analyses. Growing demand for digital connectivity, rapid technological innovation and increasing customer expectations support investment in value-added services rather than price-based competition. Furthermore, the Five Forces analysis identified high customer bargaining power and intense competitive rivalry, reinforcing the need for differentiation to achieve sustainable competitive advantage (Porter, 1980).</w:t>
      </w:r>
    </w:p>
    <w:p w14:paraId="67929B9A"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By leveraging its expanded 5G infrastructure,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can introduce innovative services such as Artificial Intelligence (AI), Internet of Things (IoT) solutions and integrated connectivity packages. This supports Vodafone's strategic priorities of Customers, Simplicity and Growth while strengthening long-term market positioning (Vodafone Group Plc, 2025).</w:t>
      </w:r>
    </w:p>
    <w:p w14:paraId="7E684BFE" w14:textId="77777777" w:rsidR="007751B7" w:rsidRPr="00654281" w:rsidRDefault="007751B7"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Feasibility</w:t>
      </w:r>
    </w:p>
    <w:p w14:paraId="02384271"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lastRenderedPageBreak/>
        <w:t xml:space="preserve">The strategy is feasible because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possesses the financial resources, technological capability and operational scale required for implementation. The merger has strengthened spectrum assets and investment capacity, while the planned £11 billion investment in the UK's standalone 5G network provides a strong platform for future innovation (Vodafone Group Plc, 2025).</w:t>
      </w:r>
    </w:p>
    <w:p w14:paraId="4359A392"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However, successful implementation depends on several assumptions. Network integration must be completed efficiently, projected merger synergies must be realised and customer demand for advanced digital services must continue to grow. Delays in integration, regulatory intervention or weaker-than-expected market adoption could reduce the strategy's effectiveness. Consequently, phased implementation and regular performance reviews will be essential to minimise risk.</w:t>
      </w:r>
    </w:p>
    <w:p w14:paraId="60E4EC8F" w14:textId="77777777" w:rsidR="007751B7" w:rsidRPr="00654281" w:rsidRDefault="007751B7" w:rsidP="00267779">
      <w:pPr>
        <w:spacing w:afterLines="160" w:after="384" w:line="276" w:lineRule="auto"/>
        <w:ind w:left="720"/>
        <w:rPr>
          <w:rFonts w:ascii="Arial" w:hAnsi="Arial" w:cs="Arial"/>
          <w:b/>
          <w:bCs/>
          <w:sz w:val="22"/>
          <w:szCs w:val="22"/>
        </w:rPr>
      </w:pPr>
      <w:r w:rsidRPr="00654281">
        <w:rPr>
          <w:rFonts w:ascii="Arial" w:hAnsi="Arial" w:cs="Arial"/>
          <w:b/>
          <w:bCs/>
          <w:sz w:val="22"/>
          <w:szCs w:val="22"/>
        </w:rPr>
        <w:t>Acceptability</w:t>
      </w:r>
    </w:p>
    <w:p w14:paraId="49541698"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strategy is expected to create value for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principal stakeholders. Customers benefit from improved network performance and innovative services, shareholders gain opportunities for sustainable revenue growth, while employees develop new digital capabilities. Although substantial investment is required, the anticipated long-term benefits outweigh the associated risks because product differentiation is more difficult for competitors to imitate than price reductions alone (Porter, 1985).</w:t>
      </w:r>
    </w:p>
    <w:p w14:paraId="39F3AD98" w14:textId="77777777" w:rsidR="007751B7" w:rsidRPr="00B90274" w:rsidRDefault="007751B7"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Overall, the SFA evaluation confirms that the proposed strategy is suitable, feasible and acceptable. If effectively implemented, it will strengthen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competitive position and support sustainable long-term growth.</w:t>
      </w:r>
    </w:p>
    <w:p w14:paraId="286E3756" w14:textId="080439FE" w:rsidR="001C4432" w:rsidRPr="004A3526" w:rsidRDefault="001C4432" w:rsidP="00267779">
      <w:pPr>
        <w:pStyle w:val="Heading1"/>
        <w:spacing w:line="276" w:lineRule="auto"/>
        <w:rPr>
          <w:rFonts w:ascii="Arial" w:hAnsi="Arial" w:cs="Arial"/>
          <w:color w:val="auto"/>
          <w:sz w:val="24"/>
          <w:szCs w:val="24"/>
        </w:rPr>
      </w:pPr>
      <w:bookmarkStart w:id="7" w:name="_Toc234847075"/>
      <w:r w:rsidRPr="004A3526">
        <w:rPr>
          <w:rFonts w:ascii="Arial" w:hAnsi="Arial" w:cs="Arial"/>
          <w:color w:val="auto"/>
          <w:sz w:val="24"/>
          <w:szCs w:val="24"/>
        </w:rPr>
        <w:t>5. Stakeholder Analysis</w:t>
      </w:r>
      <w:bookmarkEnd w:id="7"/>
    </w:p>
    <w:p w14:paraId="274D9551" w14:textId="77777777" w:rsidR="001C4432" w:rsidRPr="00B90274" w:rsidRDefault="001C443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successful implementation of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differentiation-led product development strategy depends on effectively managing stakeholder expectations. According to Freeman's (1984) Stakeholder Theory, organisations achieve sustainable competitive advantage by creating value for all stakeholders rather than focusing solely on shareholder returns. Following the merger,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must balance the interests of customers, shareholders, employees, regulators and strategic partners.</w:t>
      </w:r>
    </w:p>
    <w:p w14:paraId="5EB8885E" w14:textId="4596AFE9" w:rsidR="00514CBD" w:rsidRPr="00514CBD" w:rsidRDefault="001C4432" w:rsidP="00267779">
      <w:pPr>
        <w:spacing w:afterLines="160" w:after="384" w:line="276" w:lineRule="auto"/>
        <w:ind w:left="720"/>
        <w:rPr>
          <w:rFonts w:ascii="Arial" w:hAnsi="Arial" w:cs="Arial"/>
          <w:sz w:val="22"/>
          <w:szCs w:val="22"/>
        </w:rPr>
      </w:pPr>
      <w:r w:rsidRPr="00B90274">
        <w:rPr>
          <w:rFonts w:ascii="Arial" w:hAnsi="Arial" w:cs="Arial"/>
          <w:sz w:val="22"/>
          <w:szCs w:val="22"/>
        </w:rPr>
        <w:t>Mendelow's Matrix classifies stakeholders according to their level of power and interest, enabling organisations to prioritise engagement activities effectively (Johnson et al., 2020). Stakeholders with both high power and high interest require continuous communication and active involvement throughout implementation.</w:t>
      </w:r>
      <w:r w:rsidR="00F15BC1">
        <w:rPr>
          <w:rFonts w:ascii="Arial" w:hAnsi="Arial" w:cs="Arial"/>
          <w:sz w:val="22"/>
          <w:szCs w:val="22"/>
        </w:rPr>
        <w:br/>
      </w:r>
      <w:r w:rsidR="00F15BC1">
        <w:rPr>
          <w:rFonts w:ascii="Arial" w:hAnsi="Arial" w:cs="Arial"/>
          <w:sz w:val="22"/>
          <w:szCs w:val="22"/>
        </w:rPr>
        <w:br/>
      </w:r>
      <w:r w:rsidR="00F15BC1">
        <w:rPr>
          <w:rFonts w:ascii="Arial" w:hAnsi="Arial" w:cs="Arial"/>
          <w:sz w:val="22"/>
          <w:szCs w:val="22"/>
        </w:rPr>
        <w:br/>
      </w:r>
      <w:r w:rsidR="00F15BC1">
        <w:rPr>
          <w:rFonts w:ascii="Arial" w:hAnsi="Arial" w:cs="Arial"/>
          <w:sz w:val="22"/>
          <w:szCs w:val="22"/>
        </w:rPr>
        <w:br/>
      </w:r>
      <w:r w:rsidR="00F15BC1">
        <w:rPr>
          <w:rFonts w:ascii="Arial" w:hAnsi="Arial" w:cs="Arial"/>
          <w:sz w:val="22"/>
          <w:szCs w:val="22"/>
        </w:rPr>
        <w:br/>
      </w:r>
      <w:r w:rsidR="008F44A9">
        <w:rPr>
          <w:rFonts w:ascii="Arial" w:hAnsi="Arial" w:cs="Arial"/>
          <w:sz w:val="22"/>
          <w:szCs w:val="22"/>
        </w:rPr>
        <w:br/>
      </w:r>
      <w:r w:rsidR="008F44A9" w:rsidRPr="00CE3678">
        <w:rPr>
          <w:rFonts w:ascii="Arial" w:hAnsi="Arial" w:cs="Arial"/>
          <w:b/>
          <w:bCs/>
          <w:sz w:val="22"/>
          <w:szCs w:val="22"/>
        </w:rPr>
        <w:lastRenderedPageBreak/>
        <w:t>Table 2. Stakeholder Analysis Using Mendelow’s Matrix</w:t>
      </w:r>
      <w:r w:rsidR="00C54AC8" w:rsidRPr="00CE3678">
        <w:rPr>
          <w:rFonts w:ascii="Arial" w:hAnsi="Arial" w:cs="Arial"/>
          <w:sz w:val="22"/>
          <w:szCs w:val="22"/>
        </w:rPr>
        <w:br/>
      </w:r>
      <w:r w:rsidR="00D334F2">
        <w:rPr>
          <w:rFonts w:ascii="Arial" w:hAnsi="Arial" w:cs="Arial"/>
          <w:sz w:val="22"/>
          <w:szCs w:val="22"/>
        </w:rPr>
        <w:br/>
      </w:r>
      <w:r w:rsidR="00D334F2" w:rsidRPr="00D334F2">
        <w:rPr>
          <w:rFonts w:ascii="Arial" w:hAnsi="Arial" w:cs="Arial"/>
          <w:sz w:val="22"/>
          <w:szCs w:val="22"/>
        </w:rPr>
        <w:t xml:space="preserve">Table 2 identifies </w:t>
      </w:r>
      <w:proofErr w:type="spellStart"/>
      <w:r w:rsidR="00D334F2" w:rsidRPr="00D334F2">
        <w:rPr>
          <w:rFonts w:ascii="Arial" w:hAnsi="Arial" w:cs="Arial"/>
          <w:sz w:val="22"/>
          <w:szCs w:val="22"/>
        </w:rPr>
        <w:t>VodafoneThree's</w:t>
      </w:r>
      <w:proofErr w:type="spellEnd"/>
      <w:r w:rsidR="00D334F2" w:rsidRPr="00D334F2">
        <w:rPr>
          <w:rFonts w:ascii="Arial" w:hAnsi="Arial" w:cs="Arial"/>
          <w:sz w:val="22"/>
          <w:szCs w:val="22"/>
        </w:rPr>
        <w:t xml:space="preserve"> key stakeholders according to their relative power and interest and outlines the engagement strategies required to support successful implementation of the proposed strategy.</w:t>
      </w:r>
    </w:p>
    <w:tbl>
      <w:tblPr>
        <w:tblStyle w:val="TableGrid"/>
        <w:tblW w:w="5000" w:type="pct"/>
        <w:tblLook w:val="04A0" w:firstRow="1" w:lastRow="0" w:firstColumn="1" w:lastColumn="0" w:noHBand="0" w:noVBand="1"/>
      </w:tblPr>
      <w:tblGrid>
        <w:gridCol w:w="2299"/>
        <w:gridCol w:w="2191"/>
        <w:gridCol w:w="1459"/>
        <w:gridCol w:w="3067"/>
      </w:tblGrid>
      <w:tr w:rsidR="00514CBD" w:rsidRPr="00514CBD" w14:paraId="01D7E67F" w14:textId="77777777" w:rsidTr="008A1514">
        <w:tc>
          <w:tcPr>
            <w:tcW w:w="1275" w:type="pct"/>
            <w:shd w:val="clear" w:color="auto" w:fill="D9D9D9" w:themeFill="background1" w:themeFillShade="D9"/>
          </w:tcPr>
          <w:p w14:paraId="10B19BC9" w14:textId="77777777" w:rsidR="00514CBD" w:rsidRPr="00E86C88" w:rsidRDefault="00514CBD" w:rsidP="00267779">
            <w:pPr>
              <w:spacing w:afterLines="160" w:after="384" w:line="276" w:lineRule="auto"/>
              <w:jc w:val="center"/>
              <w:rPr>
                <w:rFonts w:ascii="Arial" w:hAnsi="Arial" w:cs="Arial"/>
                <w:b/>
                <w:bCs/>
                <w:sz w:val="20"/>
                <w:szCs w:val="20"/>
              </w:rPr>
            </w:pPr>
            <w:r w:rsidRPr="00E86C88">
              <w:rPr>
                <w:rFonts w:ascii="Arial" w:hAnsi="Arial" w:cs="Arial"/>
                <w:b/>
                <w:bCs/>
                <w:sz w:val="20"/>
                <w:szCs w:val="20"/>
              </w:rPr>
              <w:t>Stakeholder</w:t>
            </w:r>
          </w:p>
        </w:tc>
        <w:tc>
          <w:tcPr>
            <w:tcW w:w="1215" w:type="pct"/>
            <w:shd w:val="clear" w:color="auto" w:fill="D9D9D9" w:themeFill="background1" w:themeFillShade="D9"/>
          </w:tcPr>
          <w:p w14:paraId="08B23774" w14:textId="77777777" w:rsidR="00514CBD" w:rsidRPr="00E86C88" w:rsidRDefault="00514CBD" w:rsidP="00267779">
            <w:pPr>
              <w:spacing w:afterLines="160" w:after="384" w:line="276" w:lineRule="auto"/>
              <w:jc w:val="center"/>
              <w:rPr>
                <w:rFonts w:ascii="Arial" w:hAnsi="Arial" w:cs="Arial"/>
                <w:b/>
                <w:bCs/>
                <w:sz w:val="20"/>
                <w:szCs w:val="20"/>
              </w:rPr>
            </w:pPr>
            <w:r w:rsidRPr="00E86C88">
              <w:rPr>
                <w:rFonts w:ascii="Arial" w:hAnsi="Arial" w:cs="Arial"/>
                <w:b/>
                <w:bCs/>
                <w:sz w:val="20"/>
                <w:szCs w:val="20"/>
              </w:rPr>
              <w:t>Power</w:t>
            </w:r>
          </w:p>
        </w:tc>
        <w:tc>
          <w:tcPr>
            <w:tcW w:w="809" w:type="pct"/>
            <w:shd w:val="clear" w:color="auto" w:fill="D9D9D9" w:themeFill="background1" w:themeFillShade="D9"/>
          </w:tcPr>
          <w:p w14:paraId="380610EB" w14:textId="77777777" w:rsidR="00514CBD" w:rsidRPr="00E86C88" w:rsidRDefault="00514CBD" w:rsidP="00267779">
            <w:pPr>
              <w:spacing w:afterLines="160" w:after="384" w:line="276" w:lineRule="auto"/>
              <w:jc w:val="center"/>
              <w:rPr>
                <w:rFonts w:ascii="Arial" w:hAnsi="Arial" w:cs="Arial"/>
                <w:b/>
                <w:bCs/>
                <w:sz w:val="20"/>
                <w:szCs w:val="20"/>
              </w:rPr>
            </w:pPr>
            <w:r w:rsidRPr="00E86C88">
              <w:rPr>
                <w:rFonts w:ascii="Arial" w:hAnsi="Arial" w:cs="Arial"/>
                <w:b/>
                <w:bCs/>
                <w:sz w:val="20"/>
                <w:szCs w:val="20"/>
              </w:rPr>
              <w:t>Interest</w:t>
            </w:r>
          </w:p>
        </w:tc>
        <w:tc>
          <w:tcPr>
            <w:tcW w:w="1701" w:type="pct"/>
            <w:shd w:val="clear" w:color="auto" w:fill="D9D9D9" w:themeFill="background1" w:themeFillShade="D9"/>
          </w:tcPr>
          <w:p w14:paraId="5BC3CE8D" w14:textId="77777777" w:rsidR="00514CBD" w:rsidRPr="00E86C88" w:rsidRDefault="00514CBD" w:rsidP="00267779">
            <w:pPr>
              <w:spacing w:afterLines="160" w:after="384" w:line="276" w:lineRule="auto"/>
              <w:jc w:val="center"/>
              <w:rPr>
                <w:rFonts w:ascii="Arial" w:hAnsi="Arial" w:cs="Arial"/>
                <w:b/>
                <w:bCs/>
                <w:sz w:val="20"/>
                <w:szCs w:val="20"/>
              </w:rPr>
            </w:pPr>
            <w:r w:rsidRPr="00E86C88">
              <w:rPr>
                <w:rFonts w:ascii="Arial" w:hAnsi="Arial" w:cs="Arial"/>
                <w:b/>
                <w:bCs/>
                <w:sz w:val="20"/>
                <w:szCs w:val="20"/>
              </w:rPr>
              <w:t>Engagement Strategy</w:t>
            </w:r>
          </w:p>
        </w:tc>
      </w:tr>
      <w:tr w:rsidR="00514CBD" w:rsidRPr="00514CBD" w14:paraId="593FFC7E" w14:textId="77777777" w:rsidTr="007E7840">
        <w:tc>
          <w:tcPr>
            <w:tcW w:w="1275" w:type="pct"/>
          </w:tcPr>
          <w:p w14:paraId="44527B57" w14:textId="77777777" w:rsidR="00F6428B" w:rsidRDefault="00F6428B" w:rsidP="00267779">
            <w:pPr>
              <w:spacing w:afterLines="160" w:after="384" w:line="276" w:lineRule="auto"/>
              <w:jc w:val="center"/>
              <w:rPr>
                <w:rFonts w:ascii="Arial" w:hAnsi="Arial" w:cs="Arial"/>
                <w:sz w:val="20"/>
                <w:szCs w:val="20"/>
              </w:rPr>
            </w:pPr>
          </w:p>
          <w:p w14:paraId="52B23F7F" w14:textId="5EE9A457"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Customers</w:t>
            </w:r>
          </w:p>
        </w:tc>
        <w:tc>
          <w:tcPr>
            <w:tcW w:w="1215" w:type="pct"/>
          </w:tcPr>
          <w:p w14:paraId="0C5BA496" w14:textId="77777777" w:rsidR="00F6428B" w:rsidRDefault="00F6428B" w:rsidP="00267779">
            <w:pPr>
              <w:spacing w:afterLines="160" w:after="384" w:line="276" w:lineRule="auto"/>
              <w:jc w:val="center"/>
              <w:rPr>
                <w:rFonts w:ascii="Arial" w:hAnsi="Arial" w:cs="Arial"/>
                <w:sz w:val="20"/>
                <w:szCs w:val="20"/>
              </w:rPr>
            </w:pPr>
          </w:p>
          <w:p w14:paraId="1B3ACF2C" w14:textId="5C88EF92"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809" w:type="pct"/>
          </w:tcPr>
          <w:p w14:paraId="1C5DFB93" w14:textId="77777777" w:rsidR="00F6428B" w:rsidRDefault="00F6428B" w:rsidP="00267779">
            <w:pPr>
              <w:spacing w:afterLines="160" w:after="384" w:line="276" w:lineRule="auto"/>
              <w:jc w:val="center"/>
              <w:rPr>
                <w:rFonts w:ascii="Arial" w:hAnsi="Arial" w:cs="Arial"/>
                <w:sz w:val="20"/>
                <w:szCs w:val="20"/>
              </w:rPr>
            </w:pPr>
          </w:p>
          <w:p w14:paraId="3A2A81E8" w14:textId="7C6DD3A9"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1701" w:type="pct"/>
          </w:tcPr>
          <w:p w14:paraId="0BC68098" w14:textId="77777777" w:rsidR="00514CBD" w:rsidRPr="00E86C88" w:rsidRDefault="00514CBD" w:rsidP="00267779">
            <w:pPr>
              <w:spacing w:afterLines="160" w:after="384" w:line="276" w:lineRule="auto"/>
              <w:rPr>
                <w:rFonts w:ascii="Arial" w:hAnsi="Arial" w:cs="Arial"/>
                <w:sz w:val="20"/>
                <w:szCs w:val="20"/>
              </w:rPr>
            </w:pPr>
            <w:r w:rsidRPr="00E86C88">
              <w:rPr>
                <w:rFonts w:ascii="Arial" w:hAnsi="Arial" w:cs="Arial"/>
                <w:sz w:val="20"/>
                <w:szCs w:val="20"/>
              </w:rPr>
              <w:t>Improve communication and monitor customer satisfaction using NPS and customer feedback.</w:t>
            </w:r>
          </w:p>
        </w:tc>
      </w:tr>
      <w:tr w:rsidR="00514CBD" w:rsidRPr="00514CBD" w14:paraId="5A441503" w14:textId="77777777" w:rsidTr="007E7840">
        <w:tc>
          <w:tcPr>
            <w:tcW w:w="1275" w:type="pct"/>
          </w:tcPr>
          <w:p w14:paraId="24FED2CC" w14:textId="77777777" w:rsidR="00F6428B" w:rsidRDefault="00F6428B" w:rsidP="00267779">
            <w:pPr>
              <w:spacing w:afterLines="160" w:after="384" w:line="276" w:lineRule="auto"/>
              <w:jc w:val="center"/>
              <w:rPr>
                <w:rFonts w:ascii="Arial" w:hAnsi="Arial" w:cs="Arial"/>
                <w:sz w:val="20"/>
                <w:szCs w:val="20"/>
              </w:rPr>
            </w:pPr>
          </w:p>
          <w:p w14:paraId="06C64D3C" w14:textId="582F2DD9"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Shareholders</w:t>
            </w:r>
          </w:p>
        </w:tc>
        <w:tc>
          <w:tcPr>
            <w:tcW w:w="1215" w:type="pct"/>
          </w:tcPr>
          <w:p w14:paraId="66AC6467" w14:textId="77777777" w:rsidR="00F6428B" w:rsidRDefault="00F6428B" w:rsidP="00267779">
            <w:pPr>
              <w:spacing w:afterLines="160" w:after="384" w:line="276" w:lineRule="auto"/>
              <w:jc w:val="center"/>
              <w:rPr>
                <w:rFonts w:ascii="Arial" w:hAnsi="Arial" w:cs="Arial"/>
                <w:sz w:val="20"/>
                <w:szCs w:val="20"/>
              </w:rPr>
            </w:pPr>
          </w:p>
          <w:p w14:paraId="008DBA03" w14:textId="32C5BB3A"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809" w:type="pct"/>
          </w:tcPr>
          <w:p w14:paraId="26EA0FD3" w14:textId="77777777" w:rsidR="00F6428B" w:rsidRDefault="00F6428B" w:rsidP="00267779">
            <w:pPr>
              <w:spacing w:afterLines="160" w:after="384" w:line="276" w:lineRule="auto"/>
              <w:jc w:val="center"/>
              <w:rPr>
                <w:rFonts w:ascii="Arial" w:hAnsi="Arial" w:cs="Arial"/>
                <w:sz w:val="20"/>
                <w:szCs w:val="20"/>
              </w:rPr>
            </w:pPr>
          </w:p>
          <w:p w14:paraId="5825B5F1" w14:textId="438D8312"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1701" w:type="pct"/>
          </w:tcPr>
          <w:p w14:paraId="39C1C8E0" w14:textId="77777777" w:rsidR="00514CBD" w:rsidRPr="00E86C88" w:rsidRDefault="00514CBD" w:rsidP="00267779">
            <w:pPr>
              <w:spacing w:afterLines="160" w:after="384" w:line="276" w:lineRule="auto"/>
              <w:rPr>
                <w:rFonts w:ascii="Arial" w:hAnsi="Arial" w:cs="Arial"/>
                <w:sz w:val="20"/>
                <w:szCs w:val="20"/>
              </w:rPr>
            </w:pPr>
            <w:r w:rsidRPr="00E86C88">
              <w:rPr>
                <w:rFonts w:ascii="Arial" w:hAnsi="Arial" w:cs="Arial"/>
                <w:sz w:val="20"/>
                <w:szCs w:val="20"/>
              </w:rPr>
              <w:t>Provide regular updates on merger progress and financial performance.</w:t>
            </w:r>
          </w:p>
        </w:tc>
      </w:tr>
      <w:tr w:rsidR="00514CBD" w:rsidRPr="00514CBD" w14:paraId="3E2E34E5" w14:textId="77777777" w:rsidTr="007E7840">
        <w:tc>
          <w:tcPr>
            <w:tcW w:w="1275" w:type="pct"/>
          </w:tcPr>
          <w:p w14:paraId="524C6799" w14:textId="77777777" w:rsidR="00F6428B" w:rsidRDefault="00F6428B" w:rsidP="00267779">
            <w:pPr>
              <w:spacing w:afterLines="160" w:after="384" w:line="276" w:lineRule="auto"/>
              <w:jc w:val="center"/>
              <w:rPr>
                <w:rFonts w:ascii="Arial" w:hAnsi="Arial" w:cs="Arial"/>
                <w:sz w:val="20"/>
                <w:szCs w:val="20"/>
              </w:rPr>
            </w:pPr>
          </w:p>
          <w:p w14:paraId="00E6F38D" w14:textId="52925179"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Ofcom &amp; CMA</w:t>
            </w:r>
          </w:p>
        </w:tc>
        <w:tc>
          <w:tcPr>
            <w:tcW w:w="1215" w:type="pct"/>
          </w:tcPr>
          <w:p w14:paraId="2A279332" w14:textId="77777777" w:rsidR="00F6428B" w:rsidRDefault="00F6428B" w:rsidP="00267779">
            <w:pPr>
              <w:spacing w:afterLines="160" w:after="384" w:line="276" w:lineRule="auto"/>
              <w:jc w:val="center"/>
              <w:rPr>
                <w:rFonts w:ascii="Arial" w:hAnsi="Arial" w:cs="Arial"/>
                <w:sz w:val="20"/>
                <w:szCs w:val="20"/>
              </w:rPr>
            </w:pPr>
          </w:p>
          <w:p w14:paraId="371A2B6F" w14:textId="7E94B66E"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809" w:type="pct"/>
          </w:tcPr>
          <w:p w14:paraId="522DD692" w14:textId="77777777" w:rsidR="00F6428B" w:rsidRDefault="00F6428B" w:rsidP="00267779">
            <w:pPr>
              <w:spacing w:afterLines="160" w:after="384" w:line="276" w:lineRule="auto"/>
              <w:jc w:val="center"/>
              <w:rPr>
                <w:rFonts w:ascii="Arial" w:hAnsi="Arial" w:cs="Arial"/>
                <w:sz w:val="20"/>
                <w:szCs w:val="20"/>
              </w:rPr>
            </w:pPr>
          </w:p>
          <w:p w14:paraId="0201188C" w14:textId="253DE2AD"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1701" w:type="pct"/>
          </w:tcPr>
          <w:p w14:paraId="7F175BEB" w14:textId="77777777" w:rsidR="00514CBD" w:rsidRPr="00E86C88" w:rsidRDefault="00514CBD" w:rsidP="00267779">
            <w:pPr>
              <w:spacing w:afterLines="160" w:after="384" w:line="276" w:lineRule="auto"/>
              <w:rPr>
                <w:rFonts w:ascii="Arial" w:hAnsi="Arial" w:cs="Arial"/>
                <w:sz w:val="20"/>
                <w:szCs w:val="20"/>
              </w:rPr>
            </w:pPr>
            <w:r w:rsidRPr="00E86C88">
              <w:rPr>
                <w:rFonts w:ascii="Arial" w:hAnsi="Arial" w:cs="Arial"/>
                <w:sz w:val="20"/>
                <w:szCs w:val="20"/>
              </w:rPr>
              <w:t>Maintain regulatory compliance and report progress against merger commitments.</w:t>
            </w:r>
          </w:p>
        </w:tc>
      </w:tr>
      <w:tr w:rsidR="00514CBD" w:rsidRPr="00514CBD" w14:paraId="698DD79B" w14:textId="77777777" w:rsidTr="007E7840">
        <w:tc>
          <w:tcPr>
            <w:tcW w:w="1275" w:type="pct"/>
          </w:tcPr>
          <w:p w14:paraId="4CA0DEDB" w14:textId="77777777" w:rsidR="00F6428B" w:rsidRDefault="00F6428B" w:rsidP="00267779">
            <w:pPr>
              <w:spacing w:afterLines="160" w:after="384" w:line="276" w:lineRule="auto"/>
              <w:jc w:val="center"/>
              <w:rPr>
                <w:rFonts w:ascii="Arial" w:hAnsi="Arial" w:cs="Arial"/>
                <w:sz w:val="20"/>
                <w:szCs w:val="20"/>
              </w:rPr>
            </w:pPr>
          </w:p>
          <w:p w14:paraId="0DAFFC9A" w14:textId="0B86C785"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Employees</w:t>
            </w:r>
          </w:p>
        </w:tc>
        <w:tc>
          <w:tcPr>
            <w:tcW w:w="1215" w:type="pct"/>
          </w:tcPr>
          <w:p w14:paraId="7384E1C2" w14:textId="77777777" w:rsidR="00F6428B" w:rsidRDefault="00F6428B" w:rsidP="00267779">
            <w:pPr>
              <w:spacing w:afterLines="160" w:after="384" w:line="276" w:lineRule="auto"/>
              <w:jc w:val="center"/>
              <w:rPr>
                <w:rFonts w:ascii="Arial" w:hAnsi="Arial" w:cs="Arial"/>
                <w:sz w:val="20"/>
                <w:szCs w:val="20"/>
              </w:rPr>
            </w:pPr>
          </w:p>
          <w:p w14:paraId="337A5765" w14:textId="4B46BB1B"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Medium</w:t>
            </w:r>
          </w:p>
        </w:tc>
        <w:tc>
          <w:tcPr>
            <w:tcW w:w="809" w:type="pct"/>
          </w:tcPr>
          <w:p w14:paraId="1EB0A90A" w14:textId="77777777" w:rsidR="00F6428B" w:rsidRDefault="00F6428B" w:rsidP="00267779">
            <w:pPr>
              <w:spacing w:afterLines="160" w:after="384" w:line="276" w:lineRule="auto"/>
              <w:jc w:val="center"/>
              <w:rPr>
                <w:rFonts w:ascii="Arial" w:hAnsi="Arial" w:cs="Arial"/>
                <w:sz w:val="20"/>
                <w:szCs w:val="20"/>
              </w:rPr>
            </w:pPr>
          </w:p>
          <w:p w14:paraId="7777810D" w14:textId="023DFA1C"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High</w:t>
            </w:r>
          </w:p>
        </w:tc>
        <w:tc>
          <w:tcPr>
            <w:tcW w:w="1701" w:type="pct"/>
          </w:tcPr>
          <w:p w14:paraId="3E9EB4E0" w14:textId="77777777" w:rsidR="00514CBD" w:rsidRPr="00E86C88" w:rsidRDefault="00514CBD" w:rsidP="00267779">
            <w:pPr>
              <w:spacing w:afterLines="160" w:after="384" w:line="276" w:lineRule="auto"/>
              <w:rPr>
                <w:rFonts w:ascii="Arial" w:hAnsi="Arial" w:cs="Arial"/>
                <w:sz w:val="20"/>
                <w:szCs w:val="20"/>
              </w:rPr>
            </w:pPr>
            <w:r w:rsidRPr="00E86C88">
              <w:rPr>
                <w:rFonts w:ascii="Arial" w:hAnsi="Arial" w:cs="Arial"/>
                <w:sz w:val="20"/>
                <w:szCs w:val="20"/>
              </w:rPr>
              <w:t>Provide training, communicate organisational change and encourage employee engagement.</w:t>
            </w:r>
          </w:p>
        </w:tc>
      </w:tr>
      <w:tr w:rsidR="00514CBD" w:rsidRPr="00514CBD" w14:paraId="36A840A8" w14:textId="77777777" w:rsidTr="007E7840">
        <w:tc>
          <w:tcPr>
            <w:tcW w:w="1275" w:type="pct"/>
          </w:tcPr>
          <w:p w14:paraId="4F4E57B0" w14:textId="77777777" w:rsidR="00F6428B" w:rsidRDefault="00F6428B" w:rsidP="00267779">
            <w:pPr>
              <w:spacing w:afterLines="160" w:after="384" w:line="276" w:lineRule="auto"/>
              <w:jc w:val="center"/>
              <w:rPr>
                <w:rFonts w:ascii="Arial" w:hAnsi="Arial" w:cs="Arial"/>
                <w:sz w:val="20"/>
                <w:szCs w:val="20"/>
              </w:rPr>
            </w:pPr>
          </w:p>
          <w:p w14:paraId="0195342C" w14:textId="2BE6C633"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Technology Partners</w:t>
            </w:r>
          </w:p>
        </w:tc>
        <w:tc>
          <w:tcPr>
            <w:tcW w:w="1215" w:type="pct"/>
          </w:tcPr>
          <w:p w14:paraId="621A7426" w14:textId="77777777" w:rsidR="00F6428B" w:rsidRDefault="00F6428B" w:rsidP="00267779">
            <w:pPr>
              <w:spacing w:afterLines="160" w:after="384" w:line="276" w:lineRule="auto"/>
              <w:jc w:val="center"/>
              <w:rPr>
                <w:rFonts w:ascii="Arial" w:hAnsi="Arial" w:cs="Arial"/>
                <w:sz w:val="20"/>
                <w:szCs w:val="20"/>
              </w:rPr>
            </w:pPr>
          </w:p>
          <w:p w14:paraId="53FF2DD0" w14:textId="4BD5BF58"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Medium</w:t>
            </w:r>
          </w:p>
        </w:tc>
        <w:tc>
          <w:tcPr>
            <w:tcW w:w="809" w:type="pct"/>
          </w:tcPr>
          <w:p w14:paraId="2961BA89" w14:textId="77777777" w:rsidR="00F6428B" w:rsidRDefault="00F6428B" w:rsidP="00267779">
            <w:pPr>
              <w:spacing w:afterLines="160" w:after="384" w:line="276" w:lineRule="auto"/>
              <w:jc w:val="center"/>
              <w:rPr>
                <w:rFonts w:ascii="Arial" w:hAnsi="Arial" w:cs="Arial"/>
                <w:sz w:val="20"/>
                <w:szCs w:val="20"/>
              </w:rPr>
            </w:pPr>
          </w:p>
          <w:p w14:paraId="7F8D5662" w14:textId="7A51A632" w:rsidR="00514CBD" w:rsidRPr="00E86C88" w:rsidRDefault="00514CBD" w:rsidP="00267779">
            <w:pPr>
              <w:spacing w:afterLines="160" w:after="384" w:line="276" w:lineRule="auto"/>
              <w:jc w:val="center"/>
              <w:rPr>
                <w:rFonts w:ascii="Arial" w:hAnsi="Arial" w:cs="Arial"/>
                <w:sz w:val="20"/>
                <w:szCs w:val="20"/>
              </w:rPr>
            </w:pPr>
            <w:r w:rsidRPr="00E86C88">
              <w:rPr>
                <w:rFonts w:ascii="Arial" w:hAnsi="Arial" w:cs="Arial"/>
                <w:sz w:val="20"/>
                <w:szCs w:val="20"/>
              </w:rPr>
              <w:t>Medium</w:t>
            </w:r>
          </w:p>
        </w:tc>
        <w:tc>
          <w:tcPr>
            <w:tcW w:w="1701" w:type="pct"/>
          </w:tcPr>
          <w:p w14:paraId="6C37E064" w14:textId="77777777" w:rsidR="00514CBD" w:rsidRPr="00E86C88" w:rsidRDefault="00514CBD" w:rsidP="00267779">
            <w:pPr>
              <w:spacing w:afterLines="160" w:after="384" w:line="276" w:lineRule="auto"/>
              <w:rPr>
                <w:rFonts w:ascii="Arial" w:hAnsi="Arial" w:cs="Arial"/>
                <w:sz w:val="20"/>
                <w:szCs w:val="20"/>
              </w:rPr>
            </w:pPr>
            <w:r w:rsidRPr="00E86C88">
              <w:rPr>
                <w:rFonts w:ascii="Arial" w:hAnsi="Arial" w:cs="Arial"/>
                <w:sz w:val="20"/>
                <w:szCs w:val="20"/>
              </w:rPr>
              <w:t>Build long-term partnerships to support innovation and infrastructure.</w:t>
            </w:r>
          </w:p>
        </w:tc>
      </w:tr>
    </w:tbl>
    <w:p w14:paraId="40BD4021" w14:textId="77777777" w:rsidR="00C54AC8" w:rsidRPr="00C54AC8" w:rsidRDefault="00C54AC8" w:rsidP="00267779">
      <w:pPr>
        <w:spacing w:afterLines="160" w:after="384" w:line="276" w:lineRule="auto"/>
        <w:ind w:left="720"/>
        <w:rPr>
          <w:rFonts w:ascii="Arial" w:hAnsi="Arial" w:cs="Arial"/>
          <w:vanish/>
          <w:sz w:val="22"/>
          <w:szCs w:val="22"/>
        </w:rPr>
      </w:pPr>
    </w:p>
    <w:p w14:paraId="66660B4E" w14:textId="109247E7" w:rsidR="001C4432" w:rsidRPr="00B90274" w:rsidRDefault="00F15BC1" w:rsidP="00267779">
      <w:pPr>
        <w:spacing w:afterLines="160" w:after="384" w:line="276" w:lineRule="auto"/>
        <w:ind w:left="720"/>
        <w:rPr>
          <w:rFonts w:ascii="Arial" w:hAnsi="Arial" w:cs="Arial"/>
          <w:sz w:val="22"/>
          <w:szCs w:val="22"/>
        </w:rPr>
      </w:pPr>
      <w:r>
        <w:rPr>
          <w:rFonts w:ascii="Arial" w:hAnsi="Arial" w:cs="Arial"/>
          <w:sz w:val="22"/>
          <w:szCs w:val="22"/>
        </w:rPr>
        <w:br/>
      </w:r>
      <w:r w:rsidR="00102072" w:rsidRPr="00102072">
        <w:rPr>
          <w:rFonts w:ascii="Arial" w:hAnsi="Arial" w:cs="Arial"/>
          <w:b/>
          <w:bCs/>
          <w:sz w:val="22"/>
          <w:szCs w:val="22"/>
        </w:rPr>
        <w:t>Source:</w:t>
      </w:r>
      <w:r w:rsidR="00102072" w:rsidRPr="00102072">
        <w:rPr>
          <w:rFonts w:ascii="Arial" w:hAnsi="Arial" w:cs="Arial"/>
          <w:sz w:val="22"/>
          <w:szCs w:val="22"/>
        </w:rPr>
        <w:t xml:space="preserve"> Author's own compilation based on Freeman (1984), Johnson et al. (2020), Competition and Markets Authority (2025) and Ofcom (2025).</w:t>
      </w:r>
      <w:r w:rsidR="00102072">
        <w:rPr>
          <w:rFonts w:ascii="Arial" w:hAnsi="Arial" w:cs="Arial"/>
          <w:sz w:val="22"/>
          <w:szCs w:val="22"/>
        </w:rPr>
        <w:br/>
      </w:r>
      <w:r w:rsidR="00102072">
        <w:rPr>
          <w:rFonts w:ascii="Arial" w:hAnsi="Arial" w:cs="Arial"/>
          <w:sz w:val="22"/>
          <w:szCs w:val="22"/>
        </w:rPr>
        <w:br/>
      </w:r>
      <w:r w:rsidR="00102072" w:rsidRPr="00102072">
        <w:rPr>
          <w:rFonts w:ascii="Arial" w:hAnsi="Arial" w:cs="Arial"/>
          <w:sz w:val="22"/>
          <w:szCs w:val="22"/>
        </w:rPr>
        <w:t xml:space="preserve">As shown in Table 2, customers, shareholders and regulators represent </w:t>
      </w:r>
      <w:proofErr w:type="spellStart"/>
      <w:r w:rsidR="00102072" w:rsidRPr="00102072">
        <w:rPr>
          <w:rFonts w:ascii="Arial" w:hAnsi="Arial" w:cs="Arial"/>
          <w:sz w:val="22"/>
          <w:szCs w:val="22"/>
        </w:rPr>
        <w:t>VodafoneThree's</w:t>
      </w:r>
      <w:proofErr w:type="spellEnd"/>
      <w:r w:rsidR="00102072" w:rsidRPr="00102072">
        <w:rPr>
          <w:rFonts w:ascii="Arial" w:hAnsi="Arial" w:cs="Arial"/>
          <w:sz w:val="22"/>
          <w:szCs w:val="22"/>
        </w:rPr>
        <w:t xml:space="preserve"> highest-priority stakeholders because they possess both high power and high interest in the organisation's strategic success.</w:t>
      </w:r>
    </w:p>
    <w:p w14:paraId="2B59CEBD" w14:textId="1EA8D250" w:rsidR="001C4432" w:rsidRPr="00B90274" w:rsidRDefault="00AF5945"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Customers represent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highest priority because customer satisfaction directly influences retention, revenue and brand reputation, supporting Freeman's (1984) view that organisations achieve long-term success by balancing stakeholder </w:t>
      </w:r>
      <w:r w:rsidR="005909F5" w:rsidRPr="00B90274">
        <w:rPr>
          <w:rFonts w:ascii="Arial" w:hAnsi="Arial" w:cs="Arial"/>
          <w:sz w:val="22"/>
          <w:szCs w:val="22"/>
        </w:rPr>
        <w:t>interests. Shareholders</w:t>
      </w:r>
      <w:r w:rsidR="001C4432" w:rsidRPr="00B90274">
        <w:rPr>
          <w:rFonts w:ascii="Arial" w:hAnsi="Arial" w:cs="Arial"/>
          <w:sz w:val="22"/>
          <w:szCs w:val="22"/>
        </w:rPr>
        <w:t xml:space="preserve"> expect sustainable financial returns, while regulators seek compliance with competition legislation and consumer protection commitments. Employees also play a critical role by supporting operational integration and delivering improved customer experiences.</w:t>
      </w:r>
    </w:p>
    <w:p w14:paraId="2F5CE20E" w14:textId="77777777" w:rsidR="001C4432" w:rsidRPr="00B90274" w:rsidRDefault="001C4432" w:rsidP="00267779">
      <w:pPr>
        <w:spacing w:afterLines="160" w:after="384" w:line="276" w:lineRule="auto"/>
        <w:ind w:left="720"/>
        <w:rPr>
          <w:rFonts w:ascii="Arial" w:hAnsi="Arial" w:cs="Arial"/>
          <w:sz w:val="22"/>
          <w:szCs w:val="22"/>
        </w:rPr>
      </w:pPr>
      <w:r w:rsidRPr="00B90274">
        <w:rPr>
          <w:rFonts w:ascii="Arial" w:hAnsi="Arial" w:cs="Arial"/>
          <w:sz w:val="22"/>
          <w:szCs w:val="22"/>
        </w:rPr>
        <w:lastRenderedPageBreak/>
        <w:t xml:space="preserve">Effective stakeholder engagement will reduce resistance to organisational change, strengthen stakeholder confidence and increase the likelihood of successfully implementing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proposed growth strategy.</w:t>
      </w:r>
    </w:p>
    <w:p w14:paraId="51946019" w14:textId="25317468" w:rsidR="00B04442" w:rsidRPr="004A3526" w:rsidRDefault="00B04442" w:rsidP="00267779">
      <w:pPr>
        <w:pStyle w:val="Heading1"/>
        <w:spacing w:line="276" w:lineRule="auto"/>
        <w:rPr>
          <w:rFonts w:ascii="Arial" w:hAnsi="Arial" w:cs="Arial"/>
          <w:color w:val="auto"/>
          <w:sz w:val="24"/>
          <w:szCs w:val="24"/>
        </w:rPr>
      </w:pPr>
      <w:bookmarkStart w:id="8" w:name="_Toc234847076"/>
      <w:r w:rsidRPr="004A3526">
        <w:rPr>
          <w:rFonts w:ascii="Arial" w:hAnsi="Arial" w:cs="Arial"/>
          <w:color w:val="auto"/>
          <w:sz w:val="24"/>
          <w:szCs w:val="24"/>
        </w:rPr>
        <w:t>6. Implementation and Monitoring</w:t>
      </w:r>
      <w:bookmarkEnd w:id="8"/>
    </w:p>
    <w:p w14:paraId="443778D9" w14:textId="77777777" w:rsidR="00B04442" w:rsidRPr="00B90274" w:rsidRDefault="00B0444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The successful implementation of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differentiation-led product development strategy requires a phased approach supported by effective governance, resource allocation and continuous performance monitoring. As the organisation continues integrating Vodafone and Three UK, implementation should minimise operational disruption while delivering measurable improvements in customer experience and business performance.</w:t>
      </w:r>
    </w:p>
    <w:p w14:paraId="3F765048" w14:textId="4B7E8A01" w:rsidR="00B04442" w:rsidRPr="00B90274" w:rsidRDefault="00650642" w:rsidP="00267779">
      <w:pPr>
        <w:spacing w:afterLines="160" w:after="384" w:line="276" w:lineRule="auto"/>
        <w:ind w:left="720"/>
        <w:rPr>
          <w:rFonts w:ascii="Arial" w:hAnsi="Arial" w:cs="Arial"/>
          <w:sz w:val="22"/>
          <w:szCs w:val="22"/>
        </w:rPr>
      </w:pPr>
      <w:r w:rsidRPr="00650642">
        <w:rPr>
          <w:rFonts w:ascii="Arial" w:hAnsi="Arial" w:cs="Arial"/>
          <w:sz w:val="22"/>
          <w:szCs w:val="22"/>
        </w:rPr>
        <w:t xml:space="preserve">The first phase should focus on integrating network infrastructure, information systems and operational processes to realise merger synergies, improve service reliability and establish a platform for future innovation. Following integration, </w:t>
      </w:r>
      <w:proofErr w:type="spellStart"/>
      <w:r w:rsidRPr="00650642">
        <w:rPr>
          <w:rFonts w:ascii="Arial" w:hAnsi="Arial" w:cs="Arial"/>
          <w:sz w:val="22"/>
          <w:szCs w:val="22"/>
        </w:rPr>
        <w:t>VodafoneThree</w:t>
      </w:r>
      <w:proofErr w:type="spellEnd"/>
      <w:r w:rsidRPr="00650642">
        <w:rPr>
          <w:rFonts w:ascii="Arial" w:hAnsi="Arial" w:cs="Arial"/>
          <w:sz w:val="22"/>
          <w:szCs w:val="22"/>
        </w:rPr>
        <w:t xml:space="preserve"> should accelerate the development of AI, IoT and converged digital services (Vodafone Group Plc, 2025).</w:t>
      </w:r>
      <w:r w:rsidR="00E732A0">
        <w:rPr>
          <w:rFonts w:ascii="Arial" w:hAnsi="Arial" w:cs="Arial"/>
          <w:sz w:val="22"/>
          <w:szCs w:val="22"/>
        </w:rPr>
        <w:br/>
      </w:r>
      <w:r w:rsidR="00E732A0">
        <w:rPr>
          <w:rFonts w:ascii="Arial" w:hAnsi="Arial" w:cs="Arial"/>
          <w:sz w:val="22"/>
          <w:szCs w:val="22"/>
        </w:rPr>
        <w:br/>
      </w:r>
      <w:r w:rsidR="00E732A0" w:rsidRPr="00CE3678">
        <w:rPr>
          <w:rFonts w:ascii="Arial" w:hAnsi="Arial" w:cs="Arial"/>
          <w:b/>
          <w:bCs/>
          <w:sz w:val="22"/>
          <w:szCs w:val="22"/>
        </w:rPr>
        <w:t>Table 3. Strategic Implementation Plan and KPIs</w:t>
      </w:r>
      <w:r>
        <w:rPr>
          <w:rFonts w:ascii="Arial" w:hAnsi="Arial" w:cs="Arial"/>
          <w:sz w:val="22"/>
          <w:szCs w:val="22"/>
        </w:rPr>
        <w:br/>
      </w:r>
      <w:r w:rsidR="00672DD6">
        <w:rPr>
          <w:rFonts w:ascii="Arial" w:hAnsi="Arial" w:cs="Arial"/>
          <w:sz w:val="22"/>
          <w:szCs w:val="22"/>
        </w:rPr>
        <w:br/>
      </w:r>
      <w:r w:rsidR="00392998" w:rsidRPr="00392998">
        <w:rPr>
          <w:rFonts w:ascii="Arial" w:hAnsi="Arial" w:cs="Arial"/>
          <w:sz w:val="22"/>
          <w:szCs w:val="22"/>
        </w:rPr>
        <w:t>Table 3 summarises the implementation plan and key performance indicators (KPIs).</w:t>
      </w:r>
    </w:p>
    <w:tbl>
      <w:tblPr>
        <w:tblStyle w:val="TableGrid"/>
        <w:tblW w:w="0" w:type="auto"/>
        <w:tblInd w:w="720" w:type="dxa"/>
        <w:tblLook w:val="04A0" w:firstRow="1" w:lastRow="0" w:firstColumn="1" w:lastColumn="0" w:noHBand="0" w:noVBand="1"/>
      </w:tblPr>
      <w:tblGrid>
        <w:gridCol w:w="2763"/>
        <w:gridCol w:w="2765"/>
        <w:gridCol w:w="2768"/>
      </w:tblGrid>
      <w:tr w:rsidR="001A03D8" w:rsidRPr="001A03D8" w14:paraId="66238899" w14:textId="77777777" w:rsidTr="008A1514">
        <w:tc>
          <w:tcPr>
            <w:tcW w:w="2763" w:type="dxa"/>
            <w:shd w:val="clear" w:color="auto" w:fill="D9D9D9" w:themeFill="background1" w:themeFillShade="D9"/>
          </w:tcPr>
          <w:p w14:paraId="66AF9090" w14:textId="77777777" w:rsidR="001A03D8" w:rsidRPr="007C5365" w:rsidRDefault="001A03D8" w:rsidP="00267779">
            <w:pPr>
              <w:spacing w:afterLines="160" w:after="384" w:line="276" w:lineRule="auto"/>
              <w:jc w:val="center"/>
              <w:rPr>
                <w:rFonts w:ascii="Arial" w:hAnsi="Arial" w:cs="Arial"/>
                <w:b/>
                <w:bCs/>
                <w:sz w:val="20"/>
                <w:szCs w:val="20"/>
              </w:rPr>
            </w:pPr>
            <w:r w:rsidRPr="007C5365">
              <w:rPr>
                <w:rFonts w:ascii="Arial" w:hAnsi="Arial" w:cs="Arial"/>
                <w:b/>
                <w:bCs/>
                <w:sz w:val="20"/>
                <w:szCs w:val="20"/>
              </w:rPr>
              <w:t>Strategic Objective</w:t>
            </w:r>
          </w:p>
        </w:tc>
        <w:tc>
          <w:tcPr>
            <w:tcW w:w="2765" w:type="dxa"/>
            <w:shd w:val="clear" w:color="auto" w:fill="D9D9D9" w:themeFill="background1" w:themeFillShade="D9"/>
          </w:tcPr>
          <w:p w14:paraId="7849E1D0" w14:textId="77777777" w:rsidR="001A03D8" w:rsidRPr="007C5365" w:rsidRDefault="001A03D8" w:rsidP="00267779">
            <w:pPr>
              <w:spacing w:afterLines="160" w:after="384" w:line="276" w:lineRule="auto"/>
              <w:jc w:val="center"/>
              <w:rPr>
                <w:rFonts w:ascii="Arial" w:hAnsi="Arial" w:cs="Arial"/>
                <w:b/>
                <w:bCs/>
                <w:sz w:val="20"/>
                <w:szCs w:val="20"/>
              </w:rPr>
            </w:pPr>
            <w:r w:rsidRPr="007C5365">
              <w:rPr>
                <w:rFonts w:ascii="Arial" w:hAnsi="Arial" w:cs="Arial"/>
                <w:b/>
                <w:bCs/>
                <w:sz w:val="20"/>
                <w:szCs w:val="20"/>
              </w:rPr>
              <w:t>Key Actions</w:t>
            </w:r>
          </w:p>
        </w:tc>
        <w:tc>
          <w:tcPr>
            <w:tcW w:w="2768" w:type="dxa"/>
            <w:shd w:val="clear" w:color="auto" w:fill="D9D9D9" w:themeFill="background1" w:themeFillShade="D9"/>
          </w:tcPr>
          <w:p w14:paraId="4568F248" w14:textId="77777777" w:rsidR="001A03D8" w:rsidRPr="007C5365" w:rsidRDefault="001A03D8" w:rsidP="00267779">
            <w:pPr>
              <w:spacing w:afterLines="160" w:after="384" w:line="276" w:lineRule="auto"/>
              <w:jc w:val="center"/>
              <w:rPr>
                <w:rFonts w:ascii="Arial" w:hAnsi="Arial" w:cs="Arial"/>
                <w:b/>
                <w:bCs/>
                <w:sz w:val="20"/>
                <w:szCs w:val="20"/>
              </w:rPr>
            </w:pPr>
            <w:r w:rsidRPr="007C5365">
              <w:rPr>
                <w:rFonts w:ascii="Arial" w:hAnsi="Arial" w:cs="Arial"/>
                <w:b/>
                <w:bCs/>
                <w:sz w:val="20"/>
                <w:szCs w:val="20"/>
              </w:rPr>
              <w:t>Key Performance Indicators (KPIs)</w:t>
            </w:r>
          </w:p>
        </w:tc>
      </w:tr>
      <w:tr w:rsidR="001A03D8" w:rsidRPr="001A03D8" w14:paraId="1BA32230" w14:textId="77777777" w:rsidTr="001A03D8">
        <w:tc>
          <w:tcPr>
            <w:tcW w:w="2763" w:type="dxa"/>
          </w:tcPr>
          <w:p w14:paraId="7C3C4A9E"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Improve network performance</w:t>
            </w:r>
          </w:p>
        </w:tc>
        <w:tc>
          <w:tcPr>
            <w:tcW w:w="2765" w:type="dxa"/>
          </w:tcPr>
          <w:p w14:paraId="300784F6"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Complete network integration and expand standalone 5G coverage.</w:t>
            </w:r>
          </w:p>
        </w:tc>
        <w:tc>
          <w:tcPr>
            <w:tcW w:w="2768" w:type="dxa"/>
          </w:tcPr>
          <w:p w14:paraId="2B84AB0F"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5G coverage, network availability and average download speeds.</w:t>
            </w:r>
          </w:p>
        </w:tc>
      </w:tr>
      <w:tr w:rsidR="001A03D8" w:rsidRPr="001A03D8" w14:paraId="5722DB42" w14:textId="77777777" w:rsidTr="001A03D8">
        <w:tc>
          <w:tcPr>
            <w:tcW w:w="2763" w:type="dxa"/>
          </w:tcPr>
          <w:p w14:paraId="5C6346B4"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Enhance customer experience</w:t>
            </w:r>
          </w:p>
        </w:tc>
        <w:tc>
          <w:tcPr>
            <w:tcW w:w="2765" w:type="dxa"/>
          </w:tcPr>
          <w:p w14:paraId="679C5B3A"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Introduce AI-powered customer support and digital services.</w:t>
            </w:r>
          </w:p>
        </w:tc>
        <w:tc>
          <w:tcPr>
            <w:tcW w:w="2768" w:type="dxa"/>
          </w:tcPr>
          <w:p w14:paraId="7464B93A"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Net Promoter Score (NPS), Customer Satisfaction Score (CSAT) and complaint volumes.</w:t>
            </w:r>
          </w:p>
        </w:tc>
      </w:tr>
      <w:tr w:rsidR="001A03D8" w:rsidRPr="001A03D8" w14:paraId="7BE28C58" w14:textId="77777777" w:rsidTr="001A03D8">
        <w:tc>
          <w:tcPr>
            <w:tcW w:w="2763" w:type="dxa"/>
          </w:tcPr>
          <w:p w14:paraId="6F42501C"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Increase customer retention</w:t>
            </w:r>
          </w:p>
        </w:tc>
        <w:tc>
          <w:tcPr>
            <w:tcW w:w="2765" w:type="dxa"/>
          </w:tcPr>
          <w:p w14:paraId="5E0839E8"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Develop personalised broadband and mobile packages.</w:t>
            </w:r>
          </w:p>
        </w:tc>
        <w:tc>
          <w:tcPr>
            <w:tcW w:w="2768" w:type="dxa"/>
          </w:tcPr>
          <w:p w14:paraId="7CA25D4F"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Customer retention rate and monthly churn rate.</w:t>
            </w:r>
          </w:p>
        </w:tc>
      </w:tr>
      <w:tr w:rsidR="001A03D8" w:rsidRPr="001A03D8" w14:paraId="3DF24247" w14:textId="77777777" w:rsidTr="001A03D8">
        <w:tc>
          <w:tcPr>
            <w:tcW w:w="2763" w:type="dxa"/>
          </w:tcPr>
          <w:p w14:paraId="3D2EF47F"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Improve financial performance</w:t>
            </w:r>
          </w:p>
        </w:tc>
        <w:tc>
          <w:tcPr>
            <w:tcW w:w="2765" w:type="dxa"/>
          </w:tcPr>
          <w:p w14:paraId="4D666E99"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Deliver merger synergies and increase digital service revenue.</w:t>
            </w:r>
          </w:p>
        </w:tc>
        <w:tc>
          <w:tcPr>
            <w:tcW w:w="2768" w:type="dxa"/>
          </w:tcPr>
          <w:p w14:paraId="6DADC1D7" w14:textId="77777777" w:rsidR="001A03D8" w:rsidRPr="007C5365" w:rsidRDefault="001A03D8" w:rsidP="00267779">
            <w:pPr>
              <w:spacing w:afterLines="160" w:after="384" w:line="276" w:lineRule="auto"/>
              <w:rPr>
                <w:rFonts w:ascii="Arial" w:hAnsi="Arial" w:cs="Arial"/>
                <w:sz w:val="20"/>
                <w:szCs w:val="20"/>
              </w:rPr>
            </w:pPr>
            <w:r w:rsidRPr="007C5365">
              <w:rPr>
                <w:rFonts w:ascii="Arial" w:hAnsi="Arial" w:cs="Arial"/>
                <w:sz w:val="20"/>
                <w:szCs w:val="20"/>
              </w:rPr>
              <w:t>Service revenue growth, EBITDA and Return on Investment (ROI).</w:t>
            </w:r>
          </w:p>
        </w:tc>
      </w:tr>
    </w:tbl>
    <w:p w14:paraId="56EF0D61" w14:textId="5FFE08F9" w:rsidR="00B04442" w:rsidRPr="00B90274" w:rsidRDefault="0028149B" w:rsidP="00267779">
      <w:pPr>
        <w:spacing w:afterLines="160" w:after="384" w:line="276" w:lineRule="auto"/>
        <w:ind w:left="720"/>
        <w:rPr>
          <w:rFonts w:ascii="Arial" w:hAnsi="Arial" w:cs="Arial"/>
          <w:sz w:val="22"/>
          <w:szCs w:val="22"/>
        </w:rPr>
      </w:pPr>
      <w:r>
        <w:rPr>
          <w:rFonts w:ascii="Arial" w:hAnsi="Arial" w:cs="Arial"/>
          <w:sz w:val="22"/>
          <w:szCs w:val="22"/>
        </w:rPr>
        <w:br/>
      </w:r>
      <w:r w:rsidR="00F257BE" w:rsidRPr="00F257BE">
        <w:rPr>
          <w:rFonts w:ascii="Arial" w:hAnsi="Arial" w:cs="Arial"/>
          <w:b/>
          <w:bCs/>
          <w:sz w:val="22"/>
          <w:szCs w:val="22"/>
        </w:rPr>
        <w:t>Source:</w:t>
      </w:r>
      <w:r w:rsidR="00F257BE" w:rsidRPr="00F257BE">
        <w:rPr>
          <w:rFonts w:ascii="Arial" w:hAnsi="Arial" w:cs="Arial"/>
          <w:sz w:val="22"/>
          <w:szCs w:val="22"/>
        </w:rPr>
        <w:t xml:space="preserve"> Author's own compilation based on Johnson et al. (2020), Vodafone Group Plc (2025) and Ofcom (2025).</w:t>
      </w:r>
      <w:r w:rsidR="007C5365">
        <w:rPr>
          <w:rFonts w:ascii="Arial" w:hAnsi="Arial" w:cs="Arial"/>
          <w:sz w:val="22"/>
          <w:szCs w:val="22"/>
        </w:rPr>
        <w:br/>
      </w:r>
      <w:r>
        <w:rPr>
          <w:rFonts w:ascii="Arial" w:hAnsi="Arial" w:cs="Arial"/>
          <w:sz w:val="22"/>
          <w:szCs w:val="22"/>
        </w:rPr>
        <w:br/>
      </w:r>
      <w:r w:rsidRPr="0028149B">
        <w:rPr>
          <w:rFonts w:ascii="Arial" w:hAnsi="Arial" w:cs="Arial"/>
          <w:sz w:val="22"/>
          <w:szCs w:val="22"/>
        </w:rPr>
        <w:lastRenderedPageBreak/>
        <w:t xml:space="preserve">As shown in Table 3, </w:t>
      </w:r>
      <w:proofErr w:type="spellStart"/>
      <w:r w:rsidRPr="0028149B">
        <w:rPr>
          <w:rFonts w:ascii="Arial" w:hAnsi="Arial" w:cs="Arial"/>
          <w:sz w:val="22"/>
          <w:szCs w:val="22"/>
        </w:rPr>
        <w:t>VodafoneThree</w:t>
      </w:r>
      <w:proofErr w:type="spellEnd"/>
      <w:r w:rsidRPr="0028149B">
        <w:rPr>
          <w:rFonts w:ascii="Arial" w:hAnsi="Arial" w:cs="Arial"/>
          <w:sz w:val="22"/>
          <w:szCs w:val="22"/>
        </w:rPr>
        <w:t xml:space="preserve"> should monitor operational and financial performance through clearly defined KPIs to evaluate implementation progress and support timely corrective action.</w:t>
      </w:r>
      <w:r>
        <w:rPr>
          <w:rFonts w:ascii="Arial" w:hAnsi="Arial" w:cs="Arial"/>
          <w:sz w:val="22"/>
          <w:szCs w:val="22"/>
        </w:rPr>
        <w:br/>
      </w:r>
      <w:r w:rsidR="00C9367B">
        <w:rPr>
          <w:rFonts w:ascii="Arial" w:hAnsi="Arial" w:cs="Arial"/>
          <w:sz w:val="22"/>
          <w:szCs w:val="22"/>
        </w:rPr>
        <w:br/>
      </w:r>
      <w:r w:rsidR="00B04442" w:rsidRPr="00B90274">
        <w:rPr>
          <w:rFonts w:ascii="Arial" w:hAnsi="Arial" w:cs="Arial"/>
          <w:sz w:val="22"/>
          <w:szCs w:val="22"/>
        </w:rPr>
        <w:t>Senior management should review performance quarterly to ensure progress against strategic objectives. Where KPIs fall below target, corrective actions</w:t>
      </w:r>
      <w:r w:rsidR="00721CDC">
        <w:rPr>
          <w:rFonts w:ascii="Arial" w:hAnsi="Arial" w:cs="Arial"/>
          <w:sz w:val="22"/>
          <w:szCs w:val="22"/>
        </w:rPr>
        <w:t xml:space="preserve"> </w:t>
      </w:r>
      <w:r w:rsidR="00B04442" w:rsidRPr="00B90274">
        <w:rPr>
          <w:rFonts w:ascii="Arial" w:hAnsi="Arial" w:cs="Arial"/>
          <w:sz w:val="22"/>
          <w:szCs w:val="22"/>
        </w:rPr>
        <w:t>including additional investment, operational improvements or enhanced stakeholder engagement</w:t>
      </w:r>
      <w:r w:rsidR="00721CDC">
        <w:rPr>
          <w:rFonts w:ascii="Arial" w:hAnsi="Arial" w:cs="Arial"/>
          <w:sz w:val="22"/>
          <w:szCs w:val="22"/>
        </w:rPr>
        <w:t xml:space="preserve"> </w:t>
      </w:r>
      <w:r w:rsidR="00B04442" w:rsidRPr="00B90274">
        <w:rPr>
          <w:rFonts w:ascii="Arial" w:hAnsi="Arial" w:cs="Arial"/>
          <w:sz w:val="22"/>
          <w:szCs w:val="22"/>
        </w:rPr>
        <w:t xml:space="preserve">should be implemented promptly. Continuous risk management is equally important, with regular assessment of regulatory developments, cybersecurity threats, technological change and competitor activity. This structured implementation plan will help </w:t>
      </w:r>
      <w:proofErr w:type="spellStart"/>
      <w:r w:rsidR="00B04442" w:rsidRPr="00B90274">
        <w:rPr>
          <w:rFonts w:ascii="Arial" w:hAnsi="Arial" w:cs="Arial"/>
          <w:sz w:val="22"/>
          <w:szCs w:val="22"/>
        </w:rPr>
        <w:t>VodafoneThree</w:t>
      </w:r>
      <w:proofErr w:type="spellEnd"/>
      <w:r w:rsidR="00B04442" w:rsidRPr="00B90274">
        <w:rPr>
          <w:rFonts w:ascii="Arial" w:hAnsi="Arial" w:cs="Arial"/>
          <w:sz w:val="22"/>
          <w:szCs w:val="22"/>
        </w:rPr>
        <w:t xml:space="preserve"> maintain strategic focus while strengthening its long-term competitive advantage.</w:t>
      </w:r>
    </w:p>
    <w:p w14:paraId="29AE71DF" w14:textId="754B76EB" w:rsidR="00B04442" w:rsidRPr="004A3526" w:rsidRDefault="00B04442" w:rsidP="00267779">
      <w:pPr>
        <w:pStyle w:val="Heading1"/>
        <w:spacing w:line="276" w:lineRule="auto"/>
        <w:rPr>
          <w:rFonts w:ascii="Arial" w:hAnsi="Arial" w:cs="Arial"/>
          <w:color w:val="auto"/>
          <w:sz w:val="24"/>
          <w:szCs w:val="24"/>
        </w:rPr>
      </w:pPr>
      <w:bookmarkStart w:id="9" w:name="_Toc234847077"/>
      <w:r w:rsidRPr="004A3526">
        <w:rPr>
          <w:rFonts w:ascii="Arial" w:hAnsi="Arial" w:cs="Arial"/>
          <w:color w:val="auto"/>
          <w:sz w:val="24"/>
          <w:szCs w:val="24"/>
        </w:rPr>
        <w:t>7. Conclusion</w:t>
      </w:r>
      <w:bookmarkEnd w:id="9"/>
    </w:p>
    <w:p w14:paraId="24533CA6" w14:textId="77777777" w:rsidR="00B04442" w:rsidRPr="00B90274" w:rsidRDefault="00B0444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This report has critically evaluated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strategic position following the merger between Vodafone UK and Three UK using recognised strategic management frameworks, including PESTEL, Porter's Five Forces, SWOT Analysis, Ansoff's Matrix and the SFA framework. The analysis demonstrates that although the merger has strengthened </w:t>
      </w:r>
      <w:proofErr w:type="spellStart"/>
      <w:r w:rsidRPr="00B90274">
        <w:rPr>
          <w:rFonts w:ascii="Arial" w:hAnsi="Arial" w:cs="Arial"/>
          <w:sz w:val="22"/>
          <w:szCs w:val="22"/>
        </w:rPr>
        <w:t>VodafoneThree's</w:t>
      </w:r>
      <w:proofErr w:type="spellEnd"/>
      <w:r w:rsidRPr="00B90274">
        <w:rPr>
          <w:rFonts w:ascii="Arial" w:hAnsi="Arial" w:cs="Arial"/>
          <w:sz w:val="22"/>
          <w:szCs w:val="22"/>
        </w:rPr>
        <w:t xml:space="preserve"> market position through greater scale, enhanced network capability and substantial investment in 5G infrastructure, the organisation continues to face intense competition, evolving customer expectations and increasing regulatory oversight.</w:t>
      </w:r>
    </w:p>
    <w:p w14:paraId="284A6E78" w14:textId="77777777" w:rsidR="00B04442" w:rsidRPr="00B90274" w:rsidRDefault="00B04442" w:rsidP="00267779">
      <w:pPr>
        <w:spacing w:afterLines="160" w:after="384" w:line="276" w:lineRule="auto"/>
        <w:ind w:left="720"/>
        <w:rPr>
          <w:rFonts w:ascii="Arial" w:hAnsi="Arial" w:cs="Arial"/>
          <w:sz w:val="22"/>
          <w:szCs w:val="22"/>
        </w:rPr>
      </w:pPr>
      <w:r w:rsidRPr="00B90274">
        <w:rPr>
          <w:rFonts w:ascii="Arial" w:hAnsi="Arial" w:cs="Arial"/>
          <w:sz w:val="22"/>
          <w:szCs w:val="22"/>
        </w:rPr>
        <w:t xml:space="preserve">Based on this evaluation, a differentiation-led product development strategy is recommended as the most appropriate approach to achieving sustainable growth. By leveraging its technological capabilities to develop innovative digital services and enhance customer experience, </w:t>
      </w:r>
      <w:proofErr w:type="spellStart"/>
      <w:r w:rsidRPr="00B90274">
        <w:rPr>
          <w:rFonts w:ascii="Arial" w:hAnsi="Arial" w:cs="Arial"/>
          <w:sz w:val="22"/>
          <w:szCs w:val="22"/>
        </w:rPr>
        <w:t>VodafoneThree</w:t>
      </w:r>
      <w:proofErr w:type="spellEnd"/>
      <w:r w:rsidRPr="00B90274">
        <w:rPr>
          <w:rFonts w:ascii="Arial" w:hAnsi="Arial" w:cs="Arial"/>
          <w:sz w:val="22"/>
          <w:szCs w:val="22"/>
        </w:rPr>
        <w:t xml:space="preserve"> can strengthen its competitive advantage while creating long-term value for customers, shareholders and the wider UK economy.</w:t>
      </w:r>
    </w:p>
    <w:p w14:paraId="1608FC97" w14:textId="77777777" w:rsidR="0020514A" w:rsidRDefault="0020514A" w:rsidP="00267779">
      <w:pPr>
        <w:spacing w:afterLines="160" w:after="384" w:line="276" w:lineRule="auto"/>
        <w:rPr>
          <w:rFonts w:ascii="Arial" w:hAnsi="Arial" w:cs="Arial"/>
          <w:sz w:val="22"/>
          <w:szCs w:val="22"/>
        </w:rPr>
      </w:pPr>
    </w:p>
    <w:p w14:paraId="2997C202" w14:textId="77777777" w:rsidR="0020514A" w:rsidRDefault="0020514A" w:rsidP="00267779">
      <w:pPr>
        <w:spacing w:afterLines="160" w:after="384" w:line="276" w:lineRule="auto"/>
        <w:rPr>
          <w:rFonts w:ascii="Arial" w:hAnsi="Arial" w:cs="Arial"/>
          <w:sz w:val="22"/>
          <w:szCs w:val="22"/>
        </w:rPr>
      </w:pPr>
    </w:p>
    <w:p w14:paraId="4353BF1F" w14:textId="07B1110A" w:rsidR="00B90274" w:rsidRPr="00B90274" w:rsidRDefault="00B90274" w:rsidP="00267779">
      <w:pPr>
        <w:pageBreakBefore/>
        <w:spacing w:afterLines="160" w:after="384" w:line="276" w:lineRule="auto"/>
        <w:rPr>
          <w:rFonts w:ascii="Arial" w:hAnsi="Arial" w:cs="Arial"/>
          <w:sz w:val="22"/>
          <w:szCs w:val="22"/>
        </w:rPr>
      </w:pPr>
      <w:bookmarkStart w:id="10" w:name="_Toc234847078"/>
      <w:r w:rsidRPr="004A3526">
        <w:rPr>
          <w:rStyle w:val="Heading1Char"/>
          <w:rFonts w:ascii="Arial" w:hAnsi="Arial" w:cs="Arial"/>
          <w:color w:val="auto"/>
          <w:sz w:val="24"/>
          <w:szCs w:val="24"/>
        </w:rPr>
        <w:lastRenderedPageBreak/>
        <w:t>Reference list</w:t>
      </w:r>
      <w:bookmarkEnd w:id="10"/>
      <w:r w:rsidRPr="00B90274">
        <w:rPr>
          <w:rFonts w:ascii="Arial" w:hAnsi="Arial" w:cs="Arial"/>
          <w:sz w:val="22"/>
          <w:szCs w:val="22"/>
        </w:rPr>
        <w:br/>
        <w:t xml:space="preserve">Ansoff, H.I. (1957) ‘Strategies for diversification’, </w:t>
      </w:r>
      <w:r w:rsidRPr="00B90274">
        <w:rPr>
          <w:rFonts w:ascii="Arial" w:hAnsi="Arial" w:cs="Arial"/>
          <w:i/>
          <w:iCs/>
          <w:sz w:val="22"/>
          <w:szCs w:val="22"/>
        </w:rPr>
        <w:t>Harvard Business Review</w:t>
      </w:r>
      <w:r w:rsidRPr="00B90274">
        <w:rPr>
          <w:rFonts w:ascii="Arial" w:hAnsi="Arial" w:cs="Arial"/>
          <w:sz w:val="22"/>
          <w:szCs w:val="22"/>
        </w:rPr>
        <w:t>, 35(5), pp. 113–124.</w:t>
      </w:r>
    </w:p>
    <w:p w14:paraId="7ED7E6F8"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Barney, J.B. (1991) ‘Firm resources and sustained competitive advantage’, </w:t>
      </w:r>
      <w:r w:rsidRPr="00B90274">
        <w:rPr>
          <w:rFonts w:ascii="Arial" w:hAnsi="Arial" w:cs="Arial"/>
          <w:i/>
          <w:iCs/>
          <w:sz w:val="22"/>
          <w:szCs w:val="22"/>
        </w:rPr>
        <w:t>Journal of Management</w:t>
      </w:r>
      <w:r w:rsidRPr="00B90274">
        <w:rPr>
          <w:rFonts w:ascii="Arial" w:hAnsi="Arial" w:cs="Arial"/>
          <w:sz w:val="22"/>
          <w:szCs w:val="22"/>
        </w:rPr>
        <w:t>, 17(1), pp. 99–120.</w:t>
      </w:r>
    </w:p>
    <w:p w14:paraId="1E05BE9D" w14:textId="77777777" w:rsidR="00177EFE" w:rsidRDefault="00177EFE" w:rsidP="00267779">
      <w:pPr>
        <w:spacing w:afterLines="160" w:after="384" w:line="276" w:lineRule="auto"/>
        <w:rPr>
          <w:rFonts w:ascii="Arial" w:hAnsi="Arial" w:cs="Arial"/>
          <w:sz w:val="22"/>
          <w:szCs w:val="22"/>
        </w:rPr>
      </w:pPr>
      <w:r w:rsidRPr="00177EFE">
        <w:rPr>
          <w:rFonts w:ascii="Arial" w:hAnsi="Arial" w:cs="Arial"/>
          <w:sz w:val="22"/>
          <w:szCs w:val="22"/>
        </w:rPr>
        <w:t>Competition and Markets Authority (2025) Vodafone UK and Three UK merger inquiry. Available at: https://www.gov.uk/cma-cases/vodafone-slash-three-merger-inquiry (Accessed: 10 July 2026).</w:t>
      </w:r>
    </w:p>
    <w:p w14:paraId="4AB40CF0" w14:textId="7B7D1B7E" w:rsidR="00B90274" w:rsidRPr="00B90274" w:rsidRDefault="00177EFE" w:rsidP="00267779">
      <w:pPr>
        <w:spacing w:afterLines="160" w:after="384" w:line="276" w:lineRule="auto"/>
        <w:rPr>
          <w:rFonts w:ascii="Arial" w:hAnsi="Arial" w:cs="Arial"/>
          <w:sz w:val="22"/>
          <w:szCs w:val="22"/>
        </w:rPr>
      </w:pPr>
      <w:r w:rsidRPr="00177EFE">
        <w:rPr>
          <w:rFonts w:ascii="Arial" w:hAnsi="Arial" w:cs="Arial"/>
          <w:sz w:val="22"/>
          <w:szCs w:val="22"/>
        </w:rPr>
        <w:t xml:space="preserve">Freeman, R.E. (1984) Strategic Management: A Stakeholder Approach. Boston: </w:t>
      </w:r>
      <w:r w:rsidR="00BF1037" w:rsidRPr="00177EFE">
        <w:rPr>
          <w:rFonts w:ascii="Arial" w:hAnsi="Arial" w:cs="Arial"/>
          <w:sz w:val="22"/>
          <w:szCs w:val="22"/>
        </w:rPr>
        <w:t>Pitman.</w:t>
      </w:r>
      <w:r w:rsidR="00BF1037" w:rsidRPr="00B90274">
        <w:rPr>
          <w:rFonts w:ascii="Arial" w:hAnsi="Arial" w:cs="Arial"/>
          <w:sz w:val="22"/>
          <w:szCs w:val="22"/>
        </w:rPr>
        <w:t xml:space="preserve"> </w:t>
      </w:r>
      <w:r w:rsidR="00750D16">
        <w:rPr>
          <w:rFonts w:ascii="Arial" w:hAnsi="Arial" w:cs="Arial"/>
          <w:sz w:val="22"/>
          <w:szCs w:val="22"/>
        </w:rPr>
        <w:br/>
      </w:r>
      <w:r w:rsidR="00750D16">
        <w:rPr>
          <w:rFonts w:ascii="Arial" w:hAnsi="Arial" w:cs="Arial"/>
          <w:sz w:val="22"/>
          <w:szCs w:val="22"/>
        </w:rPr>
        <w:br/>
      </w:r>
      <w:r w:rsidR="00BF1037" w:rsidRPr="00B90274">
        <w:rPr>
          <w:rFonts w:ascii="Arial" w:hAnsi="Arial" w:cs="Arial"/>
          <w:sz w:val="22"/>
          <w:szCs w:val="22"/>
        </w:rPr>
        <w:t>Information</w:t>
      </w:r>
      <w:r w:rsidR="00B90274" w:rsidRPr="00B90274">
        <w:rPr>
          <w:rFonts w:ascii="Arial" w:hAnsi="Arial" w:cs="Arial"/>
          <w:sz w:val="22"/>
          <w:szCs w:val="22"/>
        </w:rPr>
        <w:t xml:space="preserve"> Commissioner's Office (2025) </w:t>
      </w:r>
      <w:r w:rsidR="00B90274" w:rsidRPr="00B90274">
        <w:rPr>
          <w:rFonts w:ascii="Arial" w:hAnsi="Arial" w:cs="Arial"/>
          <w:i/>
          <w:iCs/>
          <w:sz w:val="22"/>
          <w:szCs w:val="22"/>
        </w:rPr>
        <w:t>Guide to the UK General Data Protection Regulation (UK GDPR).</w:t>
      </w:r>
      <w:r w:rsidR="00B90274" w:rsidRPr="00B90274">
        <w:rPr>
          <w:rFonts w:ascii="Arial" w:hAnsi="Arial" w:cs="Arial"/>
          <w:sz w:val="22"/>
          <w:szCs w:val="22"/>
        </w:rPr>
        <w:t xml:space="preserve"> Available at: </w:t>
      </w:r>
      <w:hyperlink r:id="rId6" w:tgtFrame="_new" w:history="1">
        <w:r w:rsidR="00B90274" w:rsidRPr="00B90274">
          <w:rPr>
            <w:rStyle w:val="Hyperlink"/>
            <w:rFonts w:ascii="Arial" w:hAnsi="Arial" w:cs="Arial"/>
            <w:sz w:val="22"/>
            <w:szCs w:val="22"/>
          </w:rPr>
          <w:t>https://ico.org.uk/for-organisation</w:t>
        </w:r>
        <w:r w:rsidR="00B90274" w:rsidRPr="00B90274">
          <w:rPr>
            <w:rStyle w:val="Hyperlink"/>
            <w:rFonts w:ascii="Arial" w:hAnsi="Arial" w:cs="Arial"/>
            <w:sz w:val="22"/>
            <w:szCs w:val="22"/>
          </w:rPr>
          <w:t>s</w:t>
        </w:r>
        <w:r w:rsidR="00B90274" w:rsidRPr="00B90274">
          <w:rPr>
            <w:rStyle w:val="Hyperlink"/>
            <w:rFonts w:ascii="Arial" w:hAnsi="Arial" w:cs="Arial"/>
            <w:sz w:val="22"/>
            <w:szCs w:val="22"/>
          </w:rPr>
          <w:t>/uk-gdpr-guidance-and-resources/</w:t>
        </w:r>
      </w:hyperlink>
      <w:r w:rsidR="00B90274" w:rsidRPr="00B90274">
        <w:rPr>
          <w:rFonts w:ascii="Arial" w:hAnsi="Arial" w:cs="Arial"/>
          <w:sz w:val="22"/>
          <w:szCs w:val="22"/>
        </w:rPr>
        <w:t xml:space="preserve"> (Accessed: </w:t>
      </w:r>
      <w:r w:rsidR="00B60BEC">
        <w:rPr>
          <w:rFonts w:ascii="Arial" w:hAnsi="Arial" w:cs="Arial"/>
          <w:sz w:val="22"/>
          <w:szCs w:val="22"/>
        </w:rPr>
        <w:t>9</w:t>
      </w:r>
      <w:r w:rsidR="00B90274" w:rsidRPr="00B90274">
        <w:rPr>
          <w:rFonts w:ascii="Arial" w:hAnsi="Arial" w:cs="Arial"/>
          <w:sz w:val="22"/>
          <w:szCs w:val="22"/>
        </w:rPr>
        <w:t xml:space="preserve"> July 2026).</w:t>
      </w:r>
    </w:p>
    <w:p w14:paraId="786142AD"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Johnson, G., Scholes, K., Whittington, R., Angwin, D. and </w:t>
      </w:r>
      <w:proofErr w:type="spellStart"/>
      <w:r w:rsidRPr="00B90274">
        <w:rPr>
          <w:rFonts w:ascii="Arial" w:hAnsi="Arial" w:cs="Arial"/>
          <w:sz w:val="22"/>
          <w:szCs w:val="22"/>
        </w:rPr>
        <w:t>Regnér</w:t>
      </w:r>
      <w:proofErr w:type="spellEnd"/>
      <w:r w:rsidRPr="00B90274">
        <w:rPr>
          <w:rFonts w:ascii="Arial" w:hAnsi="Arial" w:cs="Arial"/>
          <w:sz w:val="22"/>
          <w:szCs w:val="22"/>
        </w:rPr>
        <w:t xml:space="preserve">, P. (2020) </w:t>
      </w:r>
      <w:r w:rsidRPr="00B90274">
        <w:rPr>
          <w:rFonts w:ascii="Arial" w:hAnsi="Arial" w:cs="Arial"/>
          <w:i/>
          <w:iCs/>
          <w:sz w:val="22"/>
          <w:szCs w:val="22"/>
        </w:rPr>
        <w:t>Exploring Strategy</w:t>
      </w:r>
      <w:r w:rsidRPr="00B90274">
        <w:rPr>
          <w:rFonts w:ascii="Arial" w:hAnsi="Arial" w:cs="Arial"/>
          <w:sz w:val="22"/>
          <w:szCs w:val="22"/>
        </w:rPr>
        <w:t xml:space="preserve">. 12th </w:t>
      </w:r>
      <w:proofErr w:type="spellStart"/>
      <w:r w:rsidRPr="00B90274">
        <w:rPr>
          <w:rFonts w:ascii="Arial" w:hAnsi="Arial" w:cs="Arial"/>
          <w:sz w:val="22"/>
          <w:szCs w:val="22"/>
        </w:rPr>
        <w:t>edn</w:t>
      </w:r>
      <w:proofErr w:type="spellEnd"/>
      <w:r w:rsidRPr="00B90274">
        <w:rPr>
          <w:rFonts w:ascii="Arial" w:hAnsi="Arial" w:cs="Arial"/>
          <w:sz w:val="22"/>
          <w:szCs w:val="22"/>
        </w:rPr>
        <w:t>. Harlow: Pearson.</w:t>
      </w:r>
    </w:p>
    <w:p w14:paraId="4647F1D7"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Ofcom (2025) </w:t>
      </w:r>
      <w:r w:rsidRPr="00B90274">
        <w:rPr>
          <w:rFonts w:ascii="Arial" w:hAnsi="Arial" w:cs="Arial"/>
          <w:i/>
          <w:iCs/>
          <w:sz w:val="22"/>
          <w:szCs w:val="22"/>
        </w:rPr>
        <w:t>Connected Nations 2025</w:t>
      </w:r>
      <w:r w:rsidRPr="00B90274">
        <w:rPr>
          <w:rFonts w:ascii="Arial" w:hAnsi="Arial" w:cs="Arial"/>
          <w:sz w:val="22"/>
          <w:szCs w:val="22"/>
        </w:rPr>
        <w:t>. Available at: https://www.ofcom.org.uk/research-and-data/multi-sector-research/infrastructure-research/connected-nations (Accessed: 10 July 2026).</w:t>
      </w:r>
    </w:p>
    <w:p w14:paraId="51159CD9"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Porter, M.E. (1980) </w:t>
      </w:r>
      <w:r w:rsidRPr="00B90274">
        <w:rPr>
          <w:rFonts w:ascii="Arial" w:hAnsi="Arial" w:cs="Arial"/>
          <w:i/>
          <w:iCs/>
          <w:sz w:val="22"/>
          <w:szCs w:val="22"/>
        </w:rPr>
        <w:t>Competitive Strategy: Techniques for Analysing Industries and Competitors</w:t>
      </w:r>
      <w:r w:rsidRPr="00B90274">
        <w:rPr>
          <w:rFonts w:ascii="Arial" w:hAnsi="Arial" w:cs="Arial"/>
          <w:sz w:val="22"/>
          <w:szCs w:val="22"/>
        </w:rPr>
        <w:t>. New York: Free Press.</w:t>
      </w:r>
    </w:p>
    <w:p w14:paraId="452EFF35"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Porter, M.E. (1985) </w:t>
      </w:r>
      <w:r w:rsidRPr="00B90274">
        <w:rPr>
          <w:rFonts w:ascii="Arial" w:hAnsi="Arial" w:cs="Arial"/>
          <w:i/>
          <w:iCs/>
          <w:sz w:val="22"/>
          <w:szCs w:val="22"/>
        </w:rPr>
        <w:t>Competitive Advantage: Creating and Sustaining Superior Performance</w:t>
      </w:r>
      <w:r w:rsidRPr="00B90274">
        <w:rPr>
          <w:rFonts w:ascii="Arial" w:hAnsi="Arial" w:cs="Arial"/>
          <w:sz w:val="22"/>
          <w:szCs w:val="22"/>
        </w:rPr>
        <w:t>. New York: Free Press.</w:t>
      </w:r>
    </w:p>
    <w:p w14:paraId="37016DF2" w14:textId="77777777"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Teece, D.J. (2018) ‘Business models and dynamic capabilities’, </w:t>
      </w:r>
      <w:r w:rsidRPr="00B90274">
        <w:rPr>
          <w:rFonts w:ascii="Arial" w:hAnsi="Arial" w:cs="Arial"/>
          <w:i/>
          <w:iCs/>
          <w:sz w:val="22"/>
          <w:szCs w:val="22"/>
        </w:rPr>
        <w:t>Long Range Planning</w:t>
      </w:r>
      <w:r w:rsidRPr="00B90274">
        <w:rPr>
          <w:rFonts w:ascii="Arial" w:hAnsi="Arial" w:cs="Arial"/>
          <w:sz w:val="22"/>
          <w:szCs w:val="22"/>
        </w:rPr>
        <w:t>, 51(1), pp. 40–49.</w:t>
      </w:r>
    </w:p>
    <w:p w14:paraId="4CE3A0A6" w14:textId="127829D5" w:rsidR="00B90274" w:rsidRPr="00B90274" w:rsidRDefault="00B90274" w:rsidP="00267779">
      <w:pPr>
        <w:spacing w:afterLines="160" w:after="384" w:line="276" w:lineRule="auto"/>
        <w:rPr>
          <w:rFonts w:ascii="Arial" w:hAnsi="Arial" w:cs="Arial"/>
          <w:sz w:val="22"/>
          <w:szCs w:val="22"/>
        </w:rPr>
      </w:pPr>
      <w:r w:rsidRPr="00B90274">
        <w:rPr>
          <w:rFonts w:ascii="Arial" w:hAnsi="Arial" w:cs="Arial"/>
          <w:sz w:val="22"/>
          <w:szCs w:val="22"/>
        </w:rPr>
        <w:t xml:space="preserve">Vodafone Group Plc (2025) </w:t>
      </w:r>
      <w:r w:rsidRPr="00B90274">
        <w:rPr>
          <w:rFonts w:ascii="Arial" w:hAnsi="Arial" w:cs="Arial"/>
          <w:i/>
          <w:iCs/>
          <w:sz w:val="22"/>
          <w:szCs w:val="22"/>
        </w:rPr>
        <w:t>Annual Report 2025</w:t>
      </w:r>
      <w:r w:rsidRPr="00B90274">
        <w:rPr>
          <w:rFonts w:ascii="Arial" w:hAnsi="Arial" w:cs="Arial"/>
          <w:sz w:val="22"/>
          <w:szCs w:val="22"/>
        </w:rPr>
        <w:t xml:space="preserve">. Available at: </w:t>
      </w:r>
      <w:hyperlink r:id="rId7" w:history="1">
        <w:r w:rsidR="00C01D55" w:rsidRPr="00346E5B">
          <w:rPr>
            <w:rStyle w:val="Hyperlink"/>
          </w:rPr>
          <w:t>https://www.vodafone.com/investors/performance-and-reports/</w:t>
        </w:r>
        <w:r w:rsidR="00C01D55" w:rsidRPr="00346E5B">
          <w:rPr>
            <w:rStyle w:val="Hyperlink"/>
          </w:rPr>
          <w:t>a</w:t>
        </w:r>
        <w:r w:rsidR="00C01D55" w:rsidRPr="00346E5B">
          <w:rPr>
            <w:rStyle w:val="Hyperlink"/>
          </w:rPr>
          <w:t>nnual-reporting</w:t>
        </w:r>
      </w:hyperlink>
      <w:r w:rsidRPr="00B90274">
        <w:rPr>
          <w:rFonts w:ascii="Arial" w:hAnsi="Arial" w:cs="Arial"/>
          <w:sz w:val="22"/>
          <w:szCs w:val="22"/>
        </w:rPr>
        <w:t xml:space="preserve"> (Accessed: </w:t>
      </w:r>
      <w:r w:rsidR="00B60BEC">
        <w:rPr>
          <w:rFonts w:ascii="Arial" w:hAnsi="Arial" w:cs="Arial"/>
          <w:sz w:val="22"/>
          <w:szCs w:val="22"/>
        </w:rPr>
        <w:t>9</w:t>
      </w:r>
      <w:r w:rsidRPr="00B90274">
        <w:rPr>
          <w:rFonts w:ascii="Arial" w:hAnsi="Arial" w:cs="Arial"/>
          <w:sz w:val="22"/>
          <w:szCs w:val="22"/>
        </w:rPr>
        <w:t xml:space="preserve"> July 2026).</w:t>
      </w:r>
    </w:p>
    <w:p w14:paraId="5396E1EF" w14:textId="687A0F9F" w:rsidR="00B90274" w:rsidRPr="00B90274" w:rsidRDefault="00152696" w:rsidP="00267779">
      <w:pPr>
        <w:spacing w:afterLines="160" w:after="384" w:line="276" w:lineRule="auto"/>
        <w:rPr>
          <w:rFonts w:ascii="Arial" w:hAnsi="Arial" w:cs="Arial"/>
          <w:sz w:val="22"/>
          <w:szCs w:val="22"/>
        </w:rPr>
      </w:pPr>
      <w:proofErr w:type="spellStart"/>
      <w:r w:rsidRPr="00152696">
        <w:rPr>
          <w:rFonts w:ascii="Arial" w:hAnsi="Arial" w:cs="Arial"/>
          <w:sz w:val="22"/>
          <w:szCs w:val="22"/>
        </w:rPr>
        <w:t>VodafoneThree</w:t>
      </w:r>
      <w:proofErr w:type="spellEnd"/>
      <w:r w:rsidRPr="00152696">
        <w:rPr>
          <w:rFonts w:ascii="Arial" w:hAnsi="Arial" w:cs="Arial"/>
          <w:sz w:val="22"/>
          <w:szCs w:val="22"/>
        </w:rPr>
        <w:t xml:space="preserve"> (2025) </w:t>
      </w:r>
      <w:r w:rsidRPr="00152696">
        <w:rPr>
          <w:rFonts w:ascii="Arial" w:hAnsi="Arial" w:cs="Arial"/>
          <w:i/>
          <w:iCs/>
          <w:sz w:val="22"/>
          <w:szCs w:val="22"/>
        </w:rPr>
        <w:t>Completion of Vodafone and Three merger in the UK</w:t>
      </w:r>
      <w:r w:rsidRPr="00152696">
        <w:rPr>
          <w:rFonts w:ascii="Arial" w:hAnsi="Arial" w:cs="Arial"/>
          <w:sz w:val="22"/>
          <w:szCs w:val="22"/>
        </w:rPr>
        <w:t xml:space="preserve">. Available at: </w:t>
      </w:r>
      <w:hyperlink r:id="rId8" w:history="1">
        <w:r w:rsidR="00F43974" w:rsidRPr="00F43974">
          <w:rPr>
            <w:rStyle w:val="Hyperlink"/>
            <w:rFonts w:ascii="Arial" w:hAnsi="Arial" w:cs="Arial"/>
            <w:sz w:val="22"/>
            <w:szCs w:val="22"/>
          </w:rPr>
          <w:t>https://www.vodafone.com/n</w:t>
        </w:r>
        <w:r w:rsidR="00F43974" w:rsidRPr="00F43974">
          <w:rPr>
            <w:rStyle w:val="Hyperlink"/>
            <w:rFonts w:ascii="Arial" w:hAnsi="Arial" w:cs="Arial"/>
            <w:sz w:val="22"/>
            <w:szCs w:val="22"/>
          </w:rPr>
          <w:t>e</w:t>
        </w:r>
        <w:r w:rsidR="00F43974" w:rsidRPr="00F43974">
          <w:rPr>
            <w:rStyle w:val="Hyperlink"/>
            <w:rFonts w:ascii="Arial" w:hAnsi="Arial" w:cs="Arial"/>
            <w:sz w:val="22"/>
            <w:szCs w:val="22"/>
          </w:rPr>
          <w:t>ws/newsroom/corporate-and-financial/completion-of-vodafone-and-three-merger-in-the-uk?</w:t>
        </w:r>
      </w:hyperlink>
      <w:r w:rsidR="00F43974" w:rsidRPr="00F43974">
        <w:rPr>
          <w:rFonts w:ascii="Arial" w:hAnsi="Arial" w:cs="Arial"/>
          <w:sz w:val="22"/>
          <w:szCs w:val="22"/>
        </w:rPr>
        <w:t xml:space="preserve"> </w:t>
      </w:r>
      <w:r w:rsidR="00B90274" w:rsidRPr="00B90274">
        <w:rPr>
          <w:rFonts w:ascii="Arial" w:hAnsi="Arial" w:cs="Arial"/>
          <w:sz w:val="22"/>
          <w:szCs w:val="22"/>
        </w:rPr>
        <w:t xml:space="preserve">(Accessed: </w:t>
      </w:r>
      <w:r w:rsidR="00B60BEC">
        <w:rPr>
          <w:rFonts w:ascii="Arial" w:hAnsi="Arial" w:cs="Arial"/>
          <w:sz w:val="22"/>
          <w:szCs w:val="22"/>
        </w:rPr>
        <w:t>9</w:t>
      </w:r>
      <w:r w:rsidR="00B90274" w:rsidRPr="00B90274">
        <w:rPr>
          <w:rFonts w:ascii="Arial" w:hAnsi="Arial" w:cs="Arial"/>
          <w:sz w:val="22"/>
          <w:szCs w:val="22"/>
        </w:rPr>
        <w:t xml:space="preserve"> July 2026).</w:t>
      </w:r>
    </w:p>
    <w:p w14:paraId="0EE65899" w14:textId="5E6681A9" w:rsidR="00E51737" w:rsidRPr="00B90274" w:rsidRDefault="00E51737" w:rsidP="00267779">
      <w:pPr>
        <w:spacing w:afterLines="160" w:after="384" w:line="276" w:lineRule="auto"/>
        <w:rPr>
          <w:rFonts w:ascii="Arial" w:hAnsi="Arial" w:cs="Arial"/>
          <w:sz w:val="22"/>
          <w:szCs w:val="22"/>
        </w:rPr>
      </w:pPr>
    </w:p>
    <w:sectPr w:rsidR="00E51737" w:rsidRPr="00B902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97D"/>
    <w:rsid w:val="000000DA"/>
    <w:rsid w:val="00016393"/>
    <w:rsid w:val="00021992"/>
    <w:rsid w:val="0002764E"/>
    <w:rsid w:val="00032CAF"/>
    <w:rsid w:val="00033255"/>
    <w:rsid w:val="000456CD"/>
    <w:rsid w:val="000624EC"/>
    <w:rsid w:val="00074A87"/>
    <w:rsid w:val="000A7FDF"/>
    <w:rsid w:val="000C1087"/>
    <w:rsid w:val="000C4B1B"/>
    <w:rsid w:val="000E5457"/>
    <w:rsid w:val="000E7494"/>
    <w:rsid w:val="000F4A7A"/>
    <w:rsid w:val="00102072"/>
    <w:rsid w:val="001339B2"/>
    <w:rsid w:val="00140C45"/>
    <w:rsid w:val="00152696"/>
    <w:rsid w:val="00173CD9"/>
    <w:rsid w:val="00177EFE"/>
    <w:rsid w:val="001966B9"/>
    <w:rsid w:val="001A03D8"/>
    <w:rsid w:val="001A5947"/>
    <w:rsid w:val="001C311F"/>
    <w:rsid w:val="001C4432"/>
    <w:rsid w:val="001C70CF"/>
    <w:rsid w:val="001E083F"/>
    <w:rsid w:val="001E3748"/>
    <w:rsid w:val="0020514A"/>
    <w:rsid w:val="0021296D"/>
    <w:rsid w:val="00230D33"/>
    <w:rsid w:val="00251E0B"/>
    <w:rsid w:val="00267779"/>
    <w:rsid w:val="00273E46"/>
    <w:rsid w:val="0027757A"/>
    <w:rsid w:val="0028149B"/>
    <w:rsid w:val="002844CF"/>
    <w:rsid w:val="00286EAF"/>
    <w:rsid w:val="0029460B"/>
    <w:rsid w:val="002B1493"/>
    <w:rsid w:val="002B6A6D"/>
    <w:rsid w:val="002F4E03"/>
    <w:rsid w:val="00302470"/>
    <w:rsid w:val="003152BC"/>
    <w:rsid w:val="00346E5B"/>
    <w:rsid w:val="00346EF4"/>
    <w:rsid w:val="003756C5"/>
    <w:rsid w:val="00392998"/>
    <w:rsid w:val="00394DD0"/>
    <w:rsid w:val="003A6D5D"/>
    <w:rsid w:val="003C651D"/>
    <w:rsid w:val="003D0187"/>
    <w:rsid w:val="003D42F5"/>
    <w:rsid w:val="00477E09"/>
    <w:rsid w:val="00484F83"/>
    <w:rsid w:val="004A3526"/>
    <w:rsid w:val="004F7BC0"/>
    <w:rsid w:val="00514CBD"/>
    <w:rsid w:val="00527ED3"/>
    <w:rsid w:val="00552897"/>
    <w:rsid w:val="00556CC5"/>
    <w:rsid w:val="00575127"/>
    <w:rsid w:val="005909F5"/>
    <w:rsid w:val="005F3B7D"/>
    <w:rsid w:val="00650642"/>
    <w:rsid w:val="00654281"/>
    <w:rsid w:val="00656E65"/>
    <w:rsid w:val="00672DD6"/>
    <w:rsid w:val="0068227E"/>
    <w:rsid w:val="00690113"/>
    <w:rsid w:val="00693326"/>
    <w:rsid w:val="006952A2"/>
    <w:rsid w:val="006A47FA"/>
    <w:rsid w:val="006B0B72"/>
    <w:rsid w:val="006B3685"/>
    <w:rsid w:val="006B7A8D"/>
    <w:rsid w:val="006C0B85"/>
    <w:rsid w:val="006F07F0"/>
    <w:rsid w:val="007066A5"/>
    <w:rsid w:val="00712DC7"/>
    <w:rsid w:val="00713370"/>
    <w:rsid w:val="0071576E"/>
    <w:rsid w:val="00721CDC"/>
    <w:rsid w:val="00737F25"/>
    <w:rsid w:val="00750D16"/>
    <w:rsid w:val="00770C2D"/>
    <w:rsid w:val="007751B7"/>
    <w:rsid w:val="00780018"/>
    <w:rsid w:val="007B4E25"/>
    <w:rsid w:val="007B4E5B"/>
    <w:rsid w:val="007C5365"/>
    <w:rsid w:val="007E7840"/>
    <w:rsid w:val="007F11CF"/>
    <w:rsid w:val="007F2F90"/>
    <w:rsid w:val="00836B1D"/>
    <w:rsid w:val="00861CA8"/>
    <w:rsid w:val="00883E11"/>
    <w:rsid w:val="008A1514"/>
    <w:rsid w:val="008A2F84"/>
    <w:rsid w:val="008A40B5"/>
    <w:rsid w:val="008B7A49"/>
    <w:rsid w:val="008B7A62"/>
    <w:rsid w:val="008D3706"/>
    <w:rsid w:val="008E6758"/>
    <w:rsid w:val="008F44A9"/>
    <w:rsid w:val="009009AC"/>
    <w:rsid w:val="00900D57"/>
    <w:rsid w:val="00905B9F"/>
    <w:rsid w:val="009312C6"/>
    <w:rsid w:val="00940E50"/>
    <w:rsid w:val="00972957"/>
    <w:rsid w:val="00974B02"/>
    <w:rsid w:val="009B6503"/>
    <w:rsid w:val="009C4D64"/>
    <w:rsid w:val="009F00A0"/>
    <w:rsid w:val="00A77E9C"/>
    <w:rsid w:val="00A94201"/>
    <w:rsid w:val="00A96D91"/>
    <w:rsid w:val="00AB5DDB"/>
    <w:rsid w:val="00AC172B"/>
    <w:rsid w:val="00AC1D14"/>
    <w:rsid w:val="00AD0EF8"/>
    <w:rsid w:val="00AD67F1"/>
    <w:rsid w:val="00AF5945"/>
    <w:rsid w:val="00AF6B14"/>
    <w:rsid w:val="00B012A5"/>
    <w:rsid w:val="00B04442"/>
    <w:rsid w:val="00B16015"/>
    <w:rsid w:val="00B2704A"/>
    <w:rsid w:val="00B3349A"/>
    <w:rsid w:val="00B37CC7"/>
    <w:rsid w:val="00B60BEC"/>
    <w:rsid w:val="00B813FA"/>
    <w:rsid w:val="00B90274"/>
    <w:rsid w:val="00BD1F50"/>
    <w:rsid w:val="00BD3BE4"/>
    <w:rsid w:val="00BE22C9"/>
    <w:rsid w:val="00BF1037"/>
    <w:rsid w:val="00C0102A"/>
    <w:rsid w:val="00C01D55"/>
    <w:rsid w:val="00C04431"/>
    <w:rsid w:val="00C05799"/>
    <w:rsid w:val="00C258E4"/>
    <w:rsid w:val="00C26691"/>
    <w:rsid w:val="00C354CB"/>
    <w:rsid w:val="00C43482"/>
    <w:rsid w:val="00C44002"/>
    <w:rsid w:val="00C53805"/>
    <w:rsid w:val="00C54AC8"/>
    <w:rsid w:val="00C81F81"/>
    <w:rsid w:val="00C84C22"/>
    <w:rsid w:val="00C9367B"/>
    <w:rsid w:val="00CB3C3F"/>
    <w:rsid w:val="00CB54F5"/>
    <w:rsid w:val="00CB5FB2"/>
    <w:rsid w:val="00CC0B2D"/>
    <w:rsid w:val="00CC4CFB"/>
    <w:rsid w:val="00CE33FD"/>
    <w:rsid w:val="00CE3678"/>
    <w:rsid w:val="00CE4421"/>
    <w:rsid w:val="00CF2C75"/>
    <w:rsid w:val="00D334F2"/>
    <w:rsid w:val="00D40CAF"/>
    <w:rsid w:val="00D40D44"/>
    <w:rsid w:val="00D77578"/>
    <w:rsid w:val="00DA28B1"/>
    <w:rsid w:val="00DA2C84"/>
    <w:rsid w:val="00DF122B"/>
    <w:rsid w:val="00DF16A3"/>
    <w:rsid w:val="00DF1A30"/>
    <w:rsid w:val="00DF7EBF"/>
    <w:rsid w:val="00E1297D"/>
    <w:rsid w:val="00E2231F"/>
    <w:rsid w:val="00E40CA9"/>
    <w:rsid w:val="00E413BB"/>
    <w:rsid w:val="00E51737"/>
    <w:rsid w:val="00E536B9"/>
    <w:rsid w:val="00E732A0"/>
    <w:rsid w:val="00E86C88"/>
    <w:rsid w:val="00EA474B"/>
    <w:rsid w:val="00F02B4F"/>
    <w:rsid w:val="00F15BC1"/>
    <w:rsid w:val="00F17A05"/>
    <w:rsid w:val="00F17BFF"/>
    <w:rsid w:val="00F257BE"/>
    <w:rsid w:val="00F43974"/>
    <w:rsid w:val="00F53B0A"/>
    <w:rsid w:val="00F550E3"/>
    <w:rsid w:val="00F6428B"/>
    <w:rsid w:val="00F75E9D"/>
    <w:rsid w:val="00F80BE6"/>
    <w:rsid w:val="00FB4CA6"/>
    <w:rsid w:val="00FE2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C25B"/>
  <w15:chartTrackingRefBased/>
  <w15:docId w15:val="{95FE982A-3AC9-4D56-9994-76EA5AC14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97D"/>
    <w:rPr>
      <w:rFonts w:eastAsiaTheme="majorEastAsia" w:cstheme="majorBidi"/>
      <w:color w:val="272727" w:themeColor="text1" w:themeTint="D8"/>
    </w:rPr>
  </w:style>
  <w:style w:type="paragraph" w:styleId="Title">
    <w:name w:val="Title"/>
    <w:basedOn w:val="Normal"/>
    <w:next w:val="Normal"/>
    <w:link w:val="TitleChar"/>
    <w:uiPriority w:val="10"/>
    <w:qFormat/>
    <w:rsid w:val="00E12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97D"/>
    <w:pPr>
      <w:spacing w:before="160"/>
      <w:jc w:val="center"/>
    </w:pPr>
    <w:rPr>
      <w:i/>
      <w:iCs/>
      <w:color w:val="404040" w:themeColor="text1" w:themeTint="BF"/>
    </w:rPr>
  </w:style>
  <w:style w:type="character" w:customStyle="1" w:styleId="QuoteChar">
    <w:name w:val="Quote Char"/>
    <w:basedOn w:val="DefaultParagraphFont"/>
    <w:link w:val="Quote"/>
    <w:uiPriority w:val="29"/>
    <w:rsid w:val="00E1297D"/>
    <w:rPr>
      <w:i/>
      <w:iCs/>
      <w:color w:val="404040" w:themeColor="text1" w:themeTint="BF"/>
    </w:rPr>
  </w:style>
  <w:style w:type="paragraph" w:styleId="ListParagraph">
    <w:name w:val="List Paragraph"/>
    <w:basedOn w:val="Normal"/>
    <w:uiPriority w:val="34"/>
    <w:qFormat/>
    <w:rsid w:val="00E1297D"/>
    <w:pPr>
      <w:ind w:left="720"/>
      <w:contextualSpacing/>
    </w:pPr>
  </w:style>
  <w:style w:type="character" w:styleId="IntenseEmphasis">
    <w:name w:val="Intense Emphasis"/>
    <w:basedOn w:val="DefaultParagraphFont"/>
    <w:uiPriority w:val="21"/>
    <w:qFormat/>
    <w:rsid w:val="00E1297D"/>
    <w:rPr>
      <w:i/>
      <w:iCs/>
      <w:color w:val="0F4761" w:themeColor="accent1" w:themeShade="BF"/>
    </w:rPr>
  </w:style>
  <w:style w:type="paragraph" w:styleId="IntenseQuote">
    <w:name w:val="Intense Quote"/>
    <w:basedOn w:val="Normal"/>
    <w:next w:val="Normal"/>
    <w:link w:val="IntenseQuoteChar"/>
    <w:uiPriority w:val="30"/>
    <w:qFormat/>
    <w:rsid w:val="00E12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97D"/>
    <w:rPr>
      <w:i/>
      <w:iCs/>
      <w:color w:val="0F4761" w:themeColor="accent1" w:themeShade="BF"/>
    </w:rPr>
  </w:style>
  <w:style w:type="character" w:styleId="IntenseReference">
    <w:name w:val="Intense Reference"/>
    <w:basedOn w:val="DefaultParagraphFont"/>
    <w:uiPriority w:val="32"/>
    <w:qFormat/>
    <w:rsid w:val="00E1297D"/>
    <w:rPr>
      <w:b/>
      <w:bCs/>
      <w:smallCaps/>
      <w:color w:val="0F4761" w:themeColor="accent1" w:themeShade="BF"/>
      <w:spacing w:val="5"/>
    </w:rPr>
  </w:style>
  <w:style w:type="character" w:styleId="Hyperlink">
    <w:name w:val="Hyperlink"/>
    <w:basedOn w:val="DefaultParagraphFont"/>
    <w:uiPriority w:val="99"/>
    <w:unhideWhenUsed/>
    <w:rsid w:val="00BE22C9"/>
    <w:rPr>
      <w:color w:val="467886" w:themeColor="hyperlink"/>
      <w:u w:val="single"/>
    </w:rPr>
  </w:style>
  <w:style w:type="character" w:styleId="UnresolvedMention">
    <w:name w:val="Unresolved Mention"/>
    <w:basedOn w:val="DefaultParagraphFont"/>
    <w:uiPriority w:val="99"/>
    <w:semiHidden/>
    <w:unhideWhenUsed/>
    <w:rsid w:val="00BE22C9"/>
    <w:rPr>
      <w:color w:val="605E5C"/>
      <w:shd w:val="clear" w:color="auto" w:fill="E1DFDD"/>
    </w:rPr>
  </w:style>
  <w:style w:type="table" w:styleId="TableGrid">
    <w:name w:val="Table Grid"/>
    <w:basedOn w:val="TableNormal"/>
    <w:uiPriority w:val="39"/>
    <w:rsid w:val="00062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46E5B"/>
    <w:rPr>
      <w:color w:val="96607D" w:themeColor="followedHyperlink"/>
      <w:u w:val="single"/>
    </w:rPr>
  </w:style>
  <w:style w:type="paragraph" w:styleId="TOCHeading">
    <w:name w:val="TOC Heading"/>
    <w:basedOn w:val="Heading1"/>
    <w:next w:val="Normal"/>
    <w:uiPriority w:val="39"/>
    <w:unhideWhenUsed/>
    <w:qFormat/>
    <w:rsid w:val="007F11C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F11CF"/>
    <w:pPr>
      <w:spacing w:after="100"/>
    </w:pPr>
  </w:style>
  <w:style w:type="paragraph" w:styleId="TOC2">
    <w:name w:val="toc 2"/>
    <w:basedOn w:val="Normal"/>
    <w:next w:val="Normal"/>
    <w:autoRedefine/>
    <w:uiPriority w:val="39"/>
    <w:unhideWhenUsed/>
    <w:rsid w:val="007F11C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news/newsroom/corporate-and-financial/completion-of-vodafone-and-three-merger-in-the-uk?" TargetMode="External"/><Relationship Id="rId3" Type="http://schemas.openxmlformats.org/officeDocument/2006/relationships/settings" Target="settings.xml"/><Relationship Id="rId7" Type="http://schemas.openxmlformats.org/officeDocument/2006/relationships/hyperlink" Target="https://www.vodafone.com/investors/performance-and-reports/annual-report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co.org.uk/for-organisations/uk-gdpr-guidance-and-resource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D1727-26DE-4699-9636-C20EB6D7E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15</Pages>
  <Words>4677</Words>
  <Characters>26662</Characters>
  <Application>Microsoft Office Word</Application>
  <DocSecurity>0</DocSecurity>
  <Lines>222</Lines>
  <Paragraphs>62</Paragraphs>
  <ScaleCrop>false</ScaleCrop>
  <Company/>
  <LinksUpToDate>false</LinksUpToDate>
  <CharactersWithSpaces>31277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Lantash .</dc:creator>
  <cp:keywords/>
  <dc:description/>
  <cp:lastModifiedBy>Lantash .</cp:lastModifiedBy>
  <cp:revision>357</cp:revision>
  <dcterms:created xsi:type="dcterms:W3CDTF">2026-07-07T16:31:00Z</dcterms:created>
  <dcterms:modified xsi:type="dcterms:W3CDTF">2026-07-13T16:15:00Z</dcterms:modified>
</cp:coreProperties>
</file>