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B6EB1C4" w14:textId="77777777" w:rsidR="00A37BC3" w:rsidRDefault="00A37BC3" w:rsidP="00D040E4">
      <w:pPr>
        <w:jc w:val="both"/>
        <w:rPr>
          <w:rFonts w:asciiTheme="minorBidi" w:hAnsiTheme="minorBidi"/>
          <w:sz w:val="28"/>
          <w:szCs w:val="28"/>
        </w:rPr>
      </w:pPr>
      <w:r>
        <w:rPr>
          <w:rFonts w:asciiTheme="minorBidi" w:hAnsiTheme="minorBidi"/>
          <w:sz w:val="28"/>
          <w:szCs w:val="28"/>
        </w:rPr>
        <w:t>Name: Fabiula dos Reis</w:t>
      </w:r>
    </w:p>
    <w:p w14:paraId="50A688D0" w14:textId="77777777" w:rsidR="00A37BC3" w:rsidRDefault="00A37BC3" w:rsidP="00D040E4">
      <w:pPr>
        <w:jc w:val="both"/>
        <w:rPr>
          <w:rFonts w:asciiTheme="minorBidi" w:hAnsiTheme="minorBidi"/>
          <w:sz w:val="28"/>
          <w:szCs w:val="28"/>
        </w:rPr>
      </w:pPr>
      <w:r>
        <w:rPr>
          <w:rFonts w:asciiTheme="minorBidi" w:hAnsiTheme="minorBidi"/>
          <w:sz w:val="28"/>
          <w:szCs w:val="28"/>
        </w:rPr>
        <w:t>Student ID: 2509114</w:t>
      </w:r>
    </w:p>
    <w:p w14:paraId="1FDB80E3" w14:textId="77777777" w:rsidR="00A37BC3" w:rsidRDefault="00A37BC3" w:rsidP="00D040E4">
      <w:pPr>
        <w:jc w:val="both"/>
        <w:rPr>
          <w:rFonts w:asciiTheme="minorBidi" w:hAnsiTheme="minorBidi"/>
          <w:sz w:val="28"/>
          <w:szCs w:val="28"/>
        </w:rPr>
      </w:pPr>
      <w:r>
        <w:rPr>
          <w:rFonts w:asciiTheme="minorBidi" w:hAnsiTheme="minorBidi"/>
          <w:sz w:val="28"/>
          <w:szCs w:val="28"/>
        </w:rPr>
        <w:t>Module Code: LCHS4001</w:t>
      </w:r>
    </w:p>
    <w:p w14:paraId="42EC3877" w14:textId="77777777" w:rsidR="00A37BC3" w:rsidRDefault="00A37BC3" w:rsidP="00D040E4">
      <w:pPr>
        <w:jc w:val="both"/>
        <w:rPr>
          <w:rFonts w:asciiTheme="minorBidi" w:hAnsiTheme="minorBidi"/>
          <w:sz w:val="28"/>
          <w:szCs w:val="28"/>
        </w:rPr>
      </w:pPr>
      <w:r>
        <w:rPr>
          <w:rFonts w:asciiTheme="minorBidi" w:hAnsiTheme="minorBidi"/>
          <w:sz w:val="28"/>
          <w:szCs w:val="28"/>
        </w:rPr>
        <w:t>Module: Academic and Employability Skills</w:t>
      </w:r>
    </w:p>
    <w:p w14:paraId="7B3F0950" w14:textId="77777777" w:rsidR="00A37BC3" w:rsidRDefault="00A37BC3" w:rsidP="00D040E4">
      <w:pPr>
        <w:jc w:val="both"/>
        <w:rPr>
          <w:rFonts w:asciiTheme="minorBidi" w:hAnsiTheme="minorBidi"/>
          <w:sz w:val="28"/>
          <w:szCs w:val="28"/>
        </w:rPr>
      </w:pPr>
      <w:r>
        <w:rPr>
          <w:rFonts w:asciiTheme="minorBidi" w:hAnsiTheme="minorBidi"/>
          <w:sz w:val="28"/>
          <w:szCs w:val="28"/>
        </w:rPr>
        <w:t xml:space="preserve">Lecturer: Farah </w:t>
      </w:r>
      <w:proofErr w:type="spellStart"/>
      <w:r>
        <w:rPr>
          <w:rFonts w:asciiTheme="minorBidi" w:hAnsiTheme="minorBidi"/>
          <w:sz w:val="28"/>
          <w:szCs w:val="28"/>
        </w:rPr>
        <w:t>Wiita</w:t>
      </w:r>
      <w:proofErr w:type="spellEnd"/>
    </w:p>
    <w:p w14:paraId="3C554B55" w14:textId="77777777" w:rsidR="00A37BC3" w:rsidRDefault="00A37BC3" w:rsidP="00D040E4">
      <w:pPr>
        <w:jc w:val="both"/>
        <w:rPr>
          <w:rFonts w:asciiTheme="minorBidi" w:hAnsiTheme="minorBidi"/>
          <w:sz w:val="28"/>
          <w:szCs w:val="28"/>
        </w:rPr>
      </w:pPr>
    </w:p>
    <w:p w14:paraId="2F37CCBA" w14:textId="4FC92725" w:rsidR="00A37BC3" w:rsidRDefault="00A37BC3" w:rsidP="00D040E4">
      <w:pPr>
        <w:jc w:val="both"/>
        <w:rPr>
          <w:rFonts w:asciiTheme="minorBidi" w:hAnsiTheme="minorBidi"/>
          <w:sz w:val="28"/>
          <w:szCs w:val="28"/>
        </w:rPr>
      </w:pPr>
      <w:r>
        <w:rPr>
          <w:rFonts w:asciiTheme="minorBidi" w:hAnsiTheme="minorBidi"/>
          <w:sz w:val="28"/>
          <w:szCs w:val="28"/>
        </w:rPr>
        <w:t xml:space="preserve">Submitted on:  </w:t>
      </w:r>
      <w:r w:rsidR="00622EF1">
        <w:rPr>
          <w:rFonts w:asciiTheme="minorBidi" w:hAnsiTheme="minorBidi"/>
          <w:sz w:val="28"/>
          <w:szCs w:val="28"/>
        </w:rPr>
        <w:t>02</w:t>
      </w:r>
      <w:r>
        <w:rPr>
          <w:rFonts w:asciiTheme="minorBidi" w:hAnsiTheme="minorBidi"/>
          <w:sz w:val="28"/>
          <w:szCs w:val="28"/>
        </w:rPr>
        <w:t>/</w:t>
      </w:r>
      <w:r w:rsidR="006943A5">
        <w:rPr>
          <w:rFonts w:asciiTheme="minorBidi" w:hAnsiTheme="minorBidi"/>
          <w:sz w:val="28"/>
          <w:szCs w:val="28"/>
        </w:rPr>
        <w:t>12</w:t>
      </w:r>
      <w:r>
        <w:rPr>
          <w:rFonts w:asciiTheme="minorBidi" w:hAnsiTheme="minorBidi"/>
          <w:sz w:val="28"/>
          <w:szCs w:val="28"/>
        </w:rPr>
        <w:t>/2025</w:t>
      </w:r>
    </w:p>
    <w:p w14:paraId="0AB5D50A" w14:textId="7A5A2C77" w:rsidR="00A37BC3" w:rsidRDefault="00A37BC3" w:rsidP="00D040E4">
      <w:pPr>
        <w:jc w:val="both"/>
        <w:rPr>
          <w:rFonts w:asciiTheme="minorBidi" w:hAnsiTheme="minorBidi"/>
          <w:sz w:val="28"/>
          <w:szCs w:val="28"/>
        </w:rPr>
      </w:pPr>
      <w:r>
        <w:rPr>
          <w:rFonts w:asciiTheme="minorBidi" w:hAnsiTheme="minorBidi"/>
          <w:sz w:val="28"/>
          <w:szCs w:val="28"/>
        </w:rPr>
        <w:t xml:space="preserve">  </w:t>
      </w: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729CE27"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588BA6B7" w:rsidR="00824CB1" w:rsidRDefault="0CF501EC" w:rsidP="0CF501EC">
          <w:pPr>
            <w:pStyle w:val="TOC2"/>
            <w:tabs>
              <w:tab w:val="right" w:leader="dot" w:pos="9015"/>
            </w:tabs>
            <w:rPr>
              <w:rStyle w:val="Hyperlink"/>
              <w:noProof/>
              <w:lang w:eastAsia="en-GB"/>
            </w:rPr>
          </w:pPr>
          <w:hyperlink w:anchor="_Toc1915621813">
            <w:r w:rsidRPr="0CF501EC">
              <w:rPr>
                <w:rStyle w:val="Hyperlink"/>
              </w:rPr>
              <w:t xml:space="preserve">2 </w:t>
            </w:r>
            <w:r w:rsidR="00676699">
              <w:rPr>
                <w:rStyle w:val="Hyperlink"/>
              </w:rPr>
              <w:t>Pa</w:t>
            </w:r>
            <w:r w:rsidR="007657A8">
              <w:rPr>
                <w:rStyle w:val="Hyperlink"/>
              </w:rPr>
              <w:t>lliative</w:t>
            </w:r>
            <w:r w:rsidR="00676699">
              <w:rPr>
                <w:rStyle w:val="Hyperlink"/>
              </w:rPr>
              <w:t xml:space="preserve"> Care</w:t>
            </w:r>
            <w:r w:rsidRPr="0CF501EC">
              <w:rPr>
                <w:rStyle w:val="Hyperlink"/>
              </w:rPr>
              <w:t xml:space="preserv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06C90829" w:rsidR="00824CB1" w:rsidRDefault="0CF501EC" w:rsidP="0CF501EC">
          <w:pPr>
            <w:pStyle w:val="TOC2"/>
            <w:tabs>
              <w:tab w:val="right" w:leader="dot" w:pos="9015"/>
            </w:tabs>
            <w:rPr>
              <w:rStyle w:val="Hyperlink"/>
              <w:noProof/>
              <w:lang w:eastAsia="en-GB"/>
            </w:rPr>
          </w:pPr>
          <w:hyperlink w:anchor="_Toc796087951">
            <w:r w:rsidRPr="0CF501EC">
              <w:rPr>
                <w:rStyle w:val="Hyperlink"/>
              </w:rPr>
              <w:t xml:space="preserve">2.1 Description of </w:t>
            </w:r>
            <w:r w:rsidR="00221880">
              <w:rPr>
                <w:rStyle w:val="Hyperlink"/>
              </w:rPr>
              <w:t>Pa</w:t>
            </w:r>
            <w:r w:rsidR="005F020E">
              <w:rPr>
                <w:rStyle w:val="Hyperlink"/>
              </w:rPr>
              <w:t>lliativ</w:t>
            </w:r>
            <w:r w:rsidR="00221880">
              <w:rPr>
                <w:rStyle w:val="Hyperlink"/>
              </w:rPr>
              <w:t>e Care</w:t>
            </w:r>
            <w:r w:rsidRPr="0CF501EC">
              <w:rPr>
                <w:rStyle w:val="Hyperlink"/>
              </w:rPr>
              <w:t xml:space="preserv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6AD52D6" w:rsidR="00824CB1" w:rsidRDefault="0CF501EC" w:rsidP="0CF501EC">
          <w:pPr>
            <w:pStyle w:val="TOC2"/>
            <w:tabs>
              <w:tab w:val="right" w:leader="dot" w:pos="9015"/>
            </w:tabs>
            <w:rPr>
              <w:rStyle w:val="Hyperlink"/>
              <w:noProof/>
              <w:lang w:eastAsia="en-GB"/>
            </w:rPr>
          </w:pPr>
          <w:hyperlink w:anchor="_Toc1426973069">
            <w:r w:rsidRPr="0CF501EC">
              <w:rPr>
                <w:rStyle w:val="Hyperlink"/>
              </w:rPr>
              <w:t xml:space="preserve">2.2 Explanation of Most Significant Skills Needed for </w:t>
            </w:r>
            <w:r w:rsidR="00221880">
              <w:rPr>
                <w:rStyle w:val="Hyperlink"/>
              </w:rPr>
              <w:t>Pal</w:t>
            </w:r>
            <w:r w:rsidR="005F020E">
              <w:rPr>
                <w:rStyle w:val="Hyperlink"/>
              </w:rPr>
              <w:t>liative</w:t>
            </w:r>
            <w:r w:rsidR="00527712">
              <w:rPr>
                <w:rStyle w:val="Hyperlink"/>
              </w:rPr>
              <w:t xml:space="preserve"> Care</w:t>
            </w:r>
            <w:r w:rsidRPr="0CF501EC">
              <w:rPr>
                <w:rStyle w:val="Hyperlink"/>
              </w:rPr>
              <w:t xml:space="preserve"> in Health and Social Care</w:t>
            </w:r>
            <w:r w:rsidR="00527712">
              <w:rPr>
                <w:rStyle w:val="Hyperlink"/>
              </w:rPr>
              <w:t xml:space="preserve"> </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2B070FB" w:rsidR="00824CB1" w:rsidRDefault="0CF501EC" w:rsidP="0CF501EC">
          <w:pPr>
            <w:pStyle w:val="TOC2"/>
            <w:tabs>
              <w:tab w:val="right" w:leader="dot" w:pos="9015"/>
            </w:tabs>
            <w:rPr>
              <w:rStyle w:val="Hyperlink"/>
              <w:noProof/>
              <w:lang w:eastAsia="en-GB"/>
            </w:rPr>
          </w:pPr>
          <w:hyperlink w:anchor="_Toc992114325">
            <w:r w:rsidRPr="0CF501EC">
              <w:rPr>
                <w:rStyle w:val="Hyperlink"/>
              </w:rPr>
              <w:t xml:space="preserve">3 Strategies for Skill Improvement for </w:t>
            </w:r>
            <w:r w:rsidR="00527712">
              <w:rPr>
                <w:rStyle w:val="Hyperlink"/>
              </w:rPr>
              <w:t>Pal</w:t>
            </w:r>
            <w:r w:rsidR="00A83E1D">
              <w:rPr>
                <w:rStyle w:val="Hyperlink"/>
              </w:rPr>
              <w:t>liative</w:t>
            </w:r>
            <w:r w:rsidR="00527712">
              <w:rPr>
                <w:rStyle w:val="Hyperlink"/>
              </w:rPr>
              <w:t xml:space="preserve"> Care </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3FE41DCF" w:rsidR="00824CB1" w:rsidRDefault="0CF501EC" w:rsidP="0CF501EC">
          <w:pPr>
            <w:pStyle w:val="TOC2"/>
            <w:tabs>
              <w:tab w:val="right" w:leader="dot" w:pos="9015"/>
            </w:tabs>
            <w:rPr>
              <w:rStyle w:val="Hyperlink"/>
              <w:noProof/>
              <w:lang w:eastAsia="en-GB"/>
            </w:rPr>
          </w:pPr>
          <w:hyperlink w:anchor="_Toc1405407187">
            <w:r w:rsidRPr="0CF501EC">
              <w:rPr>
                <w:rStyle w:val="Hyperlink"/>
              </w:rPr>
              <w:t xml:space="preserve">3.1 Three Strategies to Improve the Skills for </w:t>
            </w:r>
            <w:r w:rsidR="00C445A2">
              <w:rPr>
                <w:rStyle w:val="Hyperlink"/>
              </w:rPr>
              <w:t>Pal</w:t>
            </w:r>
            <w:r w:rsidR="00A83E1D">
              <w:rPr>
                <w:rStyle w:val="Hyperlink"/>
              </w:rPr>
              <w:t>liative</w:t>
            </w:r>
            <w:r w:rsidR="00C445A2">
              <w:rPr>
                <w:rStyle w:val="Hyperlink"/>
              </w:rPr>
              <w:t xml:space="preserve"> Care </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6C299E0C" w14:textId="654E0F1D" w:rsidR="00FB2C7E" w:rsidRDefault="00A035CD" w:rsidP="003F60EA">
      <w:pPr>
        <w:pStyle w:val="Heading2"/>
        <w:numPr>
          <w:ilvl w:val="1"/>
          <w:numId w:val="38"/>
        </w:numPr>
        <w:rPr>
          <w:rFonts w:ascii="Arial" w:hAnsi="Arial" w:cs="Arial"/>
          <w:color w:val="4471C4"/>
          <w:sz w:val="22"/>
          <w:szCs w:val="22"/>
        </w:rPr>
      </w:pPr>
      <w:bookmarkStart w:id="0" w:name="_Toc695233283"/>
      <w:r w:rsidRPr="00C75D07">
        <w:rPr>
          <w:rFonts w:ascii="Arial" w:hAnsi="Arial" w:cs="Arial"/>
          <w:color w:val="4471C4"/>
          <w:sz w:val="22"/>
          <w:szCs w:val="22"/>
        </w:rPr>
        <w:lastRenderedPageBreak/>
        <w:t>Introduction</w:t>
      </w:r>
      <w:bookmarkEnd w:id="0"/>
    </w:p>
    <w:p w14:paraId="6686D74A" w14:textId="77777777" w:rsidR="00F57C3E" w:rsidRPr="00F57C3E" w:rsidRDefault="00F57C3E" w:rsidP="00F57C3E"/>
    <w:p w14:paraId="545894B7" w14:textId="5E6845E6" w:rsidR="003F60EA" w:rsidRPr="00A77303" w:rsidRDefault="0056083D" w:rsidP="003F60EA">
      <w:pPr>
        <w:rPr>
          <w:rFonts w:ascii="Arial" w:eastAsia="Times New Roman" w:hAnsi="Arial" w:cs="Arial"/>
          <w:color w:val="000000"/>
          <w:sz w:val="22"/>
        </w:rPr>
      </w:pPr>
      <w:r w:rsidRPr="00A77303">
        <w:rPr>
          <w:rFonts w:ascii="Arial" w:eastAsia="Times New Roman" w:hAnsi="Arial" w:cs="Arial"/>
          <w:color w:val="000000"/>
          <w:sz w:val="22"/>
        </w:rPr>
        <w:t xml:space="preserve">Palliative care is a compassionate approach to support people facing serious illness, focusing on comfort, dignity, and quality of life. It does not aim to cure the disease but instead helps manage pain, stress, and emotional challenges for both patients and their families. To me, palliative care means being present, listening deeply, and offering understanding during some of life’s hardest moments. It brings together medical care, emotional support, and respect for personal wishes. By relieving suffering and </w:t>
      </w:r>
      <w:proofErr w:type="spellStart"/>
      <w:r w:rsidRPr="00A77303">
        <w:rPr>
          <w:rFonts w:ascii="Arial" w:eastAsia="Times New Roman" w:hAnsi="Arial" w:cs="Arial"/>
          <w:color w:val="000000"/>
          <w:sz w:val="22"/>
        </w:rPr>
        <w:t>honoring</w:t>
      </w:r>
      <w:proofErr w:type="spellEnd"/>
      <w:r w:rsidRPr="00A77303">
        <w:rPr>
          <w:rFonts w:ascii="Arial" w:eastAsia="Times New Roman" w:hAnsi="Arial" w:cs="Arial"/>
          <w:color w:val="000000"/>
          <w:sz w:val="22"/>
        </w:rPr>
        <w:t xml:space="preserve"> what matters most to each person, palliative care helps create peace and comfort, even in difficult times.</w:t>
      </w:r>
      <w:r w:rsidR="00A77303">
        <w:rPr>
          <w:rFonts w:ascii="Arial" w:eastAsia="Times New Roman" w:hAnsi="Arial" w:cs="Arial"/>
          <w:color w:val="000000"/>
          <w:sz w:val="22"/>
        </w:rPr>
        <w:t xml:space="preserve"> </w:t>
      </w:r>
      <w:r w:rsidR="00FE4CFD" w:rsidRPr="00F57C3E">
        <w:rPr>
          <w:rFonts w:ascii="Arial" w:eastAsia="Times New Roman" w:hAnsi="Arial" w:cs="Arial"/>
          <w:color w:val="000000"/>
          <w:sz w:val="22"/>
        </w:rPr>
        <w:t>The aim of palliative care is to improve a person’s quality of life by managing pain, relieving symptoms, and offering emotional, social, and spiritual support.</w:t>
      </w:r>
    </w:p>
    <w:p w14:paraId="2F440004" w14:textId="77777777" w:rsidR="00EB62EB" w:rsidRPr="00F57C3E" w:rsidRDefault="00EB62EB" w:rsidP="00EB62EB">
      <w:pPr>
        <w:spacing w:after="0"/>
        <w:ind w:left="720"/>
        <w:jc w:val="both"/>
        <w:rPr>
          <w:rFonts w:ascii="Arial" w:hAnsi="Arial" w:cs="Arial"/>
          <w:sz w:val="22"/>
        </w:rPr>
      </w:pPr>
    </w:p>
    <w:p w14:paraId="64F36E68" w14:textId="43662207" w:rsidR="3C659699" w:rsidRPr="00F57C3E" w:rsidRDefault="00B67073" w:rsidP="00B67073">
      <w:pPr>
        <w:pStyle w:val="Heading2"/>
        <w:rPr>
          <w:rFonts w:ascii="Arial" w:hAnsi="Arial" w:cs="Arial"/>
          <w:color w:val="4471C4"/>
          <w:sz w:val="22"/>
          <w:szCs w:val="22"/>
        </w:rPr>
      </w:pPr>
      <w:bookmarkStart w:id="1" w:name="_Toc1915621813"/>
      <w:r w:rsidRPr="00F57C3E">
        <w:rPr>
          <w:rFonts w:ascii="Arial" w:hAnsi="Arial" w:cs="Arial"/>
          <w:color w:val="4471C4"/>
          <w:sz w:val="22"/>
          <w:szCs w:val="22"/>
        </w:rPr>
        <w:t>2.</w:t>
      </w:r>
      <w:r w:rsidR="00814D83" w:rsidRPr="00F57C3E">
        <w:rPr>
          <w:rFonts w:ascii="Arial" w:hAnsi="Arial" w:cs="Arial"/>
          <w:color w:val="4471C4"/>
          <w:sz w:val="22"/>
          <w:szCs w:val="22"/>
        </w:rPr>
        <w:t>Palliative</w:t>
      </w:r>
      <w:r w:rsidR="00A56C5B" w:rsidRPr="00F57C3E">
        <w:rPr>
          <w:rFonts w:ascii="Arial" w:hAnsi="Arial" w:cs="Arial"/>
          <w:color w:val="4471C4"/>
          <w:sz w:val="22"/>
          <w:szCs w:val="22"/>
        </w:rPr>
        <w:t xml:space="preserve"> Care </w:t>
      </w:r>
      <w:r w:rsidR="3C659699" w:rsidRPr="00F57C3E">
        <w:rPr>
          <w:rFonts w:ascii="Arial" w:hAnsi="Arial" w:cs="Arial"/>
          <w:color w:val="4471C4"/>
          <w:sz w:val="22"/>
          <w:szCs w:val="22"/>
        </w:rPr>
        <w:t>in the Health and Social Care Field</w:t>
      </w:r>
      <w:bookmarkEnd w:id="1"/>
    </w:p>
    <w:p w14:paraId="3C079BEF" w14:textId="401104E7" w:rsidR="0156E134" w:rsidRPr="00F57C3E" w:rsidRDefault="0156E134" w:rsidP="0156E134">
      <w:pPr>
        <w:spacing w:after="0" w:line="240" w:lineRule="auto"/>
        <w:jc w:val="both"/>
        <w:rPr>
          <w:rFonts w:ascii="Arial" w:hAnsi="Arial" w:cs="Arial"/>
          <w:sz w:val="22"/>
        </w:rPr>
      </w:pPr>
    </w:p>
    <w:p w14:paraId="3BE9CE70" w14:textId="50C270C7" w:rsidR="48942F29" w:rsidRPr="00F57C3E" w:rsidRDefault="5CF7C3DB" w:rsidP="000E472E">
      <w:pPr>
        <w:pStyle w:val="Heading2"/>
        <w:rPr>
          <w:rFonts w:ascii="Arial" w:hAnsi="Arial" w:cs="Arial"/>
          <w:color w:val="4471C4"/>
          <w:sz w:val="22"/>
          <w:szCs w:val="22"/>
        </w:rPr>
      </w:pPr>
      <w:bookmarkStart w:id="2" w:name="_Toc796087951"/>
      <w:r w:rsidRPr="00F57C3E">
        <w:rPr>
          <w:rFonts w:ascii="Arial" w:hAnsi="Arial" w:cs="Arial"/>
          <w:color w:val="4471C4"/>
          <w:sz w:val="22"/>
          <w:szCs w:val="22"/>
        </w:rPr>
        <w:t>2.1</w:t>
      </w:r>
      <w:r w:rsidR="002370CE" w:rsidRPr="00F57C3E">
        <w:rPr>
          <w:rFonts w:ascii="Arial" w:hAnsi="Arial" w:cs="Arial"/>
          <w:color w:val="4471C4"/>
          <w:sz w:val="22"/>
          <w:szCs w:val="22"/>
        </w:rPr>
        <w:t xml:space="preserve"> </w:t>
      </w:r>
      <w:r w:rsidR="071F48DC" w:rsidRPr="00F57C3E">
        <w:rPr>
          <w:rFonts w:ascii="Arial" w:hAnsi="Arial" w:cs="Arial"/>
          <w:color w:val="4471C4"/>
          <w:sz w:val="22"/>
          <w:szCs w:val="22"/>
        </w:rPr>
        <w:t>Description</w:t>
      </w:r>
      <w:r w:rsidR="00070818" w:rsidRPr="00F57C3E">
        <w:rPr>
          <w:rFonts w:ascii="Arial" w:hAnsi="Arial" w:cs="Arial"/>
          <w:color w:val="4471C4"/>
          <w:sz w:val="22"/>
          <w:szCs w:val="22"/>
        </w:rPr>
        <w:t xml:space="preserve"> </w:t>
      </w:r>
      <w:r w:rsidR="13BD3D5D" w:rsidRPr="00F57C3E">
        <w:rPr>
          <w:rFonts w:ascii="Arial" w:hAnsi="Arial" w:cs="Arial"/>
          <w:color w:val="4471C4"/>
          <w:sz w:val="22"/>
          <w:szCs w:val="22"/>
        </w:rPr>
        <w:t xml:space="preserve">of </w:t>
      </w:r>
      <w:r w:rsidR="0092333A" w:rsidRPr="00F57C3E">
        <w:rPr>
          <w:rFonts w:ascii="Arial" w:hAnsi="Arial" w:cs="Arial"/>
          <w:color w:val="4471C4"/>
          <w:sz w:val="22"/>
          <w:szCs w:val="22"/>
        </w:rPr>
        <w:t>Palliative Care</w:t>
      </w:r>
      <w:r w:rsidR="008B0B22" w:rsidRPr="00F57C3E">
        <w:rPr>
          <w:rFonts w:ascii="Arial" w:hAnsi="Arial" w:cs="Arial"/>
          <w:color w:val="4471C4"/>
          <w:sz w:val="22"/>
          <w:szCs w:val="22"/>
        </w:rPr>
        <w:t xml:space="preserve"> in Health</w:t>
      </w:r>
      <w:r w:rsidR="3464B4D3" w:rsidRPr="00F57C3E">
        <w:rPr>
          <w:rFonts w:ascii="Arial" w:hAnsi="Arial" w:cs="Arial"/>
          <w:color w:val="4471C4"/>
          <w:sz w:val="22"/>
          <w:szCs w:val="22"/>
        </w:rPr>
        <w:t xml:space="preserve"> and Social </w:t>
      </w:r>
      <w:r w:rsidR="3D6135D7" w:rsidRPr="00F57C3E">
        <w:rPr>
          <w:rFonts w:ascii="Arial" w:hAnsi="Arial" w:cs="Arial"/>
          <w:color w:val="4471C4"/>
          <w:sz w:val="22"/>
          <w:szCs w:val="22"/>
        </w:rPr>
        <w:t>C</w:t>
      </w:r>
      <w:r w:rsidR="008B0B22" w:rsidRPr="00F57C3E">
        <w:rPr>
          <w:rFonts w:ascii="Arial" w:hAnsi="Arial" w:cs="Arial"/>
          <w:color w:val="4471C4"/>
          <w:sz w:val="22"/>
          <w:szCs w:val="22"/>
        </w:rPr>
        <w:t>are</w:t>
      </w:r>
      <w:bookmarkEnd w:id="2"/>
      <w:r w:rsidR="008B0B22" w:rsidRPr="00F57C3E">
        <w:rPr>
          <w:rFonts w:ascii="Arial" w:hAnsi="Arial" w:cs="Arial"/>
          <w:color w:val="4471C4"/>
          <w:sz w:val="22"/>
          <w:szCs w:val="22"/>
        </w:rPr>
        <w:t xml:space="preserve"> </w:t>
      </w:r>
    </w:p>
    <w:p w14:paraId="0D923319" w14:textId="77777777" w:rsidR="00075DA5" w:rsidRPr="00075DA5" w:rsidRDefault="00075DA5" w:rsidP="00075DA5">
      <w:pPr>
        <w:spacing w:before="100" w:beforeAutospacing="1" w:after="100" w:afterAutospacing="1" w:line="240" w:lineRule="auto"/>
        <w:rPr>
          <w:rFonts w:ascii="Arial" w:hAnsi="Arial" w:cs="Arial"/>
          <w:color w:val="000000"/>
          <w:kern w:val="0"/>
          <w:sz w:val="22"/>
          <w:lang w:eastAsia="en-GB"/>
          <w14:ligatures w14:val="none"/>
        </w:rPr>
      </w:pPr>
      <w:r w:rsidRPr="00075DA5">
        <w:rPr>
          <w:rFonts w:ascii="Arial" w:hAnsi="Arial" w:cs="Arial"/>
          <w:color w:val="000000"/>
          <w:kern w:val="0"/>
          <w:sz w:val="22"/>
          <w:lang w:eastAsia="en-GB"/>
          <w14:ligatures w14:val="none"/>
        </w:rPr>
        <w:t>Palliative care plays a vital role in health and social care because it supports individuals with life-limiting or terminal conditions by improving their quality of life and maintaining dignity. This role is important as it focuses on the holistic needs of the person—physical, emotional, social, and spiritual—rather than only treating the illness (WHO, 2020). By prioritising comfort, symptom control, and person-centred support, palliative care helps individuals remain as comfortable and independent as possible while also providing reassurance and guidance to families and carers during a difficult time. This emphasis on compassion, dignity, and respect ensures that people receive sensitive and meaningful support at the end of life.</w:t>
      </w:r>
    </w:p>
    <w:p w14:paraId="3CBEF8A9" w14:textId="77777777" w:rsidR="00075DA5" w:rsidRPr="00075DA5" w:rsidRDefault="00075DA5" w:rsidP="00075DA5">
      <w:pPr>
        <w:spacing w:before="100" w:beforeAutospacing="1" w:after="100" w:afterAutospacing="1" w:line="240" w:lineRule="auto"/>
        <w:rPr>
          <w:rFonts w:ascii="Arial" w:hAnsi="Arial" w:cs="Arial"/>
          <w:color w:val="000000"/>
          <w:kern w:val="0"/>
          <w:sz w:val="22"/>
          <w:lang w:eastAsia="en-GB"/>
          <w14:ligatures w14:val="none"/>
        </w:rPr>
      </w:pPr>
      <w:r w:rsidRPr="00075DA5">
        <w:rPr>
          <w:rFonts w:ascii="Arial" w:hAnsi="Arial" w:cs="Arial"/>
          <w:color w:val="000000"/>
          <w:kern w:val="0"/>
          <w:sz w:val="22"/>
          <w:lang w:eastAsia="en-GB"/>
          <w14:ligatures w14:val="none"/>
        </w:rPr>
        <w:t>The role involves a range of duties that require coordinated teamwork and effective communication. Staff monitor and manage symptoms such as pain, breathlessness, and anxiety, while also supporting personal care needs and maintaining the person’s comfort. They contribute to care planning, assist with advance care decisions, and work closely with nurses, doctors, hospices, and community teams. Key skills needed for this role include empathy, active listening, clear communication, patience, and the ability to provide emotional support. Practical skills such as observation, accurate record-keeping, and following care plans are also essential to ensure safe, high-quality palliative care (CQC, Regulation 12).</w:t>
      </w:r>
    </w:p>
    <w:p w14:paraId="77A892A4" w14:textId="77777777" w:rsidR="00075DA5" w:rsidRPr="00F57C3E" w:rsidRDefault="00075DA5" w:rsidP="00075DA5">
      <w:pPr>
        <w:rPr>
          <w:rFonts w:ascii="Arial" w:hAnsi="Arial" w:cs="Arial"/>
          <w:sz w:val="22"/>
        </w:rPr>
      </w:pPr>
    </w:p>
    <w:p w14:paraId="4010C35E" w14:textId="7C60D9B7" w:rsidR="00EC7EBE" w:rsidRPr="00F57C3E" w:rsidRDefault="04019B15" w:rsidP="0CF501EC">
      <w:pPr>
        <w:pStyle w:val="Heading2"/>
        <w:rPr>
          <w:rFonts w:ascii="Arial" w:hAnsi="Arial" w:cs="Arial"/>
          <w:color w:val="4472C4" w:themeColor="accent1"/>
          <w:sz w:val="22"/>
          <w:szCs w:val="22"/>
        </w:rPr>
      </w:pPr>
      <w:bookmarkStart w:id="3" w:name="_Toc1426973069"/>
      <w:r w:rsidRPr="00F57C3E">
        <w:rPr>
          <w:rFonts w:ascii="Arial" w:hAnsi="Arial" w:cs="Arial"/>
          <w:color w:val="4471C4"/>
          <w:sz w:val="22"/>
          <w:szCs w:val="22"/>
        </w:rPr>
        <w:t>2.2</w:t>
      </w:r>
      <w:r w:rsidR="00676FEB" w:rsidRPr="00F57C3E">
        <w:rPr>
          <w:rFonts w:ascii="Arial" w:hAnsi="Arial" w:cs="Arial"/>
          <w:color w:val="4471C4"/>
          <w:sz w:val="22"/>
          <w:szCs w:val="22"/>
        </w:rPr>
        <w:t xml:space="preserve"> </w:t>
      </w:r>
      <w:r w:rsidR="00DD5135" w:rsidRPr="00F57C3E">
        <w:rPr>
          <w:rFonts w:ascii="Arial" w:hAnsi="Arial" w:cs="Arial"/>
          <w:color w:val="4471C4"/>
          <w:sz w:val="22"/>
          <w:szCs w:val="22"/>
        </w:rPr>
        <w:t>Explanation</w:t>
      </w:r>
      <w:r w:rsidR="00805726" w:rsidRPr="00F57C3E">
        <w:rPr>
          <w:rFonts w:ascii="Arial" w:hAnsi="Arial" w:cs="Arial"/>
          <w:color w:val="4471C4"/>
          <w:sz w:val="22"/>
          <w:szCs w:val="22"/>
        </w:rPr>
        <w:t xml:space="preserve"> of </w:t>
      </w:r>
      <w:r w:rsidR="549B9698" w:rsidRPr="00F57C3E">
        <w:rPr>
          <w:rFonts w:ascii="Arial" w:hAnsi="Arial" w:cs="Arial"/>
          <w:color w:val="4471C4"/>
          <w:sz w:val="22"/>
          <w:szCs w:val="22"/>
        </w:rPr>
        <w:t>M</w:t>
      </w:r>
      <w:r w:rsidR="00824CB1" w:rsidRPr="00F57C3E">
        <w:rPr>
          <w:rFonts w:ascii="Arial" w:hAnsi="Arial" w:cs="Arial"/>
          <w:color w:val="4471C4"/>
          <w:sz w:val="22"/>
          <w:szCs w:val="22"/>
        </w:rPr>
        <w:t xml:space="preserve">ost </w:t>
      </w:r>
      <w:r w:rsidR="7AC44C89" w:rsidRPr="00F57C3E">
        <w:rPr>
          <w:rFonts w:ascii="Arial" w:hAnsi="Arial" w:cs="Arial"/>
          <w:color w:val="4471C4"/>
          <w:sz w:val="22"/>
          <w:szCs w:val="22"/>
        </w:rPr>
        <w:t>S</w:t>
      </w:r>
      <w:r w:rsidR="00824CB1" w:rsidRPr="00F57C3E">
        <w:rPr>
          <w:rFonts w:ascii="Arial" w:hAnsi="Arial" w:cs="Arial"/>
          <w:color w:val="4471C4"/>
          <w:sz w:val="22"/>
          <w:szCs w:val="22"/>
        </w:rPr>
        <w:t xml:space="preserve">ignificant </w:t>
      </w:r>
      <w:r w:rsidR="556E2D6A" w:rsidRPr="00F57C3E">
        <w:rPr>
          <w:rFonts w:ascii="Arial" w:hAnsi="Arial" w:cs="Arial"/>
          <w:color w:val="4471C4"/>
          <w:sz w:val="22"/>
          <w:szCs w:val="22"/>
        </w:rPr>
        <w:t>S</w:t>
      </w:r>
      <w:r w:rsidR="00D4006B" w:rsidRPr="00F57C3E">
        <w:rPr>
          <w:rFonts w:ascii="Arial" w:hAnsi="Arial" w:cs="Arial"/>
          <w:color w:val="4471C4"/>
          <w:sz w:val="22"/>
          <w:szCs w:val="22"/>
        </w:rPr>
        <w:t xml:space="preserve">kills </w:t>
      </w:r>
      <w:r w:rsidR="653BE314" w:rsidRPr="00F57C3E">
        <w:rPr>
          <w:rFonts w:ascii="Arial" w:hAnsi="Arial" w:cs="Arial"/>
          <w:color w:val="4471C4"/>
          <w:sz w:val="22"/>
          <w:szCs w:val="22"/>
        </w:rPr>
        <w:t>N</w:t>
      </w:r>
      <w:r w:rsidR="00D4006B" w:rsidRPr="00F57C3E">
        <w:rPr>
          <w:rFonts w:ascii="Arial" w:hAnsi="Arial" w:cs="Arial"/>
          <w:color w:val="4471C4"/>
          <w:sz w:val="22"/>
          <w:szCs w:val="22"/>
        </w:rPr>
        <w:t>eeded for</w:t>
      </w:r>
      <w:r w:rsidR="00570AF7" w:rsidRPr="00F57C3E">
        <w:rPr>
          <w:rFonts w:ascii="Arial" w:hAnsi="Arial" w:cs="Arial"/>
          <w:color w:val="4471C4"/>
          <w:sz w:val="22"/>
          <w:szCs w:val="22"/>
        </w:rPr>
        <w:t xml:space="preserve"> Palliative Care</w:t>
      </w:r>
      <w:r w:rsidR="007138EF" w:rsidRPr="00F57C3E">
        <w:rPr>
          <w:rFonts w:ascii="Arial" w:hAnsi="Arial" w:cs="Arial"/>
          <w:color w:val="4471C4"/>
          <w:sz w:val="22"/>
          <w:szCs w:val="22"/>
        </w:rPr>
        <w:t xml:space="preserve"> in Health</w:t>
      </w:r>
      <w:r w:rsidR="655ACEAB" w:rsidRPr="00F57C3E">
        <w:rPr>
          <w:rFonts w:ascii="Arial" w:hAnsi="Arial" w:cs="Arial"/>
          <w:color w:val="4471C4"/>
          <w:sz w:val="22"/>
          <w:szCs w:val="22"/>
        </w:rPr>
        <w:t xml:space="preserve"> and Social C</w:t>
      </w:r>
      <w:r w:rsidR="007138EF" w:rsidRPr="00F57C3E">
        <w:rPr>
          <w:rFonts w:ascii="Arial" w:hAnsi="Arial" w:cs="Arial"/>
          <w:color w:val="4471C4"/>
          <w:sz w:val="22"/>
          <w:szCs w:val="22"/>
        </w:rPr>
        <w:t>are</w:t>
      </w:r>
      <w:bookmarkEnd w:id="3"/>
      <w:r w:rsidR="00AB2DAA" w:rsidRPr="00F57C3E">
        <w:rPr>
          <w:rFonts w:ascii="Arial" w:hAnsi="Arial" w:cs="Arial"/>
          <w:color w:val="4471C4"/>
          <w:sz w:val="22"/>
          <w:szCs w:val="22"/>
        </w:rPr>
        <w:t>.</w:t>
      </w:r>
    </w:p>
    <w:p w14:paraId="1ACEEC57" w14:textId="77777777" w:rsidR="00F95044" w:rsidRPr="00F95044" w:rsidRDefault="00F95044" w:rsidP="00F95044">
      <w:pPr>
        <w:spacing w:before="100" w:beforeAutospacing="1" w:after="100" w:afterAutospacing="1" w:line="240" w:lineRule="auto"/>
        <w:rPr>
          <w:rFonts w:ascii="Arial" w:hAnsi="Arial" w:cs="Arial"/>
          <w:color w:val="000000"/>
          <w:kern w:val="0"/>
          <w:sz w:val="22"/>
          <w:lang w:eastAsia="en-GB"/>
          <w14:ligatures w14:val="none"/>
        </w:rPr>
      </w:pPr>
      <w:r w:rsidRPr="00F95044">
        <w:rPr>
          <w:rFonts w:ascii="Arial" w:hAnsi="Arial" w:cs="Arial"/>
          <w:color w:val="000000"/>
          <w:kern w:val="0"/>
          <w:sz w:val="22"/>
          <w:lang w:eastAsia="en-GB"/>
          <w14:ligatures w14:val="none"/>
        </w:rPr>
        <w:t>A key skill required in palliative care is effective communication, as it enables staff to fully understand a person’s needs, preferences, and emotional state. Communication is essential because individuals receiving palliative care often experience fear, uncertainty, and difficult feelings about their condition. NICE guidance emphasises that clear, compassionate communication is central to high-quality end-of-life care (NICE, 2015), helping people make informed decisions and feel supported. For example, when I was caring for my late father-in-law, I always asked questions gently to understand his pain levels and listened actively when he expressed concerns about his situation. This approach encouraged trust and ensured that the care he received was respectful and person-centred. Listen and talk with love is always the best approach.</w:t>
      </w:r>
    </w:p>
    <w:p w14:paraId="0F4D8838" w14:textId="77777777" w:rsidR="00F95044" w:rsidRPr="00F95044" w:rsidRDefault="00F95044" w:rsidP="00F95044">
      <w:pPr>
        <w:spacing w:before="100" w:beforeAutospacing="1" w:after="100" w:afterAutospacing="1" w:line="240" w:lineRule="auto"/>
        <w:rPr>
          <w:rFonts w:ascii="Arial" w:hAnsi="Arial" w:cs="Arial"/>
          <w:color w:val="000000"/>
          <w:kern w:val="0"/>
          <w:sz w:val="22"/>
          <w:lang w:eastAsia="en-GB"/>
          <w14:ligatures w14:val="none"/>
        </w:rPr>
      </w:pPr>
      <w:r w:rsidRPr="00F95044">
        <w:rPr>
          <w:rFonts w:ascii="Arial" w:hAnsi="Arial" w:cs="Arial"/>
          <w:color w:val="000000"/>
          <w:kern w:val="0"/>
          <w:sz w:val="22"/>
          <w:lang w:eastAsia="en-GB"/>
          <w14:ligatures w14:val="none"/>
        </w:rPr>
        <w:t xml:space="preserve">Another important skill is empathy, which allows staff to recognise and respond sensitively to the emotional and psychological needs of individuals nearing the end of life. This skill is vital </w:t>
      </w:r>
      <w:r w:rsidRPr="00F95044">
        <w:rPr>
          <w:rFonts w:ascii="Arial" w:hAnsi="Arial" w:cs="Arial"/>
          <w:color w:val="000000"/>
          <w:kern w:val="0"/>
          <w:sz w:val="22"/>
          <w:lang w:eastAsia="en-GB"/>
          <w14:ligatures w14:val="none"/>
        </w:rPr>
        <w:lastRenderedPageBreak/>
        <w:t>because palliative care is holistic, focusing not only on physical symptoms but also on emotional wellbeing. The World Health Organization highlights emotional support as a core element of palliative care (WHO, 2020). In practice, empathy may involve sitting quietly with someone in distress, acknowledging their feelings without judgement, or offering reassurance. When caring for my father-in-law, I often understood what he needed before he asked—sometimes he simply wanted a hug or a conversation about life or his favourite sport, football. Being sensitive and compassionate created comfort and provided the kind of emotional support that patients at this stage deeply need.</w:t>
      </w:r>
    </w:p>
    <w:p w14:paraId="7338813D" w14:textId="5D0E0F5C" w:rsidR="00C85A7C" w:rsidRPr="00F57C3E" w:rsidRDefault="00F95044" w:rsidP="00151150">
      <w:pPr>
        <w:spacing w:before="100" w:beforeAutospacing="1" w:after="100" w:afterAutospacing="1" w:line="240" w:lineRule="auto"/>
        <w:rPr>
          <w:rFonts w:ascii="Arial" w:hAnsi="Arial" w:cs="Arial"/>
          <w:color w:val="000000"/>
          <w:kern w:val="0"/>
          <w:sz w:val="22"/>
          <w:lang w:eastAsia="en-GB"/>
          <w14:ligatures w14:val="none"/>
        </w:rPr>
      </w:pPr>
      <w:r w:rsidRPr="00F95044">
        <w:rPr>
          <w:rFonts w:ascii="Arial" w:hAnsi="Arial" w:cs="Arial"/>
          <w:color w:val="000000"/>
          <w:kern w:val="0"/>
          <w:sz w:val="22"/>
          <w:lang w:eastAsia="en-GB"/>
          <w14:ligatures w14:val="none"/>
        </w:rPr>
        <w:t xml:space="preserve">A third essential skill is accurate observation and reporting, which ensures that changes in a person’s condition are identified early and acted upon appropriately. This skill is crucial because people receiving palliative care may experience rapid changes in symptoms that require timely intervention. The Care Quality Commission stresses the importance of safe monitoring and clear record-keeping (CQC, Regulation 12; CQC, Regulation 20) to maintain high-quality care. For example, a support worker may notice a change in breathing patterns or increasing unresponsiveness and then report this immediately to a nurse or GP. Effective observation helps prevent unnecessary suffering and ensures that pain and other symptoms are managed as well as possible. </w:t>
      </w:r>
    </w:p>
    <w:p w14:paraId="2CAEA1EC" w14:textId="6F8FC114" w:rsidR="002370CE" w:rsidRPr="00F57C3E" w:rsidRDefault="1F09BC6E" w:rsidP="0CF501EC">
      <w:pPr>
        <w:pStyle w:val="Heading2"/>
        <w:rPr>
          <w:rFonts w:ascii="Arial" w:hAnsi="Arial" w:cs="Arial"/>
          <w:color w:val="4472C4" w:themeColor="accent1"/>
          <w:sz w:val="22"/>
          <w:szCs w:val="22"/>
        </w:rPr>
      </w:pPr>
      <w:bookmarkStart w:id="4" w:name="_Toc992114325"/>
      <w:r w:rsidRPr="00F57C3E">
        <w:rPr>
          <w:rFonts w:ascii="Arial" w:hAnsi="Arial" w:cs="Arial"/>
          <w:color w:val="4471C4"/>
          <w:sz w:val="22"/>
          <w:szCs w:val="22"/>
        </w:rPr>
        <w:t>3</w:t>
      </w:r>
      <w:r w:rsidR="005D5457" w:rsidRPr="00F57C3E">
        <w:rPr>
          <w:rFonts w:ascii="Arial" w:hAnsi="Arial" w:cs="Arial"/>
          <w:color w:val="4471C4"/>
          <w:sz w:val="22"/>
          <w:szCs w:val="22"/>
        </w:rPr>
        <w:t xml:space="preserve"> </w:t>
      </w:r>
      <w:r w:rsidR="003003FD" w:rsidRPr="00F57C3E">
        <w:rPr>
          <w:rFonts w:ascii="Arial" w:hAnsi="Arial" w:cs="Arial"/>
          <w:color w:val="4471C4"/>
          <w:sz w:val="22"/>
          <w:szCs w:val="22"/>
        </w:rPr>
        <w:t>Strategies</w:t>
      </w:r>
      <w:r w:rsidR="00183CB9" w:rsidRPr="00F57C3E">
        <w:rPr>
          <w:rFonts w:ascii="Arial" w:hAnsi="Arial" w:cs="Arial"/>
          <w:color w:val="4471C4"/>
          <w:sz w:val="22"/>
          <w:szCs w:val="22"/>
        </w:rPr>
        <w:t xml:space="preserve"> </w:t>
      </w:r>
      <w:r w:rsidR="59AB5A3E" w:rsidRPr="00F57C3E">
        <w:rPr>
          <w:rFonts w:ascii="Arial" w:hAnsi="Arial" w:cs="Arial"/>
          <w:color w:val="4471C4"/>
          <w:sz w:val="22"/>
          <w:szCs w:val="22"/>
        </w:rPr>
        <w:t xml:space="preserve">for Skill Improvement for </w:t>
      </w:r>
      <w:bookmarkEnd w:id="4"/>
      <w:r w:rsidR="002A2EBE" w:rsidRPr="00F57C3E">
        <w:rPr>
          <w:rFonts w:ascii="Arial" w:hAnsi="Arial" w:cs="Arial"/>
          <w:color w:val="4471C4"/>
          <w:sz w:val="22"/>
          <w:szCs w:val="22"/>
        </w:rPr>
        <w:t>Palliative Care</w:t>
      </w:r>
    </w:p>
    <w:p w14:paraId="503CFF6C" w14:textId="1C0104EF" w:rsidR="00126A91" w:rsidRPr="00F57C3E" w:rsidRDefault="0C5D0C5C" w:rsidP="000278A9">
      <w:pPr>
        <w:pStyle w:val="Heading2"/>
        <w:rPr>
          <w:rFonts w:ascii="Arial" w:hAnsi="Arial" w:cs="Arial"/>
          <w:color w:val="4472C4" w:themeColor="accent1"/>
          <w:sz w:val="22"/>
          <w:szCs w:val="22"/>
        </w:rPr>
      </w:pPr>
      <w:bookmarkStart w:id="5" w:name="_Toc1405407187"/>
      <w:r w:rsidRPr="00F57C3E">
        <w:rPr>
          <w:rFonts w:ascii="Arial" w:hAnsi="Arial" w:cs="Arial"/>
          <w:color w:val="4471C4"/>
          <w:sz w:val="22"/>
          <w:szCs w:val="22"/>
        </w:rPr>
        <w:t xml:space="preserve">3.1 Three Strategies </w:t>
      </w:r>
      <w:r w:rsidR="00183CB9" w:rsidRPr="00F57C3E">
        <w:rPr>
          <w:rFonts w:ascii="Arial" w:hAnsi="Arial" w:cs="Arial"/>
          <w:color w:val="4471C4"/>
          <w:sz w:val="22"/>
          <w:szCs w:val="22"/>
        </w:rPr>
        <w:t xml:space="preserve">to </w:t>
      </w:r>
      <w:r w:rsidR="5CE671C3" w:rsidRPr="00F57C3E">
        <w:rPr>
          <w:rFonts w:ascii="Arial" w:hAnsi="Arial" w:cs="Arial"/>
          <w:color w:val="4471C4"/>
          <w:sz w:val="22"/>
          <w:szCs w:val="22"/>
        </w:rPr>
        <w:t>I</w:t>
      </w:r>
      <w:r w:rsidR="00183CB9" w:rsidRPr="00F57C3E">
        <w:rPr>
          <w:rFonts w:ascii="Arial" w:hAnsi="Arial" w:cs="Arial"/>
          <w:color w:val="4471C4"/>
          <w:sz w:val="22"/>
          <w:szCs w:val="22"/>
        </w:rPr>
        <w:t xml:space="preserve">mprove the </w:t>
      </w:r>
      <w:r w:rsidR="40F0AB75" w:rsidRPr="00F57C3E">
        <w:rPr>
          <w:rFonts w:ascii="Arial" w:hAnsi="Arial" w:cs="Arial"/>
          <w:color w:val="4471C4"/>
          <w:sz w:val="22"/>
          <w:szCs w:val="22"/>
        </w:rPr>
        <w:t>S</w:t>
      </w:r>
      <w:r w:rsidR="00183CB9" w:rsidRPr="00F57C3E">
        <w:rPr>
          <w:rFonts w:ascii="Arial" w:hAnsi="Arial" w:cs="Arial"/>
          <w:color w:val="4471C4"/>
          <w:sz w:val="22"/>
          <w:szCs w:val="22"/>
        </w:rPr>
        <w:t>kills</w:t>
      </w:r>
      <w:r w:rsidR="005D5457" w:rsidRPr="00F57C3E">
        <w:rPr>
          <w:rFonts w:ascii="Arial" w:hAnsi="Arial" w:cs="Arial"/>
          <w:color w:val="4471C4"/>
          <w:sz w:val="22"/>
          <w:szCs w:val="22"/>
        </w:rPr>
        <w:t xml:space="preserve"> </w:t>
      </w:r>
      <w:r w:rsidR="00070818" w:rsidRPr="00F57C3E">
        <w:rPr>
          <w:rFonts w:ascii="Arial" w:hAnsi="Arial" w:cs="Arial"/>
          <w:color w:val="4471C4"/>
          <w:sz w:val="22"/>
          <w:szCs w:val="22"/>
        </w:rPr>
        <w:t xml:space="preserve">for </w:t>
      </w:r>
      <w:bookmarkEnd w:id="5"/>
      <w:r w:rsidR="00F36095" w:rsidRPr="00F57C3E">
        <w:rPr>
          <w:rFonts w:ascii="Arial" w:hAnsi="Arial" w:cs="Arial"/>
          <w:color w:val="4471C4"/>
          <w:sz w:val="22"/>
          <w:szCs w:val="22"/>
        </w:rPr>
        <w:t xml:space="preserve">Palliative Care </w:t>
      </w:r>
    </w:p>
    <w:p w14:paraId="4203A298" w14:textId="77777777" w:rsidR="00151150" w:rsidRPr="00151150" w:rsidRDefault="00151150" w:rsidP="00151150">
      <w:pPr>
        <w:spacing w:before="100" w:beforeAutospacing="1" w:after="100" w:afterAutospacing="1" w:line="240" w:lineRule="auto"/>
        <w:rPr>
          <w:rFonts w:ascii="Arial" w:hAnsi="Arial" w:cs="Arial"/>
          <w:color w:val="000000"/>
          <w:kern w:val="0"/>
          <w:sz w:val="22"/>
          <w:lang w:eastAsia="en-GB"/>
          <w14:ligatures w14:val="none"/>
        </w:rPr>
      </w:pPr>
      <w:r w:rsidRPr="00151150">
        <w:rPr>
          <w:rFonts w:ascii="Arial" w:hAnsi="Arial" w:cs="Arial"/>
          <w:color w:val="000000"/>
          <w:kern w:val="0"/>
          <w:sz w:val="22"/>
          <w:lang w:eastAsia="en-GB"/>
          <w14:ligatures w14:val="none"/>
        </w:rPr>
        <w:t>One strategy to improve communication skills in palliative care is the use of structured communication training programmes. Training models such as SAGE &amp; THYME (SAGE &amp; THYME Foundation) and the NICE-recommended communication skills programmes teach staff how to ask open questions, listen actively, and respond with compassion. These programmes work by providing staff with clear frameworks for initiating difficult conversations, exploring concerns, and checking understanding. For example, the SAGE &amp; THYME model encourages staff to “Ask” about the person’s concerns, “Gather” enough information, and “Empathise” with their feelings. In practice, support workers may use these structured prompts when discussing pain levels or emotional worries with someone nearing the end of life. Evidence supports this approach, as NICE highlights that communication training improves confidence and enhances person-centred care (NICE, 2019).</w:t>
      </w:r>
    </w:p>
    <w:p w14:paraId="20816DF3" w14:textId="4E2568E9" w:rsidR="00151150" w:rsidRPr="00151150" w:rsidRDefault="00151150" w:rsidP="00151150">
      <w:pPr>
        <w:spacing w:before="100" w:beforeAutospacing="1" w:after="100" w:afterAutospacing="1" w:line="240" w:lineRule="auto"/>
        <w:rPr>
          <w:rFonts w:ascii="Arial" w:hAnsi="Arial" w:cs="Arial"/>
          <w:color w:val="000000"/>
          <w:kern w:val="0"/>
          <w:sz w:val="22"/>
          <w:lang w:eastAsia="en-GB"/>
          <w14:ligatures w14:val="none"/>
        </w:rPr>
      </w:pPr>
      <w:r w:rsidRPr="00151150">
        <w:rPr>
          <w:rFonts w:ascii="Arial" w:hAnsi="Arial" w:cs="Arial"/>
          <w:color w:val="000000"/>
          <w:kern w:val="0"/>
          <w:sz w:val="22"/>
          <w:lang w:eastAsia="en-GB"/>
          <w14:ligatures w14:val="none"/>
        </w:rPr>
        <w:t xml:space="preserve">A strategy to improve empathy in palliative care is reflective practice, such as keeping a reflective journal or engaging in supervision. Reflective practice allows carers to think deeply about their interactions, emotional responses, and the needs of the people they support. This strategy works because it encourages staff to slow down, examine their assumptions, and better understand the emotional experiences of others. For example, after supporting someone who expressed fear about dying, a support worker may write a reflection exploring what emotions they observed and how their own reactions influenced the conversation. In practice, reflective supervision sessions help staff gain insight from experienced colleagues. Gibbs’ reflective cycle supports the development of emotional awareness and deeper </w:t>
      </w:r>
      <w:r w:rsidR="00257153" w:rsidRPr="00151150">
        <w:rPr>
          <w:rFonts w:ascii="Arial" w:hAnsi="Arial" w:cs="Arial"/>
          <w:color w:val="000000"/>
          <w:kern w:val="0"/>
          <w:sz w:val="22"/>
          <w:lang w:eastAsia="en-GB"/>
          <w14:ligatures w14:val="none"/>
        </w:rPr>
        <w:t>understanding (</w:t>
      </w:r>
      <w:r w:rsidRPr="00151150">
        <w:rPr>
          <w:rFonts w:ascii="Arial" w:hAnsi="Arial" w:cs="Arial"/>
          <w:color w:val="000000"/>
          <w:kern w:val="0"/>
          <w:sz w:val="22"/>
          <w:lang w:eastAsia="en-GB"/>
          <w14:ligatures w14:val="none"/>
        </w:rPr>
        <w:t>Gibbs, 1988). The World Health Organization also emphasises reflective practice as essential for compassionate care (WHO, 2020).</w:t>
      </w:r>
    </w:p>
    <w:p w14:paraId="2063B6C1" w14:textId="4472EBD5" w:rsidR="00151150" w:rsidRPr="00151150" w:rsidRDefault="00151150" w:rsidP="00151150">
      <w:pPr>
        <w:spacing w:before="100" w:beforeAutospacing="1" w:after="100" w:afterAutospacing="1" w:line="240" w:lineRule="auto"/>
        <w:rPr>
          <w:rFonts w:ascii="Arial" w:hAnsi="Arial" w:cs="Arial"/>
          <w:color w:val="000000"/>
          <w:kern w:val="0"/>
          <w:sz w:val="22"/>
          <w:lang w:eastAsia="en-GB"/>
          <w14:ligatures w14:val="none"/>
        </w:rPr>
      </w:pPr>
      <w:r w:rsidRPr="00151150">
        <w:rPr>
          <w:rFonts w:ascii="Arial" w:hAnsi="Arial" w:cs="Arial"/>
          <w:color w:val="000000"/>
          <w:kern w:val="0"/>
          <w:sz w:val="22"/>
          <w:lang w:eastAsia="en-GB"/>
          <w14:ligatures w14:val="none"/>
        </w:rPr>
        <w:t xml:space="preserve">A strategy to improve observation and reporting skills is the use of standardised tools such as pain assessment charts or early warning scores. These tools support staff in recognising changes early by providing clear, measurable indicators of symptoms. The strategy works by giving carers structured prompts such as rating pain intensity or monitoring breathing patterns, which reduces the risk of overlooking important changes. The Care Quality Commission highlights the importance of consistent monitoring and accurate documentation (CQC, Regulation 12). </w:t>
      </w:r>
    </w:p>
    <w:p w14:paraId="58A1B501" w14:textId="2F942CCF" w:rsidR="0156E134" w:rsidRPr="00F57C3E" w:rsidRDefault="0156E134" w:rsidP="0156E134">
      <w:pPr>
        <w:pStyle w:val="ListParagraph"/>
        <w:spacing w:after="0"/>
        <w:rPr>
          <w:rFonts w:ascii="Arial" w:hAnsi="Arial" w:cs="Arial"/>
          <w:sz w:val="22"/>
        </w:rPr>
      </w:pPr>
    </w:p>
    <w:p w14:paraId="1497148C" w14:textId="5D9ACA22" w:rsidR="00A946CB" w:rsidRPr="00F57C3E" w:rsidRDefault="5617AA6E" w:rsidP="0156E134">
      <w:pPr>
        <w:pStyle w:val="Heading2"/>
        <w:rPr>
          <w:rFonts w:ascii="Arial" w:hAnsi="Arial" w:cs="Arial"/>
          <w:color w:val="4472C4" w:themeColor="accent1"/>
          <w:sz w:val="22"/>
          <w:szCs w:val="22"/>
        </w:rPr>
      </w:pPr>
      <w:bookmarkStart w:id="6" w:name="_Toc1799977123"/>
      <w:r w:rsidRPr="00F57C3E">
        <w:rPr>
          <w:rFonts w:ascii="Arial" w:hAnsi="Arial" w:cs="Arial"/>
          <w:color w:val="4471C4"/>
          <w:sz w:val="22"/>
          <w:szCs w:val="22"/>
        </w:rPr>
        <w:t>4</w:t>
      </w:r>
      <w:r w:rsidR="00A946CB" w:rsidRPr="00F57C3E">
        <w:rPr>
          <w:rFonts w:ascii="Arial" w:hAnsi="Arial" w:cs="Arial"/>
          <w:color w:val="4471C4"/>
          <w:sz w:val="22"/>
          <w:szCs w:val="22"/>
        </w:rPr>
        <w:t xml:space="preserve"> Conclusion</w:t>
      </w:r>
      <w:bookmarkEnd w:id="6"/>
    </w:p>
    <w:p w14:paraId="08FB8461" w14:textId="77777777" w:rsidR="00C943FA" w:rsidRPr="00F57C3E" w:rsidRDefault="00C943FA" w:rsidP="0156E134">
      <w:pPr>
        <w:pStyle w:val="Heading2"/>
        <w:rPr>
          <w:rFonts w:ascii="Arial" w:hAnsi="Arial" w:cs="Arial"/>
          <w:color w:val="4471C4"/>
          <w:sz w:val="22"/>
          <w:szCs w:val="22"/>
        </w:rPr>
      </w:pPr>
      <w:bookmarkStart w:id="7" w:name="_Toc1911583216"/>
    </w:p>
    <w:p w14:paraId="4761AFA2" w14:textId="4F70AC85" w:rsidR="00C943FA" w:rsidRPr="00F57C3E" w:rsidRDefault="0061222E" w:rsidP="0156E134">
      <w:pPr>
        <w:pStyle w:val="Heading2"/>
        <w:rPr>
          <w:rFonts w:ascii="Arial" w:hAnsi="Arial" w:cs="Arial"/>
          <w:color w:val="4471C4"/>
          <w:sz w:val="22"/>
          <w:szCs w:val="22"/>
        </w:rPr>
      </w:pPr>
      <w:r w:rsidRPr="00F57C3E">
        <w:rPr>
          <w:rFonts w:ascii="Arial" w:eastAsia="Times New Roman" w:hAnsi="Arial" w:cs="Arial"/>
          <w:color w:val="000000"/>
          <w:sz w:val="22"/>
          <w:szCs w:val="22"/>
        </w:rPr>
        <w:t>In conclusion, effective communication, empathy, and accurate observation with reporting are three of the most important skills required in palliative care. These skills work together to ensure that individuals approaching the end of life receive care that is respectful, compassionate, and responsive to their changing needs. Good communication helps people feel understood and involved in decisions, empathy provides essential emotional support, and careful observation ensures timely action when symptoms change. When these skills are consistently applied, the quality of care greatly improves, promoting comfort, dignity, and trust for both individuals and families. Palliative care is the most quality time you can provide to someone who doesn’t have time to live. Be respectful, be patiently. Be kind.</w:t>
      </w:r>
    </w:p>
    <w:p w14:paraId="35353FE1" w14:textId="77777777" w:rsidR="00C943FA" w:rsidRPr="00C75D07" w:rsidRDefault="00C943FA" w:rsidP="0156E134">
      <w:pPr>
        <w:pStyle w:val="Heading2"/>
        <w:rPr>
          <w:rFonts w:ascii="Arial" w:hAnsi="Arial" w:cs="Arial"/>
          <w:color w:val="4471C4"/>
          <w:sz w:val="22"/>
          <w:szCs w:val="22"/>
        </w:rPr>
      </w:pPr>
    </w:p>
    <w:p w14:paraId="7A66D4A2" w14:textId="77777777" w:rsidR="00C943FA" w:rsidRPr="00C75D07" w:rsidRDefault="00C943FA" w:rsidP="0156E134">
      <w:pPr>
        <w:pStyle w:val="Heading2"/>
        <w:rPr>
          <w:rFonts w:ascii="Arial" w:hAnsi="Arial" w:cs="Arial"/>
          <w:color w:val="4471C4"/>
          <w:sz w:val="22"/>
          <w:szCs w:val="22"/>
        </w:rPr>
      </w:pPr>
    </w:p>
    <w:p w14:paraId="6C4B494D" w14:textId="56E06A9C" w:rsidR="00226D31" w:rsidRPr="00C75D07" w:rsidRDefault="00226D31" w:rsidP="0156E134">
      <w:pPr>
        <w:pStyle w:val="Heading2"/>
        <w:rPr>
          <w:rFonts w:ascii="Arial" w:hAnsi="Arial" w:cs="Arial"/>
          <w:color w:val="4472C4" w:themeColor="accent1"/>
          <w:sz w:val="22"/>
          <w:szCs w:val="22"/>
        </w:rPr>
      </w:pPr>
      <w:r w:rsidRPr="00C75D07">
        <w:rPr>
          <w:rFonts w:ascii="Arial" w:hAnsi="Arial" w:cs="Arial"/>
          <w:color w:val="4471C4"/>
          <w:sz w:val="22"/>
          <w:szCs w:val="22"/>
        </w:rPr>
        <w:t>5 Reference List</w:t>
      </w:r>
      <w:bookmarkEnd w:id="7"/>
    </w:p>
    <w:p w14:paraId="1743ADF2" w14:textId="77777777" w:rsidR="001D5579" w:rsidRPr="00C75D07" w:rsidRDefault="001D5579" w:rsidP="001D5579">
      <w:pPr>
        <w:spacing w:before="100" w:beforeAutospacing="1" w:after="100" w:afterAutospacing="1" w:line="240" w:lineRule="auto"/>
        <w:rPr>
          <w:rFonts w:ascii="Arial" w:hAnsi="Arial" w:cs="Arial"/>
          <w:color w:val="000000"/>
          <w:kern w:val="0"/>
          <w:sz w:val="22"/>
          <w:lang w:eastAsia="en-GB"/>
          <w14:ligatures w14:val="none"/>
        </w:rPr>
      </w:pPr>
      <w:r w:rsidRPr="00C75D07">
        <w:rPr>
          <w:rFonts w:ascii="Arial" w:hAnsi="Arial" w:cs="Arial"/>
          <w:color w:val="000000"/>
          <w:kern w:val="0"/>
          <w:sz w:val="22"/>
          <w:lang w:eastAsia="en-GB"/>
          <w14:ligatures w14:val="none"/>
        </w:rPr>
        <w:t>Care Quality Commission (CQC). </w:t>
      </w:r>
      <w:r w:rsidRPr="00C75D07">
        <w:rPr>
          <w:rFonts w:ascii="Arial" w:hAnsi="Arial" w:cs="Arial"/>
          <w:i/>
          <w:iCs/>
          <w:color w:val="000000"/>
          <w:kern w:val="0"/>
          <w:sz w:val="22"/>
          <w:lang w:eastAsia="en-GB"/>
          <w14:ligatures w14:val="none"/>
        </w:rPr>
        <w:t>Regulation 12: Safe care and treatment.</w:t>
      </w:r>
      <w:r w:rsidRPr="00C75D07">
        <w:rPr>
          <w:rFonts w:ascii="Arial" w:hAnsi="Arial" w:cs="Arial"/>
          <w:color w:val="000000"/>
          <w:kern w:val="0"/>
          <w:sz w:val="22"/>
          <w:lang w:eastAsia="en-GB"/>
          <w14:ligatures w14:val="none"/>
        </w:rPr>
        <w:br/>
        <w:t>Care Quality Commission (CQC). </w:t>
      </w:r>
      <w:r w:rsidRPr="00C75D07">
        <w:rPr>
          <w:rFonts w:ascii="Arial" w:hAnsi="Arial" w:cs="Arial"/>
          <w:i/>
          <w:iCs/>
          <w:color w:val="000000"/>
          <w:kern w:val="0"/>
          <w:sz w:val="22"/>
          <w:lang w:eastAsia="en-GB"/>
          <w14:ligatures w14:val="none"/>
        </w:rPr>
        <w:t>Regulation 20: Duty of candour.</w:t>
      </w:r>
    </w:p>
    <w:p w14:paraId="1A74CA2C" w14:textId="77777777" w:rsidR="001D5579" w:rsidRPr="00C75D07" w:rsidRDefault="001D5579" w:rsidP="001D5579">
      <w:pPr>
        <w:spacing w:before="100" w:beforeAutospacing="1" w:after="100" w:afterAutospacing="1" w:line="240" w:lineRule="auto"/>
        <w:rPr>
          <w:rFonts w:ascii="Arial" w:hAnsi="Arial" w:cs="Arial"/>
          <w:color w:val="000000"/>
          <w:kern w:val="0"/>
          <w:sz w:val="22"/>
          <w:lang w:eastAsia="en-GB"/>
          <w14:ligatures w14:val="none"/>
        </w:rPr>
      </w:pPr>
      <w:r w:rsidRPr="00C75D07">
        <w:rPr>
          <w:rFonts w:ascii="Arial" w:hAnsi="Arial" w:cs="Arial"/>
          <w:color w:val="000000"/>
          <w:kern w:val="0"/>
          <w:sz w:val="22"/>
          <w:lang w:eastAsia="en-GB"/>
          <w14:ligatures w14:val="none"/>
        </w:rPr>
        <w:t>Gibbs, G. (1988). </w:t>
      </w:r>
      <w:r w:rsidRPr="00C75D07">
        <w:rPr>
          <w:rFonts w:ascii="Arial" w:hAnsi="Arial" w:cs="Arial"/>
          <w:i/>
          <w:iCs/>
          <w:color w:val="000000"/>
          <w:kern w:val="0"/>
          <w:sz w:val="22"/>
          <w:lang w:eastAsia="en-GB"/>
          <w14:ligatures w14:val="none"/>
        </w:rPr>
        <w:t>Learning by Doing: A Guide to Teaching and Learning Methods.</w:t>
      </w:r>
      <w:r w:rsidRPr="00C75D07">
        <w:rPr>
          <w:rFonts w:ascii="Arial" w:hAnsi="Arial" w:cs="Arial"/>
          <w:color w:val="000000"/>
          <w:kern w:val="0"/>
          <w:sz w:val="22"/>
          <w:lang w:eastAsia="en-GB"/>
          <w14:ligatures w14:val="none"/>
        </w:rPr>
        <w:t> Oxford Polytechnic.</w:t>
      </w:r>
    </w:p>
    <w:p w14:paraId="0D7CC8BD" w14:textId="77777777" w:rsidR="001D5579" w:rsidRPr="00C75D07" w:rsidRDefault="001D5579" w:rsidP="001D5579">
      <w:pPr>
        <w:spacing w:before="100" w:beforeAutospacing="1" w:after="100" w:afterAutospacing="1" w:line="240" w:lineRule="auto"/>
        <w:rPr>
          <w:rFonts w:ascii="Arial" w:hAnsi="Arial" w:cs="Arial"/>
          <w:color w:val="000000"/>
          <w:kern w:val="0"/>
          <w:sz w:val="22"/>
          <w:lang w:eastAsia="en-GB"/>
          <w14:ligatures w14:val="none"/>
        </w:rPr>
      </w:pPr>
      <w:r w:rsidRPr="00C75D07">
        <w:rPr>
          <w:rFonts w:ascii="Arial" w:hAnsi="Arial" w:cs="Arial"/>
          <w:color w:val="000000"/>
          <w:kern w:val="0"/>
          <w:sz w:val="22"/>
          <w:lang w:eastAsia="en-GB"/>
          <w14:ligatures w14:val="none"/>
        </w:rPr>
        <w:t>National Institute for Health and Care Excellence (NICE). </w:t>
      </w:r>
      <w:r w:rsidRPr="00C75D07">
        <w:rPr>
          <w:rFonts w:ascii="Arial" w:hAnsi="Arial" w:cs="Arial"/>
          <w:i/>
          <w:iCs/>
          <w:color w:val="000000"/>
          <w:kern w:val="0"/>
          <w:sz w:val="22"/>
          <w:lang w:eastAsia="en-GB"/>
          <w14:ligatures w14:val="none"/>
        </w:rPr>
        <w:t>Care of dying adults in the last days of life</w:t>
      </w:r>
      <w:r w:rsidRPr="00C75D07">
        <w:rPr>
          <w:rFonts w:ascii="Arial" w:hAnsi="Arial" w:cs="Arial"/>
          <w:color w:val="000000"/>
          <w:kern w:val="0"/>
          <w:sz w:val="22"/>
          <w:lang w:eastAsia="en-GB"/>
          <w14:ligatures w14:val="none"/>
        </w:rPr>
        <w:t> (NG31). NICE, 2015.</w:t>
      </w:r>
      <w:r w:rsidRPr="00C75D07">
        <w:rPr>
          <w:rFonts w:ascii="Arial" w:hAnsi="Arial" w:cs="Arial"/>
          <w:color w:val="000000"/>
          <w:kern w:val="0"/>
          <w:sz w:val="22"/>
          <w:lang w:eastAsia="en-GB"/>
          <w14:ligatures w14:val="none"/>
        </w:rPr>
        <w:br/>
        <w:t>National Institute for Health and Care Excellence (NICE). </w:t>
      </w:r>
      <w:r w:rsidRPr="00C75D07">
        <w:rPr>
          <w:rFonts w:ascii="Arial" w:hAnsi="Arial" w:cs="Arial"/>
          <w:i/>
          <w:iCs/>
          <w:color w:val="000000"/>
          <w:kern w:val="0"/>
          <w:sz w:val="22"/>
          <w:lang w:eastAsia="en-GB"/>
          <w14:ligatures w14:val="none"/>
        </w:rPr>
        <w:t>End of life care for adults: service delivery</w:t>
      </w:r>
      <w:r w:rsidRPr="00C75D07">
        <w:rPr>
          <w:rFonts w:ascii="Arial" w:hAnsi="Arial" w:cs="Arial"/>
          <w:color w:val="000000"/>
          <w:kern w:val="0"/>
          <w:sz w:val="22"/>
          <w:lang w:eastAsia="en-GB"/>
          <w14:ligatures w14:val="none"/>
        </w:rPr>
        <w:t> (NG142). NICE, 2019.</w:t>
      </w:r>
    </w:p>
    <w:p w14:paraId="072DAA78" w14:textId="77777777" w:rsidR="001D5579" w:rsidRPr="00C75D07" w:rsidRDefault="001D5579" w:rsidP="001D5579">
      <w:pPr>
        <w:spacing w:before="100" w:beforeAutospacing="1" w:after="100" w:afterAutospacing="1" w:line="240" w:lineRule="auto"/>
        <w:rPr>
          <w:rFonts w:ascii="Arial" w:hAnsi="Arial" w:cs="Arial"/>
          <w:color w:val="000000"/>
          <w:kern w:val="0"/>
          <w:sz w:val="22"/>
          <w:lang w:eastAsia="en-GB"/>
          <w14:ligatures w14:val="none"/>
        </w:rPr>
      </w:pPr>
      <w:r w:rsidRPr="00C75D07">
        <w:rPr>
          <w:rFonts w:ascii="Arial" w:hAnsi="Arial" w:cs="Arial"/>
          <w:color w:val="000000"/>
          <w:kern w:val="0"/>
          <w:sz w:val="22"/>
          <w:lang w:eastAsia="en-GB"/>
          <w14:ligatures w14:val="none"/>
        </w:rPr>
        <w:t>SAGE &amp; THYME Foundation. </w:t>
      </w:r>
      <w:r w:rsidRPr="00C75D07">
        <w:rPr>
          <w:rFonts w:ascii="Arial" w:hAnsi="Arial" w:cs="Arial"/>
          <w:i/>
          <w:iCs/>
          <w:color w:val="000000"/>
          <w:kern w:val="0"/>
          <w:sz w:val="22"/>
          <w:lang w:eastAsia="en-GB"/>
          <w14:ligatures w14:val="none"/>
        </w:rPr>
        <w:t>SAGE &amp; THYME: A model for effective communication skills in healthcare.</w:t>
      </w:r>
    </w:p>
    <w:p w14:paraId="7DF16CB8" w14:textId="793051FA" w:rsidR="001D5579" w:rsidRDefault="001D5579" w:rsidP="001D5579">
      <w:pPr>
        <w:spacing w:before="100" w:beforeAutospacing="1" w:after="100" w:afterAutospacing="1" w:line="240" w:lineRule="auto"/>
        <w:rPr>
          <w:rFonts w:ascii="Arial" w:hAnsi="Arial" w:cs="Arial"/>
          <w:color w:val="000000"/>
          <w:kern w:val="0"/>
          <w:sz w:val="22"/>
          <w:lang w:eastAsia="en-GB"/>
          <w14:ligatures w14:val="none"/>
        </w:rPr>
      </w:pPr>
      <w:r w:rsidRPr="00C75D07">
        <w:rPr>
          <w:rFonts w:ascii="Arial" w:hAnsi="Arial" w:cs="Arial"/>
          <w:color w:val="000000"/>
          <w:kern w:val="0"/>
          <w:sz w:val="22"/>
          <w:lang w:eastAsia="en-GB"/>
          <w14:ligatures w14:val="none"/>
        </w:rPr>
        <w:t>World Health Organization (WHO). </w:t>
      </w:r>
      <w:r w:rsidRPr="00C75D07">
        <w:rPr>
          <w:rFonts w:ascii="Arial" w:hAnsi="Arial" w:cs="Arial"/>
          <w:i/>
          <w:iCs/>
          <w:color w:val="000000"/>
          <w:kern w:val="0"/>
          <w:sz w:val="22"/>
          <w:lang w:eastAsia="en-GB"/>
          <w14:ligatures w14:val="none"/>
        </w:rPr>
        <w:t>Palliative care.</w:t>
      </w:r>
      <w:r w:rsidRPr="00C75D07">
        <w:rPr>
          <w:rFonts w:ascii="Arial" w:hAnsi="Arial" w:cs="Arial"/>
          <w:color w:val="000000"/>
          <w:kern w:val="0"/>
          <w:sz w:val="22"/>
          <w:lang w:eastAsia="en-GB"/>
          <w14:ligatures w14:val="none"/>
        </w:rPr>
        <w:t> WHO, 2020.</w:t>
      </w:r>
      <w:r w:rsidR="00A026F9">
        <w:rPr>
          <w:rFonts w:ascii="Arial" w:hAnsi="Arial" w:cs="Arial"/>
          <w:color w:val="000000"/>
          <w:kern w:val="0"/>
          <w:sz w:val="22"/>
          <w:lang w:eastAsia="en-GB"/>
          <w14:ligatures w14:val="none"/>
        </w:rPr>
        <w:t xml:space="preserve"> </w:t>
      </w:r>
      <w:r w:rsidR="00CF7F34">
        <w:rPr>
          <w:rFonts w:ascii="Arial" w:hAnsi="Arial" w:cs="Arial"/>
          <w:color w:val="000000"/>
          <w:kern w:val="0"/>
          <w:sz w:val="22"/>
          <w:lang w:eastAsia="en-GB"/>
          <w14:ligatures w14:val="none"/>
        </w:rPr>
        <w:t xml:space="preserve">      </w:t>
      </w:r>
      <w:r w:rsidR="00A026F9" w:rsidRPr="00A026F9">
        <w:rPr>
          <w:rFonts w:ascii="Arial" w:hAnsi="Arial" w:cs="Arial"/>
          <w:color w:val="000000"/>
          <w:kern w:val="0"/>
          <w:sz w:val="22"/>
          <w:lang w:eastAsia="en-GB"/>
          <w14:ligatures w14:val="none"/>
        </w:rPr>
        <w:t>https://www.who.int/news-room/fact-sheets/detail/palliative-care</w:t>
      </w:r>
    </w:p>
    <w:p w14:paraId="3E2E3F8B" w14:textId="77777777" w:rsidR="00A026F9" w:rsidRPr="00C75D07" w:rsidRDefault="00A026F9" w:rsidP="001D5579">
      <w:pPr>
        <w:spacing w:before="100" w:beforeAutospacing="1" w:after="100" w:afterAutospacing="1" w:line="240" w:lineRule="auto"/>
        <w:rPr>
          <w:rFonts w:ascii="Arial" w:hAnsi="Arial" w:cs="Arial"/>
          <w:color w:val="000000"/>
          <w:kern w:val="0"/>
          <w:sz w:val="22"/>
          <w:lang w:eastAsia="en-GB"/>
          <w14:ligatures w14:val="none"/>
        </w:rPr>
      </w:pPr>
    </w:p>
    <w:p w14:paraId="76DF7657" w14:textId="7CC0CDF8" w:rsidR="007D19BD" w:rsidRPr="00C75D07" w:rsidRDefault="007D19BD" w:rsidP="005E44B5">
      <w:pPr>
        <w:rPr>
          <w:rFonts w:ascii="Arial" w:hAnsi="Arial" w:cs="Arial"/>
          <w:color w:val="FF0000"/>
          <w:sz w:val="22"/>
        </w:rPr>
      </w:pPr>
    </w:p>
    <w:sectPr w:rsidR="007D19BD" w:rsidRPr="00C75D07"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F5CD6" w14:textId="77777777" w:rsidR="00C0735D" w:rsidRDefault="00C0735D" w:rsidP="003C7C97">
      <w:pPr>
        <w:spacing w:after="0" w:line="240" w:lineRule="auto"/>
      </w:pPr>
      <w:r>
        <w:separator/>
      </w:r>
    </w:p>
  </w:endnote>
  <w:endnote w:type="continuationSeparator" w:id="0">
    <w:p w14:paraId="10603B1D" w14:textId="77777777" w:rsidR="00C0735D" w:rsidRDefault="00C0735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Wingdings 2">
    <w:panose1 w:val="050201020105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3C384" w14:textId="77777777" w:rsidR="00C0735D" w:rsidRDefault="00C0735D" w:rsidP="003C7C97">
      <w:pPr>
        <w:spacing w:after="0" w:line="240" w:lineRule="auto"/>
      </w:pPr>
      <w:r>
        <w:separator/>
      </w:r>
    </w:p>
  </w:footnote>
  <w:footnote w:type="continuationSeparator" w:id="0">
    <w:p w14:paraId="1A720A2F" w14:textId="77777777" w:rsidR="00C0735D" w:rsidRDefault="00C0735D"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7C0C5CEB"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D5579">
          <w:rPr>
            <w:rStyle w:val="PageNumber"/>
            <w:noProof/>
          </w:rPr>
          <w:t>7</w:t>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66E5157"/>
    <w:multiLevelType w:val="hybridMultilevel"/>
    <w:tmpl w:val="F4A0363C"/>
    <w:lvl w:ilvl="0" w:tplc="FFFFFFFF">
      <w:start w:val="2"/>
      <w:numFmt w:val="decimal"/>
      <w:lvlText w:val="%1"/>
      <w:lvlJc w:val="left"/>
      <w:pPr>
        <w:ind w:left="720" w:hanging="360"/>
      </w:pPr>
      <w:rPr>
        <w:rFonts w:hint="default"/>
        <w:color w:val="4471C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542198"/>
    <w:multiLevelType w:val="hybridMultilevel"/>
    <w:tmpl w:val="FFFFFFFF"/>
    <w:lvl w:ilvl="0" w:tplc="D61EBE6A">
      <w:start w:val="1"/>
      <w:numFmt w:val="bullet"/>
      <w:lvlText w:val=""/>
      <w:lvlJc w:val="left"/>
      <w:pPr>
        <w:ind w:left="720" w:hanging="360"/>
      </w:pPr>
      <w:rPr>
        <w:rFonts w:ascii="Symbol" w:hAnsi="Symbol" w:hint="default"/>
      </w:rPr>
    </w:lvl>
    <w:lvl w:ilvl="1" w:tplc="9314C93E">
      <w:start w:val="1"/>
      <w:numFmt w:val="bullet"/>
      <w:lvlText w:val="o"/>
      <w:lvlJc w:val="left"/>
      <w:pPr>
        <w:ind w:left="1440" w:hanging="360"/>
      </w:pPr>
      <w:rPr>
        <w:rFonts w:ascii="Courier New" w:hAnsi="Courier New" w:hint="default"/>
      </w:rPr>
    </w:lvl>
    <w:lvl w:ilvl="2" w:tplc="E2D6E9EC">
      <w:start w:val="1"/>
      <w:numFmt w:val="bullet"/>
      <w:lvlText w:val=""/>
      <w:lvlJc w:val="left"/>
      <w:pPr>
        <w:ind w:left="2160" w:hanging="360"/>
      </w:pPr>
      <w:rPr>
        <w:rFonts w:ascii="Wingdings" w:hAnsi="Wingdings" w:hint="default"/>
      </w:rPr>
    </w:lvl>
    <w:lvl w:ilvl="3" w:tplc="950205DE">
      <w:start w:val="1"/>
      <w:numFmt w:val="bullet"/>
      <w:lvlText w:val=""/>
      <w:lvlJc w:val="left"/>
      <w:pPr>
        <w:ind w:left="2880" w:hanging="360"/>
      </w:pPr>
      <w:rPr>
        <w:rFonts w:ascii="Symbol" w:hAnsi="Symbol" w:hint="default"/>
      </w:rPr>
    </w:lvl>
    <w:lvl w:ilvl="4" w:tplc="67BE778E">
      <w:start w:val="1"/>
      <w:numFmt w:val="bullet"/>
      <w:lvlText w:val="o"/>
      <w:lvlJc w:val="left"/>
      <w:pPr>
        <w:ind w:left="3600" w:hanging="360"/>
      </w:pPr>
      <w:rPr>
        <w:rFonts w:ascii="Courier New" w:hAnsi="Courier New" w:hint="default"/>
      </w:rPr>
    </w:lvl>
    <w:lvl w:ilvl="5" w:tplc="EA267C96">
      <w:start w:val="1"/>
      <w:numFmt w:val="bullet"/>
      <w:lvlText w:val=""/>
      <w:lvlJc w:val="left"/>
      <w:pPr>
        <w:ind w:left="4320" w:hanging="360"/>
      </w:pPr>
      <w:rPr>
        <w:rFonts w:ascii="Wingdings" w:hAnsi="Wingdings" w:hint="default"/>
      </w:rPr>
    </w:lvl>
    <w:lvl w:ilvl="6" w:tplc="F8F430AC">
      <w:start w:val="1"/>
      <w:numFmt w:val="bullet"/>
      <w:lvlText w:val=""/>
      <w:lvlJc w:val="left"/>
      <w:pPr>
        <w:ind w:left="5040" w:hanging="360"/>
      </w:pPr>
      <w:rPr>
        <w:rFonts w:ascii="Symbol" w:hAnsi="Symbol" w:hint="default"/>
      </w:rPr>
    </w:lvl>
    <w:lvl w:ilvl="7" w:tplc="7E3AECB2">
      <w:start w:val="1"/>
      <w:numFmt w:val="bullet"/>
      <w:lvlText w:val="o"/>
      <w:lvlJc w:val="left"/>
      <w:pPr>
        <w:ind w:left="5760" w:hanging="360"/>
      </w:pPr>
      <w:rPr>
        <w:rFonts w:ascii="Courier New" w:hAnsi="Courier New" w:hint="default"/>
      </w:rPr>
    </w:lvl>
    <w:lvl w:ilvl="8" w:tplc="F5F09E34">
      <w:start w:val="1"/>
      <w:numFmt w:val="bullet"/>
      <w:lvlText w:val=""/>
      <w:lvlJc w:val="left"/>
      <w:pPr>
        <w:ind w:left="6480" w:hanging="360"/>
      </w:pPr>
      <w:rPr>
        <w:rFonts w:ascii="Wingdings" w:hAnsi="Wingdings" w:hint="default"/>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FFFFFFFF"/>
    <w:lvl w:ilvl="0" w:tplc="BCE63CA8">
      <w:start w:val="1"/>
      <w:numFmt w:val="bullet"/>
      <w:lvlText w:val=""/>
      <w:lvlJc w:val="left"/>
      <w:pPr>
        <w:ind w:left="720" w:hanging="360"/>
      </w:pPr>
      <w:rPr>
        <w:rFonts w:ascii="Symbol" w:hAnsi="Symbol" w:hint="default"/>
      </w:rPr>
    </w:lvl>
    <w:lvl w:ilvl="1" w:tplc="6B38E2F2">
      <w:start w:val="1"/>
      <w:numFmt w:val="bullet"/>
      <w:lvlText w:val="o"/>
      <w:lvlJc w:val="left"/>
      <w:pPr>
        <w:ind w:left="1440" w:hanging="360"/>
      </w:pPr>
      <w:rPr>
        <w:rFonts w:ascii="Courier New" w:hAnsi="Courier New" w:hint="default"/>
      </w:rPr>
    </w:lvl>
    <w:lvl w:ilvl="2" w:tplc="05E8DB7E">
      <w:start w:val="1"/>
      <w:numFmt w:val="bullet"/>
      <w:lvlText w:val=""/>
      <w:lvlJc w:val="left"/>
      <w:pPr>
        <w:ind w:left="2160" w:hanging="360"/>
      </w:pPr>
      <w:rPr>
        <w:rFonts w:ascii="Wingdings" w:hAnsi="Wingdings" w:hint="default"/>
      </w:rPr>
    </w:lvl>
    <w:lvl w:ilvl="3" w:tplc="0BD0678E">
      <w:start w:val="1"/>
      <w:numFmt w:val="bullet"/>
      <w:lvlText w:val=""/>
      <w:lvlJc w:val="left"/>
      <w:pPr>
        <w:ind w:left="2880" w:hanging="360"/>
      </w:pPr>
      <w:rPr>
        <w:rFonts w:ascii="Symbol" w:hAnsi="Symbol" w:hint="default"/>
      </w:rPr>
    </w:lvl>
    <w:lvl w:ilvl="4" w:tplc="3A3A2EEC">
      <w:start w:val="1"/>
      <w:numFmt w:val="bullet"/>
      <w:lvlText w:val="o"/>
      <w:lvlJc w:val="left"/>
      <w:pPr>
        <w:ind w:left="3600" w:hanging="360"/>
      </w:pPr>
      <w:rPr>
        <w:rFonts w:ascii="Courier New" w:hAnsi="Courier New" w:hint="default"/>
      </w:rPr>
    </w:lvl>
    <w:lvl w:ilvl="5" w:tplc="9B94F9EA">
      <w:start w:val="1"/>
      <w:numFmt w:val="bullet"/>
      <w:lvlText w:val=""/>
      <w:lvlJc w:val="left"/>
      <w:pPr>
        <w:ind w:left="4320" w:hanging="360"/>
      </w:pPr>
      <w:rPr>
        <w:rFonts w:ascii="Wingdings" w:hAnsi="Wingdings" w:hint="default"/>
      </w:rPr>
    </w:lvl>
    <w:lvl w:ilvl="6" w:tplc="33104828">
      <w:start w:val="1"/>
      <w:numFmt w:val="bullet"/>
      <w:lvlText w:val=""/>
      <w:lvlJc w:val="left"/>
      <w:pPr>
        <w:ind w:left="5040" w:hanging="360"/>
      </w:pPr>
      <w:rPr>
        <w:rFonts w:ascii="Symbol" w:hAnsi="Symbol" w:hint="default"/>
      </w:rPr>
    </w:lvl>
    <w:lvl w:ilvl="7" w:tplc="B47EE0E2">
      <w:start w:val="1"/>
      <w:numFmt w:val="bullet"/>
      <w:lvlText w:val="o"/>
      <w:lvlJc w:val="left"/>
      <w:pPr>
        <w:ind w:left="5760" w:hanging="360"/>
      </w:pPr>
      <w:rPr>
        <w:rFonts w:ascii="Courier New" w:hAnsi="Courier New" w:hint="default"/>
      </w:rPr>
    </w:lvl>
    <w:lvl w:ilvl="8" w:tplc="BAF49C14">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918E95A4"/>
    <w:lvl w:ilvl="0" w:tplc="2C68E54A">
      <w:start w:val="1"/>
      <w:numFmt w:val="decimal"/>
      <w:lvlText w:val="%1."/>
      <w:lvlJc w:val="left"/>
      <w:pPr>
        <w:ind w:left="720" w:hanging="360"/>
      </w:pPr>
      <w:rPr>
        <w:rFonts w:ascii="Segoe UI" w:eastAsiaTheme="minorEastAsia" w:hAnsi="Segoe UI" w:cstheme="minorBidi"/>
        <w:b w:val="0"/>
        <w:bCs w:val="0"/>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EF36E1"/>
    <w:multiLevelType w:val="hybridMultilevel"/>
    <w:tmpl w:val="A2949CE8"/>
    <w:lvl w:ilvl="0" w:tplc="FFFFFFFF">
      <w:start w:val="2"/>
      <w:numFmt w:val="decimal"/>
      <w:lvlText w:val="%1"/>
      <w:lvlJc w:val="left"/>
      <w:pPr>
        <w:ind w:left="720" w:hanging="360"/>
      </w:pPr>
      <w:rPr>
        <w:rFonts w:hint="default"/>
        <w:color w:val="4471C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3956C4"/>
    <w:multiLevelType w:val="hybridMultilevel"/>
    <w:tmpl w:val="D7D6A664"/>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D23021"/>
    <w:multiLevelType w:val="hybridMultilevel"/>
    <w:tmpl w:val="FFFFFFFF"/>
    <w:lvl w:ilvl="0" w:tplc="1786C7F8">
      <w:start w:val="1"/>
      <w:numFmt w:val="bullet"/>
      <w:lvlText w:val=""/>
      <w:lvlJc w:val="left"/>
      <w:pPr>
        <w:tabs>
          <w:tab w:val="num" w:pos="720"/>
        </w:tabs>
        <w:ind w:left="720" w:hanging="360"/>
      </w:pPr>
      <w:rPr>
        <w:rFonts w:ascii="Wingdings 2" w:hAnsi="Wingdings 2" w:hint="default"/>
      </w:rPr>
    </w:lvl>
    <w:lvl w:ilvl="1" w:tplc="2D06C0FA" w:tentative="1">
      <w:start w:val="1"/>
      <w:numFmt w:val="bullet"/>
      <w:lvlText w:val=""/>
      <w:lvlJc w:val="left"/>
      <w:pPr>
        <w:tabs>
          <w:tab w:val="num" w:pos="1440"/>
        </w:tabs>
        <w:ind w:left="1440" w:hanging="360"/>
      </w:pPr>
      <w:rPr>
        <w:rFonts w:ascii="Wingdings 2" w:hAnsi="Wingdings 2" w:hint="default"/>
      </w:rPr>
    </w:lvl>
    <w:lvl w:ilvl="2" w:tplc="C89475EA" w:tentative="1">
      <w:start w:val="1"/>
      <w:numFmt w:val="bullet"/>
      <w:lvlText w:val=""/>
      <w:lvlJc w:val="left"/>
      <w:pPr>
        <w:tabs>
          <w:tab w:val="num" w:pos="2160"/>
        </w:tabs>
        <w:ind w:left="2160" w:hanging="360"/>
      </w:pPr>
      <w:rPr>
        <w:rFonts w:ascii="Wingdings 2" w:hAnsi="Wingdings 2" w:hint="default"/>
      </w:rPr>
    </w:lvl>
    <w:lvl w:ilvl="3" w:tplc="EC8ECA1A" w:tentative="1">
      <w:start w:val="1"/>
      <w:numFmt w:val="bullet"/>
      <w:lvlText w:val=""/>
      <w:lvlJc w:val="left"/>
      <w:pPr>
        <w:tabs>
          <w:tab w:val="num" w:pos="2880"/>
        </w:tabs>
        <w:ind w:left="2880" w:hanging="360"/>
      </w:pPr>
      <w:rPr>
        <w:rFonts w:ascii="Wingdings 2" w:hAnsi="Wingdings 2" w:hint="default"/>
      </w:rPr>
    </w:lvl>
    <w:lvl w:ilvl="4" w:tplc="C8087D7E" w:tentative="1">
      <w:start w:val="1"/>
      <w:numFmt w:val="bullet"/>
      <w:lvlText w:val=""/>
      <w:lvlJc w:val="left"/>
      <w:pPr>
        <w:tabs>
          <w:tab w:val="num" w:pos="3600"/>
        </w:tabs>
        <w:ind w:left="3600" w:hanging="360"/>
      </w:pPr>
      <w:rPr>
        <w:rFonts w:ascii="Wingdings 2" w:hAnsi="Wingdings 2" w:hint="default"/>
      </w:rPr>
    </w:lvl>
    <w:lvl w:ilvl="5" w:tplc="A9C4524C" w:tentative="1">
      <w:start w:val="1"/>
      <w:numFmt w:val="bullet"/>
      <w:lvlText w:val=""/>
      <w:lvlJc w:val="left"/>
      <w:pPr>
        <w:tabs>
          <w:tab w:val="num" w:pos="4320"/>
        </w:tabs>
        <w:ind w:left="4320" w:hanging="360"/>
      </w:pPr>
      <w:rPr>
        <w:rFonts w:ascii="Wingdings 2" w:hAnsi="Wingdings 2" w:hint="default"/>
      </w:rPr>
    </w:lvl>
    <w:lvl w:ilvl="6" w:tplc="8BE68898" w:tentative="1">
      <w:start w:val="1"/>
      <w:numFmt w:val="bullet"/>
      <w:lvlText w:val=""/>
      <w:lvlJc w:val="left"/>
      <w:pPr>
        <w:tabs>
          <w:tab w:val="num" w:pos="5040"/>
        </w:tabs>
        <w:ind w:left="5040" w:hanging="360"/>
      </w:pPr>
      <w:rPr>
        <w:rFonts w:ascii="Wingdings 2" w:hAnsi="Wingdings 2" w:hint="default"/>
      </w:rPr>
    </w:lvl>
    <w:lvl w:ilvl="7" w:tplc="DA48AC86" w:tentative="1">
      <w:start w:val="1"/>
      <w:numFmt w:val="bullet"/>
      <w:lvlText w:val=""/>
      <w:lvlJc w:val="left"/>
      <w:pPr>
        <w:tabs>
          <w:tab w:val="num" w:pos="5760"/>
        </w:tabs>
        <w:ind w:left="5760" w:hanging="360"/>
      </w:pPr>
      <w:rPr>
        <w:rFonts w:ascii="Wingdings 2" w:hAnsi="Wingdings 2" w:hint="default"/>
      </w:rPr>
    </w:lvl>
    <w:lvl w:ilvl="8" w:tplc="25A4632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17C1B6F"/>
    <w:multiLevelType w:val="multilevel"/>
    <w:tmpl w:val="FFFFFFFF"/>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4789E61"/>
    <w:multiLevelType w:val="hybridMultilevel"/>
    <w:tmpl w:val="FFFFFFFF"/>
    <w:lvl w:ilvl="0" w:tplc="DA708138">
      <w:start w:val="1"/>
      <w:numFmt w:val="bullet"/>
      <w:lvlText w:val=""/>
      <w:lvlJc w:val="left"/>
      <w:pPr>
        <w:ind w:left="720" w:hanging="360"/>
      </w:pPr>
      <w:rPr>
        <w:rFonts w:ascii="Symbol" w:hAnsi="Symbol" w:hint="default"/>
      </w:rPr>
    </w:lvl>
    <w:lvl w:ilvl="1" w:tplc="B128B6CC">
      <w:start w:val="1"/>
      <w:numFmt w:val="bullet"/>
      <w:lvlText w:val="o"/>
      <w:lvlJc w:val="left"/>
      <w:pPr>
        <w:ind w:left="1440" w:hanging="360"/>
      </w:pPr>
      <w:rPr>
        <w:rFonts w:ascii="Courier New" w:hAnsi="Courier New" w:hint="default"/>
      </w:rPr>
    </w:lvl>
    <w:lvl w:ilvl="2" w:tplc="58788B12">
      <w:start w:val="1"/>
      <w:numFmt w:val="bullet"/>
      <w:lvlText w:val=""/>
      <w:lvlJc w:val="left"/>
      <w:pPr>
        <w:ind w:left="2160" w:hanging="360"/>
      </w:pPr>
      <w:rPr>
        <w:rFonts w:ascii="Wingdings" w:hAnsi="Wingdings" w:hint="default"/>
      </w:rPr>
    </w:lvl>
    <w:lvl w:ilvl="3" w:tplc="DA00E394">
      <w:start w:val="1"/>
      <w:numFmt w:val="bullet"/>
      <w:lvlText w:val=""/>
      <w:lvlJc w:val="left"/>
      <w:pPr>
        <w:ind w:left="2880" w:hanging="360"/>
      </w:pPr>
      <w:rPr>
        <w:rFonts w:ascii="Symbol" w:hAnsi="Symbol" w:hint="default"/>
      </w:rPr>
    </w:lvl>
    <w:lvl w:ilvl="4" w:tplc="3822BC38">
      <w:start w:val="1"/>
      <w:numFmt w:val="bullet"/>
      <w:lvlText w:val="o"/>
      <w:lvlJc w:val="left"/>
      <w:pPr>
        <w:ind w:left="3600" w:hanging="360"/>
      </w:pPr>
      <w:rPr>
        <w:rFonts w:ascii="Courier New" w:hAnsi="Courier New" w:hint="default"/>
      </w:rPr>
    </w:lvl>
    <w:lvl w:ilvl="5" w:tplc="550410A4">
      <w:start w:val="1"/>
      <w:numFmt w:val="bullet"/>
      <w:lvlText w:val=""/>
      <w:lvlJc w:val="left"/>
      <w:pPr>
        <w:ind w:left="4320" w:hanging="360"/>
      </w:pPr>
      <w:rPr>
        <w:rFonts w:ascii="Wingdings" w:hAnsi="Wingdings" w:hint="default"/>
      </w:rPr>
    </w:lvl>
    <w:lvl w:ilvl="6" w:tplc="D82A7B10">
      <w:start w:val="1"/>
      <w:numFmt w:val="bullet"/>
      <w:lvlText w:val=""/>
      <w:lvlJc w:val="left"/>
      <w:pPr>
        <w:ind w:left="5040" w:hanging="360"/>
      </w:pPr>
      <w:rPr>
        <w:rFonts w:ascii="Symbol" w:hAnsi="Symbol" w:hint="default"/>
      </w:rPr>
    </w:lvl>
    <w:lvl w:ilvl="7" w:tplc="AF5E5C3A">
      <w:start w:val="1"/>
      <w:numFmt w:val="bullet"/>
      <w:lvlText w:val="o"/>
      <w:lvlJc w:val="left"/>
      <w:pPr>
        <w:ind w:left="5760" w:hanging="360"/>
      </w:pPr>
      <w:rPr>
        <w:rFonts w:ascii="Courier New" w:hAnsi="Courier New" w:hint="default"/>
      </w:rPr>
    </w:lvl>
    <w:lvl w:ilvl="8" w:tplc="8926FBA6">
      <w:start w:val="1"/>
      <w:numFmt w:val="bullet"/>
      <w:lvlText w:val=""/>
      <w:lvlJc w:val="left"/>
      <w:pPr>
        <w:ind w:left="6480" w:hanging="360"/>
      </w:pPr>
      <w:rPr>
        <w:rFonts w:ascii="Wingdings" w:hAnsi="Wingdings" w:hint="default"/>
      </w:rPr>
    </w:lvl>
  </w:abstractNum>
  <w:abstractNum w:abstractNumId="17" w15:restartNumberingAfterBreak="0">
    <w:nsid w:val="3AB16C17"/>
    <w:multiLevelType w:val="hybridMultilevel"/>
    <w:tmpl w:val="FFFFFFFF"/>
    <w:lvl w:ilvl="0" w:tplc="A184EE44">
      <w:start w:val="1"/>
      <w:numFmt w:val="bullet"/>
      <w:lvlText w:val=""/>
      <w:lvlJc w:val="left"/>
      <w:pPr>
        <w:ind w:left="720" w:hanging="360"/>
      </w:pPr>
      <w:rPr>
        <w:rFonts w:ascii="Symbol" w:hAnsi="Symbol" w:hint="default"/>
      </w:rPr>
    </w:lvl>
    <w:lvl w:ilvl="1" w:tplc="3258D7D8">
      <w:start w:val="1"/>
      <w:numFmt w:val="bullet"/>
      <w:lvlText w:val="o"/>
      <w:lvlJc w:val="left"/>
      <w:pPr>
        <w:ind w:left="1440" w:hanging="360"/>
      </w:pPr>
      <w:rPr>
        <w:rFonts w:ascii="Courier New" w:hAnsi="Courier New" w:hint="default"/>
      </w:rPr>
    </w:lvl>
    <w:lvl w:ilvl="2" w:tplc="0BAC011C">
      <w:start w:val="1"/>
      <w:numFmt w:val="bullet"/>
      <w:lvlText w:val=""/>
      <w:lvlJc w:val="left"/>
      <w:pPr>
        <w:ind w:left="2160" w:hanging="360"/>
      </w:pPr>
      <w:rPr>
        <w:rFonts w:ascii="Wingdings" w:hAnsi="Wingdings" w:hint="default"/>
      </w:rPr>
    </w:lvl>
    <w:lvl w:ilvl="3" w:tplc="F3AA59DC">
      <w:start w:val="1"/>
      <w:numFmt w:val="bullet"/>
      <w:lvlText w:val=""/>
      <w:lvlJc w:val="left"/>
      <w:pPr>
        <w:ind w:left="2880" w:hanging="360"/>
      </w:pPr>
      <w:rPr>
        <w:rFonts w:ascii="Symbol" w:hAnsi="Symbol" w:hint="default"/>
      </w:rPr>
    </w:lvl>
    <w:lvl w:ilvl="4" w:tplc="D39CC67C">
      <w:start w:val="1"/>
      <w:numFmt w:val="bullet"/>
      <w:lvlText w:val="o"/>
      <w:lvlJc w:val="left"/>
      <w:pPr>
        <w:ind w:left="3600" w:hanging="360"/>
      </w:pPr>
      <w:rPr>
        <w:rFonts w:ascii="Courier New" w:hAnsi="Courier New" w:hint="default"/>
      </w:rPr>
    </w:lvl>
    <w:lvl w:ilvl="5" w:tplc="110C47E4">
      <w:start w:val="1"/>
      <w:numFmt w:val="bullet"/>
      <w:lvlText w:val=""/>
      <w:lvlJc w:val="left"/>
      <w:pPr>
        <w:ind w:left="4320" w:hanging="360"/>
      </w:pPr>
      <w:rPr>
        <w:rFonts w:ascii="Wingdings" w:hAnsi="Wingdings" w:hint="default"/>
      </w:rPr>
    </w:lvl>
    <w:lvl w:ilvl="6" w:tplc="7034D878">
      <w:start w:val="1"/>
      <w:numFmt w:val="bullet"/>
      <w:lvlText w:val=""/>
      <w:lvlJc w:val="left"/>
      <w:pPr>
        <w:ind w:left="5040" w:hanging="360"/>
      </w:pPr>
      <w:rPr>
        <w:rFonts w:ascii="Symbol" w:hAnsi="Symbol" w:hint="default"/>
      </w:rPr>
    </w:lvl>
    <w:lvl w:ilvl="7" w:tplc="F6887FFA">
      <w:start w:val="1"/>
      <w:numFmt w:val="bullet"/>
      <w:lvlText w:val="o"/>
      <w:lvlJc w:val="left"/>
      <w:pPr>
        <w:ind w:left="5760" w:hanging="360"/>
      </w:pPr>
      <w:rPr>
        <w:rFonts w:ascii="Courier New" w:hAnsi="Courier New" w:hint="default"/>
      </w:rPr>
    </w:lvl>
    <w:lvl w:ilvl="8" w:tplc="0FEC375A">
      <w:start w:val="1"/>
      <w:numFmt w:val="bullet"/>
      <w:lvlText w:val=""/>
      <w:lvlJc w:val="left"/>
      <w:pPr>
        <w:ind w:left="6480" w:hanging="360"/>
      </w:pPr>
      <w:rPr>
        <w:rFonts w:ascii="Wingdings" w:hAnsi="Wingdings" w:hint="default"/>
      </w:rPr>
    </w:lvl>
  </w:abstractNum>
  <w:abstractNum w:abstractNumId="1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224439"/>
    <w:multiLevelType w:val="hybridMultilevel"/>
    <w:tmpl w:val="FFFFFFFF"/>
    <w:lvl w:ilvl="0" w:tplc="386CF77C">
      <w:start w:val="1"/>
      <w:numFmt w:val="bullet"/>
      <w:lvlText w:val=""/>
      <w:lvlJc w:val="left"/>
      <w:pPr>
        <w:ind w:left="720" w:hanging="360"/>
      </w:pPr>
      <w:rPr>
        <w:rFonts w:ascii="Symbol" w:hAnsi="Symbol" w:hint="default"/>
      </w:rPr>
    </w:lvl>
    <w:lvl w:ilvl="1" w:tplc="FB802494">
      <w:start w:val="1"/>
      <w:numFmt w:val="bullet"/>
      <w:lvlText w:val="o"/>
      <w:lvlJc w:val="left"/>
      <w:pPr>
        <w:ind w:left="1440" w:hanging="360"/>
      </w:pPr>
      <w:rPr>
        <w:rFonts w:ascii="Courier New" w:hAnsi="Courier New" w:hint="default"/>
      </w:rPr>
    </w:lvl>
    <w:lvl w:ilvl="2" w:tplc="8EF2607A">
      <w:start w:val="1"/>
      <w:numFmt w:val="bullet"/>
      <w:lvlText w:val=""/>
      <w:lvlJc w:val="left"/>
      <w:pPr>
        <w:ind w:left="2160" w:hanging="360"/>
      </w:pPr>
      <w:rPr>
        <w:rFonts w:ascii="Wingdings" w:hAnsi="Wingdings" w:hint="default"/>
      </w:rPr>
    </w:lvl>
    <w:lvl w:ilvl="3" w:tplc="A844D298">
      <w:start w:val="1"/>
      <w:numFmt w:val="bullet"/>
      <w:lvlText w:val=""/>
      <w:lvlJc w:val="left"/>
      <w:pPr>
        <w:ind w:left="2880" w:hanging="360"/>
      </w:pPr>
      <w:rPr>
        <w:rFonts w:ascii="Symbol" w:hAnsi="Symbol" w:hint="default"/>
      </w:rPr>
    </w:lvl>
    <w:lvl w:ilvl="4" w:tplc="CE5A00A2">
      <w:start w:val="1"/>
      <w:numFmt w:val="bullet"/>
      <w:lvlText w:val="o"/>
      <w:lvlJc w:val="left"/>
      <w:pPr>
        <w:ind w:left="3600" w:hanging="360"/>
      </w:pPr>
      <w:rPr>
        <w:rFonts w:ascii="Courier New" w:hAnsi="Courier New" w:hint="default"/>
      </w:rPr>
    </w:lvl>
    <w:lvl w:ilvl="5" w:tplc="81DC7174">
      <w:start w:val="1"/>
      <w:numFmt w:val="bullet"/>
      <w:lvlText w:val=""/>
      <w:lvlJc w:val="left"/>
      <w:pPr>
        <w:ind w:left="4320" w:hanging="360"/>
      </w:pPr>
      <w:rPr>
        <w:rFonts w:ascii="Wingdings" w:hAnsi="Wingdings" w:hint="default"/>
      </w:rPr>
    </w:lvl>
    <w:lvl w:ilvl="6" w:tplc="0F6275FC">
      <w:start w:val="1"/>
      <w:numFmt w:val="bullet"/>
      <w:lvlText w:val=""/>
      <w:lvlJc w:val="left"/>
      <w:pPr>
        <w:ind w:left="5040" w:hanging="360"/>
      </w:pPr>
      <w:rPr>
        <w:rFonts w:ascii="Symbol" w:hAnsi="Symbol" w:hint="default"/>
      </w:rPr>
    </w:lvl>
    <w:lvl w:ilvl="7" w:tplc="E0CEF43A">
      <w:start w:val="1"/>
      <w:numFmt w:val="bullet"/>
      <w:lvlText w:val="o"/>
      <w:lvlJc w:val="left"/>
      <w:pPr>
        <w:ind w:left="5760" w:hanging="360"/>
      </w:pPr>
      <w:rPr>
        <w:rFonts w:ascii="Courier New" w:hAnsi="Courier New" w:hint="default"/>
      </w:rPr>
    </w:lvl>
    <w:lvl w:ilvl="8" w:tplc="E236BF06">
      <w:start w:val="1"/>
      <w:numFmt w:val="bullet"/>
      <w:lvlText w:val=""/>
      <w:lvlJc w:val="left"/>
      <w:pPr>
        <w:ind w:left="6480" w:hanging="360"/>
      </w:pPr>
      <w:rPr>
        <w:rFonts w:ascii="Wingdings" w:hAnsi="Wingdings" w:hint="default"/>
      </w:rPr>
    </w:lvl>
  </w:abstractNum>
  <w:abstractNum w:abstractNumId="2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45A4008"/>
    <w:multiLevelType w:val="hybridMultilevel"/>
    <w:tmpl w:val="72849DE8"/>
    <w:lvl w:ilvl="0" w:tplc="FFFFFFF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126354"/>
    <w:multiLevelType w:val="hybridMultilevel"/>
    <w:tmpl w:val="FFFFFFFF"/>
    <w:lvl w:ilvl="0" w:tplc="245C2AA4">
      <w:start w:val="1"/>
      <w:numFmt w:val="bullet"/>
      <w:lvlText w:val=""/>
      <w:lvlJc w:val="left"/>
      <w:pPr>
        <w:ind w:left="720" w:hanging="360"/>
      </w:pPr>
      <w:rPr>
        <w:rFonts w:ascii="Symbol" w:hAnsi="Symbol" w:hint="default"/>
      </w:rPr>
    </w:lvl>
    <w:lvl w:ilvl="1" w:tplc="2BCA7444">
      <w:start w:val="1"/>
      <w:numFmt w:val="bullet"/>
      <w:lvlText w:val="o"/>
      <w:lvlJc w:val="left"/>
      <w:pPr>
        <w:ind w:left="1440" w:hanging="360"/>
      </w:pPr>
      <w:rPr>
        <w:rFonts w:ascii="Courier New" w:hAnsi="Courier New" w:hint="default"/>
      </w:rPr>
    </w:lvl>
    <w:lvl w:ilvl="2" w:tplc="CE1C9B24">
      <w:start w:val="1"/>
      <w:numFmt w:val="bullet"/>
      <w:lvlText w:val=""/>
      <w:lvlJc w:val="left"/>
      <w:pPr>
        <w:ind w:left="2160" w:hanging="360"/>
      </w:pPr>
      <w:rPr>
        <w:rFonts w:ascii="Wingdings" w:hAnsi="Wingdings" w:hint="default"/>
      </w:rPr>
    </w:lvl>
    <w:lvl w:ilvl="3" w:tplc="32FC75A2">
      <w:start w:val="1"/>
      <w:numFmt w:val="bullet"/>
      <w:lvlText w:val=""/>
      <w:lvlJc w:val="left"/>
      <w:pPr>
        <w:ind w:left="2880" w:hanging="360"/>
      </w:pPr>
      <w:rPr>
        <w:rFonts w:ascii="Symbol" w:hAnsi="Symbol" w:hint="default"/>
      </w:rPr>
    </w:lvl>
    <w:lvl w:ilvl="4" w:tplc="3EA467AC">
      <w:start w:val="1"/>
      <w:numFmt w:val="bullet"/>
      <w:lvlText w:val="o"/>
      <w:lvlJc w:val="left"/>
      <w:pPr>
        <w:ind w:left="3600" w:hanging="360"/>
      </w:pPr>
      <w:rPr>
        <w:rFonts w:ascii="Courier New" w:hAnsi="Courier New" w:hint="default"/>
      </w:rPr>
    </w:lvl>
    <w:lvl w:ilvl="5" w:tplc="C42A2852">
      <w:start w:val="1"/>
      <w:numFmt w:val="bullet"/>
      <w:lvlText w:val=""/>
      <w:lvlJc w:val="left"/>
      <w:pPr>
        <w:ind w:left="4320" w:hanging="360"/>
      </w:pPr>
      <w:rPr>
        <w:rFonts w:ascii="Wingdings" w:hAnsi="Wingdings" w:hint="default"/>
      </w:rPr>
    </w:lvl>
    <w:lvl w:ilvl="6" w:tplc="5CD4AE8A">
      <w:start w:val="1"/>
      <w:numFmt w:val="bullet"/>
      <w:lvlText w:val=""/>
      <w:lvlJc w:val="left"/>
      <w:pPr>
        <w:ind w:left="5040" w:hanging="360"/>
      </w:pPr>
      <w:rPr>
        <w:rFonts w:ascii="Symbol" w:hAnsi="Symbol" w:hint="default"/>
      </w:rPr>
    </w:lvl>
    <w:lvl w:ilvl="7" w:tplc="5C360C88">
      <w:start w:val="1"/>
      <w:numFmt w:val="bullet"/>
      <w:lvlText w:val="o"/>
      <w:lvlJc w:val="left"/>
      <w:pPr>
        <w:ind w:left="5760" w:hanging="360"/>
      </w:pPr>
      <w:rPr>
        <w:rFonts w:ascii="Courier New" w:hAnsi="Courier New" w:hint="default"/>
      </w:rPr>
    </w:lvl>
    <w:lvl w:ilvl="8" w:tplc="0DF0F700">
      <w:start w:val="1"/>
      <w:numFmt w:val="bullet"/>
      <w:lvlText w:val=""/>
      <w:lvlJc w:val="left"/>
      <w:pPr>
        <w:ind w:left="6480" w:hanging="360"/>
      </w:pPr>
      <w:rPr>
        <w:rFonts w:ascii="Wingdings" w:hAnsi="Wingdings" w:hint="default"/>
      </w:rPr>
    </w:lvl>
  </w:abstractNum>
  <w:abstractNum w:abstractNumId="30"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5554159">
    <w:abstractNumId w:val="16"/>
  </w:num>
  <w:num w:numId="2" w16cid:durableId="1683431971">
    <w:abstractNumId w:val="17"/>
  </w:num>
  <w:num w:numId="3" w16cid:durableId="1954823139">
    <w:abstractNumId w:val="2"/>
  </w:num>
  <w:num w:numId="4" w16cid:durableId="701708527">
    <w:abstractNumId w:val="4"/>
  </w:num>
  <w:num w:numId="5" w16cid:durableId="1879779324">
    <w:abstractNumId w:val="20"/>
  </w:num>
  <w:num w:numId="6" w16cid:durableId="1598710960">
    <w:abstractNumId w:val="29"/>
  </w:num>
  <w:num w:numId="7" w16cid:durableId="52895227">
    <w:abstractNumId w:val="10"/>
  </w:num>
  <w:num w:numId="8" w16cid:durableId="351032333">
    <w:abstractNumId w:val="3"/>
  </w:num>
  <w:num w:numId="9" w16cid:durableId="1067413603">
    <w:abstractNumId w:val="18"/>
  </w:num>
  <w:num w:numId="10" w16cid:durableId="931426930">
    <w:abstractNumId w:val="32"/>
  </w:num>
  <w:num w:numId="11" w16cid:durableId="1422484198">
    <w:abstractNumId w:val="27"/>
  </w:num>
  <w:num w:numId="12" w16cid:durableId="552929862">
    <w:abstractNumId w:val="28"/>
  </w:num>
  <w:num w:numId="13" w16cid:durableId="587203086">
    <w:abstractNumId w:val="33"/>
  </w:num>
  <w:num w:numId="14" w16cid:durableId="389156196">
    <w:abstractNumId w:val="24"/>
  </w:num>
  <w:num w:numId="15" w16cid:durableId="1393503788">
    <w:abstractNumId w:val="6"/>
  </w:num>
  <w:num w:numId="16" w16cid:durableId="1579359955">
    <w:abstractNumId w:val="21"/>
  </w:num>
  <w:num w:numId="17" w16cid:durableId="806699681">
    <w:abstractNumId w:val="23"/>
  </w:num>
  <w:num w:numId="18" w16cid:durableId="1314750107">
    <w:abstractNumId w:val="19"/>
  </w:num>
  <w:num w:numId="19" w16cid:durableId="1766919701">
    <w:abstractNumId w:val="26"/>
  </w:num>
  <w:num w:numId="20" w16cid:durableId="1957908719">
    <w:abstractNumId w:val="14"/>
  </w:num>
  <w:num w:numId="21" w16cid:durableId="1132019979">
    <w:abstractNumId w:val="5"/>
  </w:num>
  <w:num w:numId="22" w16cid:durableId="1457524365">
    <w:abstractNumId w:val="9"/>
  </w:num>
  <w:num w:numId="23" w16cid:durableId="1386294306">
    <w:abstractNumId w:val="35"/>
  </w:num>
  <w:num w:numId="24" w16cid:durableId="1838374920">
    <w:abstractNumId w:val="30"/>
  </w:num>
  <w:num w:numId="25" w16cid:durableId="1827044992">
    <w:abstractNumId w:val="12"/>
  </w:num>
  <w:num w:numId="26" w16cid:durableId="895820667">
    <w:abstractNumId w:val="25"/>
  </w:num>
  <w:num w:numId="27" w16cid:durableId="817497522">
    <w:abstractNumId w:val="37"/>
  </w:num>
  <w:num w:numId="28" w16cid:durableId="725690465">
    <w:abstractNumId w:val="0"/>
  </w:num>
  <w:num w:numId="29" w16cid:durableId="1814372142">
    <w:abstractNumId w:val="31"/>
  </w:num>
  <w:num w:numId="30" w16cid:durableId="258563261">
    <w:abstractNumId w:val="34"/>
  </w:num>
  <w:num w:numId="31" w16cid:durableId="1306274523">
    <w:abstractNumId w:val="36"/>
  </w:num>
  <w:num w:numId="32" w16cid:durableId="1396465663">
    <w:abstractNumId w:val="7"/>
  </w:num>
  <w:num w:numId="33" w16cid:durableId="306085367">
    <w:abstractNumId w:val="8"/>
  </w:num>
  <w:num w:numId="34" w16cid:durableId="1053773146">
    <w:abstractNumId w:val="22"/>
  </w:num>
  <w:num w:numId="35" w16cid:durableId="1827433131">
    <w:abstractNumId w:val="11"/>
  </w:num>
  <w:num w:numId="36" w16cid:durableId="368799881">
    <w:abstractNumId w:val="13"/>
  </w:num>
  <w:num w:numId="37" w16cid:durableId="1283877954">
    <w:abstractNumId w:val="1"/>
  </w:num>
  <w:num w:numId="38" w16cid:durableId="5000428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68EB"/>
    <w:rsid w:val="0001715D"/>
    <w:rsid w:val="00022C42"/>
    <w:rsid w:val="000278A9"/>
    <w:rsid w:val="00027B15"/>
    <w:rsid w:val="00030A05"/>
    <w:rsid w:val="000324BE"/>
    <w:rsid w:val="00044F0F"/>
    <w:rsid w:val="000472ED"/>
    <w:rsid w:val="000576C3"/>
    <w:rsid w:val="00070818"/>
    <w:rsid w:val="000746DB"/>
    <w:rsid w:val="00075DA5"/>
    <w:rsid w:val="0008238F"/>
    <w:rsid w:val="00082EC6"/>
    <w:rsid w:val="00085388"/>
    <w:rsid w:val="000B3195"/>
    <w:rsid w:val="000D0ABF"/>
    <w:rsid w:val="000D41DC"/>
    <w:rsid w:val="000E472E"/>
    <w:rsid w:val="000E5C26"/>
    <w:rsid w:val="000E7D3D"/>
    <w:rsid w:val="00125D37"/>
    <w:rsid w:val="00126A91"/>
    <w:rsid w:val="00127C1A"/>
    <w:rsid w:val="00133E25"/>
    <w:rsid w:val="00150D81"/>
    <w:rsid w:val="00151150"/>
    <w:rsid w:val="00166CEB"/>
    <w:rsid w:val="00171B44"/>
    <w:rsid w:val="0018348A"/>
    <w:rsid w:val="00183CB9"/>
    <w:rsid w:val="00184A9A"/>
    <w:rsid w:val="001869BD"/>
    <w:rsid w:val="00191C28"/>
    <w:rsid w:val="00193A04"/>
    <w:rsid w:val="001944AE"/>
    <w:rsid w:val="001947DF"/>
    <w:rsid w:val="001B22BB"/>
    <w:rsid w:val="001B414B"/>
    <w:rsid w:val="001B5C83"/>
    <w:rsid w:val="001B619C"/>
    <w:rsid w:val="001C3E4A"/>
    <w:rsid w:val="001D0935"/>
    <w:rsid w:val="001D1D3C"/>
    <w:rsid w:val="001D5579"/>
    <w:rsid w:val="001F64F6"/>
    <w:rsid w:val="002205D4"/>
    <w:rsid w:val="00221880"/>
    <w:rsid w:val="00222C3A"/>
    <w:rsid w:val="00226D31"/>
    <w:rsid w:val="00236401"/>
    <w:rsid w:val="002370CE"/>
    <w:rsid w:val="00242974"/>
    <w:rsid w:val="00257153"/>
    <w:rsid w:val="002762A7"/>
    <w:rsid w:val="002976D4"/>
    <w:rsid w:val="002A2B43"/>
    <w:rsid w:val="002A2E39"/>
    <w:rsid w:val="002A2EBE"/>
    <w:rsid w:val="002A5577"/>
    <w:rsid w:val="002A734B"/>
    <w:rsid w:val="002B4AA4"/>
    <w:rsid w:val="002E2AB1"/>
    <w:rsid w:val="002E38ED"/>
    <w:rsid w:val="002E71BA"/>
    <w:rsid w:val="002F5066"/>
    <w:rsid w:val="003003FD"/>
    <w:rsid w:val="003079C4"/>
    <w:rsid w:val="00310245"/>
    <w:rsid w:val="00314563"/>
    <w:rsid w:val="00316C95"/>
    <w:rsid w:val="0033752F"/>
    <w:rsid w:val="003458DB"/>
    <w:rsid w:val="003523D3"/>
    <w:rsid w:val="00364208"/>
    <w:rsid w:val="00364C35"/>
    <w:rsid w:val="00366219"/>
    <w:rsid w:val="00390B66"/>
    <w:rsid w:val="00396F60"/>
    <w:rsid w:val="003A51D6"/>
    <w:rsid w:val="003B061A"/>
    <w:rsid w:val="003B125E"/>
    <w:rsid w:val="003B2A5E"/>
    <w:rsid w:val="003C13A1"/>
    <w:rsid w:val="003C398C"/>
    <w:rsid w:val="003C6813"/>
    <w:rsid w:val="003C7C97"/>
    <w:rsid w:val="003F60EA"/>
    <w:rsid w:val="004031D2"/>
    <w:rsid w:val="00406419"/>
    <w:rsid w:val="00406B8D"/>
    <w:rsid w:val="00410068"/>
    <w:rsid w:val="0041618E"/>
    <w:rsid w:val="0042295C"/>
    <w:rsid w:val="00426EEC"/>
    <w:rsid w:val="00434D92"/>
    <w:rsid w:val="00445DBE"/>
    <w:rsid w:val="004466C3"/>
    <w:rsid w:val="00447C66"/>
    <w:rsid w:val="004552CE"/>
    <w:rsid w:val="004805FA"/>
    <w:rsid w:val="00481FF7"/>
    <w:rsid w:val="00497B67"/>
    <w:rsid w:val="004D5563"/>
    <w:rsid w:val="004E77F2"/>
    <w:rsid w:val="004F103B"/>
    <w:rsid w:val="00500295"/>
    <w:rsid w:val="00501AAF"/>
    <w:rsid w:val="00504F2E"/>
    <w:rsid w:val="00517B08"/>
    <w:rsid w:val="005234A7"/>
    <w:rsid w:val="00524B31"/>
    <w:rsid w:val="0052650A"/>
    <w:rsid w:val="00527712"/>
    <w:rsid w:val="00527AFA"/>
    <w:rsid w:val="005419DA"/>
    <w:rsid w:val="0056083D"/>
    <w:rsid w:val="005644C8"/>
    <w:rsid w:val="005678AC"/>
    <w:rsid w:val="005679BD"/>
    <w:rsid w:val="005709B1"/>
    <w:rsid w:val="00570AF7"/>
    <w:rsid w:val="00572B3B"/>
    <w:rsid w:val="005836D2"/>
    <w:rsid w:val="005879D9"/>
    <w:rsid w:val="00587C58"/>
    <w:rsid w:val="005A4288"/>
    <w:rsid w:val="005A7FD4"/>
    <w:rsid w:val="005B1A84"/>
    <w:rsid w:val="005B530C"/>
    <w:rsid w:val="005C02D5"/>
    <w:rsid w:val="005D1AF9"/>
    <w:rsid w:val="005D5457"/>
    <w:rsid w:val="005E2699"/>
    <w:rsid w:val="005E44B5"/>
    <w:rsid w:val="005F020E"/>
    <w:rsid w:val="00603DFA"/>
    <w:rsid w:val="0061222E"/>
    <w:rsid w:val="00612DEA"/>
    <w:rsid w:val="00614572"/>
    <w:rsid w:val="0061731F"/>
    <w:rsid w:val="00622EF1"/>
    <w:rsid w:val="006232DF"/>
    <w:rsid w:val="00631F2E"/>
    <w:rsid w:val="0064519F"/>
    <w:rsid w:val="006457C0"/>
    <w:rsid w:val="00652BB7"/>
    <w:rsid w:val="006542A0"/>
    <w:rsid w:val="00661758"/>
    <w:rsid w:val="006710A6"/>
    <w:rsid w:val="0067612C"/>
    <w:rsid w:val="00676699"/>
    <w:rsid w:val="00676918"/>
    <w:rsid w:val="00676FEB"/>
    <w:rsid w:val="00690314"/>
    <w:rsid w:val="006912C4"/>
    <w:rsid w:val="00692EF5"/>
    <w:rsid w:val="006943A5"/>
    <w:rsid w:val="006A5CFC"/>
    <w:rsid w:val="006B2106"/>
    <w:rsid w:val="006C5138"/>
    <w:rsid w:val="006C689B"/>
    <w:rsid w:val="006D528B"/>
    <w:rsid w:val="006E005C"/>
    <w:rsid w:val="006E6EE5"/>
    <w:rsid w:val="006F0029"/>
    <w:rsid w:val="006F0E64"/>
    <w:rsid w:val="006F32A8"/>
    <w:rsid w:val="006F6C14"/>
    <w:rsid w:val="007138EF"/>
    <w:rsid w:val="00724B46"/>
    <w:rsid w:val="00742C54"/>
    <w:rsid w:val="00744D01"/>
    <w:rsid w:val="007559FA"/>
    <w:rsid w:val="00757F24"/>
    <w:rsid w:val="007632A9"/>
    <w:rsid w:val="007657A8"/>
    <w:rsid w:val="00772FA9"/>
    <w:rsid w:val="00774092"/>
    <w:rsid w:val="00782830"/>
    <w:rsid w:val="0078664A"/>
    <w:rsid w:val="00793F42"/>
    <w:rsid w:val="007B0F6D"/>
    <w:rsid w:val="007B4AEA"/>
    <w:rsid w:val="007C62C3"/>
    <w:rsid w:val="007D19BD"/>
    <w:rsid w:val="007D25AA"/>
    <w:rsid w:val="007D6233"/>
    <w:rsid w:val="007E3FFD"/>
    <w:rsid w:val="007E5C93"/>
    <w:rsid w:val="007F0873"/>
    <w:rsid w:val="00805726"/>
    <w:rsid w:val="008109E0"/>
    <w:rsid w:val="00814D83"/>
    <w:rsid w:val="00815117"/>
    <w:rsid w:val="00824CB1"/>
    <w:rsid w:val="00832E5C"/>
    <w:rsid w:val="008520F8"/>
    <w:rsid w:val="00855F34"/>
    <w:rsid w:val="008826B6"/>
    <w:rsid w:val="00894102"/>
    <w:rsid w:val="00895324"/>
    <w:rsid w:val="008A3D0D"/>
    <w:rsid w:val="008B0B22"/>
    <w:rsid w:val="008C58B0"/>
    <w:rsid w:val="008C591B"/>
    <w:rsid w:val="008C6182"/>
    <w:rsid w:val="008D28E3"/>
    <w:rsid w:val="008D4DFA"/>
    <w:rsid w:val="008E045B"/>
    <w:rsid w:val="008F5B43"/>
    <w:rsid w:val="00901EC9"/>
    <w:rsid w:val="00902114"/>
    <w:rsid w:val="0090779E"/>
    <w:rsid w:val="0092333A"/>
    <w:rsid w:val="00923F51"/>
    <w:rsid w:val="00926458"/>
    <w:rsid w:val="00933720"/>
    <w:rsid w:val="00936F28"/>
    <w:rsid w:val="00943EA6"/>
    <w:rsid w:val="00956F63"/>
    <w:rsid w:val="0096418C"/>
    <w:rsid w:val="00980E18"/>
    <w:rsid w:val="009952D8"/>
    <w:rsid w:val="009B4963"/>
    <w:rsid w:val="009C4386"/>
    <w:rsid w:val="009C7E52"/>
    <w:rsid w:val="009E4934"/>
    <w:rsid w:val="009F28B8"/>
    <w:rsid w:val="009F40A7"/>
    <w:rsid w:val="009F5CE6"/>
    <w:rsid w:val="00A026F9"/>
    <w:rsid w:val="00A035CD"/>
    <w:rsid w:val="00A34CF8"/>
    <w:rsid w:val="00A37BC3"/>
    <w:rsid w:val="00A41912"/>
    <w:rsid w:val="00A50E80"/>
    <w:rsid w:val="00A513B0"/>
    <w:rsid w:val="00A56C5B"/>
    <w:rsid w:val="00A627A2"/>
    <w:rsid w:val="00A63F7F"/>
    <w:rsid w:val="00A667CE"/>
    <w:rsid w:val="00A74148"/>
    <w:rsid w:val="00A75042"/>
    <w:rsid w:val="00A77303"/>
    <w:rsid w:val="00A774BC"/>
    <w:rsid w:val="00A82678"/>
    <w:rsid w:val="00A83E1D"/>
    <w:rsid w:val="00A946CB"/>
    <w:rsid w:val="00AA77C8"/>
    <w:rsid w:val="00AB2DAA"/>
    <w:rsid w:val="00AB6F88"/>
    <w:rsid w:val="00AC7BE2"/>
    <w:rsid w:val="00AD15C9"/>
    <w:rsid w:val="00AD6A94"/>
    <w:rsid w:val="00AE12D5"/>
    <w:rsid w:val="00AE35BF"/>
    <w:rsid w:val="00B1067E"/>
    <w:rsid w:val="00B12E9E"/>
    <w:rsid w:val="00B52C53"/>
    <w:rsid w:val="00B60116"/>
    <w:rsid w:val="00B60700"/>
    <w:rsid w:val="00B67073"/>
    <w:rsid w:val="00B81381"/>
    <w:rsid w:val="00B81790"/>
    <w:rsid w:val="00B81BBC"/>
    <w:rsid w:val="00B940AC"/>
    <w:rsid w:val="00B94954"/>
    <w:rsid w:val="00BA5940"/>
    <w:rsid w:val="00BA64C7"/>
    <w:rsid w:val="00BA7EB6"/>
    <w:rsid w:val="00BB17CD"/>
    <w:rsid w:val="00BB46AD"/>
    <w:rsid w:val="00BD03D5"/>
    <w:rsid w:val="00BE1979"/>
    <w:rsid w:val="00BE1F88"/>
    <w:rsid w:val="00C0735D"/>
    <w:rsid w:val="00C10FCC"/>
    <w:rsid w:val="00C31528"/>
    <w:rsid w:val="00C3215E"/>
    <w:rsid w:val="00C33361"/>
    <w:rsid w:val="00C419A0"/>
    <w:rsid w:val="00C445A2"/>
    <w:rsid w:val="00C45272"/>
    <w:rsid w:val="00C45B4F"/>
    <w:rsid w:val="00C47770"/>
    <w:rsid w:val="00C64773"/>
    <w:rsid w:val="00C75856"/>
    <w:rsid w:val="00C75D07"/>
    <w:rsid w:val="00C85A7C"/>
    <w:rsid w:val="00C943FA"/>
    <w:rsid w:val="00C95214"/>
    <w:rsid w:val="00CC3F59"/>
    <w:rsid w:val="00CD0FC3"/>
    <w:rsid w:val="00CD4774"/>
    <w:rsid w:val="00CE1732"/>
    <w:rsid w:val="00CF1C13"/>
    <w:rsid w:val="00CF286E"/>
    <w:rsid w:val="00CF7F34"/>
    <w:rsid w:val="00D10AAF"/>
    <w:rsid w:val="00D14C55"/>
    <w:rsid w:val="00D27540"/>
    <w:rsid w:val="00D31C98"/>
    <w:rsid w:val="00D40020"/>
    <w:rsid w:val="00D4006B"/>
    <w:rsid w:val="00D40D7A"/>
    <w:rsid w:val="00D64A0D"/>
    <w:rsid w:val="00D676C3"/>
    <w:rsid w:val="00D734AF"/>
    <w:rsid w:val="00D750B4"/>
    <w:rsid w:val="00D75EA4"/>
    <w:rsid w:val="00D81C18"/>
    <w:rsid w:val="00D8461A"/>
    <w:rsid w:val="00D95CAF"/>
    <w:rsid w:val="00DB1AE9"/>
    <w:rsid w:val="00DB60B6"/>
    <w:rsid w:val="00DC1846"/>
    <w:rsid w:val="00DC1CC6"/>
    <w:rsid w:val="00DC770C"/>
    <w:rsid w:val="00DD5135"/>
    <w:rsid w:val="00DF18ED"/>
    <w:rsid w:val="00E067A8"/>
    <w:rsid w:val="00E13924"/>
    <w:rsid w:val="00E15FD5"/>
    <w:rsid w:val="00E1725A"/>
    <w:rsid w:val="00E25F2C"/>
    <w:rsid w:val="00E33758"/>
    <w:rsid w:val="00E4602C"/>
    <w:rsid w:val="00E53E5E"/>
    <w:rsid w:val="00E566E3"/>
    <w:rsid w:val="00E610A6"/>
    <w:rsid w:val="00E64325"/>
    <w:rsid w:val="00E673C5"/>
    <w:rsid w:val="00E67967"/>
    <w:rsid w:val="00E82723"/>
    <w:rsid w:val="00E93F04"/>
    <w:rsid w:val="00EA29A5"/>
    <w:rsid w:val="00EB58B1"/>
    <w:rsid w:val="00EB62EB"/>
    <w:rsid w:val="00EC107C"/>
    <w:rsid w:val="00EC1A8A"/>
    <w:rsid w:val="00EC5DB4"/>
    <w:rsid w:val="00EC7EBE"/>
    <w:rsid w:val="00EC7FD2"/>
    <w:rsid w:val="00ED35B3"/>
    <w:rsid w:val="00ED50E0"/>
    <w:rsid w:val="00ED5964"/>
    <w:rsid w:val="00EF3D84"/>
    <w:rsid w:val="00F03B9B"/>
    <w:rsid w:val="00F1720B"/>
    <w:rsid w:val="00F36095"/>
    <w:rsid w:val="00F36ADC"/>
    <w:rsid w:val="00F532C8"/>
    <w:rsid w:val="00F53E4A"/>
    <w:rsid w:val="00F57C3E"/>
    <w:rsid w:val="00F605C6"/>
    <w:rsid w:val="00F6785B"/>
    <w:rsid w:val="00F82B22"/>
    <w:rsid w:val="00F9012D"/>
    <w:rsid w:val="00F915D6"/>
    <w:rsid w:val="00F95044"/>
    <w:rsid w:val="00FA67D4"/>
    <w:rsid w:val="00FB2C7E"/>
    <w:rsid w:val="00FD005E"/>
    <w:rsid w:val="00FE4CFD"/>
    <w:rsid w:val="00FE6BE1"/>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apple-converted-space">
    <w:name w:val="apple-converted-space"/>
    <w:basedOn w:val="DefaultParagraphFont"/>
    <w:rsid w:val="008F5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1525</Words>
  <Characters>8699</Characters>
  <Application>Microsoft Office Word</Application>
  <DocSecurity>0</DocSecurity>
  <Lines>72</Lines>
  <Paragraphs>20</Paragraphs>
  <ScaleCrop>false</ScaleCrop>
  <Company>University of Wales Trinity Saint David</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Fabiula Dos Reis (2513854)</cp:lastModifiedBy>
  <cp:revision>2</cp:revision>
  <dcterms:created xsi:type="dcterms:W3CDTF">2025-12-08T09:56:00Z</dcterms:created>
  <dcterms:modified xsi:type="dcterms:W3CDTF">2025-12-08T09:56:00Z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