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C667F" w14:textId="13E648ED" w:rsidR="00E00729" w:rsidRPr="003F6104" w:rsidRDefault="003F6104" w:rsidP="003F6104">
      <w:pPr>
        <w:rPr>
          <w:b/>
          <w:color w:val="535C69"/>
          <w:sz w:val="32"/>
          <w:szCs w:val="32"/>
          <w:shd w:val="clear" w:color="auto" w:fill="FFFFFF"/>
        </w:rPr>
      </w:pPr>
      <w:r>
        <w:rPr>
          <w:b/>
          <w:sz w:val="32"/>
          <w:szCs w:val="32"/>
        </w:rPr>
        <w:t>Cristina Valentina Solomon ( 2025748 )</w:t>
      </w:r>
    </w:p>
    <w:p w14:paraId="30150B8D" w14:textId="77777777" w:rsidR="00E00729" w:rsidRDefault="00E00729" w:rsidP="00E00729">
      <w:pPr>
        <w:pStyle w:val="Title"/>
      </w:pPr>
    </w:p>
    <w:p w14:paraId="3268EBE7" w14:textId="77777777" w:rsidR="00E00729" w:rsidRDefault="00E00729" w:rsidP="00E00729">
      <w:pPr>
        <w:pStyle w:val="Title"/>
      </w:pPr>
    </w:p>
    <w:p w14:paraId="7E2EC1EC" w14:textId="77777777" w:rsidR="00E00729" w:rsidRDefault="00E00729" w:rsidP="00E00729">
      <w:pPr>
        <w:pStyle w:val="Title"/>
      </w:pPr>
    </w:p>
    <w:p w14:paraId="62D28619" w14:textId="72590972" w:rsidR="00E00729" w:rsidRDefault="00E00729" w:rsidP="00E00729">
      <w:pPr>
        <w:pStyle w:val="Title"/>
        <w:rPr>
          <w:sz w:val="22"/>
        </w:rPr>
      </w:pPr>
      <w:r>
        <w:t>Community</w:t>
      </w:r>
      <w:r w:rsidR="003F6104">
        <w:t xml:space="preserve"> </w:t>
      </w:r>
      <w:r>
        <w:t xml:space="preserve">Engagement </w:t>
      </w:r>
    </w:p>
    <w:p w14:paraId="416F6797" w14:textId="2FC5009A" w:rsidR="00E00729" w:rsidRPr="003F6104" w:rsidRDefault="00E00729" w:rsidP="00E00729">
      <w:pPr>
        <w:pStyle w:val="Title"/>
        <w:rPr>
          <w:i/>
          <w:iCs/>
          <w:sz w:val="36"/>
          <w:szCs w:val="36"/>
        </w:rPr>
      </w:pPr>
      <w:r>
        <w:t xml:space="preserve">Assignment 1 – Essay  </w:t>
      </w:r>
      <w:r w:rsidR="003F6104">
        <w:br/>
      </w:r>
      <w:r w:rsidR="003F6104" w:rsidRPr="003F6104">
        <w:rPr>
          <w:i/>
          <w:iCs/>
          <w:sz w:val="36"/>
          <w:szCs w:val="36"/>
        </w:rPr>
        <w:t>(</w:t>
      </w:r>
      <w:r w:rsidR="003F6104" w:rsidRPr="003F6104">
        <w:rPr>
          <w:i/>
          <w:iCs/>
          <w:sz w:val="36"/>
          <w:szCs w:val="36"/>
        </w:rPr>
        <w:t>LCBB4002</w:t>
      </w:r>
      <w:r w:rsidR="003F6104" w:rsidRPr="003F6104">
        <w:rPr>
          <w:i/>
          <w:iCs/>
          <w:sz w:val="36"/>
          <w:szCs w:val="36"/>
        </w:rPr>
        <w:t>_BIRM)</w:t>
      </w:r>
    </w:p>
    <w:p w14:paraId="6CB280F6" w14:textId="77777777" w:rsidR="003F6104" w:rsidRDefault="003F6104">
      <w:pPr>
        <w:spacing w:line="259" w:lineRule="auto"/>
        <w:jc w:val="left"/>
      </w:pPr>
      <w:r>
        <w:br/>
      </w:r>
      <w:r>
        <w:br/>
      </w:r>
    </w:p>
    <w:p w14:paraId="002264EA" w14:textId="77777777" w:rsidR="003F6104" w:rsidRDefault="003F6104">
      <w:pPr>
        <w:spacing w:line="259" w:lineRule="auto"/>
        <w:jc w:val="left"/>
      </w:pPr>
    </w:p>
    <w:p w14:paraId="2F4BE8DE" w14:textId="77777777" w:rsidR="003F6104" w:rsidRDefault="003F6104">
      <w:pPr>
        <w:spacing w:line="259" w:lineRule="auto"/>
        <w:jc w:val="left"/>
      </w:pPr>
    </w:p>
    <w:p w14:paraId="13A96F76" w14:textId="77777777" w:rsidR="003F6104" w:rsidRDefault="003F6104">
      <w:pPr>
        <w:spacing w:line="259" w:lineRule="auto"/>
        <w:jc w:val="left"/>
      </w:pPr>
    </w:p>
    <w:p w14:paraId="528201EC" w14:textId="77777777" w:rsidR="003F6104" w:rsidRDefault="003F6104">
      <w:pPr>
        <w:spacing w:line="259" w:lineRule="auto"/>
        <w:jc w:val="left"/>
      </w:pPr>
    </w:p>
    <w:p w14:paraId="2489C99F" w14:textId="77777777" w:rsidR="003F6104" w:rsidRDefault="003F6104">
      <w:pPr>
        <w:spacing w:line="259" w:lineRule="auto"/>
        <w:jc w:val="left"/>
      </w:pPr>
    </w:p>
    <w:p w14:paraId="465196CE" w14:textId="77777777" w:rsidR="003F6104" w:rsidRDefault="003F6104">
      <w:pPr>
        <w:spacing w:line="259" w:lineRule="auto"/>
        <w:jc w:val="left"/>
      </w:pPr>
    </w:p>
    <w:p w14:paraId="507C1B2B" w14:textId="77777777" w:rsidR="003F6104" w:rsidRDefault="003F6104">
      <w:pPr>
        <w:spacing w:line="259" w:lineRule="auto"/>
        <w:jc w:val="left"/>
      </w:pPr>
    </w:p>
    <w:p w14:paraId="473534EC" w14:textId="77777777" w:rsidR="003F6104" w:rsidRDefault="003F6104">
      <w:pPr>
        <w:spacing w:line="259" w:lineRule="auto"/>
        <w:jc w:val="left"/>
      </w:pPr>
    </w:p>
    <w:p w14:paraId="69E5E505" w14:textId="748341B8" w:rsidR="00E00729" w:rsidRDefault="003F6104">
      <w:pPr>
        <w:spacing w:line="259" w:lineRule="auto"/>
        <w:jc w:val="left"/>
      </w:pPr>
      <w:r>
        <w:br/>
      </w:r>
      <w:r>
        <w:br/>
      </w:r>
      <w:r>
        <w:br/>
      </w:r>
      <w:r>
        <w:rPr>
          <w:b/>
          <w:sz w:val="32"/>
          <w:szCs w:val="32"/>
        </w:rPr>
        <w:t xml:space="preserve">Programme: BA Business Management </w:t>
      </w:r>
      <w:r>
        <w:rPr>
          <w:b/>
        </w:rPr>
        <w:t xml:space="preserve"> </w:t>
      </w:r>
      <w:r>
        <w:rPr>
          <w:b/>
        </w:rPr>
        <w:br/>
      </w:r>
      <w:r>
        <w:br/>
      </w:r>
      <w:r>
        <w:rPr>
          <w:b/>
          <w:bCs/>
          <w:sz w:val="32"/>
          <w:szCs w:val="32"/>
        </w:rPr>
        <w:t xml:space="preserve">Module: </w:t>
      </w:r>
      <w:r w:rsidRPr="003F6104">
        <w:rPr>
          <w:b/>
          <w:sz w:val="32"/>
          <w:szCs w:val="32"/>
        </w:rPr>
        <w:t>Community Engagement</w:t>
      </w:r>
      <w:r>
        <w:br/>
      </w:r>
      <w:r>
        <w:br/>
      </w:r>
      <w:r w:rsidRPr="00DF6569">
        <w:rPr>
          <w:b/>
          <w:sz w:val="32"/>
          <w:szCs w:val="32"/>
        </w:rPr>
        <w:t>Lecturer:</w:t>
      </w:r>
      <w:r>
        <w:rPr>
          <w:b/>
          <w:sz w:val="32"/>
          <w:szCs w:val="32"/>
        </w:rPr>
        <w:t xml:space="preserve"> </w:t>
      </w:r>
      <w:r w:rsidRPr="003F6104">
        <w:rPr>
          <w:b/>
          <w:sz w:val="32"/>
          <w:szCs w:val="32"/>
        </w:rPr>
        <w:t>Dr Olu Adegbite</w:t>
      </w:r>
      <w:r>
        <w:rPr>
          <w:b/>
          <w:sz w:val="32"/>
          <w:szCs w:val="32"/>
        </w:rPr>
        <w:br/>
      </w:r>
      <w:r w:rsidR="00E00729">
        <w:br w:type="page"/>
      </w:r>
    </w:p>
    <w:sdt>
      <w:sdtPr>
        <w:rPr>
          <w:rFonts w:ascii="Arial" w:eastAsiaTheme="minorHAnsi" w:hAnsi="Arial" w:cstheme="minorBidi"/>
          <w:color w:val="auto"/>
          <w:sz w:val="22"/>
          <w:szCs w:val="22"/>
          <w:lang w:val="en-GB"/>
        </w:rPr>
        <w:id w:val="96229856"/>
        <w:docPartObj>
          <w:docPartGallery w:val="Table of Contents"/>
          <w:docPartUnique/>
        </w:docPartObj>
      </w:sdtPr>
      <w:sdtEndPr>
        <w:rPr>
          <w:b/>
          <w:bCs/>
          <w:noProof/>
        </w:rPr>
      </w:sdtEndPr>
      <w:sdtContent>
        <w:p w14:paraId="338FD080" w14:textId="77777777" w:rsidR="00E00729" w:rsidRDefault="00E00729">
          <w:pPr>
            <w:pStyle w:val="TOCHeading"/>
          </w:pPr>
          <w:r>
            <w:t>Table of Contents</w:t>
          </w:r>
        </w:p>
        <w:p w14:paraId="2F3E969E" w14:textId="77777777" w:rsidR="00E00729" w:rsidRDefault="00E00729">
          <w:pPr>
            <w:pStyle w:val="TOC1"/>
            <w:tabs>
              <w:tab w:val="right" w:leader="dot" w:pos="9350"/>
            </w:tabs>
            <w:rPr>
              <w:noProof/>
            </w:rPr>
          </w:pPr>
          <w:r>
            <w:fldChar w:fldCharType="begin"/>
          </w:r>
          <w:r>
            <w:instrText xml:space="preserve"> TOC \o "1-3" \h \z \u </w:instrText>
          </w:r>
          <w:r>
            <w:fldChar w:fldCharType="separate"/>
          </w:r>
          <w:hyperlink w:anchor="_Toc85470716" w:history="1">
            <w:r w:rsidRPr="00AD2330">
              <w:rPr>
                <w:rStyle w:val="Hyperlink"/>
                <w:noProof/>
              </w:rPr>
              <w:t>Introduction</w:t>
            </w:r>
            <w:r>
              <w:rPr>
                <w:noProof/>
                <w:webHidden/>
              </w:rPr>
              <w:tab/>
            </w:r>
            <w:r>
              <w:rPr>
                <w:noProof/>
                <w:webHidden/>
              </w:rPr>
              <w:fldChar w:fldCharType="begin"/>
            </w:r>
            <w:r>
              <w:rPr>
                <w:noProof/>
                <w:webHidden/>
              </w:rPr>
              <w:instrText xml:space="preserve"> PAGEREF _Toc85470716 \h </w:instrText>
            </w:r>
            <w:r>
              <w:rPr>
                <w:noProof/>
                <w:webHidden/>
              </w:rPr>
            </w:r>
            <w:r>
              <w:rPr>
                <w:noProof/>
                <w:webHidden/>
              </w:rPr>
              <w:fldChar w:fldCharType="separate"/>
            </w:r>
            <w:r>
              <w:rPr>
                <w:noProof/>
                <w:webHidden/>
              </w:rPr>
              <w:t>3</w:t>
            </w:r>
            <w:r>
              <w:rPr>
                <w:noProof/>
                <w:webHidden/>
              </w:rPr>
              <w:fldChar w:fldCharType="end"/>
            </w:r>
          </w:hyperlink>
        </w:p>
        <w:p w14:paraId="0F24F641" w14:textId="77777777" w:rsidR="00E00729" w:rsidRDefault="003D6EF4">
          <w:pPr>
            <w:pStyle w:val="TOC1"/>
            <w:tabs>
              <w:tab w:val="right" w:leader="dot" w:pos="9350"/>
            </w:tabs>
            <w:rPr>
              <w:noProof/>
            </w:rPr>
          </w:pPr>
          <w:hyperlink w:anchor="_Toc85470717" w:history="1">
            <w:r w:rsidR="00E00729" w:rsidRPr="00AD2330">
              <w:rPr>
                <w:rStyle w:val="Hyperlink"/>
                <w:noProof/>
              </w:rPr>
              <w:t>Discussion and analysis</w:t>
            </w:r>
            <w:r w:rsidR="00E00729">
              <w:rPr>
                <w:noProof/>
                <w:webHidden/>
              </w:rPr>
              <w:tab/>
            </w:r>
            <w:r w:rsidR="00E00729">
              <w:rPr>
                <w:noProof/>
                <w:webHidden/>
              </w:rPr>
              <w:fldChar w:fldCharType="begin"/>
            </w:r>
            <w:r w:rsidR="00E00729">
              <w:rPr>
                <w:noProof/>
                <w:webHidden/>
              </w:rPr>
              <w:instrText xml:space="preserve"> PAGEREF _Toc85470717 \h </w:instrText>
            </w:r>
            <w:r w:rsidR="00E00729">
              <w:rPr>
                <w:noProof/>
                <w:webHidden/>
              </w:rPr>
            </w:r>
            <w:r w:rsidR="00E00729">
              <w:rPr>
                <w:noProof/>
                <w:webHidden/>
              </w:rPr>
              <w:fldChar w:fldCharType="separate"/>
            </w:r>
            <w:r w:rsidR="00E00729">
              <w:rPr>
                <w:noProof/>
                <w:webHidden/>
              </w:rPr>
              <w:t>4</w:t>
            </w:r>
            <w:r w:rsidR="00E00729">
              <w:rPr>
                <w:noProof/>
                <w:webHidden/>
              </w:rPr>
              <w:fldChar w:fldCharType="end"/>
            </w:r>
          </w:hyperlink>
        </w:p>
        <w:p w14:paraId="1807E0B3" w14:textId="77777777" w:rsidR="00E00729" w:rsidRDefault="003D6EF4">
          <w:pPr>
            <w:pStyle w:val="TOC1"/>
            <w:tabs>
              <w:tab w:val="right" w:leader="dot" w:pos="9350"/>
            </w:tabs>
            <w:rPr>
              <w:noProof/>
            </w:rPr>
          </w:pPr>
          <w:hyperlink w:anchor="_Toc85470718" w:history="1">
            <w:r w:rsidR="00E00729" w:rsidRPr="00AD2330">
              <w:rPr>
                <w:rStyle w:val="Hyperlink"/>
                <w:noProof/>
              </w:rPr>
              <w:t>Conclusion</w:t>
            </w:r>
            <w:r w:rsidR="00E00729">
              <w:rPr>
                <w:noProof/>
                <w:webHidden/>
              </w:rPr>
              <w:tab/>
            </w:r>
            <w:r w:rsidR="00E00729">
              <w:rPr>
                <w:noProof/>
                <w:webHidden/>
              </w:rPr>
              <w:fldChar w:fldCharType="begin"/>
            </w:r>
            <w:r w:rsidR="00E00729">
              <w:rPr>
                <w:noProof/>
                <w:webHidden/>
              </w:rPr>
              <w:instrText xml:space="preserve"> PAGEREF _Toc85470718 \h </w:instrText>
            </w:r>
            <w:r w:rsidR="00E00729">
              <w:rPr>
                <w:noProof/>
                <w:webHidden/>
              </w:rPr>
            </w:r>
            <w:r w:rsidR="00E00729">
              <w:rPr>
                <w:noProof/>
                <w:webHidden/>
              </w:rPr>
              <w:fldChar w:fldCharType="separate"/>
            </w:r>
            <w:r w:rsidR="00E00729">
              <w:rPr>
                <w:noProof/>
                <w:webHidden/>
              </w:rPr>
              <w:t>8</w:t>
            </w:r>
            <w:r w:rsidR="00E00729">
              <w:rPr>
                <w:noProof/>
                <w:webHidden/>
              </w:rPr>
              <w:fldChar w:fldCharType="end"/>
            </w:r>
          </w:hyperlink>
        </w:p>
        <w:p w14:paraId="0143F8A4" w14:textId="77777777" w:rsidR="00E00729" w:rsidRDefault="003D6EF4">
          <w:pPr>
            <w:pStyle w:val="TOC1"/>
            <w:tabs>
              <w:tab w:val="right" w:leader="dot" w:pos="9350"/>
            </w:tabs>
            <w:rPr>
              <w:noProof/>
            </w:rPr>
          </w:pPr>
          <w:hyperlink w:anchor="_Toc85470719" w:history="1">
            <w:r w:rsidR="00E00729" w:rsidRPr="00AD2330">
              <w:rPr>
                <w:rStyle w:val="Hyperlink"/>
                <w:noProof/>
              </w:rPr>
              <w:t>References</w:t>
            </w:r>
            <w:r w:rsidR="00E00729">
              <w:rPr>
                <w:noProof/>
                <w:webHidden/>
              </w:rPr>
              <w:tab/>
            </w:r>
            <w:r w:rsidR="00E00729">
              <w:rPr>
                <w:noProof/>
                <w:webHidden/>
              </w:rPr>
              <w:fldChar w:fldCharType="begin"/>
            </w:r>
            <w:r w:rsidR="00E00729">
              <w:rPr>
                <w:noProof/>
                <w:webHidden/>
              </w:rPr>
              <w:instrText xml:space="preserve"> PAGEREF _Toc85470719 \h </w:instrText>
            </w:r>
            <w:r w:rsidR="00E00729">
              <w:rPr>
                <w:noProof/>
                <w:webHidden/>
              </w:rPr>
            </w:r>
            <w:r w:rsidR="00E00729">
              <w:rPr>
                <w:noProof/>
                <w:webHidden/>
              </w:rPr>
              <w:fldChar w:fldCharType="separate"/>
            </w:r>
            <w:r w:rsidR="00E00729">
              <w:rPr>
                <w:noProof/>
                <w:webHidden/>
              </w:rPr>
              <w:t>9</w:t>
            </w:r>
            <w:r w:rsidR="00E00729">
              <w:rPr>
                <w:noProof/>
                <w:webHidden/>
              </w:rPr>
              <w:fldChar w:fldCharType="end"/>
            </w:r>
          </w:hyperlink>
        </w:p>
        <w:p w14:paraId="27A6553D" w14:textId="77777777" w:rsidR="00E00729" w:rsidRDefault="00E00729">
          <w:r>
            <w:rPr>
              <w:b/>
              <w:bCs/>
              <w:noProof/>
            </w:rPr>
            <w:fldChar w:fldCharType="end"/>
          </w:r>
        </w:p>
      </w:sdtContent>
    </w:sdt>
    <w:p w14:paraId="3320DEB4" w14:textId="77777777" w:rsidR="00E00729" w:rsidRDefault="00E00729">
      <w:pPr>
        <w:spacing w:line="259" w:lineRule="auto"/>
        <w:jc w:val="left"/>
      </w:pPr>
      <w:r>
        <w:br w:type="page"/>
      </w:r>
    </w:p>
    <w:p w14:paraId="0F0C60B2" w14:textId="77777777" w:rsidR="00DB6131" w:rsidRDefault="00DB6131" w:rsidP="00E00729">
      <w:pPr>
        <w:pStyle w:val="Heading1"/>
      </w:pPr>
      <w:bookmarkStart w:id="0" w:name="_Toc85470716"/>
      <w:r>
        <w:lastRenderedPageBreak/>
        <w:t>Introduction</w:t>
      </w:r>
      <w:bookmarkEnd w:id="0"/>
    </w:p>
    <w:p w14:paraId="68E63875" w14:textId="77777777" w:rsidR="00D63D4F" w:rsidRDefault="00DB6131">
      <w:r>
        <w:t xml:space="preserve">There are people who think about the community and </w:t>
      </w:r>
      <w:r w:rsidR="00E00729">
        <w:t>wants to make sure that the people</w:t>
      </w:r>
      <w:r>
        <w:t xml:space="preserve"> in the community will have service. Community engagement is the process in which an individual like Tony Clark can do that. The aim of this essay is to analyse the case of recognition which the </w:t>
      </w:r>
      <w:r w:rsidR="002C73E3">
        <w:t>fire-fighter</w:t>
      </w:r>
      <w:r>
        <w:t xml:space="preserve"> of Yorkshire has</w:t>
      </w:r>
      <w:r w:rsidR="009D3514">
        <w:t xml:space="preserve"> </w:t>
      </w:r>
      <w:r>
        <w:t>get. At first</w:t>
      </w:r>
      <w:r w:rsidR="00E00729">
        <w:t>,</w:t>
      </w:r>
      <w:r>
        <w:t xml:space="preserve"> the importance of community engagement will be discussed along with </w:t>
      </w:r>
      <w:r w:rsidR="00E00729">
        <w:t xml:space="preserve">the </w:t>
      </w:r>
      <w:r>
        <w:t>importance of transferable skills in community engagement. After that</w:t>
      </w:r>
      <w:r w:rsidR="00E00729">
        <w:t>,</w:t>
      </w:r>
      <w:r>
        <w:t xml:space="preserve"> the transferable skills which can be seen in the case will be analysed in detail. At las</w:t>
      </w:r>
      <w:r w:rsidR="00D63D4F">
        <w:t xml:space="preserve">t, how the employees of Mr Clark takes community engagement to the next level will be analysed. </w:t>
      </w:r>
    </w:p>
    <w:p w14:paraId="6310D401" w14:textId="77777777" w:rsidR="00E00729" w:rsidRDefault="00E00729"/>
    <w:p w14:paraId="17A21750" w14:textId="77777777" w:rsidR="00E00729" w:rsidRDefault="00E00729"/>
    <w:p w14:paraId="40650F96" w14:textId="77777777" w:rsidR="00E00729" w:rsidRDefault="00E00729"/>
    <w:p w14:paraId="0013B7D3" w14:textId="77777777" w:rsidR="00E00729" w:rsidRDefault="00E00729"/>
    <w:p w14:paraId="0F7FD453" w14:textId="77777777" w:rsidR="00E00729" w:rsidRDefault="00E00729"/>
    <w:p w14:paraId="3601303F" w14:textId="77777777" w:rsidR="00E00729" w:rsidRDefault="00E00729"/>
    <w:p w14:paraId="66A4BBF1" w14:textId="77777777" w:rsidR="00E00729" w:rsidRDefault="00E00729"/>
    <w:p w14:paraId="58CAF91F" w14:textId="77777777" w:rsidR="00E00729" w:rsidRDefault="00E00729"/>
    <w:p w14:paraId="7DC3FBAA" w14:textId="77777777" w:rsidR="00E00729" w:rsidRDefault="00E00729"/>
    <w:p w14:paraId="629AAE0E" w14:textId="77777777" w:rsidR="00E00729" w:rsidRDefault="00E00729"/>
    <w:p w14:paraId="63142E51" w14:textId="77777777" w:rsidR="00E00729" w:rsidRDefault="00E00729"/>
    <w:p w14:paraId="1841D476" w14:textId="77777777" w:rsidR="00E00729" w:rsidRDefault="00E00729"/>
    <w:p w14:paraId="30807016" w14:textId="77777777" w:rsidR="00E00729" w:rsidRDefault="00E00729"/>
    <w:p w14:paraId="4A58BED4" w14:textId="77777777" w:rsidR="00E00729" w:rsidRDefault="00E00729"/>
    <w:p w14:paraId="499DA5C1" w14:textId="77777777" w:rsidR="00E00729" w:rsidRDefault="00E00729"/>
    <w:p w14:paraId="3FECB5AE" w14:textId="77777777" w:rsidR="00E00729" w:rsidRDefault="00E00729"/>
    <w:p w14:paraId="7702A282" w14:textId="77777777" w:rsidR="00E00729" w:rsidRDefault="00E00729"/>
    <w:p w14:paraId="3B214E50" w14:textId="77777777" w:rsidR="00E00729" w:rsidRDefault="00E00729"/>
    <w:p w14:paraId="07C61AEC" w14:textId="77777777" w:rsidR="00D63D4F" w:rsidRDefault="00D63D4F" w:rsidP="00E00729">
      <w:pPr>
        <w:pStyle w:val="Heading1"/>
      </w:pPr>
      <w:bookmarkStart w:id="1" w:name="_Toc85470717"/>
      <w:r>
        <w:lastRenderedPageBreak/>
        <w:t>Discussion and analysis</w:t>
      </w:r>
      <w:bookmarkEnd w:id="1"/>
      <w:r>
        <w:t xml:space="preserve"> </w:t>
      </w:r>
    </w:p>
    <w:p w14:paraId="56038AA1" w14:textId="77777777" w:rsidR="00316793" w:rsidRDefault="00D63D4F">
      <w:r>
        <w:t>Community engagement is the process in which an individual can involve with an organisation for the purpose of making sure the welfare of the community</w:t>
      </w:r>
      <w:r w:rsidR="00834D5B">
        <w:t xml:space="preserve"> </w:t>
      </w:r>
      <w:r w:rsidR="002C73E3">
        <w:t xml:space="preserve">has been ensured </w:t>
      </w:r>
      <w:r w:rsidR="00834D5B" w:rsidRPr="00834D5B">
        <w:t>(Fitzgerald and Primavera, 2013)</w:t>
      </w:r>
      <w:r>
        <w:t>. This is one of the noblest task</w:t>
      </w:r>
      <w:r w:rsidR="00E00729">
        <w:t>s</w:t>
      </w:r>
      <w:r>
        <w:t xml:space="preserve"> in which an individual can take part. The case is about Tony Clark and a group of employees who creates a team to respond to fire and rescue after being unable to get service </w:t>
      </w:r>
      <w:r w:rsidR="00E00729">
        <w:t>at</w:t>
      </w:r>
      <w:r>
        <w:t xml:space="preserve"> the time of </w:t>
      </w:r>
      <w:r w:rsidR="00E00729">
        <w:t xml:space="preserve">the </w:t>
      </w:r>
      <w:r>
        <w:t xml:space="preserve">blaze. Now nine employees of the organisation </w:t>
      </w:r>
      <w:r w:rsidR="00E00729">
        <w:t>are</w:t>
      </w:r>
      <w:r>
        <w:t xml:space="preserve"> part of </w:t>
      </w:r>
      <w:r w:rsidR="00E00729">
        <w:t xml:space="preserve">the </w:t>
      </w:r>
      <w:r>
        <w:t>on-call scheme and in the last 10 years</w:t>
      </w:r>
      <w:r w:rsidR="00E00729">
        <w:t>,</w:t>
      </w:r>
      <w:r>
        <w:t xml:space="preserve"> they have attended more than 2500 calls</w:t>
      </w:r>
      <w:r w:rsidR="00834D5B">
        <w:t xml:space="preserve"> </w:t>
      </w:r>
      <w:r w:rsidR="00834D5B" w:rsidRPr="00834D5B">
        <w:t>(BBC, 2021)</w:t>
      </w:r>
      <w:r w:rsidR="00316793">
        <w:t xml:space="preserve">. The team support the local fire station as well and by doing that the team receive 1791 fire calls and 1037 medical calls. That means the medal which Mr Clark and his team get is suitable because the team provide service to the community and make sure the welfare of the community. </w:t>
      </w:r>
    </w:p>
    <w:p w14:paraId="60EA137C" w14:textId="77777777" w:rsidR="00CC1E31" w:rsidRDefault="00316793">
      <w:r w:rsidRPr="00CC1E31">
        <w:rPr>
          <w:b/>
        </w:rPr>
        <w:t>Community engagement is important</w:t>
      </w:r>
      <w:r>
        <w:t xml:space="preserve"> because it is the factor </w:t>
      </w:r>
      <w:r w:rsidR="00E00729">
        <w:t>that</w:t>
      </w:r>
      <w:r>
        <w:t xml:space="preserve"> is trying to ensure that the people in the community will be safe and quality of life of the people in the community will be ensured</w:t>
      </w:r>
      <w:r w:rsidR="00834D5B">
        <w:t xml:space="preserve"> </w:t>
      </w:r>
      <w:r w:rsidR="00834D5B" w:rsidRPr="00834D5B">
        <w:t>(Evans, 2017)</w:t>
      </w:r>
      <w:r>
        <w:t>. For example, the community engagement service which Mr Clark and team provided helps me to sure that the people who are working in the factory and nearby will have support in the time of fire incident and any other medical problem. This helps to make sure that these people will have the chance to lead a quality life. If there is no community engagement</w:t>
      </w:r>
      <w:r w:rsidR="00362671">
        <w:t xml:space="preserve"> th</w:t>
      </w:r>
      <w:r w:rsidR="00E00729">
        <w:t>e</w:t>
      </w:r>
      <w:r w:rsidR="00362671">
        <w:t xml:space="preserve">n the people will not have the ability to make sure that they will have the ability to get the required service in the time of need. Creating </w:t>
      </w:r>
      <w:r w:rsidR="00E00729">
        <w:t xml:space="preserve">the </w:t>
      </w:r>
      <w:r w:rsidR="00362671">
        <w:t>most effective solution to the problem which the people in the community is facing is another important aspect of community engagement</w:t>
      </w:r>
      <w:r w:rsidR="00834D5B">
        <w:t xml:space="preserve"> </w:t>
      </w:r>
      <w:r w:rsidR="00834D5B" w:rsidRPr="00834D5B">
        <w:t>(Deans, Roswell and Wurr, 2010)</w:t>
      </w:r>
      <w:r w:rsidR="00CC1E31">
        <w:t>. B</w:t>
      </w:r>
      <w:r w:rsidR="00362671">
        <w:t xml:space="preserve">efore the types of service which Mr Clark and team is providing the people in the area only had to wait for the local fire and rescue service but there was </w:t>
      </w:r>
      <w:r w:rsidR="00E00729">
        <w:t xml:space="preserve">a </w:t>
      </w:r>
      <w:r w:rsidR="00362671">
        <w:t>chance that they will not get the service like the incident in Mr Clark factory. That means, the nine employees who provide service can work as a contingency because th</w:t>
      </w:r>
      <w:r w:rsidR="00E00729">
        <w:t>e</w:t>
      </w:r>
      <w:r w:rsidR="00362671">
        <w:t xml:space="preserve">n these people will have the chance to provide the service and that will be great to make sure that the people in the society will be safe. </w:t>
      </w:r>
    </w:p>
    <w:p w14:paraId="0EFA6374" w14:textId="77777777" w:rsidR="00CC1E31" w:rsidRDefault="00362671">
      <w:r>
        <w:t xml:space="preserve">Community engagement is also important to make sure that people will be motivated in this type of task and necessary skills will be achieved to solve </w:t>
      </w:r>
      <w:r w:rsidR="00E00729">
        <w:t xml:space="preserve">the </w:t>
      </w:r>
      <w:r>
        <w:t>problem</w:t>
      </w:r>
      <w:r w:rsidR="002C73E3">
        <w:t xml:space="preserve"> </w:t>
      </w:r>
      <w:r w:rsidR="002C73E3" w:rsidRPr="002C73E3">
        <w:t>(Coulter, 2018)</w:t>
      </w:r>
      <w:r>
        <w:t>. When people will sa</w:t>
      </w:r>
      <w:r w:rsidR="00E00729">
        <w:t>y</w:t>
      </w:r>
      <w:r>
        <w:t xml:space="preserve"> that some employees of an organisation without any benefits taking risks to save others and making sure that the community is a </w:t>
      </w:r>
      <w:r w:rsidR="00CC1E31">
        <w:t>safer place th</w:t>
      </w:r>
      <w:r w:rsidR="00E00729">
        <w:t>e</w:t>
      </w:r>
      <w:r w:rsidR="00CC1E31">
        <w:t>n it can motivate others to do the same and develop skills for that. When more and more people will work together for the purpose of providing service to others th</w:t>
      </w:r>
      <w:r w:rsidR="00E00729">
        <w:t>e</w:t>
      </w:r>
      <w:r w:rsidR="00CC1E31">
        <w:t xml:space="preserve">n the community will definitely be a safer place. Community engagement is one of the most effective ways of integrating people with one another. When </w:t>
      </w:r>
      <w:r w:rsidR="00CC1E31">
        <w:lastRenderedPageBreak/>
        <w:t>people will sa</w:t>
      </w:r>
      <w:r w:rsidR="00E00729">
        <w:t>y</w:t>
      </w:r>
      <w:r w:rsidR="00CC1E31">
        <w:t xml:space="preserve"> that everyone in the community is helping one another th</w:t>
      </w:r>
      <w:r w:rsidR="00E00729">
        <w:t>e</w:t>
      </w:r>
      <w:r w:rsidR="00CC1E31">
        <w:t>n the integration of people with one another will be increased</w:t>
      </w:r>
      <w:r w:rsidR="00834D5B">
        <w:t xml:space="preserve"> </w:t>
      </w:r>
      <w:r w:rsidR="00834D5B" w:rsidRPr="00834D5B">
        <w:t>(Fitzgerald and Primavera, 2013)</w:t>
      </w:r>
      <w:r w:rsidR="00CC1E31">
        <w:t xml:space="preserve">. This is also effective in terms of developing </w:t>
      </w:r>
      <w:r w:rsidR="00E00729">
        <w:t xml:space="preserve">a </w:t>
      </w:r>
      <w:r w:rsidR="00CC1E31">
        <w:t>local support network.  These are the importance of community engagement and it can be seen f</w:t>
      </w:r>
      <w:r w:rsidR="00E00729">
        <w:t>ro</w:t>
      </w:r>
      <w:r w:rsidR="00CC1E31">
        <w:t xml:space="preserve">m the case as well. </w:t>
      </w:r>
    </w:p>
    <w:p w14:paraId="36C5FFBB" w14:textId="77777777" w:rsidR="009C0A2C" w:rsidRDefault="00CC1E31">
      <w:r>
        <w:t xml:space="preserve">The types of skills that can </w:t>
      </w:r>
      <w:r w:rsidR="00E00729">
        <w:t xml:space="preserve">be </w:t>
      </w:r>
      <w:r>
        <w:t>used in every type of job which an individual does</w:t>
      </w:r>
      <w:r w:rsidR="00CE471D">
        <w:t xml:space="preserve"> </w:t>
      </w:r>
      <w:r w:rsidR="00CE471D" w:rsidRPr="00CE471D">
        <w:rPr>
          <w:b/>
        </w:rPr>
        <w:t>is transferable skills</w:t>
      </w:r>
      <w:r w:rsidR="00834D5B">
        <w:rPr>
          <w:b/>
        </w:rPr>
        <w:t xml:space="preserve"> </w:t>
      </w:r>
      <w:r w:rsidR="00834D5B" w:rsidRPr="00834D5B">
        <w:t>(Whittle and Eaton, 2018)</w:t>
      </w:r>
      <w:r>
        <w:t xml:space="preserve">. </w:t>
      </w:r>
      <w:r w:rsidR="00CE471D">
        <w:t xml:space="preserve">These can also be said as the common skills which an individual </w:t>
      </w:r>
      <w:r w:rsidR="00E00729">
        <w:t xml:space="preserve">is </w:t>
      </w:r>
      <w:r w:rsidR="00CE471D">
        <w:t>required to perform any type of task. In community engagement</w:t>
      </w:r>
      <w:r w:rsidR="00E00729">
        <w:t>,</w:t>
      </w:r>
      <w:r w:rsidR="00CE471D">
        <w:t xml:space="preserve"> transferable skills are so important because without that the work of community engagement will be performed. For example, the types of community engagement service which Mr Clark and </w:t>
      </w:r>
      <w:r w:rsidR="00E00729">
        <w:t xml:space="preserve">his </w:t>
      </w:r>
      <w:r w:rsidR="00CE471D">
        <w:t>team provide required effective communication</w:t>
      </w:r>
      <w:r w:rsidR="00834D5B">
        <w:t xml:space="preserve"> </w:t>
      </w:r>
      <w:r w:rsidR="00834D5B" w:rsidRPr="00834D5B">
        <w:t>(Watson and Burr, 2018)</w:t>
      </w:r>
      <w:r w:rsidR="00CE471D">
        <w:t xml:space="preserve">. Without that the team will not be able to understand what is the problem and the process in which service can be provided. That means the effectiveness of community engagement is based on commination which is a transferable skill. Like this, organisation and planning, motivation, teamwork, initiative and problem-solving all are transferable skills. But the most important factor which needs to be </w:t>
      </w:r>
      <w:r w:rsidR="009C0A2C">
        <w:t>considered</w:t>
      </w:r>
      <w:r w:rsidR="00CE471D">
        <w:t xml:space="preserve"> here</w:t>
      </w:r>
      <w:r w:rsidR="009C0A2C">
        <w:t xml:space="preserve"> is that all of these are important for community engagement</w:t>
      </w:r>
      <w:r w:rsidR="00834D5B">
        <w:t xml:space="preserve"> </w:t>
      </w:r>
      <w:r w:rsidR="00834D5B" w:rsidRPr="00834D5B">
        <w:t>(Watson and Burr, 2018)</w:t>
      </w:r>
      <w:r w:rsidR="009C0A2C">
        <w:t xml:space="preserve">. For example, if the nine employees who are working to provide fire and rescue service does not have the skill to solve </w:t>
      </w:r>
      <w:r w:rsidR="00E00729">
        <w:t xml:space="preserve">the </w:t>
      </w:r>
      <w:r w:rsidR="009C0A2C">
        <w:t>problem. Th</w:t>
      </w:r>
      <w:r w:rsidR="00E00729">
        <w:t>e</w:t>
      </w:r>
      <w:r w:rsidR="009C0A2C">
        <w:t xml:space="preserve">n whatever these people do will not be any helps to the people because these people do not have the ability to solve </w:t>
      </w:r>
      <w:r w:rsidR="00E00729">
        <w:t xml:space="preserve">a </w:t>
      </w:r>
      <w:r w:rsidR="009C0A2C">
        <w:t>problem which community is facing. From the</w:t>
      </w:r>
      <w:r w:rsidR="00E00729">
        <w:t>r</w:t>
      </w:r>
      <w:r w:rsidR="009C0A2C">
        <w:t>e</w:t>
      </w:r>
      <w:r w:rsidR="00E00729">
        <w:t>,</w:t>
      </w:r>
      <w:r w:rsidR="009C0A2C">
        <w:t xml:space="preserve"> it can be said that transferable skills are important in community engagement.   </w:t>
      </w:r>
      <w:r w:rsidR="00CE471D">
        <w:t xml:space="preserve">   </w:t>
      </w:r>
    </w:p>
    <w:p w14:paraId="64F07150" w14:textId="77777777" w:rsidR="00DA6D7D" w:rsidRDefault="009C0A2C">
      <w:r>
        <w:t xml:space="preserve">Mr Clark and </w:t>
      </w:r>
      <w:r w:rsidR="00E00729">
        <w:t xml:space="preserve">his </w:t>
      </w:r>
      <w:r>
        <w:t xml:space="preserve">team </w:t>
      </w:r>
      <w:r w:rsidRPr="009C0A2C">
        <w:rPr>
          <w:b/>
        </w:rPr>
        <w:t>use different transferable skills</w:t>
      </w:r>
      <w:r>
        <w:t xml:space="preserve"> in the time of providing service to the people. This can be seen f</w:t>
      </w:r>
      <w:r w:rsidR="00E00729">
        <w:t>ro</w:t>
      </w:r>
      <w:r>
        <w:t>m the case. The most important transferable skill which the team uses was communication</w:t>
      </w:r>
      <w:r w:rsidR="00834D5B">
        <w:t xml:space="preserve"> </w:t>
      </w:r>
      <w:r w:rsidR="00834D5B" w:rsidRPr="00834D5B">
        <w:t>(</w:t>
      </w:r>
      <w:proofErr w:type="spellStart"/>
      <w:r w:rsidR="00834D5B" w:rsidRPr="00834D5B">
        <w:t>Sjölin</w:t>
      </w:r>
      <w:proofErr w:type="spellEnd"/>
      <w:r w:rsidR="00834D5B" w:rsidRPr="00834D5B">
        <w:t>, 2018)</w:t>
      </w:r>
      <w:r>
        <w:t>. This was the backbone of the types of service which the team provides to the people. The team receive more than 2500 calls in the last 10 years and this is the basis of the service</w:t>
      </w:r>
      <w:r w:rsidR="00E00729">
        <w:t xml:space="preserve"> </w:t>
      </w:r>
      <w:r w:rsidR="00E00729" w:rsidRPr="00E00729">
        <w:t>(BBC, 2021)</w:t>
      </w:r>
      <w:r>
        <w:t xml:space="preserve">. In this process, the team is able to understand that the people are in </w:t>
      </w:r>
      <w:r w:rsidR="00E00729">
        <w:t xml:space="preserve">a </w:t>
      </w:r>
      <w:r>
        <w:t>problem or the people let the team know that they need support. Without communication</w:t>
      </w:r>
      <w:r w:rsidR="00E00729">
        <w:t>,</w:t>
      </w:r>
      <w:r>
        <w:t xml:space="preserve"> they might not have the ability to make sure that the </w:t>
      </w:r>
      <w:r w:rsidR="00DA6D7D">
        <w:t xml:space="preserve">information has been gained and effective action on the basis of that has been taken. That means communication is the most important transferable skill which Mr Clark and </w:t>
      </w:r>
      <w:r w:rsidR="00E00729">
        <w:t xml:space="preserve">his </w:t>
      </w:r>
      <w:r w:rsidR="00DA6D7D">
        <w:t xml:space="preserve">team use. </w:t>
      </w:r>
    </w:p>
    <w:p w14:paraId="7737F5BB" w14:textId="77777777" w:rsidR="00DA6D7D" w:rsidRDefault="00DA6D7D">
      <w:r>
        <w:t xml:space="preserve">Teamwork is another transferable skill </w:t>
      </w:r>
      <w:r w:rsidR="00E00729">
        <w:t>that</w:t>
      </w:r>
      <w:r>
        <w:t xml:space="preserve"> has been used for the purpose of providing service to the community. The team which Mr Clark created </w:t>
      </w:r>
      <w:r w:rsidR="00E00729">
        <w:t xml:space="preserve">to </w:t>
      </w:r>
      <w:r>
        <w:t xml:space="preserve">consist of nine employees. These along with the support of one another </w:t>
      </w:r>
      <w:r w:rsidR="00E00729">
        <w:t>are</w:t>
      </w:r>
      <w:r>
        <w:t xml:space="preserve"> trying to provide fire and rescue service to others. Th</w:t>
      </w:r>
      <w:r w:rsidR="00E00729">
        <w:t>ese</w:t>
      </w:r>
      <w:r>
        <w:t xml:space="preserve"> </w:t>
      </w:r>
      <w:r w:rsidR="00E00729">
        <w:t>are</w:t>
      </w:r>
      <w:r>
        <w:t xml:space="preserve"> the types of service</w:t>
      </w:r>
      <w:r w:rsidR="00E00729">
        <w:t>s</w:t>
      </w:r>
      <w:r>
        <w:t xml:space="preserve"> </w:t>
      </w:r>
      <w:r w:rsidR="00E00729">
        <w:t>that</w:t>
      </w:r>
      <w:r>
        <w:t xml:space="preserve"> cannot be provided by one individual</w:t>
      </w:r>
      <w:r w:rsidR="00834D5B">
        <w:t xml:space="preserve"> </w:t>
      </w:r>
      <w:r w:rsidR="00834D5B" w:rsidRPr="00834D5B">
        <w:t>(Whittle and Eaton, 2018)</w:t>
      </w:r>
      <w:r>
        <w:t xml:space="preserve">. To do that with effectiveness teamwork was very important because without the support which the people </w:t>
      </w:r>
      <w:r>
        <w:lastRenderedPageBreak/>
        <w:t>needs might not have. Th</w:t>
      </w:r>
      <w:r w:rsidR="00E00729">
        <w:t>ese</w:t>
      </w:r>
      <w:r>
        <w:t xml:space="preserve"> team members working for </w:t>
      </w:r>
      <w:r w:rsidR="00E00729">
        <w:t xml:space="preserve">a </w:t>
      </w:r>
      <w:r>
        <w:t xml:space="preserve">long time with one another and for that they have </w:t>
      </w:r>
      <w:r w:rsidR="00E00729">
        <w:t>an</w:t>
      </w:r>
      <w:r>
        <w:t xml:space="preserve"> idea about one another. That is an important aspect </w:t>
      </w:r>
      <w:r w:rsidR="00E00729">
        <w:t>that</w:t>
      </w:r>
      <w:r>
        <w:t xml:space="preserve"> makes the team more effective. That means, without this transferable skill the types of community service which the team was providing can be provided. </w:t>
      </w:r>
    </w:p>
    <w:p w14:paraId="38DB07D0" w14:textId="77777777" w:rsidR="00252F08" w:rsidRDefault="00DA6D7D">
      <w:r>
        <w:t xml:space="preserve">Problem-solving is a must transferable skill </w:t>
      </w:r>
      <w:r w:rsidR="00E00729">
        <w:t>that</w:t>
      </w:r>
      <w:r>
        <w:t xml:space="preserve"> is required for community engagement because this means helping the people who are in need. That means if the people who are providing community engagement service does not have this transferable skill th</w:t>
      </w:r>
      <w:r w:rsidR="00E00729">
        <w:t>e</w:t>
      </w:r>
      <w:r>
        <w:t>n there will not be any types of community engagement service</w:t>
      </w:r>
      <w:r w:rsidR="00834D5B">
        <w:t xml:space="preserve"> </w:t>
      </w:r>
      <w:r w:rsidR="00834D5B" w:rsidRPr="00834D5B">
        <w:t>(Watson and Burr, 2018)</w:t>
      </w:r>
      <w:r>
        <w:t>. From the case</w:t>
      </w:r>
      <w:r w:rsidR="00E00729">
        <w:t>,</w:t>
      </w:r>
      <w:r>
        <w:t xml:space="preserve"> it can be seen that </w:t>
      </w:r>
      <w:r w:rsidR="00252F08">
        <w:t xml:space="preserve">Mr Clark and </w:t>
      </w:r>
      <w:r w:rsidR="00E00729">
        <w:t xml:space="preserve">the </w:t>
      </w:r>
      <w:r w:rsidR="00252F08">
        <w:t>team w</w:t>
      </w:r>
      <w:r w:rsidR="00E00729">
        <w:t>ere</w:t>
      </w:r>
      <w:r w:rsidR="00252F08">
        <w:t xml:space="preserve"> able to solve 1791 fire</w:t>
      </w:r>
      <w:r w:rsidR="00E00729">
        <w:t>-</w:t>
      </w:r>
      <w:r w:rsidR="00252F08">
        <w:t>related problem</w:t>
      </w:r>
      <w:r w:rsidR="00E00729">
        <w:t>s</w:t>
      </w:r>
      <w:r w:rsidR="00252F08">
        <w:t xml:space="preserve"> and 1037 medal medical problem</w:t>
      </w:r>
      <w:r w:rsidR="00E00729">
        <w:t>s</w:t>
      </w:r>
      <w:r w:rsidR="00252F08">
        <w:t xml:space="preserve">. These are the proof that the team has the ability to solve the problem for which the people are calling. This was the aim of the team as well and it can be said that the team was able to achieve success in terms of mitigating the needs. </w:t>
      </w:r>
    </w:p>
    <w:p w14:paraId="45C77A39" w14:textId="77777777" w:rsidR="00234F6E" w:rsidRDefault="00252F08">
      <w:r>
        <w:t>From the case</w:t>
      </w:r>
      <w:r w:rsidR="00E00729">
        <w:t>,</w:t>
      </w:r>
      <w:r>
        <w:t xml:space="preserve"> it can also be seen that there is a use of leadership skill of Mr Clark who start</w:t>
      </w:r>
      <w:r w:rsidR="00E00729">
        <w:t>s</w:t>
      </w:r>
      <w:r>
        <w:t xml:space="preserve"> the whole thing. If Mr Clark was not an effective leader th</w:t>
      </w:r>
      <w:r w:rsidR="00E00729">
        <w:t>e</w:t>
      </w:r>
      <w:r>
        <w:t xml:space="preserve">n the team might not be able to provide the service and </w:t>
      </w:r>
      <w:r w:rsidR="00E00729">
        <w:t>at</w:t>
      </w:r>
      <w:r>
        <w:t xml:space="preserve"> the same time</w:t>
      </w:r>
      <w:r w:rsidR="00E00729">
        <w:t>,</w:t>
      </w:r>
      <w:r>
        <w:t xml:space="preserve"> the team might not be organise</w:t>
      </w:r>
      <w:r w:rsidR="00E00729">
        <w:t>d</w:t>
      </w:r>
      <w:r>
        <w:t xml:space="preserve"> as well. This transferable skill make</w:t>
      </w:r>
      <w:r w:rsidR="00E00729">
        <w:t>s</w:t>
      </w:r>
      <w:r>
        <w:t xml:space="preserve"> sure that the team will be worked for the purpose of making sure that service to the people has been provided. Motivation is another transferable skill </w:t>
      </w:r>
      <w:r w:rsidR="00E00729">
        <w:t>that</w:t>
      </w:r>
      <w:r>
        <w:t xml:space="preserve"> can be seen in </w:t>
      </w:r>
      <w:r w:rsidR="00E00729">
        <w:t xml:space="preserve">the </w:t>
      </w:r>
      <w:r>
        <w:t>case</w:t>
      </w:r>
      <w:r w:rsidR="00A75514">
        <w:t xml:space="preserve"> </w:t>
      </w:r>
      <w:r w:rsidR="00A75514" w:rsidRPr="00A75514">
        <w:t>(Gritten, 2015)</w:t>
      </w:r>
      <w:r>
        <w:t xml:space="preserve">. The team which Mr Clark develops was because of unable to get service in the time of need. The team leader thinks that the problem which the factory faces should not be by anyone else. Based on this motivation the team has been developed. </w:t>
      </w:r>
      <w:r w:rsidR="00234F6E">
        <w:t>The use of organisation and planning transferable skill</w:t>
      </w:r>
      <w:r w:rsidR="00E00729">
        <w:t>s</w:t>
      </w:r>
      <w:r w:rsidR="00234F6E">
        <w:t xml:space="preserve"> can be seen in the case. The nine people who work as the service provider worked as an organised team and planned for the purpose of providing service to the people. These are transferable skills </w:t>
      </w:r>
      <w:r w:rsidR="00E00729">
        <w:t>that</w:t>
      </w:r>
      <w:r w:rsidR="00234F6E">
        <w:t xml:space="preserve"> can be seen f</w:t>
      </w:r>
      <w:r w:rsidR="00E00729">
        <w:t>ro</w:t>
      </w:r>
      <w:r w:rsidR="00234F6E">
        <w:t xml:space="preserve">m the case. </w:t>
      </w:r>
    </w:p>
    <w:p w14:paraId="10A8B760" w14:textId="77777777" w:rsidR="000D113A" w:rsidRDefault="00234F6E">
      <w:r>
        <w:t xml:space="preserve">The community engagement service which Mr Clark’s employees provide help to take this type of service to </w:t>
      </w:r>
      <w:r w:rsidRPr="00234F6E">
        <w:rPr>
          <w:b/>
        </w:rPr>
        <w:t>the next level</w:t>
      </w:r>
      <w:r>
        <w:t xml:space="preserve">. The most important way in which it has been done is that it shows that a business </w:t>
      </w:r>
      <w:r w:rsidR="00E00729">
        <w:t>that</w:t>
      </w:r>
      <w:r>
        <w:t xml:space="preserve"> is operating for profit can work for </w:t>
      </w:r>
      <w:r w:rsidR="00E00729">
        <w:t xml:space="preserve">the </w:t>
      </w:r>
      <w:r>
        <w:t>community and its welfare. This can be worked as the motivation for the others in the community to do the same types of work. The employer of Mr Clark will be worked as an example. That means the urgency among the employer to do something for the people will be improved</w:t>
      </w:r>
      <w:r w:rsidR="00A75514">
        <w:t xml:space="preserve"> </w:t>
      </w:r>
      <w:r w:rsidR="00A75514" w:rsidRPr="00A75514">
        <w:t>(Coulter, 2018)</w:t>
      </w:r>
      <w:r>
        <w:t>. Now the people in the society will not have to wait for the government service. In some times, government agencies might not get in time to provide service to the people and that can cr</w:t>
      </w:r>
      <w:r w:rsidR="00E00729">
        <w:t>e</w:t>
      </w:r>
      <w:r>
        <w:t xml:space="preserve">ate </w:t>
      </w:r>
      <w:r w:rsidR="00E00729">
        <w:t xml:space="preserve">a </w:t>
      </w:r>
      <w:r>
        <w:t>huge problem.  But the employer of Mr Clark shows that depending on the government service is not necessary at all the time. If it is not the next level in community engagement th</w:t>
      </w:r>
      <w:r w:rsidR="00E00729">
        <w:t>e</w:t>
      </w:r>
      <w:r>
        <w:t>n what is</w:t>
      </w:r>
      <w:r w:rsidR="000D113A">
        <w:t xml:space="preserve">? Another important way in which </w:t>
      </w:r>
      <w:r w:rsidR="000D113A">
        <w:lastRenderedPageBreak/>
        <w:t>community engagement reach the next level because of the employer is that the employees of a factory can work in collaboration with the fire and rescue authority to make sure that all the people who are in need will have the service</w:t>
      </w:r>
      <w:r w:rsidR="00A75514">
        <w:t xml:space="preserve"> </w:t>
      </w:r>
      <w:r w:rsidR="00A75514" w:rsidRPr="00A75514">
        <w:t>(Evans, 2017)</w:t>
      </w:r>
      <w:r w:rsidR="000D113A">
        <w:t>. This is how the employer make</w:t>
      </w:r>
      <w:r w:rsidR="00E00729">
        <w:t>s</w:t>
      </w:r>
      <w:r w:rsidR="000D113A">
        <w:t xml:space="preserve"> sure that community engagement reach</w:t>
      </w:r>
      <w:r w:rsidR="00E00729">
        <w:t>es</w:t>
      </w:r>
      <w:r w:rsidR="000D113A">
        <w:t xml:space="preserve"> the next level. </w:t>
      </w:r>
    </w:p>
    <w:p w14:paraId="338F891C" w14:textId="77777777" w:rsidR="00E00729" w:rsidRDefault="00E00729"/>
    <w:p w14:paraId="248BC998" w14:textId="77777777" w:rsidR="00E00729" w:rsidRDefault="00E00729"/>
    <w:p w14:paraId="21C19E91" w14:textId="77777777" w:rsidR="00E00729" w:rsidRDefault="00E00729"/>
    <w:p w14:paraId="1BECEC0E" w14:textId="77777777" w:rsidR="00E00729" w:rsidRDefault="00E00729"/>
    <w:p w14:paraId="6B28A495" w14:textId="77777777" w:rsidR="00E00729" w:rsidRDefault="00E00729"/>
    <w:p w14:paraId="113EDD9F" w14:textId="77777777" w:rsidR="00E00729" w:rsidRDefault="00E00729"/>
    <w:p w14:paraId="33C8C90C" w14:textId="77777777" w:rsidR="00E00729" w:rsidRDefault="00E00729"/>
    <w:p w14:paraId="38D5923F" w14:textId="77777777" w:rsidR="00E00729" w:rsidRDefault="00E00729"/>
    <w:p w14:paraId="74586043" w14:textId="77777777" w:rsidR="00E00729" w:rsidRDefault="00E00729"/>
    <w:p w14:paraId="7D71E153" w14:textId="77777777" w:rsidR="00E00729" w:rsidRDefault="00E00729"/>
    <w:p w14:paraId="14DE1814" w14:textId="77777777" w:rsidR="00E00729" w:rsidRDefault="00E00729"/>
    <w:p w14:paraId="274E7289" w14:textId="77777777" w:rsidR="00E00729" w:rsidRDefault="00E00729"/>
    <w:p w14:paraId="078CBF40" w14:textId="77777777" w:rsidR="00E00729" w:rsidRDefault="00E00729"/>
    <w:p w14:paraId="3D91A6AF" w14:textId="77777777" w:rsidR="00E00729" w:rsidRDefault="00E00729"/>
    <w:p w14:paraId="17B45667" w14:textId="77777777" w:rsidR="00E00729" w:rsidRDefault="00E00729"/>
    <w:p w14:paraId="7C636430" w14:textId="77777777" w:rsidR="00E00729" w:rsidRDefault="00E00729"/>
    <w:p w14:paraId="0C077D2D" w14:textId="77777777" w:rsidR="00E00729" w:rsidRDefault="00E00729"/>
    <w:p w14:paraId="1659E504" w14:textId="77777777" w:rsidR="00E00729" w:rsidRDefault="00E00729"/>
    <w:p w14:paraId="11B390BD" w14:textId="77777777" w:rsidR="00E00729" w:rsidRDefault="00E00729"/>
    <w:p w14:paraId="30C464AC" w14:textId="77777777" w:rsidR="00E00729" w:rsidRDefault="00E00729"/>
    <w:p w14:paraId="7956F54B" w14:textId="77777777" w:rsidR="00E00729" w:rsidRDefault="00E00729"/>
    <w:p w14:paraId="180D4425" w14:textId="77777777" w:rsidR="000D113A" w:rsidRDefault="00E00729" w:rsidP="00E00729">
      <w:pPr>
        <w:pStyle w:val="Heading1"/>
      </w:pPr>
      <w:bookmarkStart w:id="2" w:name="_Toc85470718"/>
      <w:r>
        <w:lastRenderedPageBreak/>
        <w:t>Conclusion</w:t>
      </w:r>
      <w:bookmarkEnd w:id="2"/>
    </w:p>
    <w:p w14:paraId="4FFC09B2" w14:textId="77777777" w:rsidR="000D113A" w:rsidRDefault="000D113A">
      <w:r>
        <w:t xml:space="preserve">Community engagement has the objective to ensure the welfare of the community. This is important to ensure that people in the community will have the chance to take support, this will increase integration among the people and help to motivate people to provide support to one another. Having transferable skills are important in community engagement because with that this type of service cannot be provided to the people. The transferable skills which are evident in </w:t>
      </w:r>
      <w:r w:rsidR="00E00729">
        <w:t xml:space="preserve">the </w:t>
      </w:r>
      <w:r>
        <w:t>case include communication, teamwork, problem-solving and leadership. Without the use of these skills</w:t>
      </w:r>
      <w:r w:rsidR="00E00729">
        <w:t>,</w:t>
      </w:r>
      <w:r>
        <w:t xml:space="preserve"> the team might not be able to provide service. The employer shows that the general employee of a factory can provide community engagement service and motivate others. This is the thing </w:t>
      </w:r>
      <w:r w:rsidR="00E00729">
        <w:t>that</w:t>
      </w:r>
      <w:r>
        <w:t xml:space="preserve"> </w:t>
      </w:r>
      <w:r w:rsidR="00803C40">
        <w:t>make</w:t>
      </w:r>
      <w:r w:rsidR="00E00729">
        <w:t>s</w:t>
      </w:r>
      <w:r w:rsidR="00803C40">
        <w:t xml:space="preserve"> sure that community engagement will be reached to the next level. </w:t>
      </w:r>
      <w:r>
        <w:t xml:space="preserve">      </w:t>
      </w:r>
    </w:p>
    <w:p w14:paraId="130CCBBB" w14:textId="77777777" w:rsidR="00E00729" w:rsidRDefault="00E00729"/>
    <w:p w14:paraId="6CF08525" w14:textId="77777777" w:rsidR="00E00729" w:rsidRDefault="00E00729"/>
    <w:p w14:paraId="6230CFD4" w14:textId="77777777" w:rsidR="00E00729" w:rsidRDefault="00E00729"/>
    <w:p w14:paraId="05A1EDBB" w14:textId="77777777" w:rsidR="00E00729" w:rsidRDefault="00E00729"/>
    <w:p w14:paraId="3029E01F" w14:textId="77777777" w:rsidR="00E00729" w:rsidRDefault="00E00729"/>
    <w:p w14:paraId="5187E026" w14:textId="77777777" w:rsidR="00E00729" w:rsidRDefault="00E00729"/>
    <w:p w14:paraId="64AEF84E" w14:textId="77777777" w:rsidR="00E00729" w:rsidRDefault="00E00729"/>
    <w:p w14:paraId="2778B4C2" w14:textId="77777777" w:rsidR="00E00729" w:rsidRDefault="00E00729"/>
    <w:p w14:paraId="5CBB49F2" w14:textId="77777777" w:rsidR="00E00729" w:rsidRDefault="00E00729"/>
    <w:p w14:paraId="1810B018" w14:textId="77777777" w:rsidR="00E00729" w:rsidRDefault="00E00729"/>
    <w:p w14:paraId="534040C4" w14:textId="77777777" w:rsidR="00E00729" w:rsidRDefault="00E00729"/>
    <w:p w14:paraId="630173F2" w14:textId="77777777" w:rsidR="00E00729" w:rsidRDefault="00E00729"/>
    <w:p w14:paraId="49C9F576" w14:textId="77777777" w:rsidR="00E00729" w:rsidRDefault="00E00729"/>
    <w:p w14:paraId="63DA94F2" w14:textId="77777777" w:rsidR="00E00729" w:rsidRDefault="00E00729"/>
    <w:p w14:paraId="5390E307" w14:textId="77777777" w:rsidR="00E00729" w:rsidRDefault="00E00729"/>
    <w:p w14:paraId="78625895" w14:textId="77777777" w:rsidR="00E00729" w:rsidRDefault="00E00729"/>
    <w:p w14:paraId="6FED528C" w14:textId="77777777" w:rsidR="00A75514" w:rsidRDefault="00A75514" w:rsidP="00E00729">
      <w:pPr>
        <w:pStyle w:val="Heading1"/>
      </w:pPr>
      <w:bookmarkStart w:id="3" w:name="_Toc85470719"/>
      <w:r>
        <w:lastRenderedPageBreak/>
        <w:t>References</w:t>
      </w:r>
      <w:bookmarkEnd w:id="3"/>
    </w:p>
    <w:p w14:paraId="7E84BFF7" w14:textId="77777777" w:rsidR="00A75514" w:rsidRDefault="00A75514" w:rsidP="00E00729">
      <w:r>
        <w:t xml:space="preserve">Aschwanden, C. (2017). Transferable Skills And Portable Careers. </w:t>
      </w:r>
      <w:r>
        <w:rPr>
          <w:i/>
          <w:iCs/>
        </w:rPr>
        <w:t>Science</w:t>
      </w:r>
      <w:r>
        <w:t>.</w:t>
      </w:r>
    </w:p>
    <w:p w14:paraId="45C5515A" w14:textId="77777777" w:rsidR="00A75514" w:rsidRDefault="00A75514" w:rsidP="00E00729">
      <w:r>
        <w:t xml:space="preserve">BBC (2021). Community firefighter in East Yorkshire recognised by Queen. </w:t>
      </w:r>
      <w:r>
        <w:rPr>
          <w:i/>
          <w:iCs/>
        </w:rPr>
        <w:t>BBC News</w:t>
      </w:r>
      <w:r>
        <w:t xml:space="preserve">. [online] 12 Aug. Available at: </w:t>
      </w:r>
      <w:hyperlink r:id="rId7" w:history="1">
        <w:r>
          <w:t>https://www.bbc.com/news/uk-england-humber-58188178</w:t>
        </w:r>
      </w:hyperlink>
      <w:r>
        <w:t xml:space="preserve"> [Accessed 18 Oct. 2021].</w:t>
      </w:r>
    </w:p>
    <w:p w14:paraId="3DCED5D1" w14:textId="77777777" w:rsidR="00A75514" w:rsidRDefault="00A75514" w:rsidP="00E00729">
      <w:r>
        <w:t xml:space="preserve">Coulter, B. (2018). </w:t>
      </w:r>
      <w:r>
        <w:rPr>
          <w:i/>
          <w:iCs/>
        </w:rPr>
        <w:t>Building kids’ citizenship through community engagement</w:t>
      </w:r>
      <w:r>
        <w:t>. New York, Ny: Peter Lang Publishing, Inc.</w:t>
      </w:r>
    </w:p>
    <w:p w14:paraId="42ED90E3" w14:textId="77777777" w:rsidR="00A75514" w:rsidRDefault="00A75514" w:rsidP="00E00729">
      <w:r>
        <w:t xml:space="preserve">Deans, T., Roswell and Wurr, A.J. (2010). </w:t>
      </w:r>
      <w:r>
        <w:rPr>
          <w:i/>
          <w:iCs/>
        </w:rPr>
        <w:t>Writing and community engagement : a critical sourcebook</w:t>
      </w:r>
      <w:r>
        <w:t>. Boston, Ma: Bedford/St. Martin’s.</w:t>
      </w:r>
    </w:p>
    <w:p w14:paraId="2EDC25C3" w14:textId="77777777" w:rsidR="00A75514" w:rsidRDefault="00A75514" w:rsidP="00E00729">
      <w:r>
        <w:t xml:space="preserve">Evans, H.K. (2017). </w:t>
      </w:r>
      <w:r>
        <w:rPr>
          <w:i/>
          <w:iCs/>
        </w:rPr>
        <w:t>Community engagement findings across the disciplines : applying course content to community needs</w:t>
      </w:r>
      <w:r>
        <w:t>. Lanham, Maryland: Rowman &amp; Littlefield.</w:t>
      </w:r>
    </w:p>
    <w:p w14:paraId="4EA186C0" w14:textId="77777777" w:rsidR="00A75514" w:rsidRDefault="00A75514" w:rsidP="00E00729">
      <w:r>
        <w:t xml:space="preserve">Fitzgerald, H.E. and Primavera, J. (2013). </w:t>
      </w:r>
      <w:r>
        <w:rPr>
          <w:i/>
          <w:iCs/>
        </w:rPr>
        <w:t>Going public : civic and community engagement</w:t>
      </w:r>
      <w:r>
        <w:t>. East Lansing: Michigan State University Press.</w:t>
      </w:r>
    </w:p>
    <w:p w14:paraId="25BB5695" w14:textId="77777777" w:rsidR="00A75514" w:rsidRDefault="00A75514" w:rsidP="00E00729">
      <w:r>
        <w:t xml:space="preserve">Gritten, A. (2015). Motivation as a Transferable Skill. </w:t>
      </w:r>
      <w:r>
        <w:rPr>
          <w:i/>
          <w:iCs/>
        </w:rPr>
        <w:t>Empirical Musicology Review</w:t>
      </w:r>
      <w:r>
        <w:t>, 10(1-2), p.23.</w:t>
      </w:r>
    </w:p>
    <w:p w14:paraId="1EF55C03" w14:textId="77777777" w:rsidR="00A75514" w:rsidRDefault="00A75514" w:rsidP="00E00729">
      <w:proofErr w:type="spellStart"/>
      <w:r>
        <w:t>Sjölin</w:t>
      </w:r>
      <w:proofErr w:type="spellEnd"/>
      <w:r>
        <w:t xml:space="preserve">, V. (2018). Introduction - the value of effective communication. </w:t>
      </w:r>
      <w:r>
        <w:rPr>
          <w:i/>
          <w:iCs/>
        </w:rPr>
        <w:t>Fire and Materials</w:t>
      </w:r>
      <w:r>
        <w:t>, 13(1), pp.277–282.</w:t>
      </w:r>
    </w:p>
    <w:p w14:paraId="45D79650" w14:textId="77777777" w:rsidR="00A75514" w:rsidRDefault="00A75514" w:rsidP="00E00729">
      <w:r>
        <w:t xml:space="preserve">Watson, H.R. and Burr, S. (2018). Twelve tips for teaching twelve transferable skills. </w:t>
      </w:r>
      <w:proofErr w:type="spellStart"/>
      <w:r>
        <w:rPr>
          <w:i/>
          <w:iCs/>
        </w:rPr>
        <w:t>MedEdPublish</w:t>
      </w:r>
      <w:proofErr w:type="spellEnd"/>
      <w:r>
        <w:t>, 7(3).</w:t>
      </w:r>
    </w:p>
    <w:p w14:paraId="7AAE4FE1" w14:textId="77777777" w:rsidR="00A75514" w:rsidRDefault="00A75514" w:rsidP="00E00729">
      <w:r>
        <w:t xml:space="preserve">Whittle, S.R. and Eaton, D.G.M. (2018). Attitudes towards transferable skills in medical undergraduates. </w:t>
      </w:r>
      <w:r>
        <w:rPr>
          <w:i/>
          <w:iCs/>
        </w:rPr>
        <w:t>Medical Education</w:t>
      </w:r>
      <w:r>
        <w:t>, 35(2), pp.148–153.</w:t>
      </w:r>
    </w:p>
    <w:p w14:paraId="0C3B5C42" w14:textId="77777777" w:rsidR="00A75514" w:rsidRDefault="00A75514" w:rsidP="00E00729">
      <w:r>
        <w:t xml:space="preserve"> </w:t>
      </w:r>
    </w:p>
    <w:p w14:paraId="5C4F0AA5" w14:textId="77777777" w:rsidR="00A75514" w:rsidRDefault="00A75514"/>
    <w:p w14:paraId="5F583E65" w14:textId="77777777" w:rsidR="00234F6E" w:rsidRDefault="000D113A">
      <w:r>
        <w:t xml:space="preserve">  </w:t>
      </w:r>
      <w:r w:rsidR="00234F6E">
        <w:t xml:space="preserve">       </w:t>
      </w:r>
    </w:p>
    <w:p w14:paraId="575E9C74" w14:textId="77777777" w:rsidR="00CC1E31" w:rsidRDefault="00234F6E">
      <w:r>
        <w:t xml:space="preserve">  </w:t>
      </w:r>
      <w:r w:rsidR="00252F08">
        <w:t xml:space="preserve">       </w:t>
      </w:r>
      <w:r w:rsidR="00DA6D7D">
        <w:t xml:space="preserve">             </w:t>
      </w:r>
      <w:r w:rsidR="009C0A2C">
        <w:t xml:space="preserve">    </w:t>
      </w:r>
      <w:r w:rsidR="00CE471D">
        <w:t xml:space="preserve">     </w:t>
      </w:r>
      <w:r w:rsidR="00CC1E31">
        <w:t xml:space="preserve"> </w:t>
      </w:r>
    </w:p>
    <w:p w14:paraId="63A50054" w14:textId="77777777" w:rsidR="00316793" w:rsidRDefault="00CC1E31">
      <w:r>
        <w:t xml:space="preserve">  </w:t>
      </w:r>
      <w:r w:rsidR="00362671">
        <w:t xml:space="preserve">       </w:t>
      </w:r>
      <w:r w:rsidR="00316793">
        <w:t xml:space="preserve">   </w:t>
      </w:r>
    </w:p>
    <w:p w14:paraId="4C0A8FD3" w14:textId="77777777" w:rsidR="00DB6131" w:rsidRDefault="00316793">
      <w:r>
        <w:t xml:space="preserve"> </w:t>
      </w:r>
      <w:r w:rsidR="00D63D4F">
        <w:t xml:space="preserve">    </w:t>
      </w:r>
      <w:r w:rsidR="00DB6131">
        <w:t xml:space="preserve">        </w:t>
      </w:r>
    </w:p>
    <w:p w14:paraId="4C3C6E6A" w14:textId="77777777" w:rsidR="00474DCE" w:rsidRDefault="00DB6131">
      <w:r>
        <w:t xml:space="preserve">  </w:t>
      </w:r>
    </w:p>
    <w:sectPr w:rsidR="00474DC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492F2" w14:textId="77777777" w:rsidR="003D6EF4" w:rsidRDefault="003D6EF4" w:rsidP="00E00729">
      <w:pPr>
        <w:spacing w:after="0" w:line="240" w:lineRule="auto"/>
      </w:pPr>
      <w:r>
        <w:separator/>
      </w:r>
    </w:p>
  </w:endnote>
  <w:endnote w:type="continuationSeparator" w:id="0">
    <w:p w14:paraId="495AFC71" w14:textId="77777777" w:rsidR="003D6EF4" w:rsidRDefault="003D6EF4" w:rsidP="00E00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3219454"/>
      <w:docPartObj>
        <w:docPartGallery w:val="Page Numbers (Bottom of Page)"/>
        <w:docPartUnique/>
      </w:docPartObj>
    </w:sdtPr>
    <w:sdtEndPr>
      <w:rPr>
        <w:noProof/>
      </w:rPr>
    </w:sdtEndPr>
    <w:sdtContent>
      <w:p w14:paraId="08D7C7BE" w14:textId="77777777" w:rsidR="00E00729" w:rsidRDefault="00E00729">
        <w:pPr>
          <w:pStyle w:val="Footer"/>
          <w:jc w:val="center"/>
        </w:pPr>
        <w:r>
          <w:fldChar w:fldCharType="begin"/>
        </w:r>
        <w:r>
          <w:instrText xml:space="preserve"> PAGE   \* MERGEFORMAT </w:instrText>
        </w:r>
        <w:r>
          <w:fldChar w:fldCharType="separate"/>
        </w:r>
        <w:r w:rsidR="009D3514">
          <w:rPr>
            <w:noProof/>
          </w:rPr>
          <w:t>1</w:t>
        </w:r>
        <w:r>
          <w:rPr>
            <w:noProof/>
          </w:rPr>
          <w:fldChar w:fldCharType="end"/>
        </w:r>
      </w:p>
    </w:sdtContent>
  </w:sdt>
  <w:p w14:paraId="59168AC1" w14:textId="77777777" w:rsidR="00E00729" w:rsidRDefault="00E00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2B5CA" w14:textId="77777777" w:rsidR="003D6EF4" w:rsidRDefault="003D6EF4" w:rsidP="00E00729">
      <w:pPr>
        <w:spacing w:after="0" w:line="240" w:lineRule="auto"/>
      </w:pPr>
      <w:r>
        <w:separator/>
      </w:r>
    </w:p>
  </w:footnote>
  <w:footnote w:type="continuationSeparator" w:id="0">
    <w:p w14:paraId="50AA1EE4" w14:textId="77777777" w:rsidR="003D6EF4" w:rsidRDefault="003D6EF4" w:rsidP="00E007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wsrQ0MrUEMo0NjZR0lIJTi4sz8/NACoxqAa9v0ZYsAAAA"/>
  </w:docVars>
  <w:rsids>
    <w:rsidRoot w:val="00B05BA8"/>
    <w:rsid w:val="000D113A"/>
    <w:rsid w:val="00234F6E"/>
    <w:rsid w:val="00252F08"/>
    <w:rsid w:val="002C73E3"/>
    <w:rsid w:val="00316793"/>
    <w:rsid w:val="00362671"/>
    <w:rsid w:val="003D6EF4"/>
    <w:rsid w:val="003F6104"/>
    <w:rsid w:val="00474DCE"/>
    <w:rsid w:val="0053159B"/>
    <w:rsid w:val="005B6207"/>
    <w:rsid w:val="006A6FE1"/>
    <w:rsid w:val="0073384B"/>
    <w:rsid w:val="007C2F1E"/>
    <w:rsid w:val="00803C40"/>
    <w:rsid w:val="00834D5B"/>
    <w:rsid w:val="009C0A2C"/>
    <w:rsid w:val="009D3514"/>
    <w:rsid w:val="00A75514"/>
    <w:rsid w:val="00B05BA8"/>
    <w:rsid w:val="00CC1E31"/>
    <w:rsid w:val="00CE471D"/>
    <w:rsid w:val="00CF054E"/>
    <w:rsid w:val="00D63D4F"/>
    <w:rsid w:val="00DA6D7D"/>
    <w:rsid w:val="00DB0799"/>
    <w:rsid w:val="00DB3689"/>
    <w:rsid w:val="00DB6131"/>
    <w:rsid w:val="00E00729"/>
    <w:rsid w:val="00FC0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89408"/>
  <w15:chartTrackingRefBased/>
  <w15:docId w15:val="{AFA7E636-183A-46F0-B156-3799D3A23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729"/>
    <w:pPr>
      <w:spacing w:line="360" w:lineRule="auto"/>
      <w:jc w:val="both"/>
    </w:pPr>
    <w:rPr>
      <w:rFonts w:ascii="Arial" w:hAnsi="Arial"/>
      <w:lang w:val="en-GB"/>
    </w:rPr>
  </w:style>
  <w:style w:type="paragraph" w:styleId="Heading1">
    <w:name w:val="heading 1"/>
    <w:basedOn w:val="Normal"/>
    <w:next w:val="Normal"/>
    <w:link w:val="Heading1Char"/>
    <w:uiPriority w:val="9"/>
    <w:qFormat/>
    <w:rsid w:val="005B620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5B620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6A6FE1"/>
    <w:pPr>
      <w:keepNext/>
      <w:keepLines/>
      <w:spacing w:before="40" w:after="0"/>
      <w:outlineLvl w:val="2"/>
    </w:pPr>
    <w:rPr>
      <w:rFonts w:eastAsiaTheme="majorEastAsia" w:cstheme="majorBidi"/>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20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5B620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6A6FE1"/>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6A6FE1"/>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6A6FE1"/>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E007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729"/>
    <w:rPr>
      <w:rFonts w:ascii="Arial" w:hAnsi="Arial"/>
      <w:lang w:val="en-GB"/>
    </w:rPr>
  </w:style>
  <w:style w:type="paragraph" w:styleId="Footer">
    <w:name w:val="footer"/>
    <w:basedOn w:val="Normal"/>
    <w:link w:val="FooterChar"/>
    <w:uiPriority w:val="99"/>
    <w:unhideWhenUsed/>
    <w:rsid w:val="00E007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729"/>
    <w:rPr>
      <w:rFonts w:ascii="Arial" w:hAnsi="Arial"/>
      <w:lang w:val="en-GB"/>
    </w:rPr>
  </w:style>
  <w:style w:type="paragraph" w:styleId="TOCHeading">
    <w:name w:val="TOC Heading"/>
    <w:basedOn w:val="Heading1"/>
    <w:next w:val="Normal"/>
    <w:uiPriority w:val="39"/>
    <w:unhideWhenUsed/>
    <w:qFormat/>
    <w:rsid w:val="00E00729"/>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E00729"/>
    <w:pPr>
      <w:spacing w:after="100"/>
    </w:pPr>
  </w:style>
  <w:style w:type="character" w:styleId="Hyperlink">
    <w:name w:val="Hyperlink"/>
    <w:basedOn w:val="DefaultParagraphFont"/>
    <w:uiPriority w:val="99"/>
    <w:unhideWhenUsed/>
    <w:rsid w:val="00E00729"/>
    <w:rPr>
      <w:color w:val="0563C1" w:themeColor="hyperlink"/>
      <w:u w:val="single"/>
    </w:rPr>
  </w:style>
  <w:style w:type="table" w:customStyle="1" w:styleId="TableGrid">
    <w:name w:val="TableGrid"/>
    <w:rsid w:val="003F6104"/>
    <w:pPr>
      <w:spacing w:after="0" w:line="240" w:lineRule="auto"/>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94103">
      <w:bodyDiv w:val="1"/>
      <w:marLeft w:val="0"/>
      <w:marRight w:val="0"/>
      <w:marTop w:val="0"/>
      <w:marBottom w:val="0"/>
      <w:divBdr>
        <w:top w:val="none" w:sz="0" w:space="0" w:color="auto"/>
        <w:left w:val="none" w:sz="0" w:space="0" w:color="auto"/>
        <w:bottom w:val="none" w:sz="0" w:space="0" w:color="auto"/>
        <w:right w:val="none" w:sz="0" w:space="0" w:color="auto"/>
      </w:divBdr>
    </w:div>
    <w:div w:id="781537763">
      <w:bodyDiv w:val="1"/>
      <w:marLeft w:val="0"/>
      <w:marRight w:val="0"/>
      <w:marTop w:val="0"/>
      <w:marBottom w:val="0"/>
      <w:divBdr>
        <w:top w:val="none" w:sz="0" w:space="0" w:color="auto"/>
        <w:left w:val="none" w:sz="0" w:space="0" w:color="auto"/>
        <w:bottom w:val="none" w:sz="0" w:space="0" w:color="auto"/>
        <w:right w:val="none" w:sz="0" w:space="0" w:color="auto"/>
      </w:divBdr>
      <w:divsChild>
        <w:div w:id="1682969926">
          <w:marLeft w:val="0"/>
          <w:marRight w:val="0"/>
          <w:marTop w:val="0"/>
          <w:marBottom w:val="0"/>
          <w:divBdr>
            <w:top w:val="none" w:sz="0" w:space="0" w:color="auto"/>
            <w:left w:val="none" w:sz="0" w:space="0" w:color="auto"/>
            <w:bottom w:val="none" w:sz="0" w:space="0" w:color="auto"/>
            <w:right w:val="none" w:sz="0" w:space="0" w:color="auto"/>
          </w:divBdr>
        </w:div>
      </w:divsChild>
    </w:div>
    <w:div w:id="1791700243">
      <w:bodyDiv w:val="1"/>
      <w:marLeft w:val="0"/>
      <w:marRight w:val="0"/>
      <w:marTop w:val="0"/>
      <w:marBottom w:val="0"/>
      <w:divBdr>
        <w:top w:val="none" w:sz="0" w:space="0" w:color="auto"/>
        <w:left w:val="none" w:sz="0" w:space="0" w:color="auto"/>
        <w:bottom w:val="none" w:sz="0" w:space="0" w:color="auto"/>
        <w:right w:val="none" w:sz="0" w:space="0" w:color="auto"/>
      </w:divBdr>
    </w:div>
    <w:div w:id="2089040012">
      <w:bodyDiv w:val="1"/>
      <w:marLeft w:val="0"/>
      <w:marRight w:val="0"/>
      <w:marTop w:val="0"/>
      <w:marBottom w:val="0"/>
      <w:divBdr>
        <w:top w:val="none" w:sz="0" w:space="0" w:color="auto"/>
        <w:left w:val="none" w:sz="0" w:space="0" w:color="auto"/>
        <w:bottom w:val="none" w:sz="0" w:space="0" w:color="auto"/>
        <w:right w:val="none" w:sz="0" w:space="0" w:color="auto"/>
      </w:divBdr>
      <w:divsChild>
        <w:div w:id="12505765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bc.com/news/uk-england-humber-5818817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E266BD-296E-4EDD-A5F9-FE1FC935A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1921</Words>
  <Characters>10951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Cristina Solomon</cp:lastModifiedBy>
  <cp:revision>10</cp:revision>
  <dcterms:created xsi:type="dcterms:W3CDTF">2021-10-18T12:12:00Z</dcterms:created>
  <dcterms:modified xsi:type="dcterms:W3CDTF">2021-10-18T12:41:00Z</dcterms:modified>
</cp:coreProperties>
</file>