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12B6" w:rsidRDefault="00F112B6" w:rsidP="00F112B6">
      <w:pPr>
        <w:spacing w:before="100" w:beforeAutospacing="1" w:after="100" w:afterAutospacing="1" w:line="240" w:lineRule="auto"/>
        <w:jc w:val="center"/>
        <w:rPr>
          <w:rFonts w:eastAsia="Times New Roman" w:cs="Times New Roman"/>
          <w:b/>
          <w:i/>
          <w:sz w:val="40"/>
          <w:szCs w:val="24"/>
          <w:u w:val="single"/>
          <w:lang w:eastAsia="en-GB"/>
        </w:rPr>
      </w:pPr>
      <w:r>
        <w:rPr>
          <w:rFonts w:eastAsia="Times New Roman" w:cs="Times New Roman"/>
          <w:b/>
          <w:sz w:val="40"/>
          <w:szCs w:val="24"/>
          <w:u w:val="single"/>
          <w:lang w:eastAsia="en-GB"/>
        </w:rPr>
        <w:t>Materiality and Household Archaeology</w:t>
      </w:r>
      <w:r w:rsidR="002F32B2">
        <w:rPr>
          <w:rFonts w:eastAsia="Times New Roman" w:cs="Times New Roman"/>
          <w:b/>
          <w:sz w:val="40"/>
          <w:szCs w:val="24"/>
          <w:u w:val="single"/>
          <w:lang w:eastAsia="en-GB"/>
        </w:rPr>
        <w:t xml:space="preserve"> in an Urban Setting</w:t>
      </w:r>
      <w:r>
        <w:rPr>
          <w:rFonts w:eastAsia="Times New Roman" w:cs="Times New Roman"/>
          <w:b/>
          <w:sz w:val="40"/>
          <w:szCs w:val="24"/>
          <w:u w:val="single"/>
          <w:lang w:eastAsia="en-GB"/>
        </w:rPr>
        <w:t>: Kalavasos</w:t>
      </w:r>
      <w:r>
        <w:rPr>
          <w:rFonts w:eastAsia="Times New Roman" w:cs="Times New Roman"/>
          <w:b/>
          <w:i/>
          <w:sz w:val="40"/>
          <w:szCs w:val="24"/>
          <w:u w:val="single"/>
          <w:lang w:eastAsia="en-GB"/>
        </w:rPr>
        <w:t xml:space="preserve"> Ayios Dhimitrios</w:t>
      </w:r>
    </w:p>
    <w:p w:rsidR="0041175C" w:rsidRDefault="0041175C" w:rsidP="00F112B6">
      <w:pPr>
        <w:spacing w:before="100" w:beforeAutospacing="1" w:after="100" w:afterAutospacing="1" w:line="240" w:lineRule="auto"/>
        <w:jc w:val="center"/>
        <w:rPr>
          <w:rFonts w:eastAsia="Times New Roman" w:cs="Times New Roman"/>
          <w:sz w:val="24"/>
          <w:szCs w:val="24"/>
          <w:lang w:eastAsia="en-GB"/>
        </w:rPr>
      </w:pPr>
    </w:p>
    <w:p w:rsidR="000372CF" w:rsidRDefault="0041175C" w:rsidP="000372CF">
      <w:pPr>
        <w:rPr>
          <w:sz w:val="24"/>
        </w:rPr>
      </w:pPr>
      <w:r>
        <w:rPr>
          <w:sz w:val="24"/>
        </w:rPr>
        <w:t xml:space="preserve">For my case study, I have chosen to examine materiality in conjunction with the site of Kalavasos </w:t>
      </w:r>
      <w:r>
        <w:rPr>
          <w:i/>
          <w:sz w:val="24"/>
        </w:rPr>
        <w:t>Ayios Dhimitrios</w:t>
      </w:r>
      <w:r>
        <w:rPr>
          <w:sz w:val="24"/>
        </w:rPr>
        <w:t xml:space="preserve"> in the Vasilikos River valley on Cyprus</w:t>
      </w:r>
      <w:r>
        <w:rPr>
          <w:rStyle w:val="FootnoteReference"/>
          <w:sz w:val="24"/>
        </w:rPr>
        <w:footnoteReference w:id="1"/>
      </w:r>
      <w:r>
        <w:rPr>
          <w:sz w:val="24"/>
        </w:rPr>
        <w:t>.</w:t>
      </w:r>
      <w:r w:rsidR="00E80CA4">
        <w:rPr>
          <w:sz w:val="24"/>
        </w:rPr>
        <w:t xml:space="preserve"> </w:t>
      </w:r>
      <w:r w:rsidR="000372CF">
        <w:rPr>
          <w:sz w:val="24"/>
        </w:rPr>
        <w:t>The site dates from the Late Cypriot (LC) II Period (c.1450-1200BCE), and seems to have been abandoned in Late Cypriot IIC</w:t>
      </w:r>
      <w:r w:rsidR="000372CF">
        <w:rPr>
          <w:rStyle w:val="FootnoteReference"/>
          <w:sz w:val="24"/>
        </w:rPr>
        <w:footnoteReference w:id="2"/>
      </w:r>
      <w:r w:rsidR="000372CF">
        <w:rPr>
          <w:sz w:val="24"/>
        </w:rPr>
        <w:t>. Fisher et al. report that the site was originally used as a cemetery in LC IIA: 1, but more “extensive construction” took place during LC IIA: 2 and LC IIB</w:t>
      </w:r>
      <w:r w:rsidR="000372CF">
        <w:rPr>
          <w:rStyle w:val="FootnoteReference"/>
          <w:sz w:val="24"/>
        </w:rPr>
        <w:footnoteReference w:id="3"/>
      </w:r>
      <w:r w:rsidR="000372CF">
        <w:rPr>
          <w:sz w:val="24"/>
        </w:rPr>
        <w:t xml:space="preserve">. There is no evidence for substantial occupation either before or after the Late Bronze Age, which has made the identification of LC II artefacts and buildings at Kalavasos </w:t>
      </w:r>
      <w:r w:rsidR="000372CF">
        <w:rPr>
          <w:i/>
          <w:sz w:val="24"/>
        </w:rPr>
        <w:t>Ayios Dhimitrios</w:t>
      </w:r>
      <w:r w:rsidR="000372CF">
        <w:rPr>
          <w:sz w:val="24"/>
        </w:rPr>
        <w:t xml:space="preserve"> significantly easier for excavators</w:t>
      </w:r>
      <w:r w:rsidR="000372CF">
        <w:rPr>
          <w:rStyle w:val="FootnoteReference"/>
          <w:sz w:val="24"/>
        </w:rPr>
        <w:footnoteReference w:id="4"/>
      </w:r>
      <w:r w:rsidR="000372CF">
        <w:rPr>
          <w:sz w:val="24"/>
        </w:rPr>
        <w:t>.</w:t>
      </w:r>
    </w:p>
    <w:p w:rsidR="00E501C7" w:rsidRDefault="00E501C7" w:rsidP="000372CF">
      <w:pPr>
        <w:rPr>
          <w:sz w:val="24"/>
        </w:rPr>
      </w:pPr>
    </w:p>
    <w:p w:rsidR="00E501C7" w:rsidRDefault="00E501C7" w:rsidP="00E501C7">
      <w:pPr>
        <w:rPr>
          <w:sz w:val="24"/>
        </w:rPr>
      </w:pPr>
      <w:r>
        <w:rPr>
          <w:rFonts w:asciiTheme="majorHAnsi" w:hAnsiTheme="majorHAnsi"/>
          <w:b/>
          <w:color w:val="7F7F7F" w:themeColor="text1" w:themeTint="80"/>
          <w:sz w:val="28"/>
        </w:rPr>
        <w:t>Household Archaeology</w:t>
      </w:r>
    </w:p>
    <w:p w:rsidR="0054222B" w:rsidRDefault="00E501C7" w:rsidP="000372CF">
      <w:pPr>
        <w:rPr>
          <w:sz w:val="24"/>
        </w:rPr>
      </w:pPr>
      <w:r>
        <w:rPr>
          <w:sz w:val="24"/>
        </w:rPr>
        <w:t>Wilk and Rathje tell us that the ‘household’ is comprised of three components:</w:t>
      </w:r>
    </w:p>
    <w:p w:rsidR="00E501C7" w:rsidRPr="00E501C7" w:rsidRDefault="00E501C7" w:rsidP="00E501C7">
      <w:pPr>
        <w:ind w:left="567" w:right="709"/>
        <w:rPr>
          <w:i/>
          <w:sz w:val="24"/>
        </w:rPr>
      </w:pPr>
      <w:r w:rsidRPr="00E501C7">
        <w:rPr>
          <w:i/>
          <w:sz w:val="24"/>
        </w:rPr>
        <w:t>“</w:t>
      </w:r>
      <w:r>
        <w:rPr>
          <w:i/>
          <w:sz w:val="24"/>
        </w:rPr>
        <w:t xml:space="preserve">(1) </w:t>
      </w:r>
      <w:r>
        <w:rPr>
          <w:sz w:val="24"/>
        </w:rPr>
        <w:t>Social</w:t>
      </w:r>
      <w:r>
        <w:rPr>
          <w:i/>
          <w:sz w:val="24"/>
        </w:rPr>
        <w:t>: the demographic unit, including the number and relationships of the members; (2)</w:t>
      </w:r>
      <w:r>
        <w:rPr>
          <w:sz w:val="24"/>
        </w:rPr>
        <w:t xml:space="preserve"> material:</w:t>
      </w:r>
      <w:r>
        <w:rPr>
          <w:i/>
          <w:sz w:val="24"/>
        </w:rPr>
        <w:t xml:space="preserve"> the dwelling, activity areas, and possessions; and (3)</w:t>
      </w:r>
      <w:r>
        <w:rPr>
          <w:sz w:val="24"/>
        </w:rPr>
        <w:t xml:space="preserve"> behavioural:</w:t>
      </w:r>
      <w:r>
        <w:rPr>
          <w:i/>
          <w:sz w:val="24"/>
        </w:rPr>
        <w:t xml:space="preserve"> the activities it performs.”</w:t>
      </w:r>
      <w:r>
        <w:rPr>
          <w:rStyle w:val="FootnoteReference"/>
          <w:i/>
          <w:sz w:val="24"/>
        </w:rPr>
        <w:footnoteReference w:id="5"/>
      </w:r>
    </w:p>
    <w:p w:rsidR="00E501C7" w:rsidRDefault="00E501C7" w:rsidP="000372CF">
      <w:pPr>
        <w:rPr>
          <w:sz w:val="24"/>
        </w:rPr>
      </w:pPr>
      <w:r>
        <w:rPr>
          <w:sz w:val="24"/>
        </w:rPr>
        <w:t>The first of these, the ‘social’ component, cannot easily be ascertained by archaeological methods</w:t>
      </w:r>
      <w:r w:rsidR="005B574E">
        <w:rPr>
          <w:rStyle w:val="FootnoteReference"/>
          <w:sz w:val="24"/>
        </w:rPr>
        <w:footnoteReference w:id="6"/>
      </w:r>
      <w:r>
        <w:rPr>
          <w:sz w:val="24"/>
        </w:rPr>
        <w:t>, except in circumstances where some form of familial record is in place, such as a census or writte</w:t>
      </w:r>
      <w:r w:rsidR="00853F13">
        <w:rPr>
          <w:sz w:val="24"/>
        </w:rPr>
        <w:t>n list of inhabitants</w:t>
      </w:r>
      <w:r w:rsidR="004A26D5">
        <w:rPr>
          <w:rStyle w:val="FootnoteReference"/>
          <w:sz w:val="24"/>
        </w:rPr>
        <w:footnoteReference w:id="7"/>
      </w:r>
      <w:r w:rsidR="00853F13">
        <w:rPr>
          <w:sz w:val="24"/>
        </w:rPr>
        <w:t>. So then, we look</w:t>
      </w:r>
      <w:r>
        <w:rPr>
          <w:sz w:val="24"/>
        </w:rPr>
        <w:t xml:space="preserve"> to the second </w:t>
      </w:r>
      <w:r w:rsidR="00853F13">
        <w:rPr>
          <w:sz w:val="24"/>
        </w:rPr>
        <w:t>component, ‘material’, which in turn can lead us to the final component of ‘behavioural’. By analysing the material culture left behind by the inhabitants, we are able to form a clearer picture of the activities performed in the space, and in some cases, by whom they were performed (see below for analysis of ‘gendered activit</w:t>
      </w:r>
      <w:r w:rsidR="008706CE">
        <w:rPr>
          <w:sz w:val="24"/>
        </w:rPr>
        <w:t>i</w:t>
      </w:r>
      <w:r w:rsidR="00853F13">
        <w:rPr>
          <w:sz w:val="24"/>
        </w:rPr>
        <w:t>es</w:t>
      </w:r>
      <w:r w:rsidR="008706CE">
        <w:rPr>
          <w:sz w:val="24"/>
        </w:rPr>
        <w:t xml:space="preserve"> and spaces</w:t>
      </w:r>
      <w:r w:rsidR="00853F13">
        <w:rPr>
          <w:sz w:val="24"/>
        </w:rPr>
        <w:t>’).</w:t>
      </w:r>
    </w:p>
    <w:p w:rsidR="005B574E" w:rsidRPr="00223E8A" w:rsidRDefault="005B574E" w:rsidP="000372CF">
      <w:pPr>
        <w:rPr>
          <w:sz w:val="24"/>
        </w:rPr>
      </w:pPr>
    </w:p>
    <w:p w:rsidR="000372CF" w:rsidRDefault="00947524">
      <w:pPr>
        <w:rPr>
          <w:sz w:val="24"/>
        </w:rPr>
      </w:pPr>
      <w:r>
        <w:rPr>
          <w:rFonts w:asciiTheme="majorHAnsi" w:hAnsiTheme="majorHAnsi"/>
          <w:b/>
          <w:color w:val="7F7F7F" w:themeColor="text1" w:themeTint="80"/>
          <w:sz w:val="28"/>
        </w:rPr>
        <w:t>Forms of Materiality</w:t>
      </w:r>
    </w:p>
    <w:p w:rsidR="00E80CA4" w:rsidRDefault="00E80CA4">
      <w:pPr>
        <w:rPr>
          <w:sz w:val="24"/>
        </w:rPr>
      </w:pPr>
      <w:r>
        <w:rPr>
          <w:sz w:val="24"/>
        </w:rPr>
        <w:t>I have chosen to apply the theoretic perspective of Materiality to this site, as I feel that this is an important method of gaining insight into the lives of those who used and owned the items left behind. As Steel tells us:</w:t>
      </w:r>
    </w:p>
    <w:p w:rsidR="00E80CA4" w:rsidRDefault="00E80CA4" w:rsidP="007C186B">
      <w:pPr>
        <w:ind w:left="567" w:right="709"/>
        <w:rPr>
          <w:i/>
          <w:sz w:val="24"/>
        </w:rPr>
      </w:pPr>
      <w:r w:rsidRPr="00E80CA4">
        <w:rPr>
          <w:i/>
          <w:sz w:val="24"/>
        </w:rPr>
        <w:t>“</w:t>
      </w:r>
      <w:r w:rsidR="007C186B" w:rsidRPr="007C186B">
        <w:rPr>
          <w:i/>
          <w:sz w:val="24"/>
        </w:rPr>
        <w:t>The only way archaeologists can know the inhabitants</w:t>
      </w:r>
      <w:r w:rsidR="00735580">
        <w:rPr>
          <w:i/>
          <w:sz w:val="24"/>
        </w:rPr>
        <w:t>…</w:t>
      </w:r>
      <w:r w:rsidR="007C186B" w:rsidRPr="007C186B">
        <w:rPr>
          <w:i/>
          <w:sz w:val="24"/>
        </w:rPr>
        <w:t xml:space="preserve"> is through their material world—the things</w:t>
      </w:r>
      <w:r w:rsidR="007C186B">
        <w:rPr>
          <w:i/>
          <w:sz w:val="24"/>
        </w:rPr>
        <w:t xml:space="preserve"> </w:t>
      </w:r>
      <w:r w:rsidR="007C186B" w:rsidRPr="007C186B">
        <w:rPr>
          <w:i/>
          <w:sz w:val="24"/>
        </w:rPr>
        <w:t>they made, used, and discarded on a daily basis.</w:t>
      </w:r>
      <w:r w:rsidR="007C186B">
        <w:rPr>
          <w:i/>
          <w:sz w:val="24"/>
        </w:rPr>
        <w:t xml:space="preserve"> </w:t>
      </w:r>
      <w:r w:rsidRPr="00E80CA4">
        <w:rPr>
          <w:i/>
          <w:sz w:val="24"/>
        </w:rPr>
        <w:t xml:space="preserve">Numerous studies of material </w:t>
      </w:r>
      <w:r w:rsidRPr="00E80CA4">
        <w:rPr>
          <w:i/>
          <w:sz w:val="24"/>
        </w:rPr>
        <w:lastRenderedPageBreak/>
        <w:t>culture have demonstrated the stuff of daily life to be instrumental in the (re)production of social worlds</w:t>
      </w:r>
      <w:r>
        <w:rPr>
          <w:i/>
          <w:sz w:val="24"/>
        </w:rPr>
        <w:t>.</w:t>
      </w:r>
      <w:r w:rsidRPr="00E80CA4">
        <w:rPr>
          <w:i/>
          <w:sz w:val="24"/>
        </w:rPr>
        <w:t>”</w:t>
      </w:r>
      <w:r>
        <w:rPr>
          <w:rStyle w:val="FootnoteReference"/>
          <w:i/>
          <w:sz w:val="24"/>
        </w:rPr>
        <w:footnoteReference w:id="8"/>
      </w:r>
    </w:p>
    <w:p w:rsidR="00AC2094" w:rsidRPr="00E80CA4" w:rsidRDefault="00AC2094" w:rsidP="007C186B">
      <w:pPr>
        <w:ind w:left="567" w:right="709"/>
        <w:rPr>
          <w:i/>
          <w:sz w:val="24"/>
        </w:rPr>
      </w:pPr>
    </w:p>
    <w:p w:rsidR="007C186B" w:rsidRDefault="008F6170">
      <w:pPr>
        <w:rPr>
          <w:sz w:val="24"/>
        </w:rPr>
      </w:pPr>
      <w:r>
        <w:rPr>
          <w:sz w:val="24"/>
        </w:rPr>
        <w:t>Th</w:t>
      </w:r>
      <w:r w:rsidR="00391A5A">
        <w:rPr>
          <w:sz w:val="24"/>
        </w:rPr>
        <w:t xml:space="preserve">e theoretical perspective </w:t>
      </w:r>
      <w:r>
        <w:rPr>
          <w:sz w:val="24"/>
        </w:rPr>
        <w:t xml:space="preserve">of materiality gives objects ‘social agency’, a concept explored by Latour </w:t>
      </w:r>
      <w:r w:rsidR="00391A5A">
        <w:rPr>
          <w:sz w:val="24"/>
        </w:rPr>
        <w:t>in the form of Actor-Network Theory. Latour suggests that object</w:t>
      </w:r>
      <w:r w:rsidR="00E95EBC">
        <w:rPr>
          <w:sz w:val="24"/>
        </w:rPr>
        <w:t>s can also be considered to be</w:t>
      </w:r>
      <w:r w:rsidR="00391A5A">
        <w:rPr>
          <w:sz w:val="24"/>
        </w:rPr>
        <w:t xml:space="preserve"> </w:t>
      </w:r>
      <w:r w:rsidR="00E95EBC">
        <w:rPr>
          <w:sz w:val="24"/>
        </w:rPr>
        <w:t>‘active agents’</w:t>
      </w:r>
      <w:r w:rsidR="00391A5A">
        <w:rPr>
          <w:sz w:val="24"/>
        </w:rPr>
        <w:t>, in t</w:t>
      </w:r>
      <w:r w:rsidR="00E06B70">
        <w:rPr>
          <w:sz w:val="24"/>
        </w:rPr>
        <w:t>hat they are part of a</w:t>
      </w:r>
      <w:r w:rsidR="00391A5A">
        <w:rPr>
          <w:sz w:val="24"/>
        </w:rPr>
        <w:t xml:space="preserve"> </w:t>
      </w:r>
      <w:r w:rsidR="004833E3">
        <w:rPr>
          <w:sz w:val="24"/>
        </w:rPr>
        <w:t xml:space="preserve">dialectic </w:t>
      </w:r>
      <w:r w:rsidR="00391A5A">
        <w:rPr>
          <w:sz w:val="24"/>
        </w:rPr>
        <w:t>relationship with humans</w:t>
      </w:r>
      <w:r w:rsidR="00E06B70">
        <w:rPr>
          <w:sz w:val="24"/>
        </w:rPr>
        <w:t>.</w:t>
      </w:r>
      <w:r w:rsidR="00391A5A">
        <w:rPr>
          <w:rStyle w:val="FootnoteReference"/>
          <w:sz w:val="24"/>
        </w:rPr>
        <w:footnoteReference w:id="9"/>
      </w:r>
      <w:r w:rsidR="00391A5A">
        <w:rPr>
          <w:sz w:val="24"/>
        </w:rPr>
        <w:t xml:space="preserve"> As humans ‘shape’ the objects we use, so too are we shaped by the objects. </w:t>
      </w:r>
      <w:r w:rsidR="00233647">
        <w:rPr>
          <w:sz w:val="24"/>
        </w:rPr>
        <w:t xml:space="preserve">By applying this to Household Archaeology, we can make assumptions as to some of the social practices of the inhabitants of a site. </w:t>
      </w:r>
      <w:r w:rsidR="00391A5A">
        <w:rPr>
          <w:sz w:val="24"/>
        </w:rPr>
        <w:t>As Latour puts it:</w:t>
      </w:r>
    </w:p>
    <w:p w:rsidR="00391A5A" w:rsidRDefault="00391A5A" w:rsidP="00391A5A">
      <w:pPr>
        <w:ind w:left="567" w:right="709"/>
        <w:rPr>
          <w:i/>
          <w:sz w:val="24"/>
        </w:rPr>
      </w:pPr>
      <w:r w:rsidRPr="00391A5A">
        <w:rPr>
          <w:i/>
          <w:sz w:val="24"/>
        </w:rPr>
        <w:t xml:space="preserve">“After all, there is hardly any doubt that kettles ‘boil’ water, knives ‘cut’ meat, baskets ‘hold’ provisions, </w:t>
      </w:r>
      <w:r>
        <w:rPr>
          <w:i/>
          <w:sz w:val="24"/>
        </w:rPr>
        <w:t>hammers ‘hit’ nails on the head</w:t>
      </w:r>
      <w:r w:rsidRPr="00391A5A">
        <w:rPr>
          <w:i/>
          <w:sz w:val="24"/>
        </w:rPr>
        <w:t>… &amp; so on. Are those verbs not designating actions?”</w:t>
      </w:r>
      <w:r>
        <w:rPr>
          <w:rStyle w:val="FootnoteReference"/>
          <w:i/>
          <w:sz w:val="24"/>
        </w:rPr>
        <w:footnoteReference w:id="10"/>
      </w:r>
    </w:p>
    <w:p w:rsidR="0018052C" w:rsidRDefault="0018052C" w:rsidP="0018052C">
      <w:pPr>
        <w:rPr>
          <w:sz w:val="24"/>
        </w:rPr>
      </w:pPr>
      <w:r>
        <w:rPr>
          <w:sz w:val="24"/>
        </w:rPr>
        <w:t>This theory can also be further applied to</w:t>
      </w:r>
      <w:r w:rsidR="005A41A6">
        <w:rPr>
          <w:sz w:val="24"/>
        </w:rPr>
        <w:t xml:space="preserve"> using Household Archaeology to</w:t>
      </w:r>
      <w:r>
        <w:rPr>
          <w:sz w:val="24"/>
        </w:rPr>
        <w:t xml:space="preserve"> learn about the physical aspects of some inhabitants. Some of the objects found, such as grindstones equipment</w:t>
      </w:r>
      <w:r>
        <w:rPr>
          <w:rStyle w:val="FootnoteReference"/>
          <w:sz w:val="24"/>
        </w:rPr>
        <w:footnoteReference w:id="11"/>
      </w:r>
      <w:r>
        <w:rPr>
          <w:sz w:val="24"/>
        </w:rPr>
        <w:t>, would have demanded gruelling manual labour that had the potential to alter the bone structure of those using such equipment. This could possibly have led to a ‘hunched’ appearance</w:t>
      </w:r>
      <w:r w:rsidR="00A25BEE">
        <w:rPr>
          <w:rStyle w:val="FootnoteReference"/>
          <w:sz w:val="24"/>
        </w:rPr>
        <w:footnoteReference w:id="12"/>
      </w:r>
      <w:r>
        <w:rPr>
          <w:sz w:val="24"/>
        </w:rPr>
        <w:t>.</w:t>
      </w:r>
      <w:r w:rsidR="00245EE7">
        <w:rPr>
          <w:sz w:val="24"/>
        </w:rPr>
        <w:t xml:space="preserve"> I find the concept of Actor-Network Theory to be highly intriguing, as the idea that archaeologists can determine not only the social practices of the inhabitants of a site, but also how those social practices may have physically affected them shows just how much we can learn from a simple unassuming object such as a grindstone or a stone bench.</w:t>
      </w:r>
    </w:p>
    <w:p w:rsidR="00AC2094" w:rsidRPr="0018052C" w:rsidRDefault="00AC2094" w:rsidP="0018052C">
      <w:pPr>
        <w:rPr>
          <w:sz w:val="24"/>
        </w:rPr>
      </w:pPr>
    </w:p>
    <w:p w:rsidR="004833E3" w:rsidRDefault="002D2924" w:rsidP="002D2924">
      <w:pPr>
        <w:rPr>
          <w:sz w:val="24"/>
        </w:rPr>
      </w:pPr>
      <w:r>
        <w:rPr>
          <w:sz w:val="24"/>
        </w:rPr>
        <w:t xml:space="preserve">Materiality can also take the form of </w:t>
      </w:r>
      <w:r w:rsidR="00233647">
        <w:rPr>
          <w:sz w:val="24"/>
        </w:rPr>
        <w:t>‘</w:t>
      </w:r>
      <w:r w:rsidR="00233647">
        <w:rPr>
          <w:i/>
          <w:sz w:val="24"/>
        </w:rPr>
        <w:t>habitus’</w:t>
      </w:r>
      <w:r w:rsidR="00233647">
        <w:rPr>
          <w:sz w:val="24"/>
        </w:rPr>
        <w:t xml:space="preserve">, a concept championed by </w:t>
      </w:r>
      <w:r w:rsidR="004833E3">
        <w:rPr>
          <w:sz w:val="24"/>
        </w:rPr>
        <w:t>Pierre Bordieu</w:t>
      </w:r>
      <w:r w:rsidR="00233647">
        <w:rPr>
          <w:sz w:val="24"/>
        </w:rPr>
        <w:t>. In this case, the social practices of a group of people can be inferred by the types of objects the</w:t>
      </w:r>
      <w:r w:rsidR="004833E3">
        <w:rPr>
          <w:sz w:val="24"/>
        </w:rPr>
        <w:t>y</w:t>
      </w:r>
      <w:r w:rsidR="00233647">
        <w:rPr>
          <w:sz w:val="24"/>
        </w:rPr>
        <w:t xml:space="preserve"> surround themselves with</w:t>
      </w:r>
      <w:r w:rsidR="004833E3">
        <w:rPr>
          <w:rStyle w:val="FootnoteReference"/>
          <w:sz w:val="24"/>
        </w:rPr>
        <w:footnoteReference w:id="13"/>
      </w:r>
      <w:r w:rsidR="00233647">
        <w:rPr>
          <w:sz w:val="24"/>
        </w:rPr>
        <w:t>.</w:t>
      </w:r>
      <w:r w:rsidR="004833E3">
        <w:rPr>
          <w:sz w:val="24"/>
        </w:rPr>
        <w:t xml:space="preserve"> Philipp Stockhammer succinctly sums up this concept by saying:</w:t>
      </w:r>
    </w:p>
    <w:p w:rsidR="004833E3" w:rsidRDefault="004833E3" w:rsidP="004833E3">
      <w:pPr>
        <w:ind w:left="567" w:right="709"/>
        <w:rPr>
          <w:i/>
          <w:sz w:val="24"/>
        </w:rPr>
      </w:pPr>
      <w:r w:rsidRPr="004833E3">
        <w:rPr>
          <w:i/>
          <w:sz w:val="24"/>
        </w:rPr>
        <w:t>“Humans act in a way that is specific to their social background, often without being aware of this and without acknowledging the important influence of their material surroundings on them. These material surroundings shape the habitus, where things are integrated within social practices.”</w:t>
      </w:r>
      <w:r w:rsidRPr="004833E3">
        <w:rPr>
          <w:rStyle w:val="FootnoteReference"/>
          <w:i/>
          <w:sz w:val="24"/>
        </w:rPr>
        <w:footnoteReference w:id="14"/>
      </w:r>
    </w:p>
    <w:p w:rsidR="009E77C0" w:rsidRDefault="009E77C0" w:rsidP="004833E3">
      <w:pPr>
        <w:ind w:left="567" w:right="709"/>
        <w:rPr>
          <w:i/>
          <w:sz w:val="24"/>
        </w:rPr>
      </w:pPr>
    </w:p>
    <w:p w:rsidR="009E77C0" w:rsidRPr="00CE1781" w:rsidRDefault="009E77C0" w:rsidP="009E77C0">
      <w:pPr>
        <w:rPr>
          <w:rFonts w:asciiTheme="majorHAnsi" w:hAnsiTheme="majorHAnsi"/>
          <w:b/>
          <w:color w:val="7F7F7F" w:themeColor="text1" w:themeTint="80"/>
          <w:sz w:val="28"/>
        </w:rPr>
      </w:pPr>
      <w:r w:rsidRPr="00CE1781">
        <w:rPr>
          <w:rFonts w:asciiTheme="majorHAnsi" w:hAnsiTheme="majorHAnsi"/>
          <w:b/>
          <w:color w:val="7F7F7F" w:themeColor="text1" w:themeTint="80"/>
          <w:sz w:val="28"/>
        </w:rPr>
        <w:t>Gendered Activities and Spaces</w:t>
      </w:r>
    </w:p>
    <w:p w:rsidR="009E77C0" w:rsidRDefault="009E77C0" w:rsidP="009E77C0">
      <w:pPr>
        <w:rPr>
          <w:sz w:val="24"/>
        </w:rPr>
      </w:pPr>
      <w:r>
        <w:rPr>
          <w:sz w:val="24"/>
        </w:rPr>
        <w:t xml:space="preserve">Steel identifies the grinding of grain and other foods as a common activity in LBA Cypriot households, so it is not a reach to assume that such activities also took place at Kalavasos </w:t>
      </w:r>
      <w:r>
        <w:rPr>
          <w:i/>
          <w:sz w:val="24"/>
        </w:rPr>
        <w:t xml:space="preserve">Ayios </w:t>
      </w:r>
      <w:r w:rsidRPr="009E77C0">
        <w:rPr>
          <w:sz w:val="24"/>
        </w:rPr>
        <w:t>Dhimitrios</w:t>
      </w:r>
      <w:r>
        <w:rPr>
          <w:sz w:val="24"/>
        </w:rPr>
        <w:t>. What Steel’s discussion on “</w:t>
      </w:r>
      <w:r>
        <w:rPr>
          <w:i/>
          <w:sz w:val="24"/>
        </w:rPr>
        <w:t>The Daily Grind”</w:t>
      </w:r>
      <w:r>
        <w:rPr>
          <w:sz w:val="24"/>
        </w:rPr>
        <w:t xml:space="preserve"> brings to mind is the assumption that </w:t>
      </w:r>
      <w:r>
        <w:rPr>
          <w:sz w:val="24"/>
        </w:rPr>
        <w:t>grinding</w:t>
      </w:r>
      <w:r>
        <w:rPr>
          <w:sz w:val="24"/>
        </w:rPr>
        <w:t xml:space="preserve"> was a female activity.</w:t>
      </w:r>
      <w:r>
        <w:rPr>
          <w:rStyle w:val="FootnoteReference"/>
          <w:sz w:val="24"/>
        </w:rPr>
        <w:footnoteReference w:id="15"/>
      </w:r>
      <w:r>
        <w:rPr>
          <w:sz w:val="24"/>
        </w:rPr>
        <w:t xml:space="preserve"> Or </w:t>
      </w:r>
      <w:r>
        <w:rPr>
          <w:sz w:val="24"/>
        </w:rPr>
        <w:lastRenderedPageBreak/>
        <w:t xml:space="preserve">is archaeology just sexist? How much can we assume was a gender-specific activity without it being impacted by modern ideas of “a woman’s place” in society? Knapp delves into this sensitive topic in his (now slightly outdated) paper from 1998. In my opinion, </w:t>
      </w:r>
      <w:r w:rsidR="00580FA7">
        <w:rPr>
          <w:sz w:val="24"/>
        </w:rPr>
        <w:t>h</w:t>
      </w:r>
      <w:r>
        <w:rPr>
          <w:sz w:val="24"/>
        </w:rPr>
        <w:t>e raises several interesting points that we should take into account when looking at the concept of ‘gendered activities’ and ‘gendered spaces’</w:t>
      </w:r>
      <w:r w:rsidR="00580FA7">
        <w:rPr>
          <w:sz w:val="24"/>
        </w:rPr>
        <w:t xml:space="preserve"> within Household Archaeology:</w:t>
      </w:r>
    </w:p>
    <w:p w:rsidR="009E77C0" w:rsidRDefault="009E77C0" w:rsidP="009E77C0">
      <w:pPr>
        <w:ind w:left="567" w:right="709"/>
        <w:rPr>
          <w:i/>
          <w:sz w:val="24"/>
        </w:rPr>
      </w:pPr>
      <w:r w:rsidRPr="006743F2">
        <w:rPr>
          <w:i/>
          <w:sz w:val="24"/>
        </w:rPr>
        <w:t>“the 'gender attribution' approach, which, in a sense, seeks to reify gender by linking specific artefacts or categories of material with women (e.g. pottery manufacture, bread-making) or men (copper production; deposition of weapons)”</w:t>
      </w:r>
      <w:r>
        <w:rPr>
          <w:rStyle w:val="FootnoteReference"/>
          <w:i/>
          <w:sz w:val="24"/>
        </w:rPr>
        <w:footnoteReference w:id="16"/>
      </w:r>
    </w:p>
    <w:p w:rsidR="009E77C0" w:rsidRPr="006743F2" w:rsidRDefault="009E77C0" w:rsidP="009E77C0">
      <w:pPr>
        <w:ind w:left="567" w:right="709"/>
        <w:rPr>
          <w:i/>
          <w:sz w:val="24"/>
        </w:rPr>
      </w:pPr>
      <w:r>
        <w:rPr>
          <w:i/>
          <w:sz w:val="24"/>
        </w:rPr>
        <w:t>“W</w:t>
      </w:r>
      <w:r w:rsidRPr="00FB4B33">
        <w:rPr>
          <w:i/>
          <w:sz w:val="24"/>
        </w:rPr>
        <w:t>here certain materials, tools or trinkets may</w:t>
      </w:r>
      <w:r>
        <w:rPr>
          <w:i/>
          <w:sz w:val="24"/>
        </w:rPr>
        <w:t xml:space="preserve"> </w:t>
      </w:r>
      <w:r w:rsidRPr="00FB4B33">
        <w:rPr>
          <w:i/>
          <w:sz w:val="24"/>
        </w:rPr>
        <w:t xml:space="preserve">be </w:t>
      </w:r>
      <w:r>
        <w:rPr>
          <w:i/>
          <w:sz w:val="24"/>
        </w:rPr>
        <w:t>li</w:t>
      </w:r>
      <w:r w:rsidRPr="00FB4B33">
        <w:rPr>
          <w:i/>
          <w:sz w:val="24"/>
        </w:rPr>
        <w:t>nked to gender-specific activities, how may one confidently associate present or recent</w:t>
      </w:r>
      <w:r>
        <w:rPr>
          <w:i/>
          <w:sz w:val="24"/>
        </w:rPr>
        <w:t xml:space="preserve"> </w:t>
      </w:r>
      <w:r w:rsidRPr="00FB4B33">
        <w:rPr>
          <w:i/>
          <w:sz w:val="24"/>
        </w:rPr>
        <w:t>cultural expressions of gender with those of the distant or remote past?</w:t>
      </w:r>
      <w:r>
        <w:rPr>
          <w:i/>
          <w:sz w:val="24"/>
        </w:rPr>
        <w:t>”</w:t>
      </w:r>
      <w:r>
        <w:rPr>
          <w:rStyle w:val="FootnoteReference"/>
          <w:i/>
          <w:sz w:val="24"/>
        </w:rPr>
        <w:footnoteReference w:id="17"/>
      </w:r>
    </w:p>
    <w:p w:rsidR="009E77C0" w:rsidRDefault="009E77C0" w:rsidP="009E77C0">
      <w:pPr>
        <w:rPr>
          <w:sz w:val="24"/>
        </w:rPr>
      </w:pPr>
      <w:r>
        <w:rPr>
          <w:sz w:val="24"/>
        </w:rPr>
        <w:t>Grinding</w:t>
      </w:r>
      <w:r w:rsidR="00C140EA">
        <w:rPr>
          <w:sz w:val="24"/>
        </w:rPr>
        <w:t xml:space="preserve"> was seen</w:t>
      </w:r>
      <w:r>
        <w:rPr>
          <w:sz w:val="24"/>
        </w:rPr>
        <w:t xml:space="preserve"> as </w:t>
      </w:r>
      <w:r w:rsidR="00C140EA">
        <w:rPr>
          <w:sz w:val="24"/>
        </w:rPr>
        <w:t xml:space="preserve">a </w:t>
      </w:r>
      <w:r w:rsidR="00056A93">
        <w:rPr>
          <w:sz w:val="24"/>
        </w:rPr>
        <w:t xml:space="preserve">social activity, including all </w:t>
      </w:r>
      <w:r w:rsidR="00C140EA">
        <w:rPr>
          <w:sz w:val="24"/>
        </w:rPr>
        <w:t xml:space="preserve">female members of </w:t>
      </w:r>
      <w:r w:rsidR="00056A93">
        <w:rPr>
          <w:sz w:val="24"/>
        </w:rPr>
        <w:t xml:space="preserve">the </w:t>
      </w:r>
      <w:r w:rsidR="00C140EA">
        <w:rPr>
          <w:sz w:val="24"/>
        </w:rPr>
        <w:t>household, as well as the young children. Steel characterises this social aspect of the ‘Daily Grind’ in a very clear and convincing manner:</w:t>
      </w:r>
    </w:p>
    <w:p w:rsidR="00C140EA" w:rsidRPr="00C140EA" w:rsidRDefault="00C140EA" w:rsidP="00C140EA">
      <w:pPr>
        <w:ind w:left="567" w:right="709"/>
        <w:rPr>
          <w:i/>
          <w:sz w:val="24"/>
        </w:rPr>
      </w:pPr>
      <w:r>
        <w:rPr>
          <w:i/>
          <w:sz w:val="24"/>
        </w:rPr>
        <w:t>“</w:t>
      </w:r>
      <w:r w:rsidRPr="00C140EA">
        <w:rPr>
          <w:i/>
          <w:sz w:val="24"/>
        </w:rPr>
        <w:t>Food-processing not only was central to social reproduction</w:t>
      </w:r>
      <w:r>
        <w:rPr>
          <w:i/>
          <w:sz w:val="24"/>
        </w:rPr>
        <w:t xml:space="preserve"> </w:t>
      </w:r>
      <w:r w:rsidRPr="00C140EA">
        <w:rPr>
          <w:i/>
          <w:sz w:val="24"/>
        </w:rPr>
        <w:t>of the household, providing its members with their daily</w:t>
      </w:r>
      <w:r>
        <w:rPr>
          <w:i/>
          <w:sz w:val="24"/>
        </w:rPr>
        <w:t xml:space="preserve"> </w:t>
      </w:r>
      <w:r w:rsidRPr="00C140EA">
        <w:rPr>
          <w:i/>
          <w:sz w:val="24"/>
        </w:rPr>
        <w:t>bread, but it also shaped female interactions at an intimate,</w:t>
      </w:r>
      <w:r>
        <w:rPr>
          <w:i/>
          <w:sz w:val="24"/>
        </w:rPr>
        <w:t xml:space="preserve"> </w:t>
      </w:r>
      <w:r w:rsidRPr="00C140EA">
        <w:rPr>
          <w:i/>
          <w:sz w:val="24"/>
        </w:rPr>
        <w:t xml:space="preserve">familial level on a daily basis. </w:t>
      </w:r>
      <w:r>
        <w:rPr>
          <w:i/>
          <w:sz w:val="24"/>
        </w:rPr>
        <w:t xml:space="preserve">[This] </w:t>
      </w:r>
      <w:r w:rsidRPr="00C140EA">
        <w:rPr>
          <w:i/>
          <w:sz w:val="24"/>
        </w:rPr>
        <w:t>highlights the importance of singing to accompany and</w:t>
      </w:r>
      <w:r>
        <w:rPr>
          <w:i/>
          <w:sz w:val="24"/>
        </w:rPr>
        <w:t xml:space="preserve"> </w:t>
      </w:r>
      <w:r w:rsidRPr="00C140EA">
        <w:rPr>
          <w:i/>
          <w:sz w:val="24"/>
        </w:rPr>
        <w:t>mimic the rhythmic process of grinding. The open spaces</w:t>
      </w:r>
      <w:r>
        <w:rPr>
          <w:i/>
          <w:sz w:val="24"/>
        </w:rPr>
        <w:t xml:space="preserve"> </w:t>
      </w:r>
      <w:r w:rsidRPr="00C140EA">
        <w:rPr>
          <w:i/>
          <w:sz w:val="24"/>
        </w:rPr>
        <w:t>where women gathered together to work, in all probability</w:t>
      </w:r>
      <w:r>
        <w:rPr>
          <w:i/>
          <w:sz w:val="24"/>
        </w:rPr>
        <w:t xml:space="preserve"> </w:t>
      </w:r>
      <w:r w:rsidRPr="00C140EA">
        <w:rPr>
          <w:i/>
          <w:sz w:val="24"/>
        </w:rPr>
        <w:t>accompanied by their children, might be envisaged as lively</w:t>
      </w:r>
      <w:r>
        <w:rPr>
          <w:i/>
          <w:sz w:val="24"/>
        </w:rPr>
        <w:t xml:space="preserve"> </w:t>
      </w:r>
      <w:r w:rsidRPr="00C140EA">
        <w:rPr>
          <w:i/>
          <w:sz w:val="24"/>
        </w:rPr>
        <w:t>places where they gossiped, sang, and shared stories, all the</w:t>
      </w:r>
      <w:r>
        <w:rPr>
          <w:i/>
          <w:sz w:val="24"/>
        </w:rPr>
        <w:t xml:space="preserve"> </w:t>
      </w:r>
      <w:r w:rsidRPr="00C140EA">
        <w:rPr>
          <w:i/>
          <w:sz w:val="24"/>
        </w:rPr>
        <w:t>while grinding grain for the household’s daily bread.</w:t>
      </w:r>
      <w:r>
        <w:rPr>
          <w:i/>
          <w:sz w:val="24"/>
        </w:rPr>
        <w:t>”</w:t>
      </w:r>
      <w:r>
        <w:rPr>
          <w:rStyle w:val="FootnoteReference"/>
          <w:i/>
          <w:sz w:val="24"/>
        </w:rPr>
        <w:footnoteReference w:id="18"/>
      </w:r>
    </w:p>
    <w:p w:rsidR="00AE0876" w:rsidRPr="00AE0876" w:rsidRDefault="00AE0876" w:rsidP="00E2409D">
      <w:pPr>
        <w:jc w:val="both"/>
        <w:rPr>
          <w:b/>
          <w:sz w:val="24"/>
        </w:rPr>
      </w:pPr>
    </w:p>
    <w:p w:rsidR="00AE0876" w:rsidRPr="00AE0876" w:rsidRDefault="00AE0876" w:rsidP="00E2409D">
      <w:pPr>
        <w:jc w:val="both"/>
        <w:rPr>
          <w:rFonts w:asciiTheme="majorHAnsi" w:hAnsiTheme="majorHAnsi"/>
          <w:b/>
          <w:i/>
          <w:color w:val="7F7F7F" w:themeColor="text1" w:themeTint="80"/>
          <w:sz w:val="28"/>
        </w:rPr>
      </w:pPr>
      <w:r w:rsidRPr="00AE0876">
        <w:rPr>
          <w:rFonts w:asciiTheme="majorHAnsi" w:hAnsiTheme="majorHAnsi"/>
          <w:b/>
          <w:color w:val="7F7F7F" w:themeColor="text1" w:themeTint="80"/>
          <w:sz w:val="28"/>
        </w:rPr>
        <w:t xml:space="preserve">Pottery found at Kalavasos </w:t>
      </w:r>
      <w:r w:rsidRPr="00AE0876">
        <w:rPr>
          <w:rFonts w:asciiTheme="majorHAnsi" w:hAnsiTheme="majorHAnsi"/>
          <w:b/>
          <w:i/>
          <w:color w:val="7F7F7F" w:themeColor="text1" w:themeTint="80"/>
          <w:sz w:val="28"/>
        </w:rPr>
        <w:t>Ayios Dhimitrios</w:t>
      </w:r>
    </w:p>
    <w:p w:rsidR="00E2409D" w:rsidRDefault="00E2409D" w:rsidP="00E2409D">
      <w:pPr>
        <w:jc w:val="both"/>
        <w:rPr>
          <w:sz w:val="24"/>
        </w:rPr>
      </w:pPr>
      <w:r>
        <w:rPr>
          <w:sz w:val="24"/>
        </w:rPr>
        <w:t xml:space="preserve">In terms of Kalavasos </w:t>
      </w:r>
      <w:r>
        <w:rPr>
          <w:i/>
          <w:sz w:val="24"/>
        </w:rPr>
        <w:t>Ayios Dhimitrios</w:t>
      </w:r>
      <w:r>
        <w:rPr>
          <w:sz w:val="24"/>
        </w:rPr>
        <w:t>, this ‘</w:t>
      </w:r>
      <w:r>
        <w:rPr>
          <w:i/>
          <w:sz w:val="24"/>
        </w:rPr>
        <w:t>habitus’</w:t>
      </w:r>
      <w:r>
        <w:rPr>
          <w:sz w:val="24"/>
        </w:rPr>
        <w:t xml:space="preserve"> is embodied in the “dramatic increase in the range of tableware”</w:t>
      </w:r>
      <w:r>
        <w:rPr>
          <w:rStyle w:val="FootnoteReference"/>
          <w:sz w:val="24"/>
        </w:rPr>
        <w:footnoteReference w:id="19"/>
      </w:r>
      <w:r>
        <w:rPr>
          <w:sz w:val="24"/>
        </w:rPr>
        <w:t>. Steel clearly perceives this change to be an important milestone in the development of social practices on Cyprus, as she explains in her article “</w:t>
      </w:r>
      <w:r>
        <w:rPr>
          <w:i/>
          <w:sz w:val="24"/>
        </w:rPr>
        <w:t>Kitchenalia in Bronze Age Cyprus”</w:t>
      </w:r>
      <w:r>
        <w:rPr>
          <w:sz w:val="24"/>
        </w:rPr>
        <w:t>:</w:t>
      </w:r>
    </w:p>
    <w:p w:rsidR="00E2409D" w:rsidRDefault="00E2409D" w:rsidP="00E2409D">
      <w:pPr>
        <w:ind w:left="567" w:right="709"/>
        <w:jc w:val="both"/>
        <w:rPr>
          <w:i/>
          <w:sz w:val="24"/>
        </w:rPr>
      </w:pPr>
      <w:r w:rsidRPr="00E2409D">
        <w:rPr>
          <w:i/>
          <w:sz w:val="24"/>
        </w:rPr>
        <w:t>“The introduction of vessels with flat or ring bases (jugs and kraters in particular, and also some of the bowls) at the beginning of the LBA suggests very different practices surrounding the serving and consumption of food within the Cypriot household</w:t>
      </w:r>
      <w:r>
        <w:rPr>
          <w:i/>
          <w:sz w:val="24"/>
        </w:rPr>
        <w:t>.</w:t>
      </w:r>
      <w:r w:rsidRPr="00E2409D">
        <w:rPr>
          <w:i/>
          <w:sz w:val="24"/>
        </w:rPr>
        <w:t>”</w:t>
      </w:r>
      <w:r>
        <w:rPr>
          <w:rStyle w:val="FootnoteReference"/>
          <w:i/>
          <w:sz w:val="24"/>
        </w:rPr>
        <w:footnoteReference w:id="20"/>
      </w:r>
    </w:p>
    <w:p w:rsidR="00C22DE1" w:rsidRDefault="00C22DE1" w:rsidP="00616A77">
      <w:pPr>
        <w:rPr>
          <w:sz w:val="24"/>
        </w:rPr>
      </w:pPr>
      <w:r>
        <w:rPr>
          <w:sz w:val="24"/>
        </w:rPr>
        <w:t xml:space="preserve">What I find to be even more interesting, is that the design of this new kitchenware can also provide information about those pieces of Household Archaeology that have not remained in the site. Steel tells us that these new vessels </w:t>
      </w:r>
      <w:r w:rsidRPr="00C22DE1">
        <w:rPr>
          <w:i/>
          <w:sz w:val="24"/>
        </w:rPr>
        <w:t>“were suited to being placed on a flat surface, such as a table or on fixed stone benches”</w:t>
      </w:r>
      <w:r>
        <w:rPr>
          <w:rStyle w:val="FootnoteReference"/>
          <w:i/>
          <w:sz w:val="24"/>
        </w:rPr>
        <w:footnoteReference w:id="21"/>
      </w:r>
      <w:r>
        <w:rPr>
          <w:sz w:val="24"/>
        </w:rPr>
        <w:t>, which indicated that such furniture was at one point used in conjunction with these vessels.</w:t>
      </w:r>
      <w:r w:rsidR="004B3AAB">
        <w:rPr>
          <w:sz w:val="24"/>
        </w:rPr>
        <w:t xml:space="preserve"> It </w:t>
      </w:r>
      <w:r w:rsidR="004B3AAB">
        <w:rPr>
          <w:sz w:val="24"/>
        </w:rPr>
        <w:lastRenderedPageBreak/>
        <w:t>has been suggested that the change from smaller household communities to larger communities at the start of the Late Bronze Age may have had impact on this change in pottery style. The pottery became more utilitarian and more likely used for displaying food, suggesting an increase in socialising outside of the inhabitants’ direct kinship groups</w:t>
      </w:r>
      <w:r w:rsidR="004B3AAB">
        <w:rPr>
          <w:rStyle w:val="FootnoteReference"/>
          <w:sz w:val="24"/>
        </w:rPr>
        <w:footnoteReference w:id="22"/>
      </w:r>
      <w:r w:rsidR="004B3AAB">
        <w:rPr>
          <w:sz w:val="24"/>
        </w:rPr>
        <w:t>.</w:t>
      </w:r>
    </w:p>
    <w:p w:rsidR="00AC2094" w:rsidRDefault="00AC2094" w:rsidP="00616A77">
      <w:pPr>
        <w:rPr>
          <w:sz w:val="24"/>
        </w:rPr>
      </w:pPr>
    </w:p>
    <w:p w:rsidR="00A25BEE" w:rsidRDefault="00D337C2" w:rsidP="00616A77">
      <w:pPr>
        <w:rPr>
          <w:sz w:val="24"/>
        </w:rPr>
      </w:pPr>
      <w:r>
        <w:rPr>
          <w:sz w:val="24"/>
        </w:rPr>
        <w:t>The m</w:t>
      </w:r>
      <w:r w:rsidR="00A25BEE">
        <w:rPr>
          <w:sz w:val="24"/>
        </w:rPr>
        <w:t>ost common found vessel</w:t>
      </w:r>
      <w:r>
        <w:rPr>
          <w:sz w:val="24"/>
        </w:rPr>
        <w:t xml:space="preserve"> types</w:t>
      </w:r>
      <w:r w:rsidR="00A25BEE">
        <w:rPr>
          <w:sz w:val="24"/>
        </w:rPr>
        <w:t xml:space="preserve"> at Kalavasos were cooking ware</w:t>
      </w:r>
      <w:r w:rsidR="00A25BEE">
        <w:rPr>
          <w:rStyle w:val="FootnoteReference"/>
          <w:sz w:val="24"/>
        </w:rPr>
        <w:footnoteReference w:id="23"/>
      </w:r>
      <w:r>
        <w:rPr>
          <w:sz w:val="24"/>
        </w:rPr>
        <w:t>, which seems to show that each household was still producing its own food, rather than there being a communal source for food. Each household also had its own storage facilities</w:t>
      </w:r>
      <w:r>
        <w:rPr>
          <w:rStyle w:val="FootnoteReference"/>
          <w:sz w:val="24"/>
        </w:rPr>
        <w:footnoteReference w:id="24"/>
      </w:r>
      <w:r w:rsidR="00403A5D">
        <w:rPr>
          <w:sz w:val="24"/>
        </w:rPr>
        <w:t xml:space="preserve">, as well as the central storage magazines at Building X, which contained </w:t>
      </w:r>
      <w:r w:rsidR="00403A5D">
        <w:rPr>
          <w:i/>
          <w:sz w:val="24"/>
        </w:rPr>
        <w:t xml:space="preserve">pithoi </w:t>
      </w:r>
      <w:r w:rsidR="00403A5D">
        <w:rPr>
          <w:sz w:val="24"/>
        </w:rPr>
        <w:t>with a total capacity of at least 50,000 litres</w:t>
      </w:r>
      <w:r w:rsidR="00403A5D">
        <w:rPr>
          <w:rStyle w:val="FootnoteReference"/>
          <w:sz w:val="24"/>
        </w:rPr>
        <w:footnoteReference w:id="25"/>
      </w:r>
      <w:r>
        <w:rPr>
          <w:sz w:val="24"/>
        </w:rPr>
        <w:t>. L</w:t>
      </w:r>
      <w:r w:rsidR="00A25BEE">
        <w:rPr>
          <w:sz w:val="24"/>
        </w:rPr>
        <w:t xml:space="preserve">arger </w:t>
      </w:r>
      <w:r w:rsidR="00A25BEE">
        <w:rPr>
          <w:i/>
          <w:sz w:val="24"/>
        </w:rPr>
        <w:t>pithoi</w:t>
      </w:r>
      <w:r w:rsidR="00A25BEE">
        <w:rPr>
          <w:sz w:val="24"/>
        </w:rPr>
        <w:t xml:space="preserve"> with taller, narrower necks were more numerous than smaller ones with wider necks</w:t>
      </w:r>
      <w:r w:rsidR="00A25BEE">
        <w:rPr>
          <w:rStyle w:val="FootnoteReference"/>
          <w:sz w:val="24"/>
        </w:rPr>
        <w:footnoteReference w:id="26"/>
      </w:r>
      <w:r>
        <w:rPr>
          <w:sz w:val="24"/>
        </w:rPr>
        <w:t>, and were</w:t>
      </w:r>
      <w:r w:rsidR="00A25BEE">
        <w:rPr>
          <w:sz w:val="24"/>
        </w:rPr>
        <w:t xml:space="preserve"> most likely used for liquid storage of wine, olive oil and water</w:t>
      </w:r>
      <w:r w:rsidR="00A25BEE">
        <w:rPr>
          <w:rStyle w:val="FootnoteReference"/>
          <w:sz w:val="24"/>
        </w:rPr>
        <w:footnoteReference w:id="27"/>
      </w:r>
      <w:r w:rsidR="00A25BEE">
        <w:rPr>
          <w:sz w:val="24"/>
        </w:rPr>
        <w:t>.</w:t>
      </w:r>
    </w:p>
    <w:p w:rsidR="008E0427" w:rsidRDefault="008E0427" w:rsidP="00616A77">
      <w:pPr>
        <w:rPr>
          <w:sz w:val="24"/>
        </w:rPr>
      </w:pPr>
    </w:p>
    <w:p w:rsidR="008E0427" w:rsidRPr="00AE0876" w:rsidRDefault="008E0427" w:rsidP="008E0427">
      <w:pPr>
        <w:jc w:val="both"/>
        <w:rPr>
          <w:rFonts w:asciiTheme="majorHAnsi" w:hAnsiTheme="majorHAnsi"/>
          <w:b/>
          <w:i/>
          <w:color w:val="7F7F7F" w:themeColor="text1" w:themeTint="80"/>
          <w:sz w:val="28"/>
        </w:rPr>
      </w:pPr>
      <w:r>
        <w:rPr>
          <w:rFonts w:asciiTheme="majorHAnsi" w:hAnsiTheme="majorHAnsi"/>
          <w:b/>
          <w:color w:val="7F7F7F" w:themeColor="text1" w:themeTint="80"/>
          <w:sz w:val="28"/>
        </w:rPr>
        <w:t xml:space="preserve">Household Archaeology of the </w:t>
      </w:r>
      <w:r w:rsidR="002F7C2A">
        <w:rPr>
          <w:rFonts w:asciiTheme="majorHAnsi" w:hAnsiTheme="majorHAnsi"/>
          <w:b/>
          <w:color w:val="7F7F7F" w:themeColor="text1" w:themeTint="80"/>
          <w:sz w:val="28"/>
        </w:rPr>
        <w:t>‘</w:t>
      </w:r>
      <w:r>
        <w:rPr>
          <w:rFonts w:asciiTheme="majorHAnsi" w:hAnsiTheme="majorHAnsi"/>
          <w:b/>
          <w:color w:val="7F7F7F" w:themeColor="text1" w:themeTint="80"/>
          <w:sz w:val="28"/>
        </w:rPr>
        <w:t>Domestic Quarter</w:t>
      </w:r>
      <w:r w:rsidR="002F7C2A">
        <w:rPr>
          <w:rFonts w:asciiTheme="majorHAnsi" w:hAnsiTheme="majorHAnsi"/>
          <w:b/>
          <w:color w:val="7F7F7F" w:themeColor="text1" w:themeTint="80"/>
          <w:sz w:val="28"/>
        </w:rPr>
        <w:t>’</w:t>
      </w:r>
    </w:p>
    <w:p w:rsidR="00F90D25" w:rsidRDefault="008E0427" w:rsidP="003F1A79">
      <w:pPr>
        <w:rPr>
          <w:sz w:val="24"/>
        </w:rPr>
      </w:pPr>
      <w:r>
        <w:rPr>
          <w:sz w:val="24"/>
        </w:rPr>
        <w:t xml:space="preserve">South-Todd’s analysis of the site includes a report of </w:t>
      </w:r>
      <w:r w:rsidRPr="008E0427">
        <w:rPr>
          <w:i/>
          <w:sz w:val="24"/>
        </w:rPr>
        <w:t xml:space="preserve">“a </w:t>
      </w:r>
      <w:r w:rsidRPr="008E0427">
        <w:rPr>
          <w:i/>
          <w:sz w:val="24"/>
        </w:rPr>
        <w:t>number of</w:t>
      </w:r>
      <w:r w:rsidRPr="008E0427">
        <w:rPr>
          <w:i/>
          <w:sz w:val="24"/>
        </w:rPr>
        <w:t xml:space="preserve"> </w:t>
      </w:r>
      <w:r w:rsidRPr="008E0427">
        <w:rPr>
          <w:i/>
          <w:sz w:val="24"/>
        </w:rPr>
        <w:t>multi-roomed buildings of 100-600 m</w:t>
      </w:r>
      <w:r w:rsidRPr="008E0427">
        <w:rPr>
          <w:i/>
          <w:sz w:val="24"/>
          <w:vertAlign w:val="superscript"/>
        </w:rPr>
        <w:t>2</w:t>
      </w:r>
      <w:r w:rsidRPr="008E0427">
        <w:rPr>
          <w:i/>
          <w:sz w:val="24"/>
        </w:rPr>
        <w:t xml:space="preserve"> which appear to be mainly domestic in</w:t>
      </w:r>
      <w:r w:rsidRPr="008E0427">
        <w:rPr>
          <w:i/>
          <w:sz w:val="24"/>
        </w:rPr>
        <w:t xml:space="preserve"> </w:t>
      </w:r>
      <w:r w:rsidRPr="008E0427">
        <w:rPr>
          <w:i/>
          <w:sz w:val="24"/>
        </w:rPr>
        <w:t>function.</w:t>
      </w:r>
      <w:r w:rsidRPr="008E0427">
        <w:rPr>
          <w:i/>
          <w:sz w:val="24"/>
        </w:rPr>
        <w:t>”</w:t>
      </w:r>
      <w:r>
        <w:rPr>
          <w:rStyle w:val="FootnoteReference"/>
          <w:i/>
          <w:sz w:val="24"/>
        </w:rPr>
        <w:footnoteReference w:id="28"/>
      </w:r>
      <w:r w:rsidRPr="008E0427">
        <w:rPr>
          <w:i/>
          <w:sz w:val="24"/>
        </w:rPr>
        <w:t xml:space="preserve"> </w:t>
      </w:r>
      <w:r>
        <w:rPr>
          <w:sz w:val="24"/>
        </w:rPr>
        <w:t>Within these houses was found primarily Cypriot material</w:t>
      </w:r>
      <w:r w:rsidR="003F1A79">
        <w:rPr>
          <w:sz w:val="24"/>
        </w:rPr>
        <w:t>, however a few imports (such as Mycenaean pottery, Canaanite jars and imported stone objects) were also discovered.</w:t>
      </w:r>
      <w:r w:rsidR="003F1A79">
        <w:rPr>
          <w:rStyle w:val="FootnoteReference"/>
          <w:sz w:val="24"/>
        </w:rPr>
        <w:footnoteReference w:id="29"/>
      </w:r>
      <w:r w:rsidR="003F1A79">
        <w:rPr>
          <w:sz w:val="24"/>
        </w:rPr>
        <w:t xml:space="preserve"> Two of the most important object groups in term of what we can determine from this Household Archaeology are a group of weights and some cylinder and stamp seals.</w:t>
      </w:r>
      <w:r w:rsidR="003F1A79">
        <w:rPr>
          <w:rStyle w:val="FootnoteReference"/>
          <w:sz w:val="24"/>
        </w:rPr>
        <w:footnoteReference w:id="30"/>
      </w:r>
      <w:r w:rsidR="003F1A79">
        <w:rPr>
          <w:sz w:val="24"/>
        </w:rPr>
        <w:t xml:space="preserve"> The existence of these objects in this particular context are indicators that the inhabitants were not simply </w:t>
      </w:r>
      <w:r w:rsidR="003F1A79" w:rsidRPr="003F1A79">
        <w:rPr>
          <w:i/>
          <w:sz w:val="24"/>
        </w:rPr>
        <w:t>“</w:t>
      </w:r>
      <w:r w:rsidRPr="003F1A79">
        <w:rPr>
          <w:i/>
          <w:sz w:val="24"/>
        </w:rPr>
        <w:t>of a very</w:t>
      </w:r>
      <w:r w:rsidRPr="003F1A79">
        <w:rPr>
          <w:i/>
          <w:sz w:val="24"/>
        </w:rPr>
        <w:t xml:space="preserve"> </w:t>
      </w:r>
      <w:r w:rsidRPr="003F1A79">
        <w:rPr>
          <w:i/>
          <w:sz w:val="24"/>
        </w:rPr>
        <w:t>low economic class, but had access to some imported goods and were involved in trade</w:t>
      </w:r>
      <w:r w:rsidRPr="003F1A79">
        <w:rPr>
          <w:i/>
          <w:sz w:val="24"/>
        </w:rPr>
        <w:t xml:space="preserve"> </w:t>
      </w:r>
      <w:r w:rsidRPr="003F1A79">
        <w:rPr>
          <w:i/>
          <w:sz w:val="24"/>
        </w:rPr>
        <w:t>and administrative activities.</w:t>
      </w:r>
      <w:r w:rsidR="003F1A79" w:rsidRPr="003F1A79">
        <w:rPr>
          <w:i/>
          <w:sz w:val="24"/>
        </w:rPr>
        <w:t>”</w:t>
      </w:r>
      <w:r w:rsidR="003F1A79">
        <w:rPr>
          <w:rStyle w:val="FootnoteReference"/>
          <w:i/>
          <w:sz w:val="24"/>
        </w:rPr>
        <w:footnoteReference w:id="31"/>
      </w:r>
      <w:r w:rsidR="003F1A79">
        <w:rPr>
          <w:sz w:val="24"/>
        </w:rPr>
        <w:t xml:space="preserve"> There is also evidence of craft specialisation among the inhabitants</w:t>
      </w:r>
      <w:r w:rsidR="005A5D98">
        <w:rPr>
          <w:rStyle w:val="FootnoteReference"/>
          <w:sz w:val="24"/>
        </w:rPr>
        <w:footnoteReference w:id="32"/>
      </w:r>
      <w:r w:rsidR="003F1A79">
        <w:rPr>
          <w:sz w:val="24"/>
        </w:rPr>
        <w:t>, as only two of the buildings (I and III) have facilities for wine or oil production</w:t>
      </w:r>
      <w:r w:rsidR="003F1A79">
        <w:rPr>
          <w:rStyle w:val="FootnoteReference"/>
          <w:sz w:val="24"/>
        </w:rPr>
        <w:footnoteReference w:id="33"/>
      </w:r>
      <w:r w:rsidR="003F1A79">
        <w:rPr>
          <w:sz w:val="24"/>
        </w:rPr>
        <w:t>, and one other (Building IX) contains finds such as fragments of oxhide ingots, which were consistent with small-scale copper-smithing work</w:t>
      </w:r>
      <w:r w:rsidR="003F1A79">
        <w:rPr>
          <w:rStyle w:val="FootnoteReference"/>
          <w:sz w:val="24"/>
        </w:rPr>
        <w:footnoteReference w:id="34"/>
      </w:r>
      <w:r w:rsidR="003F1A79">
        <w:rPr>
          <w:sz w:val="24"/>
        </w:rPr>
        <w:t xml:space="preserve">. Further indicators of copper-smithing on site include copper slag that has been found in several other excavated areas, however South-Todd tells us that </w:t>
      </w:r>
      <w:r w:rsidR="003F1A79" w:rsidRPr="003F1A79">
        <w:rPr>
          <w:i/>
          <w:sz w:val="24"/>
        </w:rPr>
        <w:t>“no large metal production area has been identified”.</w:t>
      </w:r>
      <w:r w:rsidR="003F1A79">
        <w:rPr>
          <w:rStyle w:val="FootnoteReference"/>
          <w:i/>
          <w:sz w:val="24"/>
        </w:rPr>
        <w:footnoteReference w:id="35"/>
      </w:r>
      <w:r w:rsidR="003F1AA7">
        <w:rPr>
          <w:sz w:val="24"/>
        </w:rPr>
        <w:t xml:space="preserve"> Van Brempt and Kassianidou’s analysis of the slag found at Kalavasos </w:t>
      </w:r>
      <w:r w:rsidR="003F1AA7">
        <w:rPr>
          <w:i/>
          <w:sz w:val="24"/>
        </w:rPr>
        <w:t>Ayios Dhimitrios</w:t>
      </w:r>
      <w:r w:rsidR="003F1AA7">
        <w:rPr>
          <w:sz w:val="24"/>
        </w:rPr>
        <w:t xml:space="preserve"> supports this, as they have concluded that “</w:t>
      </w:r>
      <w:r w:rsidR="003F1AA7" w:rsidRPr="003F1AA7">
        <w:rPr>
          <w:i/>
          <w:sz w:val="24"/>
        </w:rPr>
        <w:t>copper</w:t>
      </w:r>
      <w:r w:rsidR="003F1AA7" w:rsidRPr="003F1AA7">
        <w:rPr>
          <w:i/>
          <w:sz w:val="24"/>
        </w:rPr>
        <w:t xml:space="preserve"> </w:t>
      </w:r>
      <w:r w:rsidR="003F1AA7" w:rsidRPr="003F1AA7">
        <w:rPr>
          <w:i/>
          <w:sz w:val="24"/>
        </w:rPr>
        <w:t>production</w:t>
      </w:r>
      <w:r w:rsidR="003F1AA7" w:rsidRPr="003F1AA7">
        <w:rPr>
          <w:i/>
          <w:sz w:val="24"/>
        </w:rPr>
        <w:t xml:space="preserve"> </w:t>
      </w:r>
      <w:r w:rsidR="003F1AA7" w:rsidRPr="003F1AA7">
        <w:rPr>
          <w:i/>
          <w:sz w:val="24"/>
        </w:rPr>
        <w:t>was absolutely not the raison d</w:t>
      </w:r>
      <w:r w:rsidR="003F1AA7">
        <w:rPr>
          <w:i/>
          <w:sz w:val="24"/>
        </w:rPr>
        <w:t xml:space="preserve">'être for the site of Kalavasos </w:t>
      </w:r>
      <w:r w:rsidR="003F1AA7" w:rsidRPr="003F1AA7">
        <w:rPr>
          <w:sz w:val="24"/>
        </w:rPr>
        <w:lastRenderedPageBreak/>
        <w:t>A</w:t>
      </w:r>
      <w:r w:rsidR="003F1AA7" w:rsidRPr="003F1AA7">
        <w:rPr>
          <w:sz w:val="24"/>
        </w:rPr>
        <w:t>yios Dhimitrios</w:t>
      </w:r>
      <w:r w:rsidR="003F1AA7" w:rsidRPr="003F1AA7">
        <w:rPr>
          <w:i/>
          <w:sz w:val="24"/>
        </w:rPr>
        <w:t>, nor the main connecting factor, we assume, in the</w:t>
      </w:r>
      <w:r w:rsidR="003F1AA7" w:rsidRPr="003F1AA7">
        <w:rPr>
          <w:i/>
          <w:sz w:val="24"/>
        </w:rPr>
        <w:t xml:space="preserve"> </w:t>
      </w:r>
      <w:r w:rsidR="003F1AA7" w:rsidRPr="003F1AA7">
        <w:rPr>
          <w:i/>
          <w:sz w:val="24"/>
        </w:rPr>
        <w:t>socio-political and economical networks that may have existed between</w:t>
      </w:r>
      <w:r w:rsidR="003F1AA7" w:rsidRPr="003F1AA7">
        <w:rPr>
          <w:i/>
          <w:sz w:val="24"/>
        </w:rPr>
        <w:t xml:space="preserve"> </w:t>
      </w:r>
      <w:r w:rsidR="003F1AA7" w:rsidRPr="003F1AA7">
        <w:rPr>
          <w:i/>
          <w:sz w:val="24"/>
        </w:rPr>
        <w:t>the different sites within this area.</w:t>
      </w:r>
      <w:r w:rsidR="003F1AA7" w:rsidRPr="003F1AA7">
        <w:rPr>
          <w:i/>
          <w:sz w:val="24"/>
        </w:rPr>
        <w:t>”</w:t>
      </w:r>
      <w:r w:rsidR="003F1AA7">
        <w:rPr>
          <w:rStyle w:val="FootnoteReference"/>
          <w:i/>
          <w:sz w:val="24"/>
        </w:rPr>
        <w:footnoteReference w:id="36"/>
      </w:r>
    </w:p>
    <w:p w:rsidR="003F1AA7" w:rsidRDefault="003F1AA7" w:rsidP="003F1A79">
      <w:pPr>
        <w:rPr>
          <w:sz w:val="24"/>
        </w:rPr>
      </w:pPr>
    </w:p>
    <w:p w:rsidR="00F90D25" w:rsidRPr="00E149A8" w:rsidRDefault="00F90D25" w:rsidP="003F1A79">
      <w:pPr>
        <w:rPr>
          <w:sz w:val="24"/>
        </w:rPr>
      </w:pPr>
      <w:r>
        <w:rPr>
          <w:sz w:val="24"/>
        </w:rPr>
        <w:t>In his analysis of the site, Fisher highlights what he calls “zoning”</w:t>
      </w:r>
      <w:r>
        <w:rPr>
          <w:rStyle w:val="FootnoteReference"/>
          <w:sz w:val="24"/>
        </w:rPr>
        <w:footnoteReference w:id="37"/>
      </w:r>
      <w:r>
        <w:rPr>
          <w:sz w:val="24"/>
        </w:rPr>
        <w:t xml:space="preserve"> at Kalavasos </w:t>
      </w:r>
      <w:r>
        <w:rPr>
          <w:i/>
          <w:sz w:val="24"/>
        </w:rPr>
        <w:t>Ayios Dhimitrios.</w:t>
      </w:r>
      <w:r>
        <w:rPr>
          <w:sz w:val="24"/>
        </w:rPr>
        <w:t xml:space="preserve"> He is referring to the clear separation of the elite or higher-status dwellings (found in the eastern and central parts of the city) and the administrative buildings (found in the northeast of the city) from those belonging to the non-elites, who were relegated to the western outskirts of the settlement.</w:t>
      </w:r>
      <w:r>
        <w:rPr>
          <w:rStyle w:val="FootnoteReference"/>
          <w:sz w:val="24"/>
        </w:rPr>
        <w:footnoteReference w:id="38"/>
      </w:r>
      <w:r>
        <w:rPr>
          <w:sz w:val="24"/>
        </w:rPr>
        <w:t xml:space="preserve"> This aspect of Household Archaeology shows that there is clearly a social practice in place of separation of the classes, which is an important factor in our understanding of urban settlements, as it underlines the sense of hierarchy </w:t>
      </w:r>
      <w:r w:rsidR="00E149A8">
        <w:rPr>
          <w:sz w:val="24"/>
        </w:rPr>
        <w:t xml:space="preserve">already evident in Kalavasos </w:t>
      </w:r>
      <w:r w:rsidR="00E149A8">
        <w:rPr>
          <w:i/>
          <w:sz w:val="24"/>
        </w:rPr>
        <w:t>Ayios Dhimitrios</w:t>
      </w:r>
      <w:r w:rsidR="00E149A8">
        <w:rPr>
          <w:sz w:val="24"/>
        </w:rPr>
        <w:t xml:space="preserve"> from the Administrative Centre of Building X and its contents (see below).</w:t>
      </w:r>
    </w:p>
    <w:p w:rsidR="008E0427" w:rsidRDefault="008E0427" w:rsidP="008E0427">
      <w:pPr>
        <w:rPr>
          <w:sz w:val="24"/>
        </w:rPr>
      </w:pPr>
    </w:p>
    <w:p w:rsidR="000D6C2F" w:rsidRPr="00CE1781" w:rsidRDefault="00403A5D" w:rsidP="00616A77">
      <w:pPr>
        <w:rPr>
          <w:rFonts w:asciiTheme="majorHAnsi" w:hAnsiTheme="majorHAnsi"/>
          <w:b/>
          <w:i/>
          <w:sz w:val="24"/>
        </w:rPr>
      </w:pPr>
      <w:r>
        <w:rPr>
          <w:rFonts w:asciiTheme="majorHAnsi" w:hAnsiTheme="majorHAnsi"/>
          <w:b/>
          <w:color w:val="7F7F7F" w:themeColor="text1" w:themeTint="80"/>
          <w:sz w:val="28"/>
        </w:rPr>
        <w:t>Monumental Construction</w:t>
      </w:r>
      <w:r w:rsidR="000E59B0">
        <w:rPr>
          <w:rFonts w:asciiTheme="majorHAnsi" w:hAnsiTheme="majorHAnsi"/>
          <w:b/>
          <w:color w:val="7F7F7F" w:themeColor="text1" w:themeTint="80"/>
          <w:sz w:val="28"/>
        </w:rPr>
        <w:t xml:space="preserve"> and </w:t>
      </w:r>
      <w:r w:rsidR="00AC2094">
        <w:rPr>
          <w:rFonts w:asciiTheme="majorHAnsi" w:hAnsiTheme="majorHAnsi"/>
          <w:b/>
          <w:color w:val="7F7F7F" w:themeColor="text1" w:themeTint="80"/>
          <w:sz w:val="28"/>
        </w:rPr>
        <w:t xml:space="preserve">the </w:t>
      </w:r>
      <w:r w:rsidR="000E59B0">
        <w:rPr>
          <w:rFonts w:asciiTheme="majorHAnsi" w:hAnsiTheme="majorHAnsi"/>
          <w:b/>
          <w:color w:val="7F7F7F" w:themeColor="text1" w:themeTint="80"/>
          <w:sz w:val="28"/>
        </w:rPr>
        <w:t>Administrative Centre</w:t>
      </w:r>
    </w:p>
    <w:p w:rsidR="009F521C" w:rsidRDefault="00B55B37" w:rsidP="00A43495">
      <w:pPr>
        <w:rPr>
          <w:sz w:val="24"/>
        </w:rPr>
      </w:pPr>
      <w:r>
        <w:rPr>
          <w:sz w:val="24"/>
        </w:rPr>
        <w:t xml:space="preserve">Building X is likely an administrative building, used as a central governing point for the settlement. The use of </w:t>
      </w:r>
      <w:r w:rsidR="009F521C">
        <w:rPr>
          <w:sz w:val="24"/>
        </w:rPr>
        <w:t>Ashlar M</w:t>
      </w:r>
      <w:r w:rsidR="00403A5D">
        <w:rPr>
          <w:sz w:val="24"/>
        </w:rPr>
        <w:t xml:space="preserve">asonry </w:t>
      </w:r>
      <w:r>
        <w:rPr>
          <w:sz w:val="24"/>
        </w:rPr>
        <w:t xml:space="preserve">for the exterior façade and exterior enclosure </w:t>
      </w:r>
      <w:r w:rsidR="00403A5D">
        <w:rPr>
          <w:sz w:val="24"/>
        </w:rPr>
        <w:t>denot</w:t>
      </w:r>
      <w:r>
        <w:rPr>
          <w:sz w:val="24"/>
        </w:rPr>
        <w:t>es</w:t>
      </w:r>
      <w:r w:rsidR="00403A5D">
        <w:rPr>
          <w:sz w:val="24"/>
        </w:rPr>
        <w:t xml:space="preserve"> its elite status above the rest of the site</w:t>
      </w:r>
      <w:r w:rsidR="00403A5D">
        <w:rPr>
          <w:rStyle w:val="FootnoteReference"/>
          <w:sz w:val="24"/>
        </w:rPr>
        <w:footnoteReference w:id="39"/>
      </w:r>
      <w:r w:rsidR="00403A5D">
        <w:rPr>
          <w:sz w:val="24"/>
        </w:rPr>
        <w:t xml:space="preserve">. </w:t>
      </w:r>
      <w:r w:rsidR="009F521C">
        <w:rPr>
          <w:sz w:val="24"/>
        </w:rPr>
        <w:t xml:space="preserve">In his analysis of </w:t>
      </w:r>
      <w:r w:rsidR="009F521C">
        <w:rPr>
          <w:i/>
          <w:sz w:val="24"/>
        </w:rPr>
        <w:t xml:space="preserve">“Elite Place-Making and Social Interaction in the Late Cypriot Bronze Age”, </w:t>
      </w:r>
      <w:r w:rsidR="009F521C">
        <w:rPr>
          <w:sz w:val="24"/>
        </w:rPr>
        <w:t>Fisher proposes that:</w:t>
      </w:r>
    </w:p>
    <w:p w:rsidR="009F521C" w:rsidRPr="009F521C" w:rsidRDefault="009F521C" w:rsidP="00A43495">
      <w:pPr>
        <w:rPr>
          <w:i/>
          <w:sz w:val="24"/>
        </w:rPr>
      </w:pPr>
      <w:r>
        <w:rPr>
          <w:i/>
          <w:sz w:val="24"/>
        </w:rPr>
        <w:t>“T</w:t>
      </w:r>
      <w:r w:rsidRPr="009F521C">
        <w:rPr>
          <w:i/>
          <w:sz w:val="24"/>
        </w:rPr>
        <w:t>he strategic placement of ashlar masonry was the primary way for Cypriot elites to encode messages that reminded occupants and visitors (and even those who saw the buildings but never entered them) of their rel</w:t>
      </w:r>
      <w:r>
        <w:rPr>
          <w:i/>
          <w:sz w:val="24"/>
        </w:rPr>
        <w:t>ative socio-political positions.”</w:t>
      </w:r>
      <w:r>
        <w:rPr>
          <w:rStyle w:val="FootnoteReference"/>
          <w:i/>
          <w:sz w:val="24"/>
        </w:rPr>
        <w:footnoteReference w:id="40"/>
      </w:r>
    </w:p>
    <w:p w:rsidR="00A43495" w:rsidRDefault="003D4BDC" w:rsidP="00A43495">
      <w:pPr>
        <w:rPr>
          <w:sz w:val="24"/>
        </w:rPr>
      </w:pPr>
      <w:r>
        <w:rPr>
          <w:sz w:val="24"/>
        </w:rPr>
        <w:t>The production of Ashlar Masonry would have been costly and required skilled craftsmen to produce</w:t>
      </w:r>
      <w:r w:rsidR="00261DF7">
        <w:rPr>
          <w:sz w:val="24"/>
        </w:rPr>
        <w:t>, as stone is the most difficult material to work</w:t>
      </w:r>
      <w:r w:rsidR="00261DF7">
        <w:rPr>
          <w:rStyle w:val="FootnoteReference"/>
          <w:sz w:val="24"/>
        </w:rPr>
        <w:footnoteReference w:id="41"/>
      </w:r>
      <w:r>
        <w:rPr>
          <w:sz w:val="24"/>
        </w:rPr>
        <w:t>. By having it in such large quantities at Building X, the elite who controlled the Administrative Centre were showing to all those who saw it that they had the power and control over both the labour force in the area, as well as the technical knowledge required to construct it</w:t>
      </w:r>
      <w:r>
        <w:rPr>
          <w:rStyle w:val="FootnoteReference"/>
          <w:sz w:val="24"/>
        </w:rPr>
        <w:footnoteReference w:id="42"/>
      </w:r>
      <w:r>
        <w:rPr>
          <w:sz w:val="24"/>
        </w:rPr>
        <w:t xml:space="preserve">. </w:t>
      </w:r>
      <w:r w:rsidR="000C736F">
        <w:rPr>
          <w:sz w:val="24"/>
        </w:rPr>
        <w:t>As Fisher describes it: “</w:t>
      </w:r>
      <w:r w:rsidR="000C736F">
        <w:rPr>
          <w:i/>
          <w:sz w:val="24"/>
        </w:rPr>
        <w:t>Monumental buildings… were… potent materialisations of elite power and control over human and material resources”.</w:t>
      </w:r>
      <w:r w:rsidR="000C736F">
        <w:rPr>
          <w:rStyle w:val="FootnoteReference"/>
          <w:i/>
          <w:sz w:val="24"/>
        </w:rPr>
        <w:footnoteReference w:id="43"/>
      </w:r>
      <w:r w:rsidR="000C736F">
        <w:rPr>
          <w:i/>
          <w:sz w:val="24"/>
        </w:rPr>
        <w:t xml:space="preserve"> </w:t>
      </w:r>
      <w:r w:rsidR="009F521C">
        <w:rPr>
          <w:sz w:val="24"/>
        </w:rPr>
        <w:t>Stone describes Building X</w:t>
      </w:r>
      <w:r w:rsidR="00403A5D">
        <w:rPr>
          <w:sz w:val="24"/>
        </w:rPr>
        <w:t xml:space="preserve"> as “</w:t>
      </w:r>
      <w:r w:rsidR="00403A5D">
        <w:rPr>
          <w:i/>
          <w:sz w:val="24"/>
        </w:rPr>
        <w:t>the largest and most impressive building within [the] settlement”</w:t>
      </w:r>
      <w:r w:rsidR="00403A5D">
        <w:rPr>
          <w:rStyle w:val="FootnoteReference"/>
          <w:i/>
          <w:sz w:val="24"/>
        </w:rPr>
        <w:footnoteReference w:id="44"/>
      </w:r>
      <w:r w:rsidR="00B55B37">
        <w:rPr>
          <w:sz w:val="24"/>
        </w:rPr>
        <w:t xml:space="preserve"> as the entire complex covers an area of several thousand square metres</w:t>
      </w:r>
      <w:r w:rsidR="00B55B37">
        <w:rPr>
          <w:rStyle w:val="FootnoteReference"/>
          <w:sz w:val="24"/>
        </w:rPr>
        <w:footnoteReference w:id="45"/>
      </w:r>
      <w:r w:rsidR="00B55B37">
        <w:rPr>
          <w:sz w:val="24"/>
        </w:rPr>
        <w:t>.</w:t>
      </w:r>
      <w:r w:rsidR="00A43495">
        <w:rPr>
          <w:sz w:val="24"/>
        </w:rPr>
        <w:t xml:space="preserve"> Further material e</w:t>
      </w:r>
      <w:r w:rsidR="009F521C">
        <w:rPr>
          <w:sz w:val="24"/>
        </w:rPr>
        <w:t>vidence for its elite status comes in the form of Building X’s</w:t>
      </w:r>
      <w:r w:rsidR="00A43495">
        <w:rPr>
          <w:sz w:val="24"/>
        </w:rPr>
        <w:t xml:space="preserve"> central courtyard. As we have seen above, the Late Bronze Age is a period of shared commensality, and this is most clear in the debris left behind in Building X. A deposit of broken tableware has been found</w:t>
      </w:r>
      <w:r w:rsidR="00A43495">
        <w:rPr>
          <w:rStyle w:val="FootnoteReference"/>
          <w:sz w:val="24"/>
        </w:rPr>
        <w:footnoteReference w:id="46"/>
      </w:r>
      <w:r w:rsidR="00A43495">
        <w:rPr>
          <w:sz w:val="24"/>
        </w:rPr>
        <w:t xml:space="preserve">, </w:t>
      </w:r>
      <w:r w:rsidR="00A43495">
        <w:rPr>
          <w:sz w:val="24"/>
        </w:rPr>
        <w:lastRenderedPageBreak/>
        <w:t xml:space="preserve">along with </w:t>
      </w:r>
      <w:r w:rsidR="00286665">
        <w:rPr>
          <w:sz w:val="24"/>
        </w:rPr>
        <w:t xml:space="preserve">4.5kg worth of </w:t>
      </w:r>
      <w:r w:rsidR="00262D69">
        <w:rPr>
          <w:sz w:val="24"/>
        </w:rPr>
        <w:t>bones of several animals in a pit in Room 173</w:t>
      </w:r>
      <w:r w:rsidR="00262D69">
        <w:rPr>
          <w:rStyle w:val="FootnoteReference"/>
          <w:sz w:val="24"/>
        </w:rPr>
        <w:footnoteReference w:id="47"/>
      </w:r>
      <w:r w:rsidR="00262D69">
        <w:rPr>
          <w:sz w:val="24"/>
        </w:rPr>
        <w:t>, are both indication</w:t>
      </w:r>
      <w:r w:rsidR="00286665">
        <w:rPr>
          <w:sz w:val="24"/>
        </w:rPr>
        <w:t>s</w:t>
      </w:r>
      <w:r w:rsidR="00A43495">
        <w:rPr>
          <w:sz w:val="24"/>
        </w:rPr>
        <w:t xml:space="preserve"> of meat consumption, such as mutton, beef and venison</w:t>
      </w:r>
      <w:r w:rsidR="00A43495">
        <w:rPr>
          <w:rStyle w:val="FootnoteReference"/>
          <w:sz w:val="24"/>
        </w:rPr>
        <w:footnoteReference w:id="48"/>
      </w:r>
      <w:r w:rsidR="00262D69">
        <w:rPr>
          <w:sz w:val="24"/>
        </w:rPr>
        <w:t xml:space="preserve">. This would </w:t>
      </w:r>
      <w:r w:rsidR="00A43495">
        <w:rPr>
          <w:sz w:val="24"/>
        </w:rPr>
        <w:t xml:space="preserve">suggest that </w:t>
      </w:r>
      <w:r w:rsidR="00B2616B">
        <w:rPr>
          <w:sz w:val="24"/>
        </w:rPr>
        <w:t>the Central Court area</w:t>
      </w:r>
      <w:r w:rsidR="00A43495">
        <w:rPr>
          <w:sz w:val="24"/>
        </w:rPr>
        <w:t xml:space="preserve"> was likely used for feasting on a grand scale</w:t>
      </w:r>
      <w:r w:rsidR="00B2616B">
        <w:rPr>
          <w:rStyle w:val="FootnoteReference"/>
          <w:sz w:val="24"/>
        </w:rPr>
        <w:footnoteReference w:id="49"/>
      </w:r>
      <w:r w:rsidR="00286665">
        <w:rPr>
          <w:sz w:val="24"/>
        </w:rPr>
        <w:t>, with archaeological evidence suggesting a seating capacity of up to 180 seated guests</w:t>
      </w:r>
      <w:r w:rsidR="00A43495">
        <w:rPr>
          <w:sz w:val="24"/>
        </w:rPr>
        <w:t>.</w:t>
      </w:r>
      <w:r w:rsidR="00286665">
        <w:rPr>
          <w:rStyle w:val="FootnoteReference"/>
          <w:sz w:val="24"/>
        </w:rPr>
        <w:footnoteReference w:id="50"/>
      </w:r>
      <w:r w:rsidR="001E761F">
        <w:rPr>
          <w:sz w:val="24"/>
        </w:rPr>
        <w:t xml:space="preserve"> </w:t>
      </w:r>
      <w:r w:rsidR="005D2A64">
        <w:rPr>
          <w:sz w:val="24"/>
        </w:rPr>
        <w:t>The tableware may well have been ritually broken, which seems to indicate that its deposition was deliberate, rather than simply being a rubbish deposit.</w:t>
      </w:r>
      <w:r w:rsidR="005D2A64">
        <w:rPr>
          <w:rStyle w:val="FootnoteReference"/>
          <w:sz w:val="24"/>
        </w:rPr>
        <w:footnoteReference w:id="51"/>
      </w:r>
      <w:r w:rsidR="005D2A64">
        <w:rPr>
          <w:sz w:val="24"/>
        </w:rPr>
        <w:t xml:space="preserve"> </w:t>
      </w:r>
      <w:r w:rsidR="001E761F">
        <w:rPr>
          <w:sz w:val="24"/>
        </w:rPr>
        <w:t>This type of Household Archaeology gives us great insight into the social practices of this urban settlement, as it suggests that these feasts were luxurious events, intended for the elite to show off how powerful and wealthy they were among their peers and guests</w:t>
      </w:r>
      <w:r w:rsidR="001E761F">
        <w:rPr>
          <w:rStyle w:val="FootnoteReference"/>
          <w:sz w:val="24"/>
        </w:rPr>
        <w:footnoteReference w:id="52"/>
      </w:r>
      <w:r w:rsidR="005D2A64">
        <w:rPr>
          <w:sz w:val="24"/>
        </w:rPr>
        <w:t>, as well as an indication of a ritual of “</w:t>
      </w:r>
      <w:r w:rsidR="005D2A64" w:rsidRPr="005D2A64">
        <w:rPr>
          <w:i/>
          <w:sz w:val="24"/>
        </w:rPr>
        <w:t>conspicuous consumption</w:t>
      </w:r>
      <w:r w:rsidR="005D2A64">
        <w:rPr>
          <w:sz w:val="24"/>
        </w:rPr>
        <w:t>” to conclude the occasion</w:t>
      </w:r>
      <w:r w:rsidR="001E761F">
        <w:rPr>
          <w:sz w:val="24"/>
        </w:rPr>
        <w:t>.</w:t>
      </w:r>
      <w:r w:rsidR="005D2A64">
        <w:rPr>
          <w:rStyle w:val="FootnoteReference"/>
          <w:sz w:val="24"/>
        </w:rPr>
        <w:footnoteReference w:id="53"/>
      </w:r>
      <w:r w:rsidR="001E761F">
        <w:rPr>
          <w:sz w:val="24"/>
        </w:rPr>
        <w:t xml:space="preserve"> Fisher also suggests that ther</w:t>
      </w:r>
      <w:r w:rsidR="00683F3B">
        <w:rPr>
          <w:sz w:val="24"/>
        </w:rPr>
        <w:t>e many have been another format</w:t>
      </w:r>
      <w:r w:rsidR="001E761F">
        <w:rPr>
          <w:sz w:val="24"/>
        </w:rPr>
        <w:t xml:space="preserve"> for these social events:</w:t>
      </w:r>
    </w:p>
    <w:p w:rsidR="001E761F" w:rsidRDefault="001E761F" w:rsidP="001E761F">
      <w:pPr>
        <w:ind w:left="567" w:right="709"/>
        <w:rPr>
          <w:i/>
          <w:sz w:val="24"/>
        </w:rPr>
      </w:pPr>
      <w:r w:rsidRPr="001E761F">
        <w:rPr>
          <w:i/>
          <w:sz w:val="24"/>
        </w:rPr>
        <w:t>“Other occasions involved the participation of non-elites, changing the dynamic from diacritical feasting to a ‘patron-role’ mode of commensal politics in which a relationship of reciprocal obligation was engendered through hospitality</w:t>
      </w:r>
      <w:r>
        <w:rPr>
          <w:i/>
          <w:sz w:val="24"/>
        </w:rPr>
        <w:t>.</w:t>
      </w:r>
      <w:r w:rsidRPr="001E761F">
        <w:rPr>
          <w:i/>
          <w:sz w:val="24"/>
        </w:rPr>
        <w:t xml:space="preserve"> During such occasions, the host provided for guests of lesser status who reciprocated not in kind, but by assuming the obligation of social indebtedness. This established a patron-client type of relationship between host and guest, as the guest’s acceptance of a predictable pattern of hospitality naturalized and formalized the unequal relations of status and power</w:t>
      </w:r>
      <w:r w:rsidR="00AC2094">
        <w:rPr>
          <w:i/>
          <w:sz w:val="24"/>
        </w:rPr>
        <w:t>.</w:t>
      </w:r>
      <w:r w:rsidRPr="001E761F">
        <w:rPr>
          <w:i/>
          <w:sz w:val="24"/>
        </w:rPr>
        <w:t>”</w:t>
      </w:r>
      <w:r>
        <w:rPr>
          <w:rStyle w:val="FootnoteReference"/>
          <w:i/>
          <w:sz w:val="24"/>
        </w:rPr>
        <w:footnoteReference w:id="54"/>
      </w:r>
    </w:p>
    <w:p w:rsidR="00AC2094" w:rsidRDefault="00286665" w:rsidP="00286665">
      <w:pPr>
        <w:rPr>
          <w:sz w:val="24"/>
        </w:rPr>
      </w:pPr>
      <w:r>
        <w:rPr>
          <w:sz w:val="24"/>
        </w:rPr>
        <w:t>Fisher further suggests that this Central Court was not only used for special events and feasts, but that it was used as a gathering space as part of regular daily practice.</w:t>
      </w:r>
      <w:r>
        <w:rPr>
          <w:rStyle w:val="FootnoteReference"/>
          <w:sz w:val="24"/>
        </w:rPr>
        <w:footnoteReference w:id="55"/>
      </w:r>
    </w:p>
    <w:p w:rsidR="00E501C7" w:rsidRPr="00286665" w:rsidRDefault="00E501C7" w:rsidP="00286665">
      <w:pPr>
        <w:rPr>
          <w:sz w:val="24"/>
        </w:rPr>
      </w:pPr>
    </w:p>
    <w:p w:rsidR="001A12C9" w:rsidRDefault="002742F3" w:rsidP="00616A77">
      <w:pPr>
        <w:rPr>
          <w:sz w:val="24"/>
        </w:rPr>
      </w:pPr>
      <w:r>
        <w:rPr>
          <w:sz w:val="24"/>
        </w:rPr>
        <w:t>The storage capacity at Building X, as mentioned above, was enough to hold a capacity of over 50,000 litres. Stone reports that buildings of this nature were used for “</w:t>
      </w:r>
      <w:r>
        <w:rPr>
          <w:i/>
          <w:sz w:val="24"/>
        </w:rPr>
        <w:t>the production and storage of primary agricultural produce, especially olive oil”</w:t>
      </w:r>
      <w:r>
        <w:rPr>
          <w:rStyle w:val="FootnoteReference"/>
          <w:i/>
          <w:sz w:val="24"/>
        </w:rPr>
        <w:footnoteReference w:id="56"/>
      </w:r>
      <w:r>
        <w:rPr>
          <w:i/>
          <w:sz w:val="24"/>
        </w:rPr>
        <w:t>.</w:t>
      </w:r>
      <w:r>
        <w:rPr>
          <w:sz w:val="24"/>
        </w:rPr>
        <w:t xml:space="preserve"> The Household Archaeology of Kalavasos </w:t>
      </w:r>
      <w:r>
        <w:rPr>
          <w:i/>
          <w:sz w:val="24"/>
        </w:rPr>
        <w:t>Ayios Dhimitrios</w:t>
      </w:r>
      <w:r>
        <w:rPr>
          <w:sz w:val="24"/>
        </w:rPr>
        <w:t xml:space="preserve"> supports this, as the </w:t>
      </w:r>
      <w:r>
        <w:rPr>
          <w:i/>
          <w:sz w:val="24"/>
        </w:rPr>
        <w:t>pithoi</w:t>
      </w:r>
      <w:r>
        <w:rPr>
          <w:sz w:val="24"/>
        </w:rPr>
        <w:t xml:space="preserve"> found in the storage magazines contained the residue of mostly olive oil, and two supposed olive oil press installations have been found adjacent to the magazines</w:t>
      </w:r>
      <w:r w:rsidR="00192959">
        <w:rPr>
          <w:sz w:val="24"/>
        </w:rPr>
        <w:t xml:space="preserve"> in Room 186 and 175</w:t>
      </w:r>
      <w:r w:rsidR="00192959">
        <w:rPr>
          <w:rStyle w:val="FootnoteReference"/>
          <w:sz w:val="24"/>
        </w:rPr>
        <w:footnoteReference w:id="57"/>
      </w:r>
      <w:r>
        <w:rPr>
          <w:sz w:val="24"/>
        </w:rPr>
        <w:t>, along with other industrial buildings whose precise function is still as yet unknown</w:t>
      </w:r>
      <w:r>
        <w:rPr>
          <w:rStyle w:val="FootnoteReference"/>
          <w:sz w:val="24"/>
        </w:rPr>
        <w:footnoteReference w:id="58"/>
      </w:r>
      <w:r>
        <w:rPr>
          <w:sz w:val="24"/>
        </w:rPr>
        <w:t>.</w:t>
      </w:r>
      <w:r w:rsidR="00225138">
        <w:rPr>
          <w:sz w:val="24"/>
        </w:rPr>
        <w:t xml:space="preserve"> This amount of produce was more than enough to support the households in the settlement, so it is presumed that Kalavasos </w:t>
      </w:r>
      <w:r w:rsidR="00225138">
        <w:rPr>
          <w:i/>
          <w:sz w:val="24"/>
        </w:rPr>
        <w:t>Ayios Dhimitrios</w:t>
      </w:r>
      <w:r w:rsidR="00225138">
        <w:rPr>
          <w:sz w:val="24"/>
        </w:rPr>
        <w:t xml:space="preserve"> was an administrative centre for the surrounding hinterland</w:t>
      </w:r>
      <w:r w:rsidR="00225138">
        <w:rPr>
          <w:rStyle w:val="FootnoteReference"/>
          <w:sz w:val="24"/>
        </w:rPr>
        <w:footnoteReference w:id="59"/>
      </w:r>
      <w:r w:rsidR="00225138">
        <w:rPr>
          <w:sz w:val="24"/>
        </w:rPr>
        <w:t>.</w:t>
      </w:r>
    </w:p>
    <w:p w:rsidR="001A12C9" w:rsidRDefault="001A12C9" w:rsidP="00616A77">
      <w:pPr>
        <w:rPr>
          <w:sz w:val="24"/>
        </w:rPr>
      </w:pPr>
    </w:p>
    <w:p w:rsidR="00192959" w:rsidRDefault="001A12C9" w:rsidP="00192959">
      <w:pPr>
        <w:rPr>
          <w:sz w:val="24"/>
        </w:rPr>
      </w:pPr>
      <w:r>
        <w:rPr>
          <w:sz w:val="24"/>
        </w:rPr>
        <w:lastRenderedPageBreak/>
        <w:t xml:space="preserve">The room containing the majority of the </w:t>
      </w:r>
      <w:r>
        <w:rPr>
          <w:i/>
          <w:sz w:val="24"/>
        </w:rPr>
        <w:t>pithoi</w:t>
      </w:r>
      <w:r>
        <w:rPr>
          <w:sz w:val="24"/>
        </w:rPr>
        <w:t xml:space="preserve"> </w:t>
      </w:r>
      <w:r w:rsidR="00192959">
        <w:rPr>
          <w:sz w:val="24"/>
        </w:rPr>
        <w:t>(33,500 litres)</w:t>
      </w:r>
      <w:r w:rsidR="00192959">
        <w:rPr>
          <w:rStyle w:val="FootnoteReference"/>
          <w:sz w:val="24"/>
        </w:rPr>
        <w:footnoteReference w:id="60"/>
      </w:r>
      <w:r w:rsidR="00192959">
        <w:rPr>
          <w:sz w:val="24"/>
        </w:rPr>
        <w:t xml:space="preserve"> </w:t>
      </w:r>
      <w:r>
        <w:rPr>
          <w:sz w:val="24"/>
        </w:rPr>
        <w:t xml:space="preserve">found on-site was Room 152, also known as “The </w:t>
      </w:r>
      <w:r>
        <w:rPr>
          <w:i/>
          <w:sz w:val="24"/>
        </w:rPr>
        <w:t xml:space="preserve">Pithos </w:t>
      </w:r>
      <w:r>
        <w:rPr>
          <w:sz w:val="24"/>
        </w:rPr>
        <w:t>Hall</w:t>
      </w:r>
      <w:r>
        <w:rPr>
          <w:i/>
          <w:sz w:val="24"/>
        </w:rPr>
        <w:t>”</w:t>
      </w:r>
      <w:r>
        <w:rPr>
          <w:rStyle w:val="FootnoteReference"/>
          <w:i/>
          <w:sz w:val="24"/>
        </w:rPr>
        <w:footnoteReference w:id="61"/>
      </w:r>
      <w:r>
        <w:rPr>
          <w:sz w:val="24"/>
        </w:rPr>
        <w:t xml:space="preserve">. The </w:t>
      </w:r>
      <w:r>
        <w:rPr>
          <w:i/>
          <w:sz w:val="24"/>
        </w:rPr>
        <w:t>Pithos</w:t>
      </w:r>
      <w:r>
        <w:rPr>
          <w:sz w:val="24"/>
        </w:rPr>
        <w:t xml:space="preserve"> Hall was the largest room in Building X, and contained further examples of the elaborate Ashlar Masonry along its west and south walls.</w:t>
      </w:r>
      <w:r>
        <w:rPr>
          <w:rStyle w:val="FootnoteReference"/>
          <w:sz w:val="24"/>
        </w:rPr>
        <w:footnoteReference w:id="62"/>
      </w:r>
      <w:r>
        <w:rPr>
          <w:sz w:val="24"/>
        </w:rPr>
        <w:t xml:space="preserve"> Inside, were found 50 massive </w:t>
      </w:r>
      <w:r>
        <w:rPr>
          <w:i/>
          <w:sz w:val="24"/>
        </w:rPr>
        <w:t>pithoi</w:t>
      </w:r>
      <w:r>
        <w:rPr>
          <w:sz w:val="24"/>
        </w:rPr>
        <w:t xml:space="preserve"> standing upright, along with 6 others that were sunk into the floor</w:t>
      </w:r>
      <w:r>
        <w:rPr>
          <w:rStyle w:val="FootnoteReference"/>
          <w:sz w:val="24"/>
        </w:rPr>
        <w:footnoteReference w:id="63"/>
      </w:r>
      <w:r>
        <w:rPr>
          <w:sz w:val="24"/>
        </w:rPr>
        <w:t xml:space="preserve">. Gas chromatography analysis performed on these </w:t>
      </w:r>
      <w:r>
        <w:rPr>
          <w:i/>
          <w:sz w:val="24"/>
        </w:rPr>
        <w:t>pithoi</w:t>
      </w:r>
      <w:r>
        <w:rPr>
          <w:sz w:val="24"/>
        </w:rPr>
        <w:t xml:space="preserve"> determined that the majority (if not all) of them held olive oil</w:t>
      </w:r>
      <w:r>
        <w:rPr>
          <w:rStyle w:val="FootnoteReference"/>
          <w:sz w:val="24"/>
        </w:rPr>
        <w:footnoteReference w:id="64"/>
      </w:r>
      <w:r>
        <w:rPr>
          <w:sz w:val="24"/>
        </w:rPr>
        <w:t xml:space="preserve">, which would have been highly valuable. Upon entering this room, the inhabitants of Kalavasos </w:t>
      </w:r>
      <w:r>
        <w:rPr>
          <w:i/>
          <w:sz w:val="24"/>
        </w:rPr>
        <w:t>Ayios Dhimitrios</w:t>
      </w:r>
      <w:r>
        <w:rPr>
          <w:sz w:val="24"/>
        </w:rPr>
        <w:t xml:space="preserve"> were expected to be overwhelmed by this show of wealth, as can be evidenced from the layout of these mega-</w:t>
      </w:r>
      <w:r>
        <w:rPr>
          <w:i/>
          <w:sz w:val="24"/>
        </w:rPr>
        <w:t>pithoi</w:t>
      </w:r>
      <w:r>
        <w:rPr>
          <w:sz w:val="24"/>
        </w:rPr>
        <w:t>.</w:t>
      </w:r>
      <w:r w:rsidR="00192959">
        <w:rPr>
          <w:rStyle w:val="FootnoteReference"/>
          <w:sz w:val="24"/>
        </w:rPr>
        <w:footnoteReference w:id="65"/>
      </w:r>
      <w:r>
        <w:rPr>
          <w:sz w:val="24"/>
        </w:rPr>
        <w:t xml:space="preserve"> They would have been imposing in their size alone, and when you take into consideration the skill required to manufacture such vessels, their importance comes equal to that of the Ashlar Masonry chosen to surround them</w:t>
      </w:r>
      <w:r>
        <w:rPr>
          <w:rStyle w:val="FootnoteReference"/>
          <w:sz w:val="24"/>
        </w:rPr>
        <w:footnoteReference w:id="66"/>
      </w:r>
      <w:r>
        <w:rPr>
          <w:sz w:val="24"/>
        </w:rPr>
        <w:t>.</w:t>
      </w:r>
      <w:r w:rsidR="00192959">
        <w:rPr>
          <w:sz w:val="24"/>
        </w:rPr>
        <w:t xml:space="preserve"> A secondary </w:t>
      </w:r>
      <w:r w:rsidR="00B12C33">
        <w:rPr>
          <w:i/>
          <w:sz w:val="24"/>
        </w:rPr>
        <w:t>pi</w:t>
      </w:r>
      <w:r w:rsidR="00192959">
        <w:rPr>
          <w:i/>
          <w:sz w:val="24"/>
        </w:rPr>
        <w:t>thos</w:t>
      </w:r>
      <w:r w:rsidR="00192959">
        <w:rPr>
          <w:sz w:val="24"/>
        </w:rPr>
        <w:t xml:space="preserve"> storage magazine was found in the north of Building X, but was considerably smaller and less well-decorated.</w:t>
      </w:r>
      <w:r w:rsidR="00192959">
        <w:rPr>
          <w:rStyle w:val="FootnoteReference"/>
          <w:sz w:val="24"/>
        </w:rPr>
        <w:footnoteReference w:id="67"/>
      </w:r>
    </w:p>
    <w:p w:rsidR="000F3315" w:rsidRDefault="000F3315" w:rsidP="00192959">
      <w:pPr>
        <w:rPr>
          <w:sz w:val="24"/>
        </w:rPr>
      </w:pPr>
    </w:p>
    <w:p w:rsidR="000F3315" w:rsidRDefault="000F3315" w:rsidP="00192959">
      <w:pPr>
        <w:rPr>
          <w:rFonts w:asciiTheme="majorHAnsi" w:hAnsiTheme="majorHAnsi"/>
          <w:b/>
          <w:color w:val="7F7F7F" w:themeColor="text1" w:themeTint="80"/>
          <w:sz w:val="28"/>
        </w:rPr>
      </w:pPr>
      <w:r w:rsidRPr="000F3315">
        <w:rPr>
          <w:rFonts w:asciiTheme="majorHAnsi" w:hAnsiTheme="majorHAnsi"/>
          <w:b/>
          <w:color w:val="7F7F7F" w:themeColor="text1" w:themeTint="80"/>
          <w:sz w:val="28"/>
        </w:rPr>
        <w:t>Conclusion</w:t>
      </w:r>
    </w:p>
    <w:p w:rsidR="0011142E" w:rsidRDefault="000F3315" w:rsidP="00192959">
      <w:pPr>
        <w:rPr>
          <w:sz w:val="24"/>
        </w:rPr>
      </w:pPr>
      <w:r>
        <w:rPr>
          <w:sz w:val="24"/>
        </w:rPr>
        <w:t xml:space="preserve">Having completed my analysis of the Material Culture left behind by the inhabitants of Kalavasos </w:t>
      </w:r>
      <w:r>
        <w:rPr>
          <w:i/>
          <w:sz w:val="24"/>
        </w:rPr>
        <w:t>Ayios Dhimitrios</w:t>
      </w:r>
      <w:r>
        <w:rPr>
          <w:sz w:val="24"/>
        </w:rPr>
        <w:t>, I have</w:t>
      </w:r>
      <w:r w:rsidR="00AC0D9D">
        <w:rPr>
          <w:sz w:val="24"/>
        </w:rPr>
        <w:t xml:space="preserve"> discovered a great deal that we can determine about this urban settlement through its Household Archaeology. In particular, we can infer several social practices that occurred at the site, including craft production and specialisation, food production both in the individual households and at the site as a whole, and elite feasting and social gatherings in the administrative centre of Building X. Referring back to Wilk and Rathje</w:t>
      </w:r>
      <w:r w:rsidR="00B81863">
        <w:rPr>
          <w:sz w:val="24"/>
        </w:rPr>
        <w:t>’s quotation</w:t>
      </w:r>
      <w:r w:rsidR="00AC0D9D">
        <w:rPr>
          <w:sz w:val="24"/>
        </w:rPr>
        <w:t xml:space="preserve"> from the beginning of this essay, I feel that by discussing the ‘material’ and ‘behavioural’ components of the households, I have gained some small insight into the first component: the ‘social’ aspect of life in Kalavasos </w:t>
      </w:r>
      <w:r w:rsidR="00AC0D9D">
        <w:rPr>
          <w:i/>
          <w:sz w:val="24"/>
        </w:rPr>
        <w:t>Ayios Dhimitrios</w:t>
      </w:r>
      <w:r w:rsidR="00AC0D9D">
        <w:rPr>
          <w:sz w:val="24"/>
        </w:rPr>
        <w:t>.</w:t>
      </w:r>
      <w:r w:rsidR="00B81863">
        <w:rPr>
          <w:sz w:val="24"/>
        </w:rPr>
        <w:t xml:space="preserve"> It is clear that this urban settlement has been divided into the high- and low-status inhabitants, even at the base level of location of dwellings. However, it is also clear that without the low-status inhabitants, the elite would not be able to function at the luxurious and wealthy level that they are used to, as they need the workers to produce their oil, food, wine and copper.</w:t>
      </w:r>
    </w:p>
    <w:p w:rsidR="0011142E" w:rsidRDefault="0011142E">
      <w:pPr>
        <w:rPr>
          <w:sz w:val="24"/>
        </w:rPr>
      </w:pPr>
      <w:r>
        <w:rPr>
          <w:sz w:val="24"/>
        </w:rPr>
        <w:br w:type="page"/>
      </w:r>
    </w:p>
    <w:p w:rsidR="000F3315" w:rsidRDefault="0011142E" w:rsidP="0011142E">
      <w:pPr>
        <w:jc w:val="center"/>
        <w:rPr>
          <w:b/>
          <w:sz w:val="32"/>
          <w:u w:val="single"/>
        </w:rPr>
      </w:pPr>
      <w:r>
        <w:rPr>
          <w:b/>
          <w:sz w:val="32"/>
          <w:u w:val="single"/>
        </w:rPr>
        <w:lastRenderedPageBreak/>
        <w:t>Bibliography</w:t>
      </w:r>
    </w:p>
    <w:p w:rsidR="0011142E" w:rsidRDefault="00DF355B" w:rsidP="0011142E">
      <w:pPr>
        <w:rPr>
          <w:sz w:val="28"/>
        </w:rPr>
      </w:pPr>
      <w:r>
        <w:rPr>
          <w:sz w:val="28"/>
        </w:rPr>
        <w:t xml:space="preserve">•Latour, B. 2005. </w:t>
      </w:r>
      <w:r>
        <w:rPr>
          <w:i/>
          <w:sz w:val="28"/>
        </w:rPr>
        <w:t>Reassembling the Social: An Introduction to Actor-Network Theory.</w:t>
      </w:r>
      <w:r>
        <w:rPr>
          <w:sz w:val="28"/>
        </w:rPr>
        <w:t xml:space="preserve"> Oxford: Oxford University Press</w:t>
      </w:r>
    </w:p>
    <w:p w:rsidR="00DF355B" w:rsidRDefault="00DF355B" w:rsidP="0011142E">
      <w:pPr>
        <w:rPr>
          <w:sz w:val="28"/>
        </w:rPr>
      </w:pPr>
      <w:r>
        <w:rPr>
          <w:sz w:val="28"/>
        </w:rPr>
        <w:t xml:space="preserve">•Trigger, B.G. 2007. </w:t>
      </w:r>
      <w:r>
        <w:rPr>
          <w:i/>
          <w:sz w:val="28"/>
        </w:rPr>
        <w:t>Understanding Early Civilisations</w:t>
      </w:r>
      <w:r>
        <w:rPr>
          <w:sz w:val="28"/>
        </w:rPr>
        <w:t>. Cambridge: Cambridge University Press</w:t>
      </w:r>
    </w:p>
    <w:p w:rsidR="00DF355B" w:rsidRDefault="00DF355B" w:rsidP="0011142E">
      <w:pPr>
        <w:rPr>
          <w:sz w:val="28"/>
        </w:rPr>
      </w:pPr>
      <w:r>
        <w:rPr>
          <w:sz w:val="28"/>
        </w:rPr>
        <w:t xml:space="preserve">•Fisher, K.D., Leon, J.F., Manning, S.W., Rogers, M., and Sewell, D. 2011. ‘The Kalavasos and </w:t>
      </w:r>
      <w:proofErr w:type="spellStart"/>
      <w:r>
        <w:rPr>
          <w:sz w:val="28"/>
        </w:rPr>
        <w:t>Martoni</w:t>
      </w:r>
      <w:proofErr w:type="spellEnd"/>
      <w:r>
        <w:rPr>
          <w:sz w:val="28"/>
        </w:rPr>
        <w:t xml:space="preserve"> Built Environment Project: Introduction and Preliminary Report on the 2008 and 2010 Seasons’. </w:t>
      </w:r>
      <w:r>
        <w:rPr>
          <w:i/>
          <w:sz w:val="28"/>
        </w:rPr>
        <w:t>Report of the Department of Antiquities Cyprus</w:t>
      </w:r>
      <w:r>
        <w:rPr>
          <w:sz w:val="28"/>
        </w:rPr>
        <w:t>, 1-31.</w:t>
      </w:r>
    </w:p>
    <w:p w:rsidR="00DF355B" w:rsidRDefault="00DF355B" w:rsidP="0011142E">
      <w:pPr>
        <w:rPr>
          <w:sz w:val="28"/>
        </w:rPr>
      </w:pPr>
      <w:r>
        <w:rPr>
          <w:sz w:val="28"/>
        </w:rPr>
        <w:t xml:space="preserve">•Steel, L. 2016. ‘Kitchenalia in Bronze Age Cyprus’. </w:t>
      </w:r>
      <w:r>
        <w:rPr>
          <w:i/>
          <w:sz w:val="28"/>
        </w:rPr>
        <w:t>Gastronomica: The Journal of Critical Food Studies</w:t>
      </w:r>
      <w:r>
        <w:rPr>
          <w:sz w:val="28"/>
        </w:rPr>
        <w:t xml:space="preserve"> 16.3, 79-90</w:t>
      </w:r>
    </w:p>
    <w:p w:rsidR="00DF355B" w:rsidRDefault="00DF355B" w:rsidP="0011142E">
      <w:pPr>
        <w:rPr>
          <w:sz w:val="28"/>
        </w:rPr>
      </w:pPr>
      <w:r>
        <w:rPr>
          <w:sz w:val="28"/>
        </w:rPr>
        <w:t xml:space="preserve">•Stockhammer, P.W. 2012. ‘Performing the Practice Turn in Archaeology’. </w:t>
      </w:r>
      <w:r>
        <w:rPr>
          <w:i/>
          <w:sz w:val="28"/>
        </w:rPr>
        <w:t>Transcultural Studies</w:t>
      </w:r>
      <w:r>
        <w:rPr>
          <w:sz w:val="28"/>
        </w:rPr>
        <w:t xml:space="preserve"> 1, 7-42</w:t>
      </w:r>
    </w:p>
    <w:p w:rsidR="00DF355B" w:rsidRDefault="00DF355B" w:rsidP="0011142E">
      <w:pPr>
        <w:rPr>
          <w:sz w:val="28"/>
        </w:rPr>
      </w:pPr>
      <w:r>
        <w:rPr>
          <w:sz w:val="28"/>
        </w:rPr>
        <w:t xml:space="preserve">•Knapp, B.A. 1998. ‘Who’s Come a Long Way, Baby?’ </w:t>
      </w:r>
      <w:r>
        <w:rPr>
          <w:i/>
          <w:sz w:val="28"/>
        </w:rPr>
        <w:t xml:space="preserve">Archaeological Dialogues </w:t>
      </w:r>
      <w:r>
        <w:rPr>
          <w:sz w:val="28"/>
        </w:rPr>
        <w:t>5, 91-125</w:t>
      </w:r>
    </w:p>
    <w:p w:rsidR="00DF355B" w:rsidRDefault="00DF355B" w:rsidP="0011142E">
      <w:pPr>
        <w:rPr>
          <w:sz w:val="28"/>
        </w:rPr>
      </w:pPr>
      <w:r>
        <w:rPr>
          <w:sz w:val="28"/>
        </w:rPr>
        <w:t xml:space="preserve">•South, A.K. 2012. ‘A View From Cyprus’. </w:t>
      </w:r>
      <w:r>
        <w:rPr>
          <w:i/>
          <w:sz w:val="28"/>
        </w:rPr>
        <w:t>British School at Athens Studies</w:t>
      </w:r>
      <w:r>
        <w:rPr>
          <w:sz w:val="28"/>
        </w:rPr>
        <w:t xml:space="preserve"> 20, 218-231</w:t>
      </w:r>
    </w:p>
    <w:p w:rsidR="00DF355B" w:rsidRDefault="00DF355B" w:rsidP="0011142E">
      <w:pPr>
        <w:rPr>
          <w:sz w:val="28"/>
        </w:rPr>
      </w:pPr>
      <w:r>
        <w:rPr>
          <w:sz w:val="28"/>
        </w:rPr>
        <w:t xml:space="preserve">•Fisher, K.D. 2009. ‘Elite Place-Making and Social Interaction in the Late Cypriot Bronze Age’. </w:t>
      </w:r>
      <w:r>
        <w:rPr>
          <w:i/>
          <w:sz w:val="28"/>
        </w:rPr>
        <w:t xml:space="preserve">Journal of Mediterranean Archaeology </w:t>
      </w:r>
      <w:r>
        <w:rPr>
          <w:sz w:val="28"/>
        </w:rPr>
        <w:t>22, 183-209</w:t>
      </w:r>
    </w:p>
    <w:p w:rsidR="00DF355B" w:rsidRDefault="00DF355B" w:rsidP="0011142E">
      <w:pPr>
        <w:rPr>
          <w:sz w:val="28"/>
        </w:rPr>
      </w:pPr>
      <w:r>
        <w:rPr>
          <w:sz w:val="28"/>
        </w:rPr>
        <w:t xml:space="preserve">•South-Todd, A. 2002. ‘Late Bronze Age Settlement Patterns in Southern Cyprus: The First Kingdoms?’ </w:t>
      </w:r>
      <w:r>
        <w:rPr>
          <w:i/>
          <w:sz w:val="28"/>
        </w:rPr>
        <w:t xml:space="preserve">Cahiers du Centre </w:t>
      </w:r>
      <w:proofErr w:type="spellStart"/>
      <w:r>
        <w:rPr>
          <w:i/>
          <w:sz w:val="28"/>
        </w:rPr>
        <w:t>d’</w:t>
      </w:r>
      <w:r w:rsidR="00967FBC">
        <w:rPr>
          <w:i/>
          <w:sz w:val="28"/>
        </w:rPr>
        <w:t>Etudes</w:t>
      </w:r>
      <w:proofErr w:type="spellEnd"/>
      <w:r w:rsidR="00967FBC">
        <w:rPr>
          <w:i/>
          <w:sz w:val="28"/>
        </w:rPr>
        <w:t xml:space="preserve"> </w:t>
      </w:r>
      <w:proofErr w:type="spellStart"/>
      <w:r w:rsidR="00967FBC">
        <w:rPr>
          <w:i/>
          <w:sz w:val="28"/>
        </w:rPr>
        <w:t>Chypriotes</w:t>
      </w:r>
      <w:proofErr w:type="spellEnd"/>
      <w:r>
        <w:rPr>
          <w:sz w:val="28"/>
        </w:rPr>
        <w:t xml:space="preserve"> </w:t>
      </w:r>
      <w:r w:rsidR="00967FBC">
        <w:rPr>
          <w:sz w:val="28"/>
        </w:rPr>
        <w:t>32, 59-72</w:t>
      </w:r>
    </w:p>
    <w:p w:rsidR="00967FBC" w:rsidRDefault="00967FBC" w:rsidP="0011142E">
      <w:pPr>
        <w:rPr>
          <w:sz w:val="28"/>
        </w:rPr>
      </w:pPr>
      <w:r>
        <w:rPr>
          <w:sz w:val="28"/>
        </w:rPr>
        <w:t xml:space="preserve">•Wilke, R.R. and Rathje, W.L. 1982. ‘Household Archaeology’ </w:t>
      </w:r>
      <w:r>
        <w:rPr>
          <w:i/>
          <w:sz w:val="28"/>
        </w:rPr>
        <w:t xml:space="preserve">The American Behavioural Scientist </w:t>
      </w:r>
      <w:r>
        <w:rPr>
          <w:sz w:val="28"/>
        </w:rPr>
        <w:t>25.6, 617-639</w:t>
      </w:r>
    </w:p>
    <w:p w:rsidR="00967FBC" w:rsidRDefault="00967FBC" w:rsidP="0011142E">
      <w:pPr>
        <w:rPr>
          <w:sz w:val="28"/>
        </w:rPr>
      </w:pPr>
      <w:r>
        <w:rPr>
          <w:sz w:val="28"/>
        </w:rPr>
        <w:t xml:space="preserve">•Steel, L. 2004. ‘A Goodly Feast… A Cup of Mellow Wine: Feasting in Bronze Age Cyprus’ </w:t>
      </w:r>
      <w:r>
        <w:rPr>
          <w:i/>
          <w:sz w:val="28"/>
        </w:rPr>
        <w:t>Hesperia: The Journal of the American School of Classical Studies at Athens</w:t>
      </w:r>
      <w:r>
        <w:rPr>
          <w:sz w:val="28"/>
        </w:rPr>
        <w:t xml:space="preserve"> 73.2, 281-300</w:t>
      </w:r>
    </w:p>
    <w:p w:rsidR="0011142E" w:rsidRDefault="00967FBC">
      <w:pPr>
        <w:rPr>
          <w:sz w:val="28"/>
        </w:rPr>
      </w:pPr>
      <w:r>
        <w:rPr>
          <w:sz w:val="28"/>
        </w:rPr>
        <w:t>•Van Brempt, I. and Kassianidou, V. 2016. ‘Facing the Complexity of Copper-Sulphide</w:t>
      </w:r>
      <w:r w:rsidR="00546BB5">
        <w:rPr>
          <w:sz w:val="28"/>
        </w:rPr>
        <w:t xml:space="preserve"> Ore S</w:t>
      </w:r>
      <w:bookmarkStart w:id="0" w:name="_GoBack"/>
      <w:bookmarkEnd w:id="0"/>
      <w:r>
        <w:rPr>
          <w:sz w:val="28"/>
        </w:rPr>
        <w:t xml:space="preserve">melting and Assessing the Role of Copper in South-Central Cyprus: A Comparative Study of the Slag Assemblage from Late Bronze Age Kalavasos </w:t>
      </w:r>
      <w:r>
        <w:rPr>
          <w:i/>
          <w:sz w:val="28"/>
        </w:rPr>
        <w:t>Ayios Dhimitrios</w:t>
      </w:r>
      <w:r>
        <w:rPr>
          <w:sz w:val="28"/>
        </w:rPr>
        <w:t xml:space="preserve">’ </w:t>
      </w:r>
      <w:r>
        <w:rPr>
          <w:i/>
          <w:sz w:val="28"/>
        </w:rPr>
        <w:t>Journal of Archaeological Science: Reports</w:t>
      </w:r>
      <w:r>
        <w:rPr>
          <w:sz w:val="28"/>
        </w:rPr>
        <w:t xml:space="preserve"> 7, 539-553</w:t>
      </w:r>
      <w:r w:rsidR="0011142E">
        <w:rPr>
          <w:sz w:val="28"/>
        </w:rPr>
        <w:br w:type="page"/>
      </w:r>
    </w:p>
    <w:p w:rsidR="0011142E" w:rsidRDefault="0031210E" w:rsidP="0031210E">
      <w:pPr>
        <w:jc w:val="center"/>
        <w:rPr>
          <w:b/>
          <w:sz w:val="32"/>
          <w:u w:val="single"/>
        </w:rPr>
      </w:pPr>
      <w:r>
        <w:rPr>
          <w:b/>
          <w:sz w:val="32"/>
          <w:u w:val="single"/>
        </w:rPr>
        <w:lastRenderedPageBreak/>
        <w:t>Appendix</w:t>
      </w:r>
    </w:p>
    <w:p w:rsidR="0031210E" w:rsidRDefault="0031210E" w:rsidP="0031210E">
      <w:pPr>
        <w:keepNext/>
        <w:jc w:val="center"/>
      </w:pPr>
      <w:r>
        <w:rPr>
          <w:b/>
          <w:noProof/>
          <w:sz w:val="32"/>
          <w:u w:val="single"/>
          <w:lang w:eastAsia="en-GB"/>
        </w:rPr>
        <w:drawing>
          <wp:inline distT="0" distB="0" distL="0" distR="0">
            <wp:extent cx="8143126" cy="4344003"/>
            <wp:effectExtent l="0" t="5397" r="5397" b="539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p of Cyprus after Fisher 2014b p186.png"/>
                    <pic:cNvPicPr/>
                  </pic:nvPicPr>
                  <pic:blipFill>
                    <a:blip r:embed="rId8">
                      <a:extLst>
                        <a:ext uri="{28A0092B-C50C-407E-A947-70E740481C1C}">
                          <a14:useLocalDpi xmlns:a14="http://schemas.microsoft.com/office/drawing/2010/main" val="0"/>
                        </a:ext>
                      </a:extLst>
                    </a:blip>
                    <a:stretch>
                      <a:fillRect/>
                    </a:stretch>
                  </pic:blipFill>
                  <pic:spPr>
                    <a:xfrm rot="16200000">
                      <a:off x="0" y="0"/>
                      <a:ext cx="8155329" cy="4350513"/>
                    </a:xfrm>
                    <a:prstGeom prst="rect">
                      <a:avLst/>
                    </a:prstGeom>
                  </pic:spPr>
                </pic:pic>
              </a:graphicData>
            </a:graphic>
          </wp:inline>
        </w:drawing>
      </w:r>
    </w:p>
    <w:p w:rsidR="0031210E" w:rsidRDefault="0031210E" w:rsidP="0031210E">
      <w:pPr>
        <w:pStyle w:val="Caption"/>
        <w:jc w:val="center"/>
      </w:pPr>
      <w:r>
        <w:t xml:space="preserve">Figure </w:t>
      </w:r>
      <w:r>
        <w:fldChar w:fldCharType="begin"/>
      </w:r>
      <w:r>
        <w:instrText xml:space="preserve"> SEQ Figure \* ARABIC </w:instrText>
      </w:r>
      <w:r>
        <w:fldChar w:fldCharType="separate"/>
      </w:r>
      <w:r w:rsidR="00356A29">
        <w:rPr>
          <w:noProof/>
        </w:rPr>
        <w:t>1</w:t>
      </w:r>
      <w:r>
        <w:fldChar w:fldCharType="end"/>
      </w:r>
      <w:r>
        <w:t xml:space="preserve"> </w:t>
      </w:r>
      <w:r w:rsidRPr="007E3E86">
        <w:t>Map of Cyprus after Fisher 2014b p186</w:t>
      </w:r>
    </w:p>
    <w:p w:rsidR="0031210E" w:rsidRDefault="0031210E" w:rsidP="0031210E">
      <w:pPr>
        <w:keepNext/>
        <w:jc w:val="center"/>
      </w:pPr>
      <w:r>
        <w:rPr>
          <w:noProof/>
          <w:lang w:eastAsia="en-GB"/>
        </w:rPr>
        <w:lastRenderedPageBreak/>
        <w:drawing>
          <wp:inline distT="0" distB="0" distL="0" distR="0">
            <wp:extent cx="6488685" cy="5864772"/>
            <wp:effectExtent l="0" t="0" r="762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hematic Plan of Kalavasos Ayios Dhimitrios, after Fisher 2014b p19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94485" cy="5870014"/>
                    </a:xfrm>
                    <a:prstGeom prst="rect">
                      <a:avLst/>
                    </a:prstGeom>
                  </pic:spPr>
                </pic:pic>
              </a:graphicData>
            </a:graphic>
          </wp:inline>
        </w:drawing>
      </w:r>
    </w:p>
    <w:p w:rsidR="0031210E" w:rsidRDefault="0031210E" w:rsidP="0031210E">
      <w:pPr>
        <w:pStyle w:val="Caption"/>
        <w:jc w:val="center"/>
      </w:pPr>
      <w:r>
        <w:t xml:space="preserve">Figure </w:t>
      </w:r>
      <w:r>
        <w:fldChar w:fldCharType="begin"/>
      </w:r>
      <w:r>
        <w:instrText xml:space="preserve"> SEQ Figure \* ARABIC </w:instrText>
      </w:r>
      <w:r>
        <w:fldChar w:fldCharType="separate"/>
      </w:r>
      <w:r w:rsidR="00356A29">
        <w:rPr>
          <w:noProof/>
        </w:rPr>
        <w:t>2</w:t>
      </w:r>
      <w:r>
        <w:fldChar w:fldCharType="end"/>
      </w:r>
      <w:r>
        <w:t xml:space="preserve"> </w:t>
      </w:r>
      <w:r w:rsidRPr="007A5CC2">
        <w:t>Schematic Plan of Kalavasos Ayios Dhimitrios, after Fisher 2014b p193</w:t>
      </w:r>
    </w:p>
    <w:p w:rsidR="00356A29" w:rsidRDefault="00356A29" w:rsidP="00356A29">
      <w:pPr>
        <w:keepNext/>
      </w:pPr>
      <w:r>
        <w:rPr>
          <w:noProof/>
          <w:lang w:eastAsia="en-GB"/>
        </w:rPr>
        <w:lastRenderedPageBreak/>
        <w:drawing>
          <wp:inline distT="0" distB="0" distL="0" distR="0">
            <wp:extent cx="6173061" cy="72400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ilding X Schematic Plan, after Fisher 2014a p176.png"/>
                    <pic:cNvPicPr/>
                  </pic:nvPicPr>
                  <pic:blipFill>
                    <a:blip r:embed="rId10">
                      <a:extLst>
                        <a:ext uri="{28A0092B-C50C-407E-A947-70E740481C1C}">
                          <a14:useLocalDpi xmlns:a14="http://schemas.microsoft.com/office/drawing/2010/main" val="0"/>
                        </a:ext>
                      </a:extLst>
                    </a:blip>
                    <a:stretch>
                      <a:fillRect/>
                    </a:stretch>
                  </pic:blipFill>
                  <pic:spPr>
                    <a:xfrm>
                      <a:off x="0" y="0"/>
                      <a:ext cx="6173061" cy="7240010"/>
                    </a:xfrm>
                    <a:prstGeom prst="rect">
                      <a:avLst/>
                    </a:prstGeom>
                  </pic:spPr>
                </pic:pic>
              </a:graphicData>
            </a:graphic>
          </wp:inline>
        </w:drawing>
      </w:r>
    </w:p>
    <w:p w:rsidR="00356A29" w:rsidRPr="00356A29" w:rsidRDefault="00356A29" w:rsidP="00356A29">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w:t>
      </w:r>
      <w:r w:rsidRPr="00AD61D6">
        <w:t>Building X Schematic Plan, after Fisher 2014a p176</w:t>
      </w:r>
    </w:p>
    <w:sectPr w:rsidR="00356A29" w:rsidRPr="00356A29" w:rsidSect="00E80CA4">
      <w:headerReference w:type="even" r:id="rId11"/>
      <w:headerReference w:type="default" r:id="rId12"/>
      <w:footerReference w:type="even" r:id="rId13"/>
      <w:footerReference w:type="default" r:id="rId14"/>
      <w:headerReference w:type="first" r:id="rId15"/>
      <w:footerReference w:type="first" r:id="rId16"/>
      <w:pgSz w:w="11906" w:h="16838"/>
      <w:pgMar w:top="1440" w:right="707" w:bottom="1440" w:left="85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7DBC" w:rsidRDefault="004B7DBC" w:rsidP="0041175C">
      <w:pPr>
        <w:spacing w:after="0" w:line="240" w:lineRule="auto"/>
      </w:pPr>
      <w:r>
        <w:separator/>
      </w:r>
    </w:p>
  </w:endnote>
  <w:endnote w:type="continuationSeparator" w:id="0">
    <w:p w:rsidR="004B7DBC" w:rsidRDefault="004B7DBC" w:rsidP="00411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10601000101010101"/>
    <w:charset w:val="88"/>
    <w:family w:val="auto"/>
    <w:notTrueType/>
    <w:pitch w:val="variable"/>
    <w:sig w:usb0="00000001" w:usb1="08080000" w:usb2="00000010" w:usb3="00000000" w:csb0="001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2094" w:rsidRDefault="00AC209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2094" w:rsidRDefault="00AC209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2094" w:rsidRDefault="00AC20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7DBC" w:rsidRDefault="004B7DBC" w:rsidP="0041175C">
      <w:pPr>
        <w:spacing w:after="0" w:line="240" w:lineRule="auto"/>
      </w:pPr>
      <w:r>
        <w:separator/>
      </w:r>
    </w:p>
  </w:footnote>
  <w:footnote w:type="continuationSeparator" w:id="0">
    <w:p w:rsidR="004B7DBC" w:rsidRDefault="004B7DBC" w:rsidP="0041175C">
      <w:pPr>
        <w:spacing w:after="0" w:line="240" w:lineRule="auto"/>
      </w:pPr>
      <w:r>
        <w:continuationSeparator/>
      </w:r>
    </w:p>
  </w:footnote>
  <w:footnote w:id="1">
    <w:p w:rsidR="0041175C" w:rsidRDefault="0041175C">
      <w:pPr>
        <w:pStyle w:val="FootnoteText"/>
      </w:pPr>
      <w:r>
        <w:rPr>
          <w:rStyle w:val="FootnoteReference"/>
        </w:rPr>
        <w:footnoteRef/>
      </w:r>
      <w:r w:rsidR="007B2904">
        <w:t xml:space="preserve"> Fisher et al. 2011: 6</w:t>
      </w:r>
    </w:p>
  </w:footnote>
  <w:footnote w:id="2">
    <w:p w:rsidR="000372CF" w:rsidRDefault="000372CF" w:rsidP="000372CF">
      <w:pPr>
        <w:pStyle w:val="FootnoteText"/>
      </w:pPr>
      <w:r>
        <w:rPr>
          <w:rStyle w:val="FootnoteReference"/>
        </w:rPr>
        <w:footnoteRef/>
      </w:r>
      <w:r>
        <w:t xml:space="preserve"> Fisher et al. 2011: 6</w:t>
      </w:r>
    </w:p>
  </w:footnote>
  <w:footnote w:id="3">
    <w:p w:rsidR="000372CF" w:rsidRDefault="000372CF" w:rsidP="000372CF">
      <w:pPr>
        <w:pStyle w:val="FootnoteText"/>
      </w:pPr>
      <w:r>
        <w:rPr>
          <w:rStyle w:val="FootnoteReference"/>
        </w:rPr>
        <w:footnoteRef/>
      </w:r>
      <w:r>
        <w:t xml:space="preserve"> Fisher et al. 2011: 6</w:t>
      </w:r>
    </w:p>
  </w:footnote>
  <w:footnote w:id="4">
    <w:p w:rsidR="000372CF" w:rsidRDefault="000372CF" w:rsidP="000372CF">
      <w:pPr>
        <w:pStyle w:val="FootnoteText"/>
      </w:pPr>
      <w:r>
        <w:rPr>
          <w:rStyle w:val="FootnoteReference"/>
        </w:rPr>
        <w:footnoteRef/>
      </w:r>
      <w:r>
        <w:t xml:space="preserve"> Fisher et al. 2011: 8</w:t>
      </w:r>
    </w:p>
  </w:footnote>
  <w:footnote w:id="5">
    <w:p w:rsidR="00E501C7" w:rsidRDefault="00E501C7">
      <w:pPr>
        <w:pStyle w:val="FootnoteText"/>
      </w:pPr>
      <w:r>
        <w:rPr>
          <w:rStyle w:val="FootnoteReference"/>
        </w:rPr>
        <w:footnoteRef/>
      </w:r>
      <w:r>
        <w:t xml:space="preserve"> Wilk and Rathje 1982: 618</w:t>
      </w:r>
    </w:p>
  </w:footnote>
  <w:footnote w:id="6">
    <w:p w:rsidR="005B574E" w:rsidRDefault="005B574E">
      <w:pPr>
        <w:pStyle w:val="FootnoteText"/>
      </w:pPr>
      <w:r>
        <w:rPr>
          <w:rStyle w:val="FootnoteReference"/>
        </w:rPr>
        <w:footnoteRef/>
      </w:r>
      <w:r>
        <w:t xml:space="preserve"> Wilk and Rathje 1982: 618</w:t>
      </w:r>
    </w:p>
  </w:footnote>
  <w:footnote w:id="7">
    <w:p w:rsidR="004A26D5" w:rsidRDefault="004A26D5">
      <w:pPr>
        <w:pStyle w:val="FootnoteText"/>
      </w:pPr>
      <w:r>
        <w:rPr>
          <w:rStyle w:val="FootnoteReference"/>
        </w:rPr>
        <w:footnoteRef/>
      </w:r>
      <w:r>
        <w:t xml:space="preserve"> Wilk and Rathje 1982: 620</w:t>
      </w:r>
    </w:p>
  </w:footnote>
  <w:footnote w:id="8">
    <w:p w:rsidR="00E80CA4" w:rsidRDefault="00E80CA4">
      <w:pPr>
        <w:pStyle w:val="FootnoteText"/>
      </w:pPr>
      <w:r>
        <w:rPr>
          <w:rStyle w:val="FootnoteReference"/>
        </w:rPr>
        <w:footnoteRef/>
      </w:r>
      <w:r>
        <w:t xml:space="preserve"> Steel 2016: 79</w:t>
      </w:r>
    </w:p>
  </w:footnote>
  <w:footnote w:id="9">
    <w:p w:rsidR="00391A5A" w:rsidRDefault="00391A5A">
      <w:pPr>
        <w:pStyle w:val="FootnoteText"/>
      </w:pPr>
      <w:r>
        <w:rPr>
          <w:rStyle w:val="FootnoteReference"/>
        </w:rPr>
        <w:footnoteRef/>
      </w:r>
      <w:r>
        <w:t xml:space="preserve"> Latour 2005: 70-71</w:t>
      </w:r>
    </w:p>
  </w:footnote>
  <w:footnote w:id="10">
    <w:p w:rsidR="00391A5A" w:rsidRDefault="00391A5A">
      <w:pPr>
        <w:pStyle w:val="FootnoteText"/>
      </w:pPr>
      <w:r>
        <w:rPr>
          <w:rStyle w:val="FootnoteReference"/>
        </w:rPr>
        <w:footnoteRef/>
      </w:r>
      <w:r>
        <w:t xml:space="preserve"> Latour 2005: 71</w:t>
      </w:r>
    </w:p>
  </w:footnote>
  <w:footnote w:id="11">
    <w:p w:rsidR="0018052C" w:rsidRDefault="0018052C">
      <w:pPr>
        <w:pStyle w:val="FootnoteText"/>
      </w:pPr>
      <w:r>
        <w:rPr>
          <w:rStyle w:val="FootnoteReference"/>
        </w:rPr>
        <w:footnoteRef/>
      </w:r>
      <w:r>
        <w:t xml:space="preserve"> Steel 2016: 84</w:t>
      </w:r>
    </w:p>
  </w:footnote>
  <w:footnote w:id="12">
    <w:p w:rsidR="00852544" w:rsidRDefault="00A25BEE">
      <w:pPr>
        <w:pStyle w:val="FootnoteText"/>
      </w:pPr>
      <w:r>
        <w:rPr>
          <w:rStyle w:val="FootnoteReference"/>
        </w:rPr>
        <w:footnoteRef/>
      </w:r>
      <w:r>
        <w:t xml:space="preserve"> Steel 2016: 87</w:t>
      </w:r>
    </w:p>
  </w:footnote>
  <w:footnote w:id="13">
    <w:p w:rsidR="004833E3" w:rsidRDefault="004833E3">
      <w:pPr>
        <w:pStyle w:val="FootnoteText"/>
      </w:pPr>
      <w:r>
        <w:rPr>
          <w:rStyle w:val="FootnoteReference"/>
        </w:rPr>
        <w:footnoteRef/>
      </w:r>
      <w:r>
        <w:t xml:space="preserve"> Stockhammer 2012: 9</w:t>
      </w:r>
    </w:p>
  </w:footnote>
  <w:footnote w:id="14">
    <w:p w:rsidR="004833E3" w:rsidRDefault="004833E3">
      <w:pPr>
        <w:pStyle w:val="FootnoteText"/>
      </w:pPr>
      <w:r>
        <w:rPr>
          <w:rStyle w:val="FootnoteReference"/>
        </w:rPr>
        <w:footnoteRef/>
      </w:r>
      <w:r>
        <w:t xml:space="preserve"> Stockhammer 2012: 9</w:t>
      </w:r>
    </w:p>
  </w:footnote>
  <w:footnote w:id="15">
    <w:p w:rsidR="009E77C0" w:rsidRDefault="009E77C0" w:rsidP="009E77C0">
      <w:pPr>
        <w:pStyle w:val="FootnoteText"/>
      </w:pPr>
      <w:r>
        <w:rPr>
          <w:rStyle w:val="FootnoteReference"/>
        </w:rPr>
        <w:footnoteRef/>
      </w:r>
      <w:r>
        <w:t xml:space="preserve"> Steel 2016: 87; Trigger 2007: 359</w:t>
      </w:r>
    </w:p>
  </w:footnote>
  <w:footnote w:id="16">
    <w:p w:rsidR="009E77C0" w:rsidRDefault="009E77C0" w:rsidP="009E77C0">
      <w:pPr>
        <w:pStyle w:val="FootnoteText"/>
      </w:pPr>
      <w:r>
        <w:rPr>
          <w:rStyle w:val="FootnoteReference"/>
        </w:rPr>
        <w:footnoteRef/>
      </w:r>
      <w:r>
        <w:t xml:space="preserve"> Knapp 1998: 100</w:t>
      </w:r>
    </w:p>
  </w:footnote>
  <w:footnote w:id="17">
    <w:p w:rsidR="009E77C0" w:rsidRDefault="009E77C0" w:rsidP="009E77C0">
      <w:pPr>
        <w:pStyle w:val="FootnoteText"/>
      </w:pPr>
      <w:r>
        <w:rPr>
          <w:rStyle w:val="FootnoteReference"/>
        </w:rPr>
        <w:footnoteRef/>
      </w:r>
      <w:r>
        <w:t xml:space="preserve"> Knapp 1998: 101</w:t>
      </w:r>
    </w:p>
  </w:footnote>
  <w:footnote w:id="18">
    <w:p w:rsidR="00C140EA" w:rsidRDefault="00C140EA">
      <w:pPr>
        <w:pStyle w:val="FootnoteText"/>
      </w:pPr>
      <w:r>
        <w:rPr>
          <w:rStyle w:val="FootnoteReference"/>
        </w:rPr>
        <w:footnoteRef/>
      </w:r>
      <w:r>
        <w:t xml:space="preserve"> Steel 2016: 87</w:t>
      </w:r>
    </w:p>
  </w:footnote>
  <w:footnote w:id="19">
    <w:p w:rsidR="00E2409D" w:rsidRDefault="00E2409D">
      <w:pPr>
        <w:pStyle w:val="FootnoteText"/>
      </w:pPr>
      <w:r>
        <w:rPr>
          <w:rStyle w:val="FootnoteReference"/>
        </w:rPr>
        <w:footnoteRef/>
      </w:r>
      <w:r>
        <w:t xml:space="preserve"> Steel 2016: 83</w:t>
      </w:r>
    </w:p>
  </w:footnote>
  <w:footnote w:id="20">
    <w:p w:rsidR="00E2409D" w:rsidRDefault="00E2409D">
      <w:pPr>
        <w:pStyle w:val="FootnoteText"/>
      </w:pPr>
      <w:r>
        <w:rPr>
          <w:rStyle w:val="FootnoteReference"/>
        </w:rPr>
        <w:footnoteRef/>
      </w:r>
      <w:r>
        <w:t xml:space="preserve"> Steel 2016: 83</w:t>
      </w:r>
    </w:p>
  </w:footnote>
  <w:footnote w:id="21">
    <w:p w:rsidR="00C22DE1" w:rsidRDefault="00C22DE1">
      <w:pPr>
        <w:pStyle w:val="FootnoteText"/>
      </w:pPr>
      <w:r>
        <w:rPr>
          <w:rStyle w:val="FootnoteReference"/>
        </w:rPr>
        <w:footnoteRef/>
      </w:r>
      <w:r>
        <w:t xml:space="preserve"> Steel 2016: 83</w:t>
      </w:r>
    </w:p>
  </w:footnote>
  <w:footnote w:id="22">
    <w:p w:rsidR="004B3AAB" w:rsidRDefault="004B3AAB">
      <w:pPr>
        <w:pStyle w:val="FootnoteText"/>
      </w:pPr>
      <w:r>
        <w:rPr>
          <w:rStyle w:val="FootnoteReference"/>
        </w:rPr>
        <w:footnoteRef/>
      </w:r>
      <w:r>
        <w:t xml:space="preserve"> Steel 2016: 85</w:t>
      </w:r>
    </w:p>
  </w:footnote>
  <w:footnote w:id="23">
    <w:p w:rsidR="00A25BEE" w:rsidRDefault="00A25BEE">
      <w:pPr>
        <w:pStyle w:val="FootnoteText"/>
      </w:pPr>
      <w:r>
        <w:rPr>
          <w:rStyle w:val="FootnoteReference"/>
        </w:rPr>
        <w:footnoteRef/>
      </w:r>
      <w:r>
        <w:t xml:space="preserve"> Steel 2016: 84</w:t>
      </w:r>
    </w:p>
  </w:footnote>
  <w:footnote w:id="24">
    <w:p w:rsidR="00D337C2" w:rsidRDefault="00D337C2">
      <w:pPr>
        <w:pStyle w:val="FootnoteText"/>
      </w:pPr>
      <w:r>
        <w:rPr>
          <w:rStyle w:val="FootnoteReference"/>
        </w:rPr>
        <w:footnoteRef/>
      </w:r>
      <w:r>
        <w:t xml:space="preserve"> Steel 2016: 85</w:t>
      </w:r>
    </w:p>
  </w:footnote>
  <w:footnote w:id="25">
    <w:p w:rsidR="00403A5D" w:rsidRDefault="00403A5D">
      <w:pPr>
        <w:pStyle w:val="FootnoteText"/>
      </w:pPr>
      <w:r>
        <w:rPr>
          <w:rStyle w:val="FootnoteReference"/>
        </w:rPr>
        <w:footnoteRef/>
      </w:r>
      <w:r w:rsidR="008E0427">
        <w:t xml:space="preserve"> South</w:t>
      </w:r>
      <w:r>
        <w:t xml:space="preserve"> 2012: 221</w:t>
      </w:r>
    </w:p>
  </w:footnote>
  <w:footnote w:id="26">
    <w:p w:rsidR="00A25BEE" w:rsidRDefault="00A25BEE">
      <w:pPr>
        <w:pStyle w:val="FootnoteText"/>
      </w:pPr>
      <w:r>
        <w:rPr>
          <w:rStyle w:val="FootnoteReference"/>
        </w:rPr>
        <w:footnoteRef/>
      </w:r>
      <w:r>
        <w:t xml:space="preserve"> Steel 2016: 85</w:t>
      </w:r>
    </w:p>
  </w:footnote>
  <w:footnote w:id="27">
    <w:p w:rsidR="00A25BEE" w:rsidRDefault="00A25BEE">
      <w:pPr>
        <w:pStyle w:val="FootnoteText"/>
      </w:pPr>
      <w:r>
        <w:rPr>
          <w:rStyle w:val="FootnoteReference"/>
        </w:rPr>
        <w:footnoteRef/>
      </w:r>
      <w:r>
        <w:t xml:space="preserve"> Steel 2016: 85</w:t>
      </w:r>
    </w:p>
  </w:footnote>
  <w:footnote w:id="28">
    <w:p w:rsidR="008E0427" w:rsidRDefault="008E0427">
      <w:pPr>
        <w:pStyle w:val="FootnoteText"/>
      </w:pPr>
      <w:r>
        <w:rPr>
          <w:rStyle w:val="FootnoteReference"/>
        </w:rPr>
        <w:footnoteRef/>
      </w:r>
      <w:r>
        <w:t xml:space="preserve"> South-Todd 2002: 60</w:t>
      </w:r>
    </w:p>
  </w:footnote>
  <w:footnote w:id="29">
    <w:p w:rsidR="003F1A79" w:rsidRDefault="003F1A79">
      <w:pPr>
        <w:pStyle w:val="FootnoteText"/>
      </w:pPr>
      <w:r>
        <w:rPr>
          <w:rStyle w:val="FootnoteReference"/>
        </w:rPr>
        <w:footnoteRef/>
      </w:r>
      <w:r>
        <w:t xml:space="preserve"> South-Todd 2002: 60</w:t>
      </w:r>
    </w:p>
  </w:footnote>
  <w:footnote w:id="30">
    <w:p w:rsidR="003F1A79" w:rsidRDefault="003F1A79">
      <w:pPr>
        <w:pStyle w:val="FootnoteText"/>
      </w:pPr>
      <w:r>
        <w:rPr>
          <w:rStyle w:val="FootnoteReference"/>
        </w:rPr>
        <w:footnoteRef/>
      </w:r>
      <w:r>
        <w:t xml:space="preserve"> South-Todd 2002: 60</w:t>
      </w:r>
    </w:p>
  </w:footnote>
  <w:footnote w:id="31">
    <w:p w:rsidR="003F1A79" w:rsidRDefault="003F1A79">
      <w:pPr>
        <w:pStyle w:val="FootnoteText"/>
      </w:pPr>
      <w:r>
        <w:rPr>
          <w:rStyle w:val="FootnoteReference"/>
        </w:rPr>
        <w:footnoteRef/>
      </w:r>
      <w:r>
        <w:t xml:space="preserve"> South-Todd 2002: 60</w:t>
      </w:r>
    </w:p>
  </w:footnote>
  <w:footnote w:id="32">
    <w:p w:rsidR="005A5D98" w:rsidRDefault="005A5D98">
      <w:pPr>
        <w:pStyle w:val="FootnoteText"/>
      </w:pPr>
      <w:r>
        <w:rPr>
          <w:rStyle w:val="FootnoteReference"/>
        </w:rPr>
        <w:footnoteRef/>
      </w:r>
      <w:r>
        <w:t xml:space="preserve"> Fisher 2014b: 192</w:t>
      </w:r>
    </w:p>
  </w:footnote>
  <w:footnote w:id="33">
    <w:p w:rsidR="003F1A79" w:rsidRDefault="003F1A79">
      <w:pPr>
        <w:pStyle w:val="FootnoteText"/>
      </w:pPr>
      <w:r>
        <w:rPr>
          <w:rStyle w:val="FootnoteReference"/>
        </w:rPr>
        <w:footnoteRef/>
      </w:r>
      <w:r>
        <w:t xml:space="preserve"> South-Todd 2002: 60</w:t>
      </w:r>
    </w:p>
  </w:footnote>
  <w:footnote w:id="34">
    <w:p w:rsidR="003F1A79" w:rsidRDefault="003F1A79">
      <w:pPr>
        <w:pStyle w:val="FootnoteText"/>
      </w:pPr>
      <w:r>
        <w:rPr>
          <w:rStyle w:val="FootnoteReference"/>
        </w:rPr>
        <w:footnoteRef/>
      </w:r>
      <w:r>
        <w:t xml:space="preserve"> South-Todd 2002: 60</w:t>
      </w:r>
      <w:r w:rsidR="009E77C0">
        <w:t>; Van Brempt and Kassianidou 2016: 539</w:t>
      </w:r>
    </w:p>
  </w:footnote>
  <w:footnote w:id="35">
    <w:p w:rsidR="003F1A79" w:rsidRDefault="003F1A79">
      <w:pPr>
        <w:pStyle w:val="FootnoteText"/>
      </w:pPr>
      <w:r>
        <w:rPr>
          <w:rStyle w:val="FootnoteReference"/>
        </w:rPr>
        <w:footnoteRef/>
      </w:r>
      <w:r>
        <w:t xml:space="preserve"> South-Todd 2002: 60</w:t>
      </w:r>
    </w:p>
  </w:footnote>
  <w:footnote w:id="36">
    <w:p w:rsidR="003F1AA7" w:rsidRDefault="003F1AA7">
      <w:pPr>
        <w:pStyle w:val="FootnoteText"/>
      </w:pPr>
      <w:r>
        <w:rPr>
          <w:rStyle w:val="FootnoteReference"/>
        </w:rPr>
        <w:footnoteRef/>
      </w:r>
      <w:r>
        <w:t xml:space="preserve"> </w:t>
      </w:r>
      <w:r w:rsidR="0037358D">
        <w:t>Van Brempt and Kassianidou 2016: 551</w:t>
      </w:r>
    </w:p>
  </w:footnote>
  <w:footnote w:id="37">
    <w:p w:rsidR="00F90D25" w:rsidRDefault="00F90D25">
      <w:pPr>
        <w:pStyle w:val="FootnoteText"/>
      </w:pPr>
      <w:r>
        <w:rPr>
          <w:rStyle w:val="FootnoteReference"/>
        </w:rPr>
        <w:footnoteRef/>
      </w:r>
      <w:r>
        <w:t xml:space="preserve"> Fisher 2014b: 192</w:t>
      </w:r>
    </w:p>
  </w:footnote>
  <w:footnote w:id="38">
    <w:p w:rsidR="00F90D25" w:rsidRDefault="00F90D25">
      <w:pPr>
        <w:pStyle w:val="FootnoteText"/>
      </w:pPr>
      <w:r>
        <w:rPr>
          <w:rStyle w:val="FootnoteReference"/>
        </w:rPr>
        <w:footnoteRef/>
      </w:r>
      <w:r>
        <w:t xml:space="preserve"> Fisher 2014b: 192</w:t>
      </w:r>
    </w:p>
  </w:footnote>
  <w:footnote w:id="39">
    <w:p w:rsidR="00403A5D" w:rsidRDefault="00403A5D">
      <w:pPr>
        <w:pStyle w:val="FootnoteText"/>
      </w:pPr>
      <w:r>
        <w:rPr>
          <w:rStyle w:val="FootnoteReference"/>
        </w:rPr>
        <w:footnoteRef/>
      </w:r>
      <w:r>
        <w:t xml:space="preserve"> S</w:t>
      </w:r>
      <w:r w:rsidR="008E0427">
        <w:t>outh</w:t>
      </w:r>
      <w:r>
        <w:t xml:space="preserve"> 2012: 221</w:t>
      </w:r>
    </w:p>
  </w:footnote>
  <w:footnote w:id="40">
    <w:p w:rsidR="009F521C" w:rsidRDefault="009F521C">
      <w:pPr>
        <w:pStyle w:val="FootnoteText"/>
      </w:pPr>
      <w:r>
        <w:rPr>
          <w:rStyle w:val="FootnoteReference"/>
        </w:rPr>
        <w:footnoteRef/>
      </w:r>
      <w:r>
        <w:t xml:space="preserve"> Fisher 2009: 192</w:t>
      </w:r>
    </w:p>
  </w:footnote>
  <w:footnote w:id="41">
    <w:p w:rsidR="00261DF7" w:rsidRDefault="00261DF7">
      <w:pPr>
        <w:pStyle w:val="FootnoteText"/>
      </w:pPr>
      <w:r>
        <w:rPr>
          <w:rStyle w:val="FootnoteReference"/>
        </w:rPr>
        <w:footnoteRef/>
      </w:r>
      <w:r>
        <w:t xml:space="preserve"> Trigger 2007: 597</w:t>
      </w:r>
    </w:p>
  </w:footnote>
  <w:footnote w:id="42">
    <w:p w:rsidR="003D4BDC" w:rsidRDefault="003D4BDC">
      <w:pPr>
        <w:pStyle w:val="FootnoteText"/>
      </w:pPr>
      <w:r>
        <w:rPr>
          <w:rStyle w:val="FootnoteReference"/>
        </w:rPr>
        <w:footnoteRef/>
      </w:r>
      <w:r>
        <w:t xml:space="preserve"> Fisher 2009: 192</w:t>
      </w:r>
      <w:r w:rsidR="00261DF7">
        <w:t>; Trigger 2007: 597-8</w:t>
      </w:r>
    </w:p>
  </w:footnote>
  <w:footnote w:id="43">
    <w:p w:rsidR="000C736F" w:rsidRDefault="000C736F">
      <w:pPr>
        <w:pStyle w:val="FootnoteText"/>
      </w:pPr>
      <w:r>
        <w:rPr>
          <w:rStyle w:val="FootnoteReference"/>
        </w:rPr>
        <w:footnoteRef/>
      </w:r>
      <w:r>
        <w:t xml:space="preserve"> Fisher 2014</w:t>
      </w:r>
      <w:r w:rsidR="005A5D98">
        <w:t>a</w:t>
      </w:r>
      <w:r>
        <w:t>: 173</w:t>
      </w:r>
    </w:p>
  </w:footnote>
  <w:footnote w:id="44">
    <w:p w:rsidR="00403A5D" w:rsidRDefault="00403A5D">
      <w:pPr>
        <w:pStyle w:val="FootnoteText"/>
      </w:pPr>
      <w:r>
        <w:rPr>
          <w:rStyle w:val="FootnoteReference"/>
        </w:rPr>
        <w:footnoteRef/>
      </w:r>
      <w:r>
        <w:t xml:space="preserve"> S</w:t>
      </w:r>
      <w:r w:rsidR="008E0427">
        <w:t>outh</w:t>
      </w:r>
      <w:r>
        <w:t xml:space="preserve"> 2012: 221</w:t>
      </w:r>
    </w:p>
  </w:footnote>
  <w:footnote w:id="45">
    <w:p w:rsidR="00B55B37" w:rsidRDefault="00B55B37">
      <w:pPr>
        <w:pStyle w:val="FootnoteText"/>
      </w:pPr>
      <w:r>
        <w:rPr>
          <w:rStyle w:val="FootnoteReference"/>
        </w:rPr>
        <w:footnoteRef/>
      </w:r>
      <w:r>
        <w:t xml:space="preserve"> S</w:t>
      </w:r>
      <w:r w:rsidR="008E0427">
        <w:t>outh</w:t>
      </w:r>
      <w:r>
        <w:t xml:space="preserve"> 2012: 221</w:t>
      </w:r>
    </w:p>
  </w:footnote>
  <w:footnote w:id="46">
    <w:p w:rsidR="00A43495" w:rsidRDefault="00A43495">
      <w:pPr>
        <w:pStyle w:val="FootnoteText"/>
      </w:pPr>
      <w:r>
        <w:rPr>
          <w:rStyle w:val="FootnoteReference"/>
        </w:rPr>
        <w:footnoteRef/>
      </w:r>
      <w:r>
        <w:t xml:space="preserve"> S</w:t>
      </w:r>
      <w:r w:rsidR="008E0427">
        <w:t>outh</w:t>
      </w:r>
      <w:r>
        <w:t xml:space="preserve"> 2012: 221</w:t>
      </w:r>
    </w:p>
  </w:footnote>
  <w:footnote w:id="47">
    <w:p w:rsidR="00262D69" w:rsidRDefault="00262D69">
      <w:pPr>
        <w:pStyle w:val="FootnoteText"/>
      </w:pPr>
      <w:r>
        <w:rPr>
          <w:rStyle w:val="FootnoteReference"/>
        </w:rPr>
        <w:footnoteRef/>
      </w:r>
      <w:r w:rsidR="00B2616B">
        <w:t xml:space="preserve"> Fisher 2009: 201</w:t>
      </w:r>
      <w:r w:rsidR="00286665">
        <w:t>: Fisher 2014</w:t>
      </w:r>
      <w:r w:rsidR="005A5D98">
        <w:t>a</w:t>
      </w:r>
      <w:r w:rsidR="00286665">
        <w:t>: 180</w:t>
      </w:r>
      <w:r w:rsidR="003D6795">
        <w:t>; Steel 2004: 290</w:t>
      </w:r>
    </w:p>
  </w:footnote>
  <w:footnote w:id="48">
    <w:p w:rsidR="00A43495" w:rsidRDefault="00A43495">
      <w:pPr>
        <w:pStyle w:val="FootnoteText"/>
      </w:pPr>
      <w:r>
        <w:rPr>
          <w:rStyle w:val="FootnoteReference"/>
        </w:rPr>
        <w:footnoteRef/>
      </w:r>
      <w:r>
        <w:t xml:space="preserve"> Steel 2016: 86</w:t>
      </w:r>
      <w:r w:rsidR="00286665">
        <w:t>; Fisher 2014</w:t>
      </w:r>
      <w:r w:rsidR="005A5D98">
        <w:t>a</w:t>
      </w:r>
      <w:r w:rsidR="00286665">
        <w:t>: 180</w:t>
      </w:r>
    </w:p>
  </w:footnote>
  <w:footnote w:id="49">
    <w:p w:rsidR="00B2616B" w:rsidRDefault="00B2616B">
      <w:pPr>
        <w:pStyle w:val="FootnoteText"/>
      </w:pPr>
      <w:r>
        <w:rPr>
          <w:rStyle w:val="FootnoteReference"/>
        </w:rPr>
        <w:footnoteRef/>
      </w:r>
      <w:r>
        <w:t xml:space="preserve"> Fisher 2009: 202</w:t>
      </w:r>
      <w:r w:rsidR="003D6795">
        <w:t>: Steel 2004: 290-1</w:t>
      </w:r>
    </w:p>
  </w:footnote>
  <w:footnote w:id="50">
    <w:p w:rsidR="00286665" w:rsidRDefault="00286665">
      <w:pPr>
        <w:pStyle w:val="FootnoteText"/>
      </w:pPr>
      <w:r>
        <w:rPr>
          <w:rStyle w:val="FootnoteReference"/>
        </w:rPr>
        <w:footnoteRef/>
      </w:r>
      <w:r>
        <w:t xml:space="preserve"> Fisher 2014</w:t>
      </w:r>
      <w:r w:rsidR="005A5D98">
        <w:t>a</w:t>
      </w:r>
      <w:r>
        <w:t>: 180</w:t>
      </w:r>
    </w:p>
  </w:footnote>
  <w:footnote w:id="51">
    <w:p w:rsidR="005D2A64" w:rsidRDefault="005D2A64" w:rsidP="005D2A64">
      <w:pPr>
        <w:pStyle w:val="FootnoteText"/>
      </w:pPr>
      <w:r>
        <w:rPr>
          <w:rStyle w:val="FootnoteReference"/>
        </w:rPr>
        <w:footnoteRef/>
      </w:r>
      <w:r>
        <w:t xml:space="preserve"> Fisher 2014</w:t>
      </w:r>
      <w:r w:rsidR="005A5D98">
        <w:t>a</w:t>
      </w:r>
      <w:r>
        <w:t>: 180</w:t>
      </w:r>
    </w:p>
  </w:footnote>
  <w:footnote w:id="52">
    <w:p w:rsidR="001E761F" w:rsidRDefault="001E761F">
      <w:pPr>
        <w:pStyle w:val="FootnoteText"/>
      </w:pPr>
      <w:r>
        <w:rPr>
          <w:rStyle w:val="FootnoteReference"/>
        </w:rPr>
        <w:footnoteRef/>
      </w:r>
      <w:r>
        <w:t xml:space="preserve"> Fisher 2009: 202</w:t>
      </w:r>
    </w:p>
  </w:footnote>
  <w:footnote w:id="53">
    <w:p w:rsidR="005D2A64" w:rsidRDefault="005D2A64">
      <w:pPr>
        <w:pStyle w:val="FootnoteText"/>
      </w:pPr>
      <w:r>
        <w:rPr>
          <w:rStyle w:val="FootnoteReference"/>
        </w:rPr>
        <w:footnoteRef/>
      </w:r>
      <w:r>
        <w:t xml:space="preserve"> Fisher 2014</w:t>
      </w:r>
      <w:r w:rsidR="005A5D98">
        <w:t>a</w:t>
      </w:r>
      <w:r>
        <w:t>: 180</w:t>
      </w:r>
    </w:p>
  </w:footnote>
  <w:footnote w:id="54">
    <w:p w:rsidR="001E761F" w:rsidRDefault="001E761F">
      <w:pPr>
        <w:pStyle w:val="FootnoteText"/>
      </w:pPr>
      <w:r>
        <w:rPr>
          <w:rStyle w:val="FootnoteReference"/>
        </w:rPr>
        <w:footnoteRef/>
      </w:r>
      <w:r>
        <w:t xml:space="preserve"> Fisher 2009: 202</w:t>
      </w:r>
    </w:p>
  </w:footnote>
  <w:footnote w:id="55">
    <w:p w:rsidR="00286665" w:rsidRDefault="00286665">
      <w:pPr>
        <w:pStyle w:val="FootnoteText"/>
      </w:pPr>
      <w:r>
        <w:rPr>
          <w:rStyle w:val="FootnoteReference"/>
        </w:rPr>
        <w:footnoteRef/>
      </w:r>
      <w:r>
        <w:t xml:space="preserve"> Fisher 2014</w:t>
      </w:r>
      <w:r w:rsidR="005A5D98">
        <w:t>a</w:t>
      </w:r>
      <w:r>
        <w:t>: 180</w:t>
      </w:r>
    </w:p>
  </w:footnote>
  <w:footnote w:id="56">
    <w:p w:rsidR="002742F3" w:rsidRDefault="002742F3">
      <w:pPr>
        <w:pStyle w:val="FootnoteText"/>
      </w:pPr>
      <w:r>
        <w:rPr>
          <w:rStyle w:val="FootnoteReference"/>
        </w:rPr>
        <w:footnoteRef/>
      </w:r>
      <w:r>
        <w:t xml:space="preserve"> S</w:t>
      </w:r>
      <w:r w:rsidR="008E0427">
        <w:t>outh</w:t>
      </w:r>
      <w:r>
        <w:t xml:space="preserve"> 2012: 223</w:t>
      </w:r>
    </w:p>
  </w:footnote>
  <w:footnote w:id="57">
    <w:p w:rsidR="00192959" w:rsidRDefault="00192959">
      <w:pPr>
        <w:pStyle w:val="FootnoteText"/>
      </w:pPr>
      <w:r>
        <w:rPr>
          <w:rStyle w:val="FootnoteReference"/>
        </w:rPr>
        <w:footnoteRef/>
      </w:r>
      <w:r>
        <w:t xml:space="preserve"> Fisher 2014</w:t>
      </w:r>
      <w:r w:rsidR="005A5D98">
        <w:t>a</w:t>
      </w:r>
      <w:r>
        <w:t>:183</w:t>
      </w:r>
    </w:p>
  </w:footnote>
  <w:footnote w:id="58">
    <w:p w:rsidR="002742F3" w:rsidRDefault="002742F3">
      <w:pPr>
        <w:pStyle w:val="FootnoteText"/>
      </w:pPr>
      <w:r>
        <w:rPr>
          <w:rStyle w:val="FootnoteReference"/>
        </w:rPr>
        <w:footnoteRef/>
      </w:r>
      <w:r>
        <w:t xml:space="preserve"> S</w:t>
      </w:r>
      <w:r w:rsidR="008E0427">
        <w:t>outh</w:t>
      </w:r>
      <w:r>
        <w:t xml:space="preserve"> 2012: 221</w:t>
      </w:r>
    </w:p>
  </w:footnote>
  <w:footnote w:id="59">
    <w:p w:rsidR="00225138" w:rsidRDefault="00225138">
      <w:pPr>
        <w:pStyle w:val="FootnoteText"/>
      </w:pPr>
      <w:r>
        <w:rPr>
          <w:rStyle w:val="FootnoteReference"/>
        </w:rPr>
        <w:footnoteRef/>
      </w:r>
      <w:r>
        <w:t xml:space="preserve"> S</w:t>
      </w:r>
      <w:r w:rsidR="008E0427">
        <w:t>outh</w:t>
      </w:r>
      <w:r>
        <w:t xml:space="preserve"> 2012: 223</w:t>
      </w:r>
      <w:r w:rsidR="00A542F5">
        <w:t>; Fisher 2014: 173</w:t>
      </w:r>
      <w:r w:rsidR="00192959">
        <w:t>; Hadjisavvas 2000: 395-6</w:t>
      </w:r>
    </w:p>
  </w:footnote>
  <w:footnote w:id="60">
    <w:p w:rsidR="00192959" w:rsidRDefault="00192959">
      <w:pPr>
        <w:pStyle w:val="FootnoteText"/>
      </w:pPr>
      <w:r>
        <w:rPr>
          <w:rStyle w:val="FootnoteReference"/>
        </w:rPr>
        <w:footnoteRef/>
      </w:r>
      <w:r>
        <w:t xml:space="preserve"> Fisher 2014</w:t>
      </w:r>
      <w:r w:rsidR="005A5D98">
        <w:t>a</w:t>
      </w:r>
      <w:r>
        <w:t>: 180</w:t>
      </w:r>
    </w:p>
  </w:footnote>
  <w:footnote w:id="61">
    <w:p w:rsidR="001A12C9" w:rsidRDefault="001A12C9">
      <w:pPr>
        <w:pStyle w:val="FootnoteText"/>
      </w:pPr>
      <w:r>
        <w:rPr>
          <w:rStyle w:val="FootnoteReference"/>
        </w:rPr>
        <w:footnoteRef/>
      </w:r>
      <w:r>
        <w:t xml:space="preserve"> Fisher 2014</w:t>
      </w:r>
      <w:r w:rsidR="005A5D98">
        <w:t>a</w:t>
      </w:r>
      <w:r>
        <w:t>: 182</w:t>
      </w:r>
    </w:p>
  </w:footnote>
  <w:footnote w:id="62">
    <w:p w:rsidR="001A12C9" w:rsidRDefault="001A12C9">
      <w:pPr>
        <w:pStyle w:val="FootnoteText"/>
      </w:pPr>
      <w:r>
        <w:rPr>
          <w:rStyle w:val="FootnoteReference"/>
        </w:rPr>
        <w:footnoteRef/>
      </w:r>
      <w:r>
        <w:t xml:space="preserve"> Fisher 2014</w:t>
      </w:r>
      <w:r w:rsidR="005A5D98">
        <w:t>a</w:t>
      </w:r>
      <w:r>
        <w:t>: 182</w:t>
      </w:r>
    </w:p>
  </w:footnote>
  <w:footnote w:id="63">
    <w:p w:rsidR="001A12C9" w:rsidRDefault="001A12C9">
      <w:pPr>
        <w:pStyle w:val="FootnoteText"/>
      </w:pPr>
      <w:r>
        <w:rPr>
          <w:rStyle w:val="FootnoteReference"/>
        </w:rPr>
        <w:footnoteRef/>
      </w:r>
      <w:r>
        <w:t xml:space="preserve"> Fisher 2014</w:t>
      </w:r>
      <w:r w:rsidR="005A5D98">
        <w:t>a</w:t>
      </w:r>
      <w:r>
        <w:t>: 182</w:t>
      </w:r>
    </w:p>
  </w:footnote>
  <w:footnote w:id="64">
    <w:p w:rsidR="001A12C9" w:rsidRDefault="001A12C9">
      <w:pPr>
        <w:pStyle w:val="FootnoteText"/>
      </w:pPr>
      <w:r>
        <w:rPr>
          <w:rStyle w:val="FootnoteReference"/>
        </w:rPr>
        <w:footnoteRef/>
      </w:r>
      <w:r>
        <w:t xml:space="preserve"> Fisher 2014</w:t>
      </w:r>
      <w:r w:rsidR="005A5D98">
        <w:t>a</w:t>
      </w:r>
      <w:r>
        <w:t>: 182</w:t>
      </w:r>
    </w:p>
  </w:footnote>
  <w:footnote w:id="65">
    <w:p w:rsidR="00192959" w:rsidRDefault="00192959">
      <w:pPr>
        <w:pStyle w:val="FootnoteText"/>
      </w:pPr>
      <w:r>
        <w:rPr>
          <w:rStyle w:val="FootnoteReference"/>
        </w:rPr>
        <w:footnoteRef/>
      </w:r>
      <w:r>
        <w:t xml:space="preserve"> Fisher 2014</w:t>
      </w:r>
      <w:r w:rsidR="005A5D98">
        <w:t>a</w:t>
      </w:r>
      <w:r>
        <w:t>: 182</w:t>
      </w:r>
    </w:p>
  </w:footnote>
  <w:footnote w:id="66">
    <w:p w:rsidR="001A12C9" w:rsidRDefault="001A12C9">
      <w:pPr>
        <w:pStyle w:val="FootnoteText"/>
      </w:pPr>
      <w:r>
        <w:rPr>
          <w:rStyle w:val="FootnoteReference"/>
        </w:rPr>
        <w:footnoteRef/>
      </w:r>
      <w:r>
        <w:t xml:space="preserve"> Fisher 2014</w:t>
      </w:r>
      <w:r w:rsidR="005A5D98">
        <w:t>a</w:t>
      </w:r>
      <w:r>
        <w:t>: 182</w:t>
      </w:r>
    </w:p>
  </w:footnote>
  <w:footnote w:id="67">
    <w:p w:rsidR="00192959" w:rsidRDefault="00192959">
      <w:pPr>
        <w:pStyle w:val="FootnoteText"/>
      </w:pPr>
      <w:r>
        <w:rPr>
          <w:rStyle w:val="FootnoteReference"/>
        </w:rPr>
        <w:footnoteRef/>
      </w:r>
      <w:r>
        <w:t xml:space="preserve"> Hadjisavvas 2000: 391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2094" w:rsidRDefault="00AC209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5D03" w:rsidRDefault="00065D03">
    <w:pPr>
      <w:pStyle w:val="Header"/>
    </w:pPr>
    <w:r>
      <w:t>Vikki Hare</w:t>
    </w:r>
    <w:r>
      <w:ptab w:relativeTo="margin" w:alignment="center" w:leader="none"/>
    </w:r>
    <w:r>
      <w:t>AHAR6003 Towns, Tombs and Temples</w:t>
    </w:r>
    <w:r>
      <w:ptab w:relativeTo="margin" w:alignment="right" w:leader="none"/>
    </w:r>
    <w:r>
      <w:t>BA Ancient C</w:t>
    </w:r>
    <w:r w:rsidR="00AC2094">
      <w:t>i</w:t>
    </w:r>
    <w:r>
      <w:t>vilisations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2094" w:rsidRDefault="00AC209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4439BD"/>
    <w:multiLevelType w:val="multilevel"/>
    <w:tmpl w:val="6D1A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1ACD"/>
    <w:rsid w:val="00030C51"/>
    <w:rsid w:val="00036B6D"/>
    <w:rsid w:val="000372CF"/>
    <w:rsid w:val="00056A93"/>
    <w:rsid w:val="00065D03"/>
    <w:rsid w:val="000C736F"/>
    <w:rsid w:val="000D6C2F"/>
    <w:rsid w:val="000E59B0"/>
    <w:rsid w:val="000F3315"/>
    <w:rsid w:val="0011142E"/>
    <w:rsid w:val="0018052C"/>
    <w:rsid w:val="0018173B"/>
    <w:rsid w:val="00192959"/>
    <w:rsid w:val="001A12C9"/>
    <w:rsid w:val="001E761F"/>
    <w:rsid w:val="0021776B"/>
    <w:rsid w:val="00223E8A"/>
    <w:rsid w:val="00225138"/>
    <w:rsid w:val="00233647"/>
    <w:rsid w:val="00245EE7"/>
    <w:rsid w:val="00261DF7"/>
    <w:rsid w:val="00262D69"/>
    <w:rsid w:val="002742F3"/>
    <w:rsid w:val="00286665"/>
    <w:rsid w:val="002D2924"/>
    <w:rsid w:val="002E2EB7"/>
    <w:rsid w:val="002F32B2"/>
    <w:rsid w:val="002F7C2A"/>
    <w:rsid w:val="0031210E"/>
    <w:rsid w:val="00321231"/>
    <w:rsid w:val="00356A29"/>
    <w:rsid w:val="0036209D"/>
    <w:rsid w:val="0037358D"/>
    <w:rsid w:val="00391A5A"/>
    <w:rsid w:val="003947A9"/>
    <w:rsid w:val="003D4BDC"/>
    <w:rsid w:val="003D6795"/>
    <w:rsid w:val="003F1A79"/>
    <w:rsid w:val="003F1AA7"/>
    <w:rsid w:val="00403A5D"/>
    <w:rsid w:val="0041175C"/>
    <w:rsid w:val="0041465A"/>
    <w:rsid w:val="00414BFD"/>
    <w:rsid w:val="00422808"/>
    <w:rsid w:val="004833E3"/>
    <w:rsid w:val="004A26D5"/>
    <w:rsid w:val="004B3AAB"/>
    <w:rsid w:val="004B7DBC"/>
    <w:rsid w:val="0054222B"/>
    <w:rsid w:val="00546BB5"/>
    <w:rsid w:val="00580FA7"/>
    <w:rsid w:val="005A30A0"/>
    <w:rsid w:val="005A41A6"/>
    <w:rsid w:val="005A5D98"/>
    <w:rsid w:val="005B574E"/>
    <w:rsid w:val="005D2A64"/>
    <w:rsid w:val="005E135D"/>
    <w:rsid w:val="00616A77"/>
    <w:rsid w:val="006743F2"/>
    <w:rsid w:val="00683F3B"/>
    <w:rsid w:val="006949CD"/>
    <w:rsid w:val="006F6442"/>
    <w:rsid w:val="00712C7A"/>
    <w:rsid w:val="00735580"/>
    <w:rsid w:val="00754347"/>
    <w:rsid w:val="00787E99"/>
    <w:rsid w:val="007B2904"/>
    <w:rsid w:val="007C186B"/>
    <w:rsid w:val="00842179"/>
    <w:rsid w:val="00852544"/>
    <w:rsid w:val="00853F13"/>
    <w:rsid w:val="008706CE"/>
    <w:rsid w:val="0089380E"/>
    <w:rsid w:val="008B0BCC"/>
    <w:rsid w:val="008E0427"/>
    <w:rsid w:val="008F6170"/>
    <w:rsid w:val="00947524"/>
    <w:rsid w:val="00967FBC"/>
    <w:rsid w:val="009A22B6"/>
    <w:rsid w:val="009E77C0"/>
    <w:rsid w:val="009F521C"/>
    <w:rsid w:val="00A15F6F"/>
    <w:rsid w:val="00A221CC"/>
    <w:rsid w:val="00A25BEE"/>
    <w:rsid w:val="00A43495"/>
    <w:rsid w:val="00A542F5"/>
    <w:rsid w:val="00A57121"/>
    <w:rsid w:val="00A65A5B"/>
    <w:rsid w:val="00AC0D9D"/>
    <w:rsid w:val="00AC2094"/>
    <w:rsid w:val="00AE0876"/>
    <w:rsid w:val="00B12C33"/>
    <w:rsid w:val="00B2616B"/>
    <w:rsid w:val="00B55B37"/>
    <w:rsid w:val="00B81863"/>
    <w:rsid w:val="00BE002B"/>
    <w:rsid w:val="00C140EA"/>
    <w:rsid w:val="00C22DE1"/>
    <w:rsid w:val="00C27076"/>
    <w:rsid w:val="00C81ACD"/>
    <w:rsid w:val="00CE1781"/>
    <w:rsid w:val="00D337C2"/>
    <w:rsid w:val="00D7192E"/>
    <w:rsid w:val="00DF355B"/>
    <w:rsid w:val="00E06B70"/>
    <w:rsid w:val="00E149A8"/>
    <w:rsid w:val="00E2409D"/>
    <w:rsid w:val="00E501C7"/>
    <w:rsid w:val="00E80CA4"/>
    <w:rsid w:val="00E95EBC"/>
    <w:rsid w:val="00F03B72"/>
    <w:rsid w:val="00F112B6"/>
    <w:rsid w:val="00F90D25"/>
    <w:rsid w:val="00FB4B33"/>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08EC03-2E93-40E5-A762-2A76C7B4E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1A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4117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175C"/>
    <w:rPr>
      <w:sz w:val="20"/>
      <w:szCs w:val="20"/>
    </w:rPr>
  </w:style>
  <w:style w:type="character" w:styleId="FootnoteReference">
    <w:name w:val="footnote reference"/>
    <w:basedOn w:val="DefaultParagraphFont"/>
    <w:uiPriority w:val="99"/>
    <w:semiHidden/>
    <w:unhideWhenUsed/>
    <w:rsid w:val="0041175C"/>
    <w:rPr>
      <w:vertAlign w:val="superscript"/>
    </w:rPr>
  </w:style>
  <w:style w:type="paragraph" w:styleId="Header">
    <w:name w:val="header"/>
    <w:basedOn w:val="Normal"/>
    <w:link w:val="HeaderChar"/>
    <w:uiPriority w:val="99"/>
    <w:unhideWhenUsed/>
    <w:rsid w:val="00065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D03"/>
  </w:style>
  <w:style w:type="paragraph" w:styleId="Footer">
    <w:name w:val="footer"/>
    <w:basedOn w:val="Normal"/>
    <w:link w:val="FooterChar"/>
    <w:uiPriority w:val="99"/>
    <w:unhideWhenUsed/>
    <w:rsid w:val="00065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D03"/>
  </w:style>
  <w:style w:type="paragraph" w:styleId="Caption">
    <w:name w:val="caption"/>
    <w:basedOn w:val="Normal"/>
    <w:next w:val="Normal"/>
    <w:uiPriority w:val="35"/>
    <w:unhideWhenUsed/>
    <w:qFormat/>
    <w:rsid w:val="0031210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8869710">
      <w:bodyDiv w:val="1"/>
      <w:marLeft w:val="0"/>
      <w:marRight w:val="0"/>
      <w:marTop w:val="0"/>
      <w:marBottom w:val="0"/>
      <w:divBdr>
        <w:top w:val="none" w:sz="0" w:space="0" w:color="auto"/>
        <w:left w:val="none" w:sz="0" w:space="0" w:color="auto"/>
        <w:bottom w:val="none" w:sz="0" w:space="0" w:color="auto"/>
        <w:right w:val="none" w:sz="0" w:space="0" w:color="auto"/>
      </w:divBdr>
    </w:div>
    <w:div w:id="1911191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FA588B-6083-4F2A-AFA7-1EEA09AB2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1</Pages>
  <Words>2848</Words>
  <Characters>16235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AAAAARRGHHH</dc:creator>
  <cp:keywords/>
  <dc:description/>
  <cp:lastModifiedBy>AAAAARRGHHH</cp:lastModifiedBy>
  <cp:revision>105</cp:revision>
  <dcterms:created xsi:type="dcterms:W3CDTF">2017-12-13T15:16:00Z</dcterms:created>
  <dcterms:modified xsi:type="dcterms:W3CDTF">2017-12-14T23:58:00Z</dcterms:modified>
</cp:coreProperties>
</file>