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E017C" w14:textId="77777777" w:rsidR="00631FD2" w:rsidRPr="009C03AA" w:rsidRDefault="00631FD2" w:rsidP="00631FD2">
      <w:pPr>
        <w:jc w:val="both"/>
        <w:rPr>
          <w:rFonts w:ascii="Times New Roman" w:hAnsi="Times New Roman" w:cs="Times New Roman"/>
          <w:b/>
          <w:bCs/>
          <w:sz w:val="24"/>
        </w:rPr>
      </w:pPr>
      <w:r w:rsidRPr="009C03AA">
        <w:rPr>
          <w:rFonts w:ascii="Times New Roman" w:hAnsi="Times New Roman" w:cs="Times New Roman"/>
          <w:b/>
          <w:bCs/>
          <w:sz w:val="24"/>
        </w:rPr>
        <w:t>2. Collaborative Activities</w:t>
      </w:r>
    </w:p>
    <w:p w14:paraId="2EDBC84A" w14:textId="77777777" w:rsidR="00631FD2" w:rsidRPr="009C03AA" w:rsidRDefault="00631FD2" w:rsidP="00631FD2">
      <w:pPr>
        <w:ind w:firstLineChars="200" w:firstLine="480"/>
        <w:jc w:val="both"/>
        <w:rPr>
          <w:rFonts w:ascii="Times New Roman" w:hAnsi="Times New Roman" w:cs="Times New Roman"/>
          <w:sz w:val="24"/>
        </w:rPr>
      </w:pPr>
      <w:r w:rsidRPr="009C03AA">
        <w:rPr>
          <w:rFonts w:ascii="Times New Roman" w:hAnsi="Times New Roman" w:cs="Times New Roman"/>
          <w:sz w:val="24"/>
        </w:rPr>
        <w:t xml:space="preserve">One important part of my contribution to the Residuum Conference was my participation in collaborative discussions around conference </w:t>
      </w:r>
      <w:proofErr w:type="spellStart"/>
      <w:r w:rsidRPr="009C03AA">
        <w:rPr>
          <w:rFonts w:ascii="Times New Roman" w:hAnsi="Times New Roman" w:cs="Times New Roman"/>
          <w:sz w:val="24"/>
        </w:rPr>
        <w:t>organisation</w:t>
      </w:r>
      <w:proofErr w:type="spellEnd"/>
      <w:r w:rsidRPr="009C03AA">
        <w:rPr>
          <w:rFonts w:ascii="Times New Roman" w:hAnsi="Times New Roman" w:cs="Times New Roman"/>
          <w:sz w:val="24"/>
        </w:rPr>
        <w:t xml:space="preserve"> and audience engagement. This included conversations about external speaker abstracts and meetings with the Digital Experience &amp; Engagement team about how the conference might reach wider audiences, especially younger Chinese audiences through </w:t>
      </w:r>
      <w:proofErr w:type="spellStart"/>
      <w:r w:rsidRPr="009C03AA">
        <w:rPr>
          <w:rFonts w:ascii="Times New Roman" w:hAnsi="Times New Roman" w:cs="Times New Roman"/>
          <w:sz w:val="24"/>
        </w:rPr>
        <w:t>Xiaohongshu</w:t>
      </w:r>
      <w:proofErr w:type="spellEnd"/>
      <w:r>
        <w:rPr>
          <w:rFonts w:ascii="Times New Roman" w:hAnsi="Times New Roman" w:cs="Times New Roman" w:hint="eastAsia"/>
          <w:sz w:val="24"/>
        </w:rPr>
        <w:t xml:space="preserve">/ </w:t>
      </w:r>
      <w:proofErr w:type="spellStart"/>
      <w:r>
        <w:rPr>
          <w:rFonts w:ascii="Times New Roman" w:hAnsi="Times New Roman" w:cs="Times New Roman" w:hint="eastAsia"/>
          <w:sz w:val="24"/>
        </w:rPr>
        <w:t>Rednote</w:t>
      </w:r>
      <w:proofErr w:type="spellEnd"/>
      <w:r w:rsidRPr="009C03AA">
        <w:rPr>
          <w:rFonts w:ascii="Times New Roman" w:hAnsi="Times New Roman" w:cs="Times New Roman"/>
          <w:sz w:val="24"/>
        </w:rPr>
        <w:t>. These activities helped me understand that conference development is not only about presenting individual research, but also about building the conditions through which others can access, engage with, and value the event.</w:t>
      </w:r>
    </w:p>
    <w:p w14:paraId="409F9B58" w14:textId="77777777" w:rsidR="00631FD2" w:rsidRPr="009C03AA" w:rsidRDefault="00631FD2" w:rsidP="00631FD2">
      <w:pPr>
        <w:ind w:firstLineChars="200" w:firstLine="480"/>
        <w:jc w:val="both"/>
        <w:rPr>
          <w:rFonts w:ascii="Times New Roman" w:hAnsi="Times New Roman" w:cs="Times New Roman"/>
          <w:sz w:val="24"/>
        </w:rPr>
      </w:pPr>
      <w:r w:rsidRPr="007D6267">
        <w:rPr>
          <w:rFonts w:ascii="Times New Roman" w:hAnsi="Times New Roman" w:cs="Times New Roman"/>
          <w:sz w:val="24"/>
        </w:rPr>
        <w:t>Being involved in discussions about external abstracts made me think more carefully about what makes a conference contribution clear, relevant, and engaging.</w:t>
      </w:r>
      <w:r w:rsidRPr="009C03AA">
        <w:rPr>
          <w:rFonts w:ascii="Times New Roman" w:hAnsi="Times New Roman" w:cs="Times New Roman"/>
          <w:sz w:val="24"/>
        </w:rPr>
        <w:t xml:space="preserve"> It also reminded me that conference </w:t>
      </w:r>
      <w:proofErr w:type="spellStart"/>
      <w:r w:rsidRPr="009C03AA">
        <w:rPr>
          <w:rFonts w:ascii="Times New Roman" w:hAnsi="Times New Roman" w:cs="Times New Roman"/>
          <w:sz w:val="24"/>
        </w:rPr>
        <w:t>organisation</w:t>
      </w:r>
      <w:proofErr w:type="spellEnd"/>
      <w:r w:rsidRPr="009C03AA">
        <w:rPr>
          <w:rFonts w:ascii="Times New Roman" w:hAnsi="Times New Roman" w:cs="Times New Roman"/>
          <w:sz w:val="24"/>
        </w:rPr>
        <w:t xml:space="preserve"> involves a collective responsibility for quality and coherence. At the same time, my discussions with the digital team focused on publicity, livestreaming, and accessibility. </w:t>
      </w:r>
      <w:r w:rsidRPr="007D6267">
        <w:rPr>
          <w:rFonts w:ascii="Times New Roman" w:hAnsi="Times New Roman" w:cs="Times New Roman"/>
          <w:sz w:val="24"/>
        </w:rPr>
        <w:t xml:space="preserve">We discussed how </w:t>
      </w:r>
      <w:proofErr w:type="spellStart"/>
      <w:r w:rsidRPr="007D6267">
        <w:rPr>
          <w:rFonts w:ascii="Times New Roman" w:hAnsi="Times New Roman" w:cs="Times New Roman"/>
          <w:sz w:val="24"/>
        </w:rPr>
        <w:t>Xiaohongshu</w:t>
      </w:r>
      <w:proofErr w:type="spellEnd"/>
      <w:r w:rsidRPr="007D6267">
        <w:rPr>
          <w:rFonts w:ascii="Times New Roman" w:hAnsi="Times New Roman" w:cs="Times New Roman"/>
          <w:sz w:val="24"/>
        </w:rPr>
        <w:t xml:space="preserve"> could be used not only to promote the conference, but also to reach younger audiences who do not usually take part in academic events.</w:t>
      </w:r>
      <w:r>
        <w:rPr>
          <w:rFonts w:ascii="Times New Roman" w:hAnsi="Times New Roman" w:cs="Times New Roman" w:hint="eastAsia"/>
          <w:sz w:val="24"/>
        </w:rPr>
        <w:t xml:space="preserve"> </w:t>
      </w:r>
      <w:r w:rsidRPr="009C03AA">
        <w:rPr>
          <w:rFonts w:ascii="Times New Roman" w:hAnsi="Times New Roman" w:cs="Times New Roman"/>
          <w:sz w:val="24"/>
        </w:rPr>
        <w:t>This required thinking about language, format, and visual communication in a more international and audience-aware way.</w:t>
      </w:r>
    </w:p>
    <w:p w14:paraId="46175E5A" w14:textId="77777777" w:rsidR="00631FD2" w:rsidRPr="009C03AA" w:rsidRDefault="00631FD2" w:rsidP="00631FD2">
      <w:pPr>
        <w:ind w:firstLineChars="200" w:firstLine="480"/>
        <w:jc w:val="both"/>
        <w:rPr>
          <w:rFonts w:ascii="Times New Roman" w:hAnsi="Times New Roman" w:cs="Times New Roman"/>
          <w:sz w:val="24"/>
        </w:rPr>
      </w:pPr>
      <w:r w:rsidRPr="009C03AA">
        <w:rPr>
          <w:rFonts w:ascii="Times New Roman" w:hAnsi="Times New Roman" w:cs="Times New Roman"/>
          <w:sz w:val="24"/>
        </w:rPr>
        <w:t xml:space="preserve">Reflecting on these activities, I </w:t>
      </w:r>
      <w:proofErr w:type="spellStart"/>
      <w:r w:rsidRPr="009C03AA">
        <w:rPr>
          <w:rFonts w:ascii="Times New Roman" w:hAnsi="Times New Roman" w:cs="Times New Roman"/>
          <w:sz w:val="24"/>
        </w:rPr>
        <w:t>realised</w:t>
      </w:r>
      <w:proofErr w:type="spellEnd"/>
      <w:r w:rsidRPr="009C03AA">
        <w:rPr>
          <w:rFonts w:ascii="Times New Roman" w:hAnsi="Times New Roman" w:cs="Times New Roman"/>
          <w:sz w:val="24"/>
        </w:rPr>
        <w:t xml:space="preserve"> that collaboration in a conference context depends on negotiation, openness, and practical problem-solving. I was not only contributing ideas, but also learning how to listen, adapt, and work within a broader </w:t>
      </w:r>
      <w:proofErr w:type="spellStart"/>
      <w:r w:rsidRPr="009C03AA">
        <w:rPr>
          <w:rFonts w:ascii="Times New Roman" w:hAnsi="Times New Roman" w:cs="Times New Roman"/>
          <w:sz w:val="24"/>
        </w:rPr>
        <w:t>organisational</w:t>
      </w:r>
      <w:proofErr w:type="spellEnd"/>
      <w:r w:rsidRPr="009C03AA">
        <w:rPr>
          <w:rFonts w:ascii="Times New Roman" w:hAnsi="Times New Roman" w:cs="Times New Roman"/>
          <w:sz w:val="24"/>
        </w:rPr>
        <w:t xml:space="preserve"> process. This experience strengthened my understanding of professional collaboration as something active and relational. It also showed me that innovation in academic events often happens through dialogue between research, technology, communication, and audience needs.</w:t>
      </w:r>
    </w:p>
    <w:p w14:paraId="7AC5C4E3" w14:textId="77777777" w:rsidR="00631FD2" w:rsidRPr="00631FD2" w:rsidRDefault="00631FD2"/>
    <w:sectPr w:rsidR="00631FD2" w:rsidRPr="00631FD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FD2"/>
    <w:rsid w:val="00631FD2"/>
    <w:rsid w:val="00E933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F95D5D1"/>
  <w15:chartTrackingRefBased/>
  <w15:docId w15:val="{1FFAE174-7BDC-2E42-9A50-44ACE93AF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31FD2"/>
    <w:pPr>
      <w:widowControl w:val="0"/>
    </w:pPr>
  </w:style>
  <w:style w:type="paragraph" w:styleId="1">
    <w:name w:val="heading 1"/>
    <w:basedOn w:val="a"/>
    <w:next w:val="a"/>
    <w:link w:val="10"/>
    <w:uiPriority w:val="9"/>
    <w:qFormat/>
    <w:rsid w:val="00631FD2"/>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631FD2"/>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631FD2"/>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631FD2"/>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631FD2"/>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631FD2"/>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631FD2"/>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631FD2"/>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631FD2"/>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31FD2"/>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631FD2"/>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631FD2"/>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631FD2"/>
    <w:rPr>
      <w:rFonts w:cstheme="majorBidi"/>
      <w:color w:val="0F4761" w:themeColor="accent1" w:themeShade="BF"/>
      <w:sz w:val="28"/>
      <w:szCs w:val="28"/>
    </w:rPr>
  </w:style>
  <w:style w:type="character" w:customStyle="1" w:styleId="50">
    <w:name w:val="标题 5 字符"/>
    <w:basedOn w:val="a0"/>
    <w:link w:val="5"/>
    <w:uiPriority w:val="9"/>
    <w:semiHidden/>
    <w:rsid w:val="00631FD2"/>
    <w:rPr>
      <w:rFonts w:cstheme="majorBidi"/>
      <w:color w:val="0F4761" w:themeColor="accent1" w:themeShade="BF"/>
      <w:sz w:val="24"/>
    </w:rPr>
  </w:style>
  <w:style w:type="character" w:customStyle="1" w:styleId="60">
    <w:name w:val="标题 6 字符"/>
    <w:basedOn w:val="a0"/>
    <w:link w:val="6"/>
    <w:uiPriority w:val="9"/>
    <w:semiHidden/>
    <w:rsid w:val="00631FD2"/>
    <w:rPr>
      <w:rFonts w:cstheme="majorBidi"/>
      <w:b/>
      <w:bCs/>
      <w:color w:val="0F4761" w:themeColor="accent1" w:themeShade="BF"/>
    </w:rPr>
  </w:style>
  <w:style w:type="character" w:customStyle="1" w:styleId="70">
    <w:name w:val="标题 7 字符"/>
    <w:basedOn w:val="a0"/>
    <w:link w:val="7"/>
    <w:uiPriority w:val="9"/>
    <w:semiHidden/>
    <w:rsid w:val="00631FD2"/>
    <w:rPr>
      <w:rFonts w:cstheme="majorBidi"/>
      <w:b/>
      <w:bCs/>
      <w:color w:val="595959" w:themeColor="text1" w:themeTint="A6"/>
    </w:rPr>
  </w:style>
  <w:style w:type="character" w:customStyle="1" w:styleId="80">
    <w:name w:val="标题 8 字符"/>
    <w:basedOn w:val="a0"/>
    <w:link w:val="8"/>
    <w:uiPriority w:val="9"/>
    <w:semiHidden/>
    <w:rsid w:val="00631FD2"/>
    <w:rPr>
      <w:rFonts w:cstheme="majorBidi"/>
      <w:color w:val="595959" w:themeColor="text1" w:themeTint="A6"/>
    </w:rPr>
  </w:style>
  <w:style w:type="character" w:customStyle="1" w:styleId="90">
    <w:name w:val="标题 9 字符"/>
    <w:basedOn w:val="a0"/>
    <w:link w:val="9"/>
    <w:uiPriority w:val="9"/>
    <w:semiHidden/>
    <w:rsid w:val="00631FD2"/>
    <w:rPr>
      <w:rFonts w:eastAsiaTheme="majorEastAsia" w:cstheme="majorBidi"/>
      <w:color w:val="595959" w:themeColor="text1" w:themeTint="A6"/>
    </w:rPr>
  </w:style>
  <w:style w:type="paragraph" w:styleId="a3">
    <w:name w:val="Title"/>
    <w:basedOn w:val="a"/>
    <w:next w:val="a"/>
    <w:link w:val="a4"/>
    <w:uiPriority w:val="10"/>
    <w:qFormat/>
    <w:rsid w:val="00631FD2"/>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631FD2"/>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31FD2"/>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631FD2"/>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631FD2"/>
    <w:pPr>
      <w:spacing w:before="160"/>
      <w:jc w:val="center"/>
    </w:pPr>
    <w:rPr>
      <w:i/>
      <w:iCs/>
      <w:color w:val="404040" w:themeColor="text1" w:themeTint="BF"/>
    </w:rPr>
  </w:style>
  <w:style w:type="character" w:customStyle="1" w:styleId="a8">
    <w:name w:val="引用 字符"/>
    <w:basedOn w:val="a0"/>
    <w:link w:val="a7"/>
    <w:uiPriority w:val="29"/>
    <w:rsid w:val="00631FD2"/>
    <w:rPr>
      <w:i/>
      <w:iCs/>
      <w:color w:val="404040" w:themeColor="text1" w:themeTint="BF"/>
    </w:rPr>
  </w:style>
  <w:style w:type="paragraph" w:styleId="a9">
    <w:name w:val="List Paragraph"/>
    <w:basedOn w:val="a"/>
    <w:uiPriority w:val="34"/>
    <w:qFormat/>
    <w:rsid w:val="00631FD2"/>
    <w:pPr>
      <w:ind w:left="720"/>
      <w:contextualSpacing/>
    </w:pPr>
  </w:style>
  <w:style w:type="character" w:styleId="aa">
    <w:name w:val="Intense Emphasis"/>
    <w:basedOn w:val="a0"/>
    <w:uiPriority w:val="21"/>
    <w:qFormat/>
    <w:rsid w:val="00631FD2"/>
    <w:rPr>
      <w:i/>
      <w:iCs/>
      <w:color w:val="0F4761" w:themeColor="accent1" w:themeShade="BF"/>
    </w:rPr>
  </w:style>
  <w:style w:type="paragraph" w:styleId="ab">
    <w:name w:val="Intense Quote"/>
    <w:basedOn w:val="a"/>
    <w:next w:val="a"/>
    <w:link w:val="ac"/>
    <w:uiPriority w:val="30"/>
    <w:qFormat/>
    <w:rsid w:val="00631F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631FD2"/>
    <w:rPr>
      <w:i/>
      <w:iCs/>
      <w:color w:val="0F4761" w:themeColor="accent1" w:themeShade="BF"/>
    </w:rPr>
  </w:style>
  <w:style w:type="character" w:styleId="ad">
    <w:name w:val="Intense Reference"/>
    <w:basedOn w:val="a0"/>
    <w:uiPriority w:val="32"/>
    <w:qFormat/>
    <w:rsid w:val="00631FD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794</Words>
  <Characters>1072</Characters>
  <Application>Microsoft Office Word</Application>
  <DocSecurity>0</DocSecurity>
  <Lines>134</Lines>
  <Paragraphs>109</Paragraphs>
  <ScaleCrop>false</ScaleCrop>
  <Company/>
  <LinksUpToDate>false</LinksUpToDate>
  <CharactersWithSpaces>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 Cheng (2503564)</dc:creator>
  <cp:keywords/>
  <dc:description/>
  <cp:lastModifiedBy>Ying Cheng (2503564)</cp:lastModifiedBy>
  <cp:revision>1</cp:revision>
  <dcterms:created xsi:type="dcterms:W3CDTF">2026-05-05T13:44:00Z</dcterms:created>
  <dcterms:modified xsi:type="dcterms:W3CDTF">2026-05-05T13:44:00Z</dcterms:modified>
</cp:coreProperties>
</file>