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3376B842" w:rsidR="00530E16" w:rsidRDefault="004468F8">
                            <w:pPr>
                              <w:spacing w:before="120" w:line="277" w:lineRule="auto"/>
                              <w:textDirection w:val="btLr"/>
                            </w:pPr>
                            <w:r>
                              <w:rPr>
                                <w:color w:val="404040"/>
                                <w:sz w:val="36"/>
                              </w:rPr>
                              <w:t xml:space="preserve">Student name: </w:t>
                            </w:r>
                            <w:r w:rsidR="00C77886">
                              <w:rPr>
                                <w:color w:val="404040"/>
                                <w:sz w:val="36"/>
                              </w:rPr>
                              <w:t>Theophilus Junior Brimpong</w:t>
                            </w:r>
                          </w:p>
                          <w:p w14:paraId="07714B75" w14:textId="3B924B22" w:rsidR="00530E16" w:rsidRDefault="004468F8">
                            <w:pPr>
                              <w:spacing w:before="120" w:line="277" w:lineRule="auto"/>
                              <w:textDirection w:val="btLr"/>
                            </w:pPr>
                            <w:r>
                              <w:rPr>
                                <w:color w:val="404040"/>
                                <w:sz w:val="36"/>
                              </w:rPr>
                              <w:t>Student ID:</w:t>
                            </w:r>
                            <w:r w:rsidR="00C77886">
                              <w:rPr>
                                <w:color w:val="404040"/>
                                <w:sz w:val="36"/>
                              </w:rPr>
                              <w:t xml:space="preserve"> 2540737</w:t>
                            </w:r>
                          </w:p>
                          <w:p w14:paraId="20688A91" w14:textId="6EF2997E" w:rsidR="00530E16" w:rsidRDefault="004468F8">
                            <w:pPr>
                              <w:spacing w:before="120" w:line="277" w:lineRule="auto"/>
                              <w:textDirection w:val="btLr"/>
                            </w:pPr>
                            <w:r>
                              <w:rPr>
                                <w:color w:val="404040"/>
                                <w:sz w:val="36"/>
                              </w:rPr>
                              <w:t xml:space="preserve">Lecturer’s Name: </w:t>
                            </w:r>
                            <w:r w:rsidR="00C77886">
                              <w:rPr>
                                <w:color w:val="404040"/>
                                <w:sz w:val="36"/>
                              </w:rPr>
                              <w:t>Ramzi Djemai</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3376B842" w:rsidR="00530E16" w:rsidRDefault="004468F8">
                      <w:pPr>
                        <w:spacing w:before="120" w:line="277" w:lineRule="auto"/>
                        <w:textDirection w:val="btLr"/>
                      </w:pPr>
                      <w:r>
                        <w:rPr>
                          <w:color w:val="404040"/>
                          <w:sz w:val="36"/>
                        </w:rPr>
                        <w:t xml:space="preserve">Student name: </w:t>
                      </w:r>
                      <w:r w:rsidR="00C77886">
                        <w:rPr>
                          <w:color w:val="404040"/>
                          <w:sz w:val="36"/>
                        </w:rPr>
                        <w:t>Theophilus Junior Brimpong</w:t>
                      </w:r>
                    </w:p>
                    <w:p w14:paraId="07714B75" w14:textId="3B924B22" w:rsidR="00530E16" w:rsidRDefault="004468F8">
                      <w:pPr>
                        <w:spacing w:before="120" w:line="277" w:lineRule="auto"/>
                        <w:textDirection w:val="btLr"/>
                      </w:pPr>
                      <w:r>
                        <w:rPr>
                          <w:color w:val="404040"/>
                          <w:sz w:val="36"/>
                        </w:rPr>
                        <w:t>Student ID:</w:t>
                      </w:r>
                      <w:r w:rsidR="00C77886">
                        <w:rPr>
                          <w:color w:val="404040"/>
                          <w:sz w:val="36"/>
                        </w:rPr>
                        <w:t xml:space="preserve"> 2540737</w:t>
                      </w:r>
                    </w:p>
                    <w:p w14:paraId="20688A91" w14:textId="6EF2997E" w:rsidR="00530E16" w:rsidRDefault="004468F8">
                      <w:pPr>
                        <w:spacing w:before="120" w:line="277" w:lineRule="auto"/>
                        <w:textDirection w:val="btLr"/>
                      </w:pPr>
                      <w:r>
                        <w:rPr>
                          <w:color w:val="404040"/>
                          <w:sz w:val="36"/>
                        </w:rPr>
                        <w:t xml:space="preserve">Lecturer’s Name: </w:t>
                      </w:r>
                      <w:r w:rsidR="00C77886">
                        <w:rPr>
                          <w:color w:val="404040"/>
                          <w:sz w:val="36"/>
                        </w:rPr>
                        <w:t>Ramzi Djemai</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1B64EC10" w14:textId="209DE2A5" w:rsidR="00C77886"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37550564" w:history="1">
            <w:r w:rsidR="00C77886" w:rsidRPr="005C1F59">
              <w:rPr>
                <w:rStyle w:val="Hyperlink"/>
                <w:noProof/>
              </w:rPr>
              <w:t>Section 1: Introducing the Research Paper and Topic Development</w:t>
            </w:r>
            <w:r w:rsidR="00C77886">
              <w:rPr>
                <w:noProof/>
                <w:webHidden/>
              </w:rPr>
              <w:tab/>
            </w:r>
            <w:r w:rsidR="00C77886">
              <w:rPr>
                <w:noProof/>
                <w:webHidden/>
              </w:rPr>
              <w:fldChar w:fldCharType="begin"/>
            </w:r>
            <w:r w:rsidR="00C77886">
              <w:rPr>
                <w:noProof/>
                <w:webHidden/>
              </w:rPr>
              <w:instrText xml:space="preserve"> PAGEREF _Toc237550564 \h </w:instrText>
            </w:r>
            <w:r w:rsidR="00C77886">
              <w:rPr>
                <w:noProof/>
                <w:webHidden/>
              </w:rPr>
            </w:r>
            <w:r w:rsidR="00C77886">
              <w:rPr>
                <w:noProof/>
                <w:webHidden/>
              </w:rPr>
              <w:fldChar w:fldCharType="separate"/>
            </w:r>
            <w:r w:rsidR="00C77886">
              <w:rPr>
                <w:noProof/>
                <w:webHidden/>
              </w:rPr>
              <w:t>2</w:t>
            </w:r>
            <w:r w:rsidR="00C77886">
              <w:rPr>
                <w:noProof/>
                <w:webHidden/>
              </w:rPr>
              <w:fldChar w:fldCharType="end"/>
            </w:r>
          </w:hyperlink>
        </w:p>
        <w:p w14:paraId="09C0F549" w14:textId="4FD3841F" w:rsidR="00C77886" w:rsidRDefault="00C77886">
          <w:pPr>
            <w:pStyle w:val="TOC2"/>
            <w:tabs>
              <w:tab w:val="right" w:leader="dot" w:pos="9016"/>
            </w:tabs>
            <w:rPr>
              <w:rFonts w:asciiTheme="minorHAnsi" w:eastAsiaTheme="minorEastAsia" w:hAnsiTheme="minorHAnsi" w:cstheme="minorBidi"/>
              <w:noProof/>
              <w:kern w:val="2"/>
              <w14:ligatures w14:val="standardContextual"/>
            </w:rPr>
          </w:pPr>
          <w:hyperlink w:anchor="_Toc237550565" w:history="1">
            <w:r w:rsidRPr="005C1F59">
              <w:rPr>
                <w:rStyle w:val="Hyperlink"/>
                <w:noProof/>
              </w:rPr>
              <w:t>1.2 Main Topic or Problem Explored in the Paper</w:t>
            </w:r>
            <w:r>
              <w:rPr>
                <w:noProof/>
                <w:webHidden/>
              </w:rPr>
              <w:tab/>
            </w:r>
            <w:r>
              <w:rPr>
                <w:noProof/>
                <w:webHidden/>
              </w:rPr>
              <w:fldChar w:fldCharType="begin"/>
            </w:r>
            <w:r>
              <w:rPr>
                <w:noProof/>
                <w:webHidden/>
              </w:rPr>
              <w:instrText xml:space="preserve"> PAGEREF _Toc237550565 \h </w:instrText>
            </w:r>
            <w:r>
              <w:rPr>
                <w:noProof/>
                <w:webHidden/>
              </w:rPr>
            </w:r>
            <w:r>
              <w:rPr>
                <w:noProof/>
                <w:webHidden/>
              </w:rPr>
              <w:fldChar w:fldCharType="separate"/>
            </w:r>
            <w:r>
              <w:rPr>
                <w:noProof/>
                <w:webHidden/>
              </w:rPr>
              <w:t>2</w:t>
            </w:r>
            <w:r>
              <w:rPr>
                <w:noProof/>
                <w:webHidden/>
              </w:rPr>
              <w:fldChar w:fldCharType="end"/>
            </w:r>
          </w:hyperlink>
        </w:p>
        <w:p w14:paraId="4A8EB255" w14:textId="59AFEAEB" w:rsidR="00C77886" w:rsidRDefault="00C77886">
          <w:pPr>
            <w:pStyle w:val="TOC2"/>
            <w:tabs>
              <w:tab w:val="right" w:leader="dot" w:pos="9016"/>
            </w:tabs>
            <w:rPr>
              <w:rFonts w:asciiTheme="minorHAnsi" w:eastAsiaTheme="minorEastAsia" w:hAnsiTheme="minorHAnsi" w:cstheme="minorBidi"/>
              <w:noProof/>
              <w:kern w:val="2"/>
              <w14:ligatures w14:val="standardContextual"/>
            </w:rPr>
          </w:pPr>
          <w:hyperlink w:anchor="_Toc237550566" w:history="1">
            <w:r w:rsidRPr="005C1F59">
              <w:rPr>
                <w:rStyle w:val="Hyperlink"/>
                <w:noProof/>
              </w:rPr>
              <w:t>1.3 Who Is the Research About?</w:t>
            </w:r>
            <w:r>
              <w:rPr>
                <w:noProof/>
                <w:webHidden/>
              </w:rPr>
              <w:tab/>
            </w:r>
            <w:r>
              <w:rPr>
                <w:noProof/>
                <w:webHidden/>
              </w:rPr>
              <w:fldChar w:fldCharType="begin"/>
            </w:r>
            <w:r>
              <w:rPr>
                <w:noProof/>
                <w:webHidden/>
              </w:rPr>
              <w:instrText xml:space="preserve"> PAGEREF _Toc237550566 \h </w:instrText>
            </w:r>
            <w:r>
              <w:rPr>
                <w:noProof/>
                <w:webHidden/>
              </w:rPr>
            </w:r>
            <w:r>
              <w:rPr>
                <w:noProof/>
                <w:webHidden/>
              </w:rPr>
              <w:fldChar w:fldCharType="separate"/>
            </w:r>
            <w:r>
              <w:rPr>
                <w:noProof/>
                <w:webHidden/>
              </w:rPr>
              <w:t>2</w:t>
            </w:r>
            <w:r>
              <w:rPr>
                <w:noProof/>
                <w:webHidden/>
              </w:rPr>
              <w:fldChar w:fldCharType="end"/>
            </w:r>
          </w:hyperlink>
        </w:p>
        <w:p w14:paraId="5F5C4549" w14:textId="0286D281" w:rsidR="00C77886" w:rsidRDefault="00C77886">
          <w:pPr>
            <w:pStyle w:val="TOC2"/>
            <w:tabs>
              <w:tab w:val="right" w:leader="dot" w:pos="9016"/>
            </w:tabs>
            <w:rPr>
              <w:rFonts w:asciiTheme="minorHAnsi" w:eastAsiaTheme="minorEastAsia" w:hAnsiTheme="minorHAnsi" w:cstheme="minorBidi"/>
              <w:noProof/>
              <w:kern w:val="2"/>
              <w14:ligatures w14:val="standardContextual"/>
            </w:rPr>
          </w:pPr>
          <w:hyperlink w:anchor="_Toc237550567" w:history="1">
            <w:r w:rsidRPr="005C1F59">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_Toc237550567 \h </w:instrText>
            </w:r>
            <w:r>
              <w:rPr>
                <w:noProof/>
                <w:webHidden/>
              </w:rPr>
            </w:r>
            <w:r>
              <w:rPr>
                <w:noProof/>
                <w:webHidden/>
              </w:rPr>
              <w:fldChar w:fldCharType="separate"/>
            </w:r>
            <w:r>
              <w:rPr>
                <w:noProof/>
                <w:webHidden/>
              </w:rPr>
              <w:t>3</w:t>
            </w:r>
            <w:r>
              <w:rPr>
                <w:noProof/>
                <w:webHidden/>
              </w:rPr>
              <w:fldChar w:fldCharType="end"/>
            </w:r>
          </w:hyperlink>
        </w:p>
        <w:p w14:paraId="71DAFCA0" w14:textId="6703059C" w:rsidR="00C77886" w:rsidRDefault="00C77886">
          <w:pPr>
            <w:pStyle w:val="TOC1"/>
            <w:tabs>
              <w:tab w:val="right" w:leader="dot" w:pos="9016"/>
            </w:tabs>
            <w:rPr>
              <w:rFonts w:asciiTheme="minorHAnsi" w:eastAsiaTheme="minorEastAsia" w:hAnsiTheme="minorHAnsi" w:cstheme="minorBidi"/>
              <w:noProof/>
              <w:kern w:val="2"/>
              <w14:ligatures w14:val="standardContextual"/>
            </w:rPr>
          </w:pPr>
          <w:hyperlink w:anchor="_Toc237550568" w:history="1">
            <w:r w:rsidRPr="005C1F59">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_Toc237550568 \h </w:instrText>
            </w:r>
            <w:r>
              <w:rPr>
                <w:noProof/>
                <w:webHidden/>
              </w:rPr>
            </w:r>
            <w:r>
              <w:rPr>
                <w:noProof/>
                <w:webHidden/>
              </w:rPr>
              <w:fldChar w:fldCharType="separate"/>
            </w:r>
            <w:r>
              <w:rPr>
                <w:noProof/>
                <w:webHidden/>
              </w:rPr>
              <w:t>3</w:t>
            </w:r>
            <w:r>
              <w:rPr>
                <w:noProof/>
                <w:webHidden/>
              </w:rPr>
              <w:fldChar w:fldCharType="end"/>
            </w:r>
          </w:hyperlink>
        </w:p>
        <w:p w14:paraId="791A70AB" w14:textId="318198E5" w:rsidR="00C77886" w:rsidRDefault="00C77886">
          <w:pPr>
            <w:pStyle w:val="TOC2"/>
            <w:tabs>
              <w:tab w:val="right" w:leader="dot" w:pos="9016"/>
            </w:tabs>
            <w:rPr>
              <w:rFonts w:asciiTheme="minorHAnsi" w:eastAsiaTheme="minorEastAsia" w:hAnsiTheme="minorHAnsi" w:cstheme="minorBidi"/>
              <w:noProof/>
              <w:kern w:val="2"/>
              <w14:ligatures w14:val="standardContextual"/>
            </w:rPr>
          </w:pPr>
          <w:hyperlink w:anchor="_Toc237550569" w:history="1">
            <w:r w:rsidRPr="005C1F59">
              <w:rPr>
                <w:rStyle w:val="Hyperlink"/>
                <w:noProof/>
              </w:rPr>
              <w:t>2.1 Research Question(s) or Objectives</w:t>
            </w:r>
            <w:r>
              <w:rPr>
                <w:noProof/>
                <w:webHidden/>
              </w:rPr>
              <w:tab/>
            </w:r>
            <w:r>
              <w:rPr>
                <w:noProof/>
                <w:webHidden/>
              </w:rPr>
              <w:fldChar w:fldCharType="begin"/>
            </w:r>
            <w:r>
              <w:rPr>
                <w:noProof/>
                <w:webHidden/>
              </w:rPr>
              <w:instrText xml:space="preserve"> PAGEREF _Toc237550569 \h </w:instrText>
            </w:r>
            <w:r>
              <w:rPr>
                <w:noProof/>
                <w:webHidden/>
              </w:rPr>
            </w:r>
            <w:r>
              <w:rPr>
                <w:noProof/>
                <w:webHidden/>
              </w:rPr>
              <w:fldChar w:fldCharType="separate"/>
            </w:r>
            <w:r>
              <w:rPr>
                <w:noProof/>
                <w:webHidden/>
              </w:rPr>
              <w:t>3</w:t>
            </w:r>
            <w:r>
              <w:rPr>
                <w:noProof/>
                <w:webHidden/>
              </w:rPr>
              <w:fldChar w:fldCharType="end"/>
            </w:r>
          </w:hyperlink>
        </w:p>
        <w:p w14:paraId="06615BB7" w14:textId="6CF5D952" w:rsidR="00C77886" w:rsidRDefault="00C77886">
          <w:pPr>
            <w:pStyle w:val="TOC1"/>
            <w:tabs>
              <w:tab w:val="right" w:leader="dot" w:pos="9016"/>
            </w:tabs>
            <w:rPr>
              <w:rFonts w:asciiTheme="minorHAnsi" w:eastAsiaTheme="minorEastAsia" w:hAnsiTheme="minorHAnsi" w:cstheme="minorBidi"/>
              <w:noProof/>
              <w:kern w:val="2"/>
              <w14:ligatures w14:val="standardContextual"/>
            </w:rPr>
          </w:pPr>
          <w:hyperlink w:anchor="_Toc237550570" w:history="1">
            <w:r w:rsidRPr="005C1F59">
              <w:rPr>
                <w:rStyle w:val="Hyperlink"/>
                <w:noProof/>
              </w:rPr>
              <w:t>Section 3: Understanding the Research Methods</w:t>
            </w:r>
            <w:r>
              <w:rPr>
                <w:noProof/>
                <w:webHidden/>
              </w:rPr>
              <w:tab/>
            </w:r>
            <w:r>
              <w:rPr>
                <w:noProof/>
                <w:webHidden/>
              </w:rPr>
              <w:fldChar w:fldCharType="begin"/>
            </w:r>
            <w:r>
              <w:rPr>
                <w:noProof/>
                <w:webHidden/>
              </w:rPr>
              <w:instrText xml:space="preserve"> PAGEREF _Toc237550570 \h </w:instrText>
            </w:r>
            <w:r>
              <w:rPr>
                <w:noProof/>
                <w:webHidden/>
              </w:rPr>
            </w:r>
            <w:r>
              <w:rPr>
                <w:noProof/>
                <w:webHidden/>
              </w:rPr>
              <w:fldChar w:fldCharType="separate"/>
            </w:r>
            <w:r>
              <w:rPr>
                <w:noProof/>
                <w:webHidden/>
              </w:rPr>
              <w:t>4</w:t>
            </w:r>
            <w:r>
              <w:rPr>
                <w:noProof/>
                <w:webHidden/>
              </w:rPr>
              <w:fldChar w:fldCharType="end"/>
            </w:r>
          </w:hyperlink>
        </w:p>
        <w:p w14:paraId="60083E3D" w14:textId="27B45C32" w:rsidR="00C77886" w:rsidRDefault="00C77886">
          <w:pPr>
            <w:pStyle w:val="TOC2"/>
            <w:tabs>
              <w:tab w:val="right" w:leader="dot" w:pos="9016"/>
            </w:tabs>
            <w:rPr>
              <w:rFonts w:asciiTheme="minorHAnsi" w:eastAsiaTheme="minorEastAsia" w:hAnsiTheme="minorHAnsi" w:cstheme="minorBidi"/>
              <w:noProof/>
              <w:kern w:val="2"/>
              <w14:ligatures w14:val="standardContextual"/>
            </w:rPr>
          </w:pPr>
          <w:hyperlink w:anchor="_Toc237550571" w:history="1">
            <w:r w:rsidRPr="005C1F59">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_Toc237550571 \h </w:instrText>
            </w:r>
            <w:r>
              <w:rPr>
                <w:noProof/>
                <w:webHidden/>
              </w:rPr>
            </w:r>
            <w:r>
              <w:rPr>
                <w:noProof/>
                <w:webHidden/>
              </w:rPr>
              <w:fldChar w:fldCharType="separate"/>
            </w:r>
            <w:r>
              <w:rPr>
                <w:noProof/>
                <w:webHidden/>
              </w:rPr>
              <w:t>4</w:t>
            </w:r>
            <w:r>
              <w:rPr>
                <w:noProof/>
                <w:webHidden/>
              </w:rPr>
              <w:fldChar w:fldCharType="end"/>
            </w:r>
          </w:hyperlink>
        </w:p>
        <w:p w14:paraId="3748A44B" w14:textId="6E9ED0D1" w:rsidR="00C77886" w:rsidRDefault="00C77886">
          <w:pPr>
            <w:pStyle w:val="TOC2"/>
            <w:tabs>
              <w:tab w:val="right" w:leader="dot" w:pos="9016"/>
            </w:tabs>
            <w:rPr>
              <w:rFonts w:asciiTheme="minorHAnsi" w:eastAsiaTheme="minorEastAsia" w:hAnsiTheme="minorHAnsi" w:cstheme="minorBidi"/>
              <w:noProof/>
              <w:kern w:val="2"/>
              <w14:ligatures w14:val="standardContextual"/>
            </w:rPr>
          </w:pPr>
          <w:hyperlink w:anchor="_Toc237550572" w:history="1">
            <w:r w:rsidRPr="005C1F59">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_Toc237550572 \h </w:instrText>
            </w:r>
            <w:r>
              <w:rPr>
                <w:noProof/>
                <w:webHidden/>
              </w:rPr>
            </w:r>
            <w:r>
              <w:rPr>
                <w:noProof/>
                <w:webHidden/>
              </w:rPr>
              <w:fldChar w:fldCharType="separate"/>
            </w:r>
            <w:r>
              <w:rPr>
                <w:noProof/>
                <w:webHidden/>
              </w:rPr>
              <w:t>5</w:t>
            </w:r>
            <w:r>
              <w:rPr>
                <w:noProof/>
                <w:webHidden/>
              </w:rPr>
              <w:fldChar w:fldCharType="end"/>
            </w:r>
          </w:hyperlink>
        </w:p>
        <w:p w14:paraId="78D3ADEE" w14:textId="5862401E" w:rsidR="00C77886" w:rsidRDefault="00C77886">
          <w:pPr>
            <w:pStyle w:val="TOC2"/>
            <w:tabs>
              <w:tab w:val="right" w:leader="dot" w:pos="9016"/>
            </w:tabs>
            <w:rPr>
              <w:rFonts w:asciiTheme="minorHAnsi" w:eastAsiaTheme="minorEastAsia" w:hAnsiTheme="minorHAnsi" w:cstheme="minorBidi"/>
              <w:noProof/>
              <w:kern w:val="2"/>
              <w14:ligatures w14:val="standardContextual"/>
            </w:rPr>
          </w:pPr>
          <w:hyperlink w:anchor="_Toc237550573" w:history="1">
            <w:r w:rsidRPr="005C1F59">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_Toc237550573 \h </w:instrText>
            </w:r>
            <w:r>
              <w:rPr>
                <w:noProof/>
                <w:webHidden/>
              </w:rPr>
            </w:r>
            <w:r>
              <w:rPr>
                <w:noProof/>
                <w:webHidden/>
              </w:rPr>
              <w:fldChar w:fldCharType="separate"/>
            </w:r>
            <w:r>
              <w:rPr>
                <w:noProof/>
                <w:webHidden/>
              </w:rPr>
              <w:t>5</w:t>
            </w:r>
            <w:r>
              <w:rPr>
                <w:noProof/>
                <w:webHidden/>
              </w:rPr>
              <w:fldChar w:fldCharType="end"/>
            </w:r>
          </w:hyperlink>
        </w:p>
        <w:p w14:paraId="6BC477BF" w14:textId="32157A65" w:rsidR="00C77886" w:rsidRDefault="00C77886">
          <w:pPr>
            <w:pStyle w:val="TOC1"/>
            <w:tabs>
              <w:tab w:val="right" w:leader="dot" w:pos="9016"/>
            </w:tabs>
            <w:rPr>
              <w:rFonts w:asciiTheme="minorHAnsi" w:eastAsiaTheme="minorEastAsia" w:hAnsiTheme="minorHAnsi" w:cstheme="minorBidi"/>
              <w:noProof/>
              <w:kern w:val="2"/>
              <w14:ligatures w14:val="standardContextual"/>
            </w:rPr>
          </w:pPr>
          <w:hyperlink w:anchor="_Toc237550574" w:history="1">
            <w:r w:rsidRPr="005C1F59">
              <w:rPr>
                <w:rStyle w:val="Hyperlink"/>
                <w:noProof/>
              </w:rPr>
              <w:t>Section 4: Conclusion</w:t>
            </w:r>
            <w:r>
              <w:rPr>
                <w:noProof/>
                <w:webHidden/>
              </w:rPr>
              <w:tab/>
            </w:r>
            <w:r>
              <w:rPr>
                <w:noProof/>
                <w:webHidden/>
              </w:rPr>
              <w:fldChar w:fldCharType="begin"/>
            </w:r>
            <w:r>
              <w:rPr>
                <w:noProof/>
                <w:webHidden/>
              </w:rPr>
              <w:instrText xml:space="preserve"> PAGEREF _Toc237550574 \h </w:instrText>
            </w:r>
            <w:r>
              <w:rPr>
                <w:noProof/>
                <w:webHidden/>
              </w:rPr>
            </w:r>
            <w:r>
              <w:rPr>
                <w:noProof/>
                <w:webHidden/>
              </w:rPr>
              <w:fldChar w:fldCharType="separate"/>
            </w:r>
            <w:r>
              <w:rPr>
                <w:noProof/>
                <w:webHidden/>
              </w:rPr>
              <w:t>5</w:t>
            </w:r>
            <w:r>
              <w:rPr>
                <w:noProof/>
                <w:webHidden/>
              </w:rPr>
              <w:fldChar w:fldCharType="end"/>
            </w:r>
          </w:hyperlink>
        </w:p>
        <w:p w14:paraId="6B32D6FD" w14:textId="4C0D9255" w:rsidR="00C77886" w:rsidRDefault="00C77886">
          <w:pPr>
            <w:pStyle w:val="TOC1"/>
            <w:tabs>
              <w:tab w:val="right" w:leader="dot" w:pos="9016"/>
            </w:tabs>
            <w:rPr>
              <w:rFonts w:asciiTheme="minorHAnsi" w:eastAsiaTheme="minorEastAsia" w:hAnsiTheme="minorHAnsi" w:cstheme="minorBidi"/>
              <w:noProof/>
              <w:kern w:val="2"/>
              <w14:ligatures w14:val="standardContextual"/>
            </w:rPr>
          </w:pPr>
          <w:hyperlink w:anchor="_Toc237550575" w:history="1">
            <w:r w:rsidRPr="005C1F59">
              <w:rPr>
                <w:rStyle w:val="Hyperlink"/>
                <w:noProof/>
              </w:rPr>
              <w:t>References</w:t>
            </w:r>
            <w:r>
              <w:rPr>
                <w:noProof/>
                <w:webHidden/>
              </w:rPr>
              <w:tab/>
            </w:r>
            <w:r>
              <w:rPr>
                <w:noProof/>
                <w:webHidden/>
              </w:rPr>
              <w:fldChar w:fldCharType="begin"/>
            </w:r>
            <w:r>
              <w:rPr>
                <w:noProof/>
                <w:webHidden/>
              </w:rPr>
              <w:instrText xml:space="preserve"> PAGEREF _Toc237550575 \h </w:instrText>
            </w:r>
            <w:r>
              <w:rPr>
                <w:noProof/>
                <w:webHidden/>
              </w:rPr>
            </w:r>
            <w:r>
              <w:rPr>
                <w:noProof/>
                <w:webHidden/>
              </w:rPr>
              <w:fldChar w:fldCharType="separate"/>
            </w:r>
            <w:r>
              <w:rPr>
                <w:noProof/>
                <w:webHidden/>
              </w:rPr>
              <w:t>6</w:t>
            </w:r>
            <w:r>
              <w:rPr>
                <w:noProof/>
                <w:webHidden/>
              </w:rPr>
              <w:fldChar w:fldCharType="end"/>
            </w:r>
          </w:hyperlink>
        </w:p>
        <w:p w14:paraId="28811C41" w14:textId="186EAAD0"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4503C221" w14:textId="77777777" w:rsidR="00530E16" w:rsidRDefault="004468F8">
      <w:pPr>
        <w:pStyle w:val="Heading1"/>
      </w:pPr>
      <w:bookmarkStart w:id="0" w:name="_Toc237550564"/>
      <w:r>
        <w:lastRenderedPageBreak/>
        <w:t>Section 1: Introducing the Research Paper and Topic Development</w:t>
      </w:r>
      <w:bookmarkEnd w:id="0"/>
    </w:p>
    <w:p w14:paraId="48E16877" w14:textId="5003F67A" w:rsidR="00530E16" w:rsidRDefault="00210D5A" w:rsidP="00E10231">
      <w:pPr>
        <w:spacing w:line="360" w:lineRule="auto"/>
        <w:jc w:val="both"/>
      </w:pPr>
      <w:r>
        <w:t>1.1 Paper</w:t>
      </w:r>
      <w:r w:rsidR="004468F8">
        <w:t xml:space="preserve"> Details (Title, Author(s) and Year of Publication)</w:t>
      </w:r>
    </w:p>
    <w:p w14:paraId="30FB5D43" w14:textId="7B65020C" w:rsidR="004468F8" w:rsidRPr="00C77886" w:rsidRDefault="00C34115" w:rsidP="00C77886">
      <w:r>
        <w:t>The paper is titled “‘She didn’t know how to go back’: School attendance problems in the context of the COVID</w:t>
      </w:r>
      <w:r>
        <w:noBreakHyphen/>
        <w:t>19 pandemic. Written by Brontë McDonald, Kathryn J. Lester, and Daniel Michelson, and published in 2023.</w:t>
      </w:r>
    </w:p>
    <w:p w14:paraId="3635A443" w14:textId="54191883" w:rsidR="00530E16" w:rsidRDefault="00E10231">
      <w:pPr>
        <w:pStyle w:val="Heading2"/>
        <w:jc w:val="both"/>
      </w:pPr>
      <w:bookmarkStart w:id="1" w:name="_Toc237550565"/>
      <w:r>
        <w:t>1.2 Main</w:t>
      </w:r>
      <w:r w:rsidR="004468F8">
        <w:t xml:space="preserve"> Topic or Problem Explored in the Paper</w:t>
      </w:r>
      <w:bookmarkEnd w:id="1"/>
    </w:p>
    <w:p w14:paraId="6565328F" w14:textId="77777777" w:rsidR="00C34115" w:rsidRDefault="00C34115" w:rsidP="00C34115">
      <w:r>
        <w:t>The paper analyses why many primary-school children struggle to return to normal in-person schooling during and after the COVID-19 pandemic. Drawing on insights from parents, teachers, and other education professionals, the researchers sought to build a clearer picture of how attendance difficulties developed, particularly for children who already faced challenges such as anxiety or special educational needs. The study highlights how sudden shifts to home learning, disrupted routines, and ongoing uncertainty made school feel overwhelming for many children, leading to heightened stress and reluctance to attend.</w:t>
      </w:r>
    </w:p>
    <w:p w14:paraId="55B6EB14" w14:textId="1A7C3342" w:rsidR="00C34115" w:rsidRPr="00C34115" w:rsidRDefault="00C34115" w:rsidP="00C34115">
      <w:r>
        <w:t>The analyst also set out to understand the broader health and social issues connected to these attendance problems. They focused on how children’s emotional wellbeing, parental worries, reduced access to support services, and strained communication between families and schools all contributed to worsening attendance. Their goal was to identify what kinds of support were helpful, what was missing, and how future interventions could better address both the mental</w:t>
      </w:r>
      <w:r>
        <w:noBreakHyphen/>
        <w:t>health pressures and the social disruptions that shaped children’s experiences of school during the pandemic.</w:t>
      </w:r>
    </w:p>
    <w:p w14:paraId="6D821233" w14:textId="62E0F415" w:rsidR="00530E16" w:rsidRDefault="00E10231">
      <w:pPr>
        <w:pStyle w:val="Heading2"/>
        <w:jc w:val="both"/>
      </w:pPr>
      <w:bookmarkStart w:id="2" w:name="_Toc237550566"/>
      <w:r>
        <w:t>1.3 Who</w:t>
      </w:r>
      <w:r w:rsidR="004468F8">
        <w:t xml:space="preserve"> Is the Research About?</w:t>
      </w:r>
      <w:bookmarkEnd w:id="2"/>
    </w:p>
    <w:p w14:paraId="3C3B3416" w14:textId="77777777" w:rsidR="00C34115" w:rsidRDefault="00C34115" w:rsidP="00C34115">
      <w:r>
        <w:t>The study involved two main groups: parents of primary</w:t>
      </w:r>
      <w:r>
        <w:noBreakHyphen/>
        <w:t>school children who were struggling with attendance, and professionals working directly with these children in school settings. The parent participants all had children enrolled in mainstream primary schools in Sussex who had experienced attendance difficulties during the 2020–2021 school year. The professional participants included headteachers, class teachers, educational psychologists, SENCOs, mental</w:t>
      </w:r>
      <w:r>
        <w:noBreakHyphen/>
        <w:t>health practitioners, and attendance officers—people who regularly deal with attendance issues as part of their roles.</w:t>
      </w:r>
    </w:p>
    <w:p w14:paraId="7ECAF663" w14:textId="165648E7" w:rsidR="00C34115" w:rsidRPr="00C34115" w:rsidRDefault="00C34115" w:rsidP="00C34115">
      <w:r>
        <w:t xml:space="preserve">The researchers focused on these groups because they are the individuals most closely connected to children’s daily school experiences. Parents see the emotional and practical challenges at home, while school staff witness difficulties in the classroom and across the school environment. By gathering insights from both sides, the study aimed to build a fuller understanding of why attendance problems intensified during the </w:t>
      </w:r>
      <w:r>
        <w:lastRenderedPageBreak/>
        <w:t>pandemic and what kinds of support or changes might help families and schools respond more effectively.</w:t>
      </w:r>
    </w:p>
    <w:p w14:paraId="3BA747B5" w14:textId="189381FA" w:rsidR="00E10231" w:rsidRPr="00C34115" w:rsidRDefault="00E10231" w:rsidP="00C34115">
      <w:pPr>
        <w:pStyle w:val="Heading2"/>
        <w:jc w:val="both"/>
      </w:pPr>
      <w:bookmarkStart w:id="3" w:name="_Toc237550567"/>
      <w:r>
        <w:t>1.4 Why</w:t>
      </w:r>
      <w:r w:rsidR="004468F8">
        <w:t xml:space="preserve"> Is This Topic Important in UK Health and Social Care?</w:t>
      </w:r>
      <w:bookmarkEnd w:id="3"/>
    </w:p>
    <w:p w14:paraId="6C1DB936" w14:textId="77777777" w:rsidR="00C34115" w:rsidRDefault="00C34115" w:rsidP="00C34115">
      <w:r>
        <w:t>The topic is particularly significant in the UK because school attendance has become a major national concern since the COVID</w:t>
      </w:r>
      <w:r>
        <w:noBreakHyphen/>
        <w:t>19 pandemic. Absence rates have risen well above pre</w:t>
      </w:r>
      <w:r>
        <w:noBreakHyphen/>
        <w:t>pandemic levels, creating serious consequences for children’s learning, wellbeing, and future opportunities. The study you’re working with shows how anxiety, disrupted routines, reduced support services, and strained relationships between families and schools all contributed to worsening attendance. These patterns reflect wider national issues: recent research demonstrates that pandemic</w:t>
      </w:r>
      <w:r>
        <w:noBreakHyphen/>
        <w:t xml:space="preserve">related restrictions led to increased absence and slower academic progress, especially for pupils from disadvantaged backgrounds, highlighting how attendance difficulties are now closely tied to broader social inequalities (Gibbons, McNally &amp; </w:t>
      </w:r>
      <w:proofErr w:type="spellStart"/>
      <w:r>
        <w:t>Montebruno</w:t>
      </w:r>
      <w:proofErr w:type="spellEnd"/>
      <w:r>
        <w:t>, 2024).</w:t>
      </w:r>
    </w:p>
    <w:p w14:paraId="6EDF5A18" w14:textId="15E364DB" w:rsidR="004468F8" w:rsidRPr="00C77886" w:rsidRDefault="00C34115" w:rsidP="00C77886">
      <w:r>
        <w:t>This issue also connects directly to current UK policies and pressures across education, health, and social care. Schools are expected to support pupils’ mental health and help them recover academically. Yet, many external services—such as CAMHS and social care—continue to face long delays and limited capacity. The paper notes ongoing strain in children’s support systems, leaving families with fewer options when attendance problems emerge. At the same time, national attendance guidance emphasises rapid intervention and parental responsibility but does not always reflect the complex emotional and social factors driving absence. Additional research supports this concern, showing that the pandemic shifted family attitudes toward attendance and increased anxiety among children (Gibbons et al., 2025). Together, these challenges make school attendance problems not just an educational issue but a pressing health and social care priority in the UK.</w:t>
      </w:r>
    </w:p>
    <w:p w14:paraId="7EC53AFE" w14:textId="1B14CD05" w:rsidR="004468F8" w:rsidRPr="004577D1" w:rsidRDefault="004468F8" w:rsidP="004577D1">
      <w:pPr>
        <w:pStyle w:val="Heading1"/>
        <w:jc w:val="both"/>
      </w:pPr>
      <w:bookmarkStart w:id="4" w:name="_Toc237550568"/>
      <w:r>
        <w:t>Section 2: Understanding the Purpose and Research Question</w:t>
      </w:r>
      <w:bookmarkEnd w:id="4"/>
    </w:p>
    <w:p w14:paraId="6F7529E4" w14:textId="04CF172D" w:rsidR="004468F8" w:rsidRDefault="00210D5A">
      <w:pPr>
        <w:pStyle w:val="Heading2"/>
        <w:jc w:val="both"/>
      </w:pPr>
      <w:bookmarkStart w:id="5" w:name="_Toc237550569"/>
      <w:r>
        <w:t>2.1 Research</w:t>
      </w:r>
      <w:r w:rsidR="004468F8">
        <w:t xml:space="preserve"> Question(s) or Objectives</w:t>
      </w:r>
      <w:bookmarkEnd w:id="5"/>
    </w:p>
    <w:p w14:paraId="09B0D225" w14:textId="61CC4A0E" w:rsidR="00C34115" w:rsidRPr="004577D1" w:rsidRDefault="00C34115" w:rsidP="004577D1">
      <w:r>
        <w:t>The paper set out to explore three main questions about school attendance difficulties during the COVID</w:t>
      </w:r>
      <w:r>
        <w:noBreakHyphen/>
        <w:t>19 period. First, the researchers wanted to understand the key factors that contributed to children’s struggles with attending primary school, such as anxiety, disrupted routines, and reduced support. Second, they aimed to examine what kinds of help families had received—both formal and informal—and how useful these approaches were. Finally, they sought suggestions for new, community</w:t>
      </w:r>
      <w:r>
        <w:noBreakHyphen/>
        <w:t>based ways of supporting children and parents, asking stakeholders what additional strategies or interventions might improve attendance in the future.</w:t>
      </w:r>
    </w:p>
    <w:p w14:paraId="63BD9E0B" w14:textId="4134A117" w:rsidR="004468F8" w:rsidRPr="004577D1" w:rsidRDefault="004468F8" w:rsidP="004577D1">
      <w:pPr>
        <w:pStyle w:val="Heading1"/>
        <w:jc w:val="both"/>
      </w:pPr>
      <w:bookmarkStart w:id="6" w:name="_Toc237550570"/>
      <w:r>
        <w:lastRenderedPageBreak/>
        <w:t>Section 3: Understanding the Research Methods</w:t>
      </w:r>
      <w:bookmarkEnd w:id="6"/>
    </w:p>
    <w:p w14:paraId="7C64E5FB" w14:textId="25122959" w:rsidR="004468F8" w:rsidRDefault="00E10231">
      <w:pPr>
        <w:pStyle w:val="Heading2"/>
        <w:jc w:val="both"/>
      </w:pPr>
      <w:bookmarkStart w:id="7" w:name="_Toc237550571"/>
      <w:r>
        <w:t>3.1 Overview</w:t>
      </w:r>
      <w:r w:rsidR="004468F8">
        <w:t xml:space="preserve"> of Quantitative, Qualitative, and Mixed-Methods Research</w:t>
      </w:r>
      <w:bookmarkEnd w:id="7"/>
    </w:p>
    <w:p w14:paraId="001D113F" w14:textId="77777777" w:rsidR="004577D1" w:rsidRDefault="004577D1" w:rsidP="004577D1">
      <w:r>
        <w:t>Quantitative research is an approach that focuses on collecting information that can be counted, measured, and analysed statistically. Instead of exploring personal experiences or opinions, it relies on numerical data to identify patterns, compare groups, or test relationships between variables. The article you provided explains that quantitative studies use structured tools and numerical outcomes to produce objective, reliable findings (National Library of Medicine, 2024). Example: In a health and social care setting, a quantitative study might examine how many patients in a community clinic show symptoms of high blood pressure. Practitioners could record each patient’s blood pressure reading, calculate averages, and compare results across age groups. Because the data is numerical, it can be statistically analysed to reveal trends, such as whether older adults have higher rates of hypertension.</w:t>
      </w:r>
    </w:p>
    <w:p w14:paraId="762B4E37" w14:textId="77777777" w:rsidR="004577D1" w:rsidRDefault="004577D1" w:rsidP="004577D1">
      <w:r>
        <w:t xml:space="preserve">Qualitative research is an approach that aims to understand people’s experiences, perspectives, and meanings rather than focusing on numbers or measurements. It explores </w:t>
      </w:r>
      <w:r>
        <w:rPr>
          <w:i/>
          <w:iCs/>
        </w:rPr>
        <w:t>how</w:t>
      </w:r>
      <w:r>
        <w:t xml:space="preserve"> individuals interpret events and </w:t>
      </w:r>
      <w:r>
        <w:rPr>
          <w:i/>
          <w:iCs/>
        </w:rPr>
        <w:t>why</w:t>
      </w:r>
      <w:r>
        <w:t xml:space="preserve"> certain behaviours or feelings occur. The article you provided notes that qualitative studies often rely on interviews, open</w:t>
      </w:r>
      <w:r>
        <w:noBreakHyphen/>
        <w:t>ended questions, and narrative accounts to gather rich, detailed information that helps researchers interpret human behaviour in context (National Library of Medicine, 2023). Example: In a health and social care setting, a qualitative study might look at how patients feel about managing a long</w:t>
      </w:r>
      <w:r>
        <w:noBreakHyphen/>
        <w:t>term condition such as asthma. Researchers could conduct interviews where individuals describe their daily challenges, worries, and coping strategies. These personal accounts help professionals understand what support patients need and how services could be improved to better meet their emotional and practical needs.</w:t>
      </w:r>
    </w:p>
    <w:p w14:paraId="67A9437E" w14:textId="3E6C217C" w:rsidR="004468F8" w:rsidRPr="004577D1" w:rsidRDefault="004577D1" w:rsidP="004577D1">
      <w:r>
        <w:t>Mixed</w:t>
      </w:r>
      <w:r>
        <w:noBreakHyphen/>
        <w:t>methods research is an approach that brings together both quantitative and qualitative techniques within a single study. It uses numerical data to measure patterns or outcomes and descriptive data to explore people’s experiences or viewpoints. The article you provided highlights that combining these two forms of evidence allows researchers to gain a fuller and more balanced understanding of a topic, as each method compensates for the limitations of the other (National Library of Medicine, 2013). Example: In a health and social care setting, a mixed</w:t>
      </w:r>
      <w:r>
        <w:noBreakHyphen/>
        <w:t>methods study might examine the effectiveness of a new mental</w:t>
      </w:r>
      <w:r>
        <w:noBreakHyphen/>
        <w:t>health support programme. Researchers could collect quantitative data by measuring changes in anxiety scores before and after the programme and gather qualitative data through interviews where participants describe how the support affected their daily lives. Together, these findings provide both measurable outcomes and personal insight.</w:t>
      </w:r>
    </w:p>
    <w:p w14:paraId="638F19CE" w14:textId="7F9093E6" w:rsidR="004468F8" w:rsidRDefault="00E10231">
      <w:pPr>
        <w:pStyle w:val="Heading2"/>
        <w:jc w:val="both"/>
      </w:pPr>
      <w:bookmarkStart w:id="8" w:name="_Toc237550572"/>
      <w:r>
        <w:lastRenderedPageBreak/>
        <w:t>3.2 Research</w:t>
      </w:r>
      <w:r w:rsidR="004468F8">
        <w:t xml:space="preserve"> Methodology Used in Your Chosen Paper and Why</w:t>
      </w:r>
      <w:bookmarkEnd w:id="8"/>
    </w:p>
    <w:p w14:paraId="12D81BAE" w14:textId="4FA0E938" w:rsidR="004577D1" w:rsidRPr="00C77886" w:rsidRDefault="004577D1" w:rsidP="00C77886">
      <w:r>
        <w:t>The study used a qualitative research approach, meaning the researchers collected descriptive, narrative information rather than numbers or statistics. They gathered data through open</w:t>
      </w:r>
      <w:r>
        <w:noBreakHyphen/>
        <w:t>ended surveys and semi</w:t>
      </w:r>
      <w:r>
        <w:noBreakHyphen/>
        <w:t>structured interviews with parents and school professionals, then examined the responses using thematic framework analysis to identify recurring ideas and patterns. This method was well suited to the study because the researchers wanted to explore people’s experiences, feelings, and explanations for school attendance difficulties during COVID</w:t>
      </w:r>
      <w:r>
        <w:noBreakHyphen/>
        <w:t>19. Qualitative methods are ideal for capturing these detailed personal perspectives, which cannot be understood through numerical data alone.</w:t>
      </w:r>
    </w:p>
    <w:p w14:paraId="6B925483" w14:textId="18AC6F32" w:rsidR="004468F8" w:rsidRDefault="004468F8">
      <w:pPr>
        <w:pStyle w:val="Heading2"/>
        <w:jc w:val="both"/>
      </w:pPr>
      <w:bookmarkStart w:id="9" w:name="_Toc237550573"/>
      <w:r>
        <w:t>3.3 Primary and Secondary Data: Definitions, Differences, and Application to Your Paper</w:t>
      </w:r>
      <w:bookmarkEnd w:id="9"/>
    </w:p>
    <w:p w14:paraId="70FEAA7F" w14:textId="53C2FE2D" w:rsidR="004577D1" w:rsidRDefault="004577D1" w:rsidP="004577D1">
      <w:r>
        <w:t>Primary data refers to information that researchers gather themselves specifically for the study they are conducting. This might include interviews, surveys, observations, or any data collected first</w:t>
      </w:r>
      <w:r>
        <w:noBreakHyphen/>
        <w:t xml:space="preserve">hand. Secondary data, on the other hand, is information that </w:t>
      </w:r>
      <w:r w:rsidR="00C77886">
        <w:t>other people or organisations have already produced</w:t>
      </w:r>
      <w:r>
        <w:t xml:space="preserve"> for a different purpose, such as government reports, published studies, or existing datasets. As Kumar (2019) explains, primary data is collected “for the first time,” whereas secondary data is information that is already available.</w:t>
      </w:r>
    </w:p>
    <w:p w14:paraId="09855E75" w14:textId="1456BBAC" w:rsidR="004577D1" w:rsidRPr="004577D1" w:rsidRDefault="004577D1" w:rsidP="004577D1">
      <w:r>
        <w:t>In this paper, the researchers gathered primary qualitative data. They used open</w:t>
      </w:r>
      <w:r>
        <w:noBreakHyphen/>
        <w:t>ended surveys in the first phase and semi</w:t>
      </w:r>
      <w:r>
        <w:noBreakHyphen/>
        <w:t>structured interviews in the second phase to capture parents’ and professionals’ experiences of school attendance difficulties. After collecting these responses, they analysed the material using thematic framework analysis, a method that involves coding the data, organising it into themes, and interpreting patterns across participants’ accounts.</w:t>
      </w:r>
    </w:p>
    <w:p w14:paraId="5625A96E" w14:textId="77777777" w:rsidR="00530E16" w:rsidRDefault="004468F8">
      <w:pPr>
        <w:pStyle w:val="Heading1"/>
        <w:jc w:val="both"/>
      </w:pPr>
      <w:bookmarkStart w:id="10" w:name="_Toc237550574"/>
      <w:r>
        <w:t>Section 4: Conclusion</w:t>
      </w:r>
      <w:bookmarkEnd w:id="10"/>
    </w:p>
    <w:p w14:paraId="04CFDBF8" w14:textId="77777777" w:rsidR="004577D1" w:rsidRDefault="004577D1" w:rsidP="004577D1">
      <w:r>
        <w:t>The sections collectively outline the purpose, context, and significance of the study exploring primary</w:t>
      </w:r>
      <w:r>
        <w:noBreakHyphen/>
        <w:t>school attendance difficulties during the COVID</w:t>
      </w:r>
      <w:r>
        <w:noBreakHyphen/>
        <w:t>19 pandemic. The paper investigates why many children struggled to resume in</w:t>
      </w:r>
      <w:r>
        <w:noBreakHyphen/>
        <w:t>person schooling, emphasising influences such as heightened anxiety, disrupted daily routines, limited access to external support, and communication challenges between families and schools. Parents and a range of education professionals were included because they observe children’s difficulties in different environments, offering complementary insights into how attendance problems developed and intensified. The issue is particularly relevant in the UK, where post</w:t>
      </w:r>
      <w:r>
        <w:noBreakHyphen/>
        <w:t>pandemic absence rates have risen sharply and are now linked to wider inequalities, pressures on mental</w:t>
      </w:r>
      <w:r>
        <w:noBreakHyphen/>
        <w:t xml:space="preserve">health services, and </w:t>
      </w:r>
      <w:r>
        <w:lastRenderedPageBreak/>
        <w:t>policy expectations that do not always reflect the complex emotional and social factors affecting attendance. The study aimed to identify key causes, evaluate existing support, and gather suggestions for future community</w:t>
      </w:r>
      <w:r>
        <w:noBreakHyphen/>
        <w:t>based interventions. Also summarised quantitative, qualitative, and mixed</w:t>
      </w:r>
      <w:r>
        <w:noBreakHyphen/>
        <w:t>methods approaches, noting that this study used qualitative methods and primary data collected through surveys and interviews.</w:t>
      </w:r>
    </w:p>
    <w:p w14:paraId="296044E5" w14:textId="45C565EB" w:rsidR="004468F8" w:rsidRPr="00C77886" w:rsidRDefault="004577D1" w:rsidP="00C77886">
      <w:r>
        <w:t>Reflecting on this work, I have strengthened my ability to interpret research, understand methodological choices, and distinguish between different forms of data. These skills are essential in health and social care, supporting evidence</w:t>
      </w:r>
      <w:r>
        <w:noBreakHyphen/>
        <w:t>based practice and enabling more informed, person</w:t>
      </w:r>
      <w:r>
        <w:noBreakHyphen/>
        <w:t>centred decision</w:t>
      </w:r>
      <w:r>
        <w:noBreakHyphen/>
        <w:t>making.</w:t>
      </w:r>
    </w:p>
    <w:p w14:paraId="6D3FD30A" w14:textId="77777777" w:rsidR="00530E16" w:rsidRDefault="004468F8">
      <w:pPr>
        <w:pStyle w:val="Heading1"/>
      </w:pPr>
      <w:bookmarkStart w:id="11" w:name="_Toc237550575"/>
      <w:r>
        <w:t>References</w:t>
      </w:r>
      <w:bookmarkEnd w:id="11"/>
    </w:p>
    <w:p w14:paraId="1267F3E2" w14:textId="77777777" w:rsidR="004577D1" w:rsidRDefault="004577D1" w:rsidP="004577D1">
      <w:r>
        <w:t xml:space="preserve">Gibbons, S., McNally, S. &amp; </w:t>
      </w:r>
      <w:proofErr w:type="spellStart"/>
      <w:r>
        <w:t>Montebruno</w:t>
      </w:r>
      <w:proofErr w:type="spellEnd"/>
      <w:r>
        <w:t xml:space="preserve">, P. (2024). </w:t>
      </w:r>
      <w:r>
        <w:rPr>
          <w:i/>
          <w:iCs/>
        </w:rPr>
        <w:t>Absence and attainment: Evidence from pandemic policy</w:t>
      </w:r>
      <w:r>
        <w:t xml:space="preserve">. </w:t>
      </w:r>
      <w:hyperlink r:id="rId10" w:history="1">
        <w:r>
          <w:rPr>
            <w:rStyle w:val="Hyperlink"/>
          </w:rPr>
          <w:t>cepsp45.pdf</w:t>
        </w:r>
      </w:hyperlink>
      <w:r>
        <w:t xml:space="preserve"> (Accessed: 12 August 2026).</w:t>
      </w:r>
    </w:p>
    <w:p w14:paraId="3903D79B" w14:textId="77777777" w:rsidR="004577D1" w:rsidRDefault="004577D1" w:rsidP="004577D1">
      <w:r>
        <w:t xml:space="preserve">Gibbons, S., McNally, S. &amp; </w:t>
      </w:r>
      <w:proofErr w:type="spellStart"/>
      <w:r>
        <w:t>Montebruno</w:t>
      </w:r>
      <w:proofErr w:type="spellEnd"/>
      <w:r>
        <w:t xml:space="preserve">, P. (2025). </w:t>
      </w:r>
      <w:r>
        <w:rPr>
          <w:i/>
          <w:iCs/>
        </w:rPr>
        <w:t>Pupil absence and the COVID</w:t>
      </w:r>
      <w:r>
        <w:rPr>
          <w:i/>
          <w:iCs/>
        </w:rPr>
        <w:noBreakHyphen/>
        <w:t>19 pandemic</w:t>
      </w:r>
      <w:r>
        <w:t xml:space="preserve">. </w:t>
      </w:r>
      <w:hyperlink r:id="rId11" w:history="1">
        <w:r>
          <w:rPr>
            <w:rStyle w:val="Hyperlink"/>
          </w:rPr>
          <w:t>ERIC - ED674573 - Pupil Absence and the COVID-19 Pandemic, Centre for Economic Performance, 2025-Jul</w:t>
        </w:r>
      </w:hyperlink>
      <w:r>
        <w:t xml:space="preserve"> (Accessed: 12 August 2026).</w:t>
      </w:r>
    </w:p>
    <w:p w14:paraId="6373191E" w14:textId="77777777" w:rsidR="004577D1" w:rsidRDefault="004577D1" w:rsidP="004577D1">
      <w:r>
        <w:t xml:space="preserve">Kumar, R. (2019) </w:t>
      </w:r>
      <w:r>
        <w:rPr>
          <w:i/>
          <w:iCs/>
        </w:rPr>
        <w:t>Research Methodology: A Step</w:t>
      </w:r>
      <w:r>
        <w:rPr>
          <w:i/>
          <w:iCs/>
        </w:rPr>
        <w:noBreakHyphen/>
        <w:t>by</w:t>
      </w:r>
      <w:r>
        <w:rPr>
          <w:i/>
          <w:iCs/>
        </w:rPr>
        <w:noBreakHyphen/>
        <w:t>Step Guide for Beginners</w:t>
      </w:r>
      <w:r>
        <w:t>. 5th ed. London: SAGE.</w:t>
      </w:r>
    </w:p>
    <w:p w14:paraId="51977C7F" w14:textId="77777777" w:rsidR="004577D1" w:rsidRDefault="004577D1" w:rsidP="004577D1">
      <w:r>
        <w:t>Ma, T., &amp; Lee, Y. (2026). “Overview of Quantitative Research”. </w:t>
      </w:r>
      <w:r>
        <w:rPr>
          <w:i/>
          <w:iCs/>
        </w:rPr>
        <w:t>Family Medicine</w:t>
      </w:r>
      <w:r>
        <w:t>, </w:t>
      </w:r>
      <w:r>
        <w:rPr>
          <w:i/>
          <w:iCs/>
        </w:rPr>
        <w:t>58</w:t>
      </w:r>
      <w:r>
        <w:t xml:space="preserve">(2), 81–87. </w:t>
      </w:r>
      <w:hyperlink r:id="rId12" w:history="1">
        <w:r>
          <w:rPr>
            <w:rStyle w:val="Hyperlink"/>
          </w:rPr>
          <w:t>https://doi.org/10.22454/FamMe</w:t>
        </w:r>
        <w:bookmarkStart w:id="12" w:name="_Hlt237455911"/>
        <w:bookmarkStart w:id="13" w:name="_Hlt237455912"/>
        <w:r>
          <w:rPr>
            <w:rStyle w:val="Hyperlink"/>
          </w:rPr>
          <w:t>d</w:t>
        </w:r>
        <w:bookmarkEnd w:id="12"/>
        <w:bookmarkEnd w:id="13"/>
        <w:r>
          <w:rPr>
            <w:rStyle w:val="Hyperlink"/>
          </w:rPr>
          <w:t>.2026.406133</w:t>
        </w:r>
      </w:hyperlink>
      <w:r>
        <w:t xml:space="preserve"> (Accessed: 12 August 2026).</w:t>
      </w:r>
    </w:p>
    <w:p w14:paraId="3B9003DB" w14:textId="77777777" w:rsidR="004577D1" w:rsidRDefault="004577D1" w:rsidP="004577D1">
      <w:r>
        <w:t>Pyo, J., Lee, W., Choi, E. Y., Jang, S. G., &amp; Ock, M. (2023). “Qualitative Research in Healthcare”: Necessity and Characteristics. </w:t>
      </w:r>
      <w:r>
        <w:rPr>
          <w:i/>
          <w:iCs/>
        </w:rPr>
        <w:t xml:space="preserve">Journal of Preventive Medicine and Public Health = </w:t>
      </w:r>
      <w:proofErr w:type="spellStart"/>
      <w:r>
        <w:rPr>
          <w:i/>
          <w:iCs/>
        </w:rPr>
        <w:t>Yebang</w:t>
      </w:r>
      <w:proofErr w:type="spellEnd"/>
      <w:r>
        <w:rPr>
          <w:i/>
          <w:iCs/>
        </w:rPr>
        <w:t xml:space="preserve"> </w:t>
      </w:r>
      <w:proofErr w:type="spellStart"/>
      <w:r>
        <w:rPr>
          <w:i/>
          <w:iCs/>
        </w:rPr>
        <w:t>Uihakhoe</w:t>
      </w:r>
      <w:proofErr w:type="spellEnd"/>
      <w:r>
        <w:rPr>
          <w:i/>
          <w:iCs/>
        </w:rPr>
        <w:t xml:space="preserve"> chi</w:t>
      </w:r>
      <w:r>
        <w:t>, </w:t>
      </w:r>
      <w:r>
        <w:rPr>
          <w:i/>
          <w:iCs/>
        </w:rPr>
        <w:t>56</w:t>
      </w:r>
      <w:r>
        <w:t xml:space="preserve">(1), 12–20. </w:t>
      </w:r>
      <w:hyperlink r:id="rId13" w:history="1">
        <w:r>
          <w:rPr>
            <w:rStyle w:val="Hyperlink"/>
          </w:rPr>
          <w:t>https://doi.org/10.3961/jpmph.22.451</w:t>
        </w:r>
      </w:hyperlink>
      <w:r>
        <w:t xml:space="preserve"> (Accessed: 12 August 2026).</w:t>
      </w:r>
    </w:p>
    <w:p w14:paraId="1EF0BBBB" w14:textId="77777777" w:rsidR="004577D1" w:rsidRDefault="004577D1" w:rsidP="004577D1">
      <w:r>
        <w:t>Tariq, S., &amp; Woodman, J. (2013). “Using mixed methods in health research”. </w:t>
      </w:r>
      <w:r>
        <w:rPr>
          <w:i/>
          <w:iCs/>
        </w:rPr>
        <w:t>JRSM Short Reports</w:t>
      </w:r>
      <w:r>
        <w:t>, </w:t>
      </w:r>
      <w:r>
        <w:rPr>
          <w:i/>
          <w:iCs/>
        </w:rPr>
        <w:t>4</w:t>
      </w:r>
      <w:r>
        <w:t xml:space="preserve">(6), 2042533313479197. </w:t>
      </w:r>
      <w:hyperlink r:id="rId14" w:history="1">
        <w:r>
          <w:rPr>
            <w:rStyle w:val="Hyperlink"/>
          </w:rPr>
          <w:t>https://doi.org/10.1177/2042533313479197</w:t>
        </w:r>
      </w:hyperlink>
      <w:r>
        <w:t xml:space="preserve"> </w:t>
      </w:r>
    </w:p>
    <w:p w14:paraId="41C3DFA7" w14:textId="77777777" w:rsidR="004577D1" w:rsidRPr="00210D5A" w:rsidRDefault="004577D1" w:rsidP="00E10231">
      <w:pPr>
        <w:spacing w:line="360" w:lineRule="auto"/>
        <w:jc w:val="both"/>
        <w:rPr>
          <w:rFonts w:ascii="Arial" w:eastAsia="Arial" w:hAnsi="Arial" w:cs="Arial"/>
          <w:i/>
          <w:iCs/>
          <w:sz w:val="22"/>
          <w:szCs w:val="22"/>
        </w:rPr>
      </w:pPr>
    </w:p>
    <w:p w14:paraId="50167541" w14:textId="77777777" w:rsidR="00E10231" w:rsidRPr="00E10231" w:rsidRDefault="00E10231">
      <w:pPr>
        <w:spacing w:line="360" w:lineRule="auto"/>
        <w:jc w:val="both"/>
        <w:rPr>
          <w:rFonts w:ascii="Arial" w:eastAsia="Arial" w:hAnsi="Arial" w:cs="Arial"/>
          <w:i/>
          <w:iCs/>
          <w:color w:val="FF0000"/>
          <w:sz w:val="22"/>
          <w:szCs w:val="22"/>
        </w:rPr>
      </w:pPr>
    </w:p>
    <w:p w14:paraId="0296760F" w14:textId="77777777" w:rsidR="004468F8" w:rsidRDefault="004468F8">
      <w:pPr>
        <w:spacing w:line="360" w:lineRule="auto"/>
        <w:jc w:val="both"/>
        <w:rPr>
          <w:rFonts w:ascii="Arial" w:eastAsia="Arial" w:hAnsi="Arial" w:cs="Arial"/>
          <w:sz w:val="22"/>
          <w:szCs w:val="22"/>
        </w:rPr>
      </w:pPr>
    </w:p>
    <w:p w14:paraId="613BD4F8" w14:textId="77777777" w:rsidR="004468F8" w:rsidRDefault="004468F8">
      <w:pPr>
        <w:spacing w:line="360" w:lineRule="auto"/>
        <w:jc w:val="both"/>
        <w:rPr>
          <w:rFonts w:ascii="Arial" w:eastAsia="Arial" w:hAnsi="Arial" w:cs="Arial"/>
          <w:sz w:val="22"/>
          <w:szCs w:val="22"/>
        </w:rPr>
      </w:pPr>
    </w:p>
    <w:p w14:paraId="4F661ECA" w14:textId="77777777" w:rsidR="004468F8" w:rsidRDefault="004468F8">
      <w:pPr>
        <w:spacing w:line="360" w:lineRule="auto"/>
        <w:jc w:val="both"/>
        <w:rPr>
          <w:rFonts w:ascii="Arial" w:eastAsia="Arial" w:hAnsi="Arial" w:cs="Arial"/>
          <w:sz w:val="22"/>
          <w:szCs w:val="22"/>
        </w:rPr>
      </w:pPr>
    </w:p>
    <w:p w14:paraId="1BB7FD0F" w14:textId="77777777" w:rsidR="004468F8" w:rsidRDefault="004468F8">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5"/>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491A9" w14:textId="77777777" w:rsidR="00C518C9" w:rsidRDefault="00C518C9" w:rsidP="002A1842">
      <w:pPr>
        <w:spacing w:after="0" w:line="240" w:lineRule="auto"/>
      </w:pPr>
      <w:r>
        <w:separator/>
      </w:r>
    </w:p>
  </w:endnote>
  <w:endnote w:type="continuationSeparator" w:id="0">
    <w:p w14:paraId="45C77584" w14:textId="77777777" w:rsidR="00C518C9" w:rsidRDefault="00C518C9"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3E7E8" w14:textId="77777777" w:rsidR="00C518C9" w:rsidRDefault="00C518C9" w:rsidP="002A1842">
      <w:pPr>
        <w:spacing w:after="0" w:line="240" w:lineRule="auto"/>
      </w:pPr>
      <w:r>
        <w:separator/>
      </w:r>
    </w:p>
  </w:footnote>
  <w:footnote w:type="continuationSeparator" w:id="0">
    <w:p w14:paraId="5FC58F00" w14:textId="77777777" w:rsidR="00C518C9" w:rsidRDefault="00C518C9"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172AD1"/>
    <w:rsid w:val="001813E7"/>
    <w:rsid w:val="00210D5A"/>
    <w:rsid w:val="002A1842"/>
    <w:rsid w:val="002A46BB"/>
    <w:rsid w:val="004468F8"/>
    <w:rsid w:val="004577D1"/>
    <w:rsid w:val="00516457"/>
    <w:rsid w:val="00530E16"/>
    <w:rsid w:val="00722EFE"/>
    <w:rsid w:val="007A2630"/>
    <w:rsid w:val="00A75B15"/>
    <w:rsid w:val="00AE06EA"/>
    <w:rsid w:val="00C34115"/>
    <w:rsid w:val="00C518C9"/>
    <w:rsid w:val="00C77886"/>
    <w:rsid w:val="00C87E2E"/>
    <w:rsid w:val="00CF1E63"/>
    <w:rsid w:val="00CF650B"/>
    <w:rsid w:val="00E10231"/>
    <w:rsid w:val="00F6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3961/jpmph.22.451"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22454/FamMed.2026.40613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ric.ed.gov/?q=absence&amp;id=ED674573"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cep.lse.ac.uk/pubs/download/special/cepsp45.pdf"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1177/20425333134791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2176</Words>
  <Characters>12405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Theophilus Brimpong Junior</cp:lastModifiedBy>
  <cp:revision>2</cp:revision>
  <dcterms:created xsi:type="dcterms:W3CDTF">2026-08-13T20:59:00Z</dcterms:created>
  <dcterms:modified xsi:type="dcterms:W3CDTF">2026-08-13T20:59:00Z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1072294e-6b79-4f32-8e9d-6a2b46120f59</vt:lpwstr>
  </property>
</Properties>
</file>