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04C909" w14:textId="436C6B3D" w:rsidR="00123877" w:rsidRPr="00123877" w:rsidRDefault="0048580E">
      <w:pPr>
        <w:rPr>
          <w:sz w:val="24"/>
          <w:szCs w:val="24"/>
        </w:rPr>
      </w:pPr>
      <w:r w:rsidRPr="00123877">
        <w:rPr>
          <w:sz w:val="24"/>
          <w:szCs w:val="24"/>
        </w:rPr>
        <w:t>Gender Identity, Gender Roles and Sexuality – what implications does Twelfth Night h</w:t>
      </w:r>
      <w:r w:rsidR="00822079" w:rsidRPr="00123877">
        <w:rPr>
          <w:sz w:val="24"/>
          <w:szCs w:val="24"/>
        </w:rPr>
        <w:t>old</w:t>
      </w:r>
      <w:r w:rsidRPr="00123877">
        <w:rPr>
          <w:sz w:val="24"/>
          <w:szCs w:val="24"/>
        </w:rPr>
        <w:t xml:space="preserve"> for modern audiences?</w:t>
      </w:r>
    </w:p>
    <w:p w14:paraId="61046A07" w14:textId="3846C118" w:rsidR="00EB1F74" w:rsidRDefault="0048580E" w:rsidP="00036511">
      <w:r w:rsidRPr="00EE6623">
        <w:rPr>
          <w:i/>
          <w:iCs/>
        </w:rPr>
        <w:t>Twelfth Night</w:t>
      </w:r>
      <w:r>
        <w:t xml:space="preserve">, or </w:t>
      </w:r>
      <w:r w:rsidRPr="00EE6623">
        <w:rPr>
          <w:i/>
          <w:iCs/>
        </w:rPr>
        <w:t>As You Will</w:t>
      </w:r>
      <w:r>
        <w:t xml:space="preserve"> is a delightfully entertaining comedy by William Shakespeare that was</w:t>
      </w:r>
      <w:r w:rsidR="00E06C88">
        <w:t xml:space="preserve"> believed to have </w:t>
      </w:r>
      <w:r>
        <w:t>originally</w:t>
      </w:r>
      <w:r w:rsidR="00B50BB2">
        <w:t xml:space="preserve"> been</w:t>
      </w:r>
      <w:r>
        <w:t xml:space="preserve"> written </w:t>
      </w:r>
      <w:r w:rsidR="00E06C88">
        <w:t>between 1601 and 1602 and was performed thereafter.</w:t>
      </w:r>
      <w:r w:rsidR="00D57A41">
        <w:t xml:space="preserve"> The play </w:t>
      </w:r>
      <w:r>
        <w:t xml:space="preserve">contains </w:t>
      </w:r>
      <w:r w:rsidR="00F32ACE">
        <w:t>overarching themes</w:t>
      </w:r>
      <w:r w:rsidR="00D57A41">
        <w:t xml:space="preserve"> such</w:t>
      </w:r>
      <w:r w:rsidR="00F32ACE">
        <w:t xml:space="preserve"> as the idea of identity</w:t>
      </w:r>
      <w:r w:rsidR="003517E3">
        <w:t xml:space="preserve"> and gender</w:t>
      </w:r>
      <w:r w:rsidR="00D57A41">
        <w:t xml:space="preserve"> </w:t>
      </w:r>
      <w:r w:rsidR="00BA3B54">
        <w:t>intertwined</w:t>
      </w:r>
      <w:r w:rsidR="00D57A41">
        <w:t xml:space="preserve"> with deception and disguise, and in the typical fashion of a Shakespearean comedy</w:t>
      </w:r>
      <w:r w:rsidR="00F9252F">
        <w:t xml:space="preserve">, every loose end represented through these themes is </w:t>
      </w:r>
      <w:r w:rsidR="00B15D6A">
        <w:t>perfectly wrapped up, leaving room for a satisfying ‘happy’ ending</w:t>
      </w:r>
      <w:r w:rsidR="00B73C21">
        <w:t xml:space="preserve"> to the play.</w:t>
      </w:r>
      <w:r w:rsidR="00B238A8">
        <w:t xml:space="preserve"> The </w:t>
      </w:r>
      <w:r w:rsidR="00C97A0D">
        <w:t xml:space="preserve">comedic </w:t>
      </w:r>
      <w:r w:rsidR="00B238A8">
        <w:t xml:space="preserve">disorder </w:t>
      </w:r>
      <w:r w:rsidR="009669C7">
        <w:t xml:space="preserve">created by the storm and the undoing of such chaos takes up </w:t>
      </w:r>
      <w:proofErr w:type="gramStart"/>
      <w:r w:rsidR="009669C7">
        <w:t>the majority of</w:t>
      </w:r>
      <w:proofErr w:type="gramEnd"/>
      <w:r w:rsidR="009669C7">
        <w:t xml:space="preserve"> the play, creating a nonsensical but enjoyable performance</w:t>
      </w:r>
      <w:r w:rsidR="00905F6E">
        <w:t>, but it is a stretch of the imagination to see this as any</w:t>
      </w:r>
      <w:r w:rsidR="005B27A2">
        <w:t xml:space="preserve"> </w:t>
      </w:r>
      <w:r w:rsidR="00905F6E">
        <w:t>more than a light-hearted comedy due to its unrealistic nature.</w:t>
      </w:r>
      <w:r w:rsidR="003E2D17">
        <w:t xml:space="preserve"> </w:t>
      </w:r>
      <w:r w:rsidR="007F297D">
        <w:t>However, one must con</w:t>
      </w:r>
      <w:r w:rsidR="00B9083A">
        <w:t>sider how</w:t>
      </w:r>
      <w:r w:rsidR="00771FE4">
        <w:t xml:space="preserve"> the </w:t>
      </w:r>
      <w:r w:rsidR="00DF6BAE">
        <w:t>audiences</w:t>
      </w:r>
      <w:r w:rsidR="00771FE4">
        <w:t xml:space="preserve"> of today</w:t>
      </w:r>
      <w:r w:rsidR="00DF6BAE">
        <w:t xml:space="preserve"> w</w:t>
      </w:r>
      <w:r w:rsidR="00E72AA7">
        <w:t>ould view</w:t>
      </w:r>
      <w:r w:rsidR="001A600F">
        <w:t xml:space="preserve"> </w:t>
      </w:r>
      <w:r w:rsidR="0047229C">
        <w:t>this play, whether it has any relevance beyond being amusing</w:t>
      </w:r>
      <w:r w:rsidR="00771FE4">
        <w:t xml:space="preserve">, and </w:t>
      </w:r>
      <w:r w:rsidR="00BC7420">
        <w:t xml:space="preserve">indeed </w:t>
      </w:r>
      <w:r w:rsidR="00771FE4">
        <w:t xml:space="preserve">whether modern performances should be adapted </w:t>
      </w:r>
      <w:r w:rsidR="00BC7420">
        <w:t>to reflect more contemporary values.</w:t>
      </w:r>
    </w:p>
    <w:p w14:paraId="769BD8AE" w14:textId="1C988EBD" w:rsidR="00776D9C" w:rsidRDefault="0023048B">
      <w:r>
        <w:t xml:space="preserve">First and foremost, one </w:t>
      </w:r>
      <w:proofErr w:type="gramStart"/>
      <w:r>
        <w:t>has to</w:t>
      </w:r>
      <w:proofErr w:type="gramEnd"/>
      <w:r>
        <w:t xml:space="preserve"> address </w:t>
      </w:r>
      <w:r w:rsidR="00BD17A8">
        <w:t xml:space="preserve">Shakespeare’s </w:t>
      </w:r>
      <w:r w:rsidR="00E345A2">
        <w:t>over</w:t>
      </w:r>
      <w:r w:rsidR="00BD17A8">
        <w:t>use of a s</w:t>
      </w:r>
      <w:r>
        <w:t xml:space="preserve">tock narrative point </w:t>
      </w:r>
      <w:r w:rsidR="00BA07AB">
        <w:t xml:space="preserve">in his plays, that </w:t>
      </w:r>
      <w:r>
        <w:t>of pairing off various characters into heterosexual relationships, leading to</w:t>
      </w:r>
      <w:r w:rsidR="00A87E67">
        <w:t xml:space="preserve"> an ending filled with</w:t>
      </w:r>
      <w:r>
        <w:t xml:space="preserve"> multiple weddings</w:t>
      </w:r>
      <w:r w:rsidR="005641B6">
        <w:t>, often to whom they</w:t>
      </w:r>
      <w:r w:rsidR="00C85BAE">
        <w:t xml:space="preserve"> do</w:t>
      </w:r>
      <w:r w:rsidR="005641B6">
        <w:t xml:space="preserve"> not originally yearn for</w:t>
      </w:r>
      <w:r>
        <w:t>.</w:t>
      </w:r>
      <w:r w:rsidR="00A87E67">
        <w:t xml:space="preserve"> This can be seen in </w:t>
      </w:r>
      <w:r w:rsidR="00A87E67" w:rsidRPr="00A87E67">
        <w:rPr>
          <w:i/>
          <w:iCs/>
        </w:rPr>
        <w:t>Twelfth Night</w:t>
      </w:r>
      <w:r w:rsidR="00352D63">
        <w:t xml:space="preserve">, </w:t>
      </w:r>
      <w:r w:rsidR="002A5841" w:rsidRPr="0068775C">
        <w:t xml:space="preserve">through the pairing </w:t>
      </w:r>
      <w:proofErr w:type="gramStart"/>
      <w:r w:rsidR="002A5841" w:rsidRPr="0068775C">
        <w:t>off of</w:t>
      </w:r>
      <w:proofErr w:type="gramEnd"/>
      <w:r w:rsidR="002A5841" w:rsidRPr="0068775C">
        <w:t xml:space="preserve"> </w:t>
      </w:r>
      <w:r w:rsidR="006C692E" w:rsidRPr="0068775C">
        <w:t xml:space="preserve">Viola </w:t>
      </w:r>
      <w:r w:rsidR="00A67775" w:rsidRPr="0068775C">
        <w:t xml:space="preserve">and </w:t>
      </w:r>
      <w:r w:rsidR="006C692E" w:rsidRPr="0068775C">
        <w:t>Orsino</w:t>
      </w:r>
      <w:r w:rsidR="007C2D6D">
        <w:t xml:space="preserve">, </w:t>
      </w:r>
      <w:r w:rsidR="006C692E" w:rsidRPr="0068775C">
        <w:t>Sebastian and Olivia</w:t>
      </w:r>
      <w:r w:rsidR="0068775C" w:rsidRPr="0068775C">
        <w:t>, a</w:t>
      </w:r>
      <w:r w:rsidR="007C2D6D">
        <w:t>nd</w:t>
      </w:r>
      <w:r w:rsidR="0068775C" w:rsidRPr="0068775C">
        <w:t xml:space="preserve"> Maria and Sir Toby</w:t>
      </w:r>
      <w:r w:rsidR="00A67775" w:rsidRPr="0068775C">
        <w:t>, defying earlier</w:t>
      </w:r>
      <w:r w:rsidR="00A67775">
        <w:t xml:space="preserve"> audience </w:t>
      </w:r>
      <w:r w:rsidR="00A67775" w:rsidRPr="006D0384">
        <w:t xml:space="preserve">expectations </w:t>
      </w:r>
      <w:r w:rsidR="00C432FF" w:rsidRPr="006D0384">
        <w:t xml:space="preserve">(one could also argue that modern audiences would expect </w:t>
      </w:r>
      <w:r w:rsidR="00C432FF" w:rsidRPr="00241B12">
        <w:t>s</w:t>
      </w:r>
      <w:r w:rsidR="00D66095" w:rsidRPr="00241B12">
        <w:t>uch as Orsino and Cesario, or Antonio and Sebastian</w:t>
      </w:r>
      <w:r w:rsidR="00C432FF" w:rsidRPr="00241B12">
        <w:t>)</w:t>
      </w:r>
      <w:r w:rsidR="00A12EF5" w:rsidRPr="00241B12">
        <w:rPr>
          <w:rStyle w:val="FootnoteReference"/>
        </w:rPr>
        <w:footnoteReference w:id="1"/>
      </w:r>
      <w:r w:rsidR="00C432FF" w:rsidRPr="00241B12">
        <w:t xml:space="preserve"> </w:t>
      </w:r>
      <w:r w:rsidR="00A67775" w:rsidRPr="00241B12">
        <w:t>–</w:t>
      </w:r>
      <w:r w:rsidR="00352D63" w:rsidRPr="00241B12">
        <w:t xml:space="preserve"> a</w:t>
      </w:r>
      <w:r w:rsidRPr="00241B12">
        <w:t>nother notable example of this is Midsummer Night’s Dream</w:t>
      </w:r>
      <w:r w:rsidR="00D32B15" w:rsidRPr="00241B12">
        <w:t xml:space="preserve">. </w:t>
      </w:r>
      <w:r w:rsidR="00D77344" w:rsidRPr="00241B12">
        <w:t xml:space="preserve">This </w:t>
      </w:r>
      <w:r w:rsidR="009E4393" w:rsidRPr="00241B12">
        <w:t xml:space="preserve">audience pleasing yet ultimately formulaic </w:t>
      </w:r>
      <w:r w:rsidR="00D77344" w:rsidRPr="00241B12">
        <w:t xml:space="preserve">plot unfortunately highlights that the </w:t>
      </w:r>
      <w:r w:rsidR="00D32B15" w:rsidRPr="00241B12">
        <w:t>most a woman can achieve in this world is a good marriage,</w:t>
      </w:r>
      <w:r w:rsidR="00556149" w:rsidRPr="00241B12">
        <w:t xml:space="preserve"> while also bringing to the fore “the containment effects of ultimate heterosexual marriage in ‘a play that had continually tantalized its audience with the spectacle of homoerotic desire’”</w:t>
      </w:r>
      <w:r w:rsidR="00241B12" w:rsidRPr="00241B12">
        <w:rPr>
          <w:rStyle w:val="FootnoteReference"/>
        </w:rPr>
        <w:footnoteReference w:id="2"/>
      </w:r>
      <w:r w:rsidR="00241B12" w:rsidRPr="00241B12">
        <w:t xml:space="preserve"> .</w:t>
      </w:r>
      <w:r w:rsidR="00D42DBB" w:rsidRPr="00241B12">
        <w:t>Y</w:t>
      </w:r>
      <w:r w:rsidR="00D32B15" w:rsidRPr="00241B12">
        <w:t>et</w:t>
      </w:r>
      <w:r w:rsidR="00D42DBB" w:rsidRPr="00241B12">
        <w:t>,</w:t>
      </w:r>
      <w:r w:rsidR="00D32B15" w:rsidRPr="00241B12">
        <w:t xml:space="preserve"> Olivia turns down</w:t>
      </w:r>
      <w:r w:rsidR="004F0269" w:rsidRPr="00241B12">
        <w:t xml:space="preserve"> the Duke’s advances</w:t>
      </w:r>
      <w:r w:rsidR="00D32B15" w:rsidRPr="00241B12">
        <w:t xml:space="preserve"> multiple times throughout the play</w:t>
      </w:r>
      <w:r w:rsidR="00795C10" w:rsidRPr="00241B12">
        <w:t>, rejecting marriage to a man similar in her age and station. T</w:t>
      </w:r>
      <w:r w:rsidR="00705090" w:rsidRPr="00241B12">
        <w:t>herefore</w:t>
      </w:r>
      <w:r w:rsidR="00ED5606" w:rsidRPr="00241B12">
        <w:t>,</w:t>
      </w:r>
      <w:r w:rsidR="00705090" w:rsidRPr="00241B12">
        <w:t xml:space="preserve"> the audience begins to question whether she fears the loss of her relative freedom</w:t>
      </w:r>
      <w:r w:rsidR="00E07E1B" w:rsidRPr="00241B12">
        <w:t xml:space="preserve"> </w:t>
      </w:r>
      <w:r w:rsidR="00705090" w:rsidRPr="00241B12">
        <w:t>in</w:t>
      </w:r>
      <w:r w:rsidR="00CB5B5C" w:rsidRPr="00241B12">
        <w:t xml:space="preserve"> </w:t>
      </w:r>
      <w:r w:rsidR="00ED5606" w:rsidRPr="00241B12">
        <w:t>comparison</w:t>
      </w:r>
      <w:r w:rsidR="00705090" w:rsidRPr="00241B12">
        <w:t xml:space="preserve"> to essentially becoming an object </w:t>
      </w:r>
      <w:r w:rsidR="00A80BAE" w:rsidRPr="00241B12">
        <w:t>of</w:t>
      </w:r>
      <w:r w:rsidR="00A80BAE">
        <w:t xml:space="preserve"> her husband’s desires in a marriage</w:t>
      </w:r>
      <w:r w:rsidR="00263FE7" w:rsidRPr="006A4F6E">
        <w:t>, as at the time of writing, a woman’s legal position would be “under the absolute power of her husband”</w:t>
      </w:r>
      <w:r w:rsidR="00BA7F14" w:rsidRPr="006A4F6E">
        <w:rPr>
          <w:rStyle w:val="FootnoteReference"/>
        </w:rPr>
        <w:footnoteReference w:id="3"/>
      </w:r>
      <w:r w:rsidR="00F5260B" w:rsidRPr="006A4F6E">
        <w:t xml:space="preserve"> </w:t>
      </w:r>
      <w:r w:rsidR="00A80BAE" w:rsidRPr="006A4F6E">
        <w:t xml:space="preserve">. </w:t>
      </w:r>
      <w:r w:rsidR="00ED1F7B" w:rsidRPr="006A4F6E">
        <w:t>In the</w:t>
      </w:r>
      <w:r w:rsidR="00ED1F7B">
        <w:t xml:space="preserve"> same breath, one</w:t>
      </w:r>
      <w:r w:rsidR="00A80BAE">
        <w:t xml:space="preserve"> can also question whether</w:t>
      </w:r>
      <w:r w:rsidR="00ED1F7B">
        <w:t xml:space="preserve"> this </w:t>
      </w:r>
      <w:proofErr w:type="gramStart"/>
      <w:r w:rsidR="00ED1F7B">
        <w:t xml:space="preserve">seven </w:t>
      </w:r>
      <w:r w:rsidR="008A02A8">
        <w:t>year</w:t>
      </w:r>
      <w:proofErr w:type="gramEnd"/>
      <w:r w:rsidR="008A02A8">
        <w:t xml:space="preserve"> period of mourning is a</w:t>
      </w:r>
      <w:r w:rsidR="00A16F20">
        <w:t xml:space="preserve"> polite</w:t>
      </w:r>
      <w:r w:rsidR="008A02A8">
        <w:t xml:space="preserve"> fabrication to save herself from marriage</w:t>
      </w:r>
      <w:r w:rsidR="00263FE7">
        <w:t xml:space="preserve"> to a man she does not like</w:t>
      </w:r>
      <w:r w:rsidR="008A02A8">
        <w:t>, or whether she</w:t>
      </w:r>
      <w:r w:rsidR="00E07E1B">
        <w:t xml:space="preserve"> simply</w:t>
      </w:r>
      <w:r w:rsidR="008A02A8">
        <w:t xml:space="preserve"> mourns </w:t>
      </w:r>
      <w:r w:rsidR="00E07E1B">
        <w:t xml:space="preserve">the </w:t>
      </w:r>
      <w:r w:rsidR="0050182A">
        <w:t>loss of her brother and father.</w:t>
      </w:r>
      <w:r w:rsidR="008B5421">
        <w:t xml:space="preserve"> This mourning period both liberates her and restricts her, as she comes to the realisation that she has strong feelings for </w:t>
      </w:r>
      <w:proofErr w:type="gramStart"/>
      <w:r w:rsidR="008B5421">
        <w:t>Cesario, but</w:t>
      </w:r>
      <w:proofErr w:type="gramEnd"/>
      <w:r w:rsidR="008B5421">
        <w:t xml:space="preserve"> is restricted by an inability to act on those feelings due to the role </w:t>
      </w:r>
      <w:r w:rsidR="00902B46">
        <w:t xml:space="preserve">fabricated for her, that of the </w:t>
      </w:r>
      <w:r w:rsidR="00263FE7">
        <w:t xml:space="preserve">dedicated </w:t>
      </w:r>
      <w:r w:rsidR="00902B46">
        <w:t>mourner.</w:t>
      </w:r>
      <w:r w:rsidR="00E53FEB">
        <w:t xml:space="preserve"> </w:t>
      </w:r>
      <w:r w:rsidR="00CC2DA3" w:rsidRPr="009A0BE9">
        <w:t xml:space="preserve">Even the </w:t>
      </w:r>
      <w:r w:rsidR="00BD478B" w:rsidRPr="009A0BE9">
        <w:t xml:space="preserve">imagery </w:t>
      </w:r>
      <w:r w:rsidR="001D5AB6" w:rsidRPr="009A0BE9">
        <w:t xml:space="preserve">of being sought after </w:t>
      </w:r>
      <w:r w:rsidR="004268A7" w:rsidRPr="009A0BE9">
        <w:t xml:space="preserve">like a </w:t>
      </w:r>
      <w:r w:rsidR="00776D9C" w:rsidRPr="009A0BE9">
        <w:t>‘</w:t>
      </w:r>
      <w:r w:rsidR="004268A7" w:rsidRPr="009A0BE9">
        <w:t>hart</w:t>
      </w:r>
      <w:r w:rsidR="00776D9C" w:rsidRPr="009A0BE9">
        <w:t>’</w:t>
      </w:r>
      <w:r w:rsidR="001D5AB6" w:rsidRPr="009A0BE9">
        <w:t xml:space="preserve"> </w:t>
      </w:r>
      <w:proofErr w:type="gramStart"/>
      <w:r w:rsidR="001D5AB6" w:rsidRPr="009A0BE9">
        <w:t>in regards to</w:t>
      </w:r>
      <w:proofErr w:type="gramEnd"/>
      <w:r w:rsidR="001D5AB6" w:rsidRPr="009A0BE9">
        <w:t xml:space="preserve"> </w:t>
      </w:r>
      <w:r w:rsidR="004268A7" w:rsidRPr="009A0BE9">
        <w:t>Orsino’s pursual of O</w:t>
      </w:r>
      <w:r w:rsidR="001D5AB6" w:rsidRPr="009A0BE9">
        <w:t>livia</w:t>
      </w:r>
      <w:r w:rsidR="004268A7" w:rsidRPr="009A0BE9">
        <w:t>, s</w:t>
      </w:r>
      <w:r w:rsidR="001D5AB6" w:rsidRPr="009A0BE9">
        <w:t xml:space="preserve">uggests women as </w:t>
      </w:r>
      <w:r w:rsidR="00BD478B" w:rsidRPr="009A0BE9">
        <w:t xml:space="preserve">the </w:t>
      </w:r>
      <w:r w:rsidR="001D5AB6" w:rsidRPr="009A0BE9">
        <w:t>weaker</w:t>
      </w:r>
      <w:r w:rsidR="00BD478B" w:rsidRPr="009A0BE9">
        <w:t xml:space="preserve"> sex</w:t>
      </w:r>
      <w:r w:rsidR="004268A7" w:rsidRPr="009A0BE9">
        <w:t xml:space="preserve"> with its</w:t>
      </w:r>
      <w:r w:rsidR="001D5AB6" w:rsidRPr="009A0BE9">
        <w:t xml:space="preserve"> comparison to </w:t>
      </w:r>
      <w:r w:rsidR="004268A7" w:rsidRPr="009A0BE9">
        <w:t xml:space="preserve">an </w:t>
      </w:r>
      <w:r w:rsidR="001D5AB6" w:rsidRPr="009A0BE9">
        <w:t>animal</w:t>
      </w:r>
      <w:r w:rsidR="004268A7" w:rsidRPr="009A0BE9">
        <w:t xml:space="preserve"> that can be conquered by men</w:t>
      </w:r>
      <w:r w:rsidR="00BD478B" w:rsidRPr="009A0BE9">
        <w:t>, and that men only enjoy the hunt</w:t>
      </w:r>
      <w:r w:rsidR="0084159C" w:rsidRPr="009A0BE9">
        <w:t xml:space="preserve"> for feelings of power and control</w:t>
      </w:r>
      <w:r w:rsidR="00776D9C" w:rsidRPr="009A0BE9">
        <w:t xml:space="preserve">. In Orsino’s speech of love, he speaks of how men’s “fancies are </w:t>
      </w:r>
      <w:proofErr w:type="gramStart"/>
      <w:r w:rsidR="00776D9C" w:rsidRPr="009A0BE9">
        <w:t>more giddy</w:t>
      </w:r>
      <w:proofErr w:type="gramEnd"/>
      <w:r w:rsidR="00776D9C" w:rsidRPr="009A0BE9">
        <w:t xml:space="preserve"> and unfirm, more longing, wavering, sooner lost and worn, than women’s are”</w:t>
      </w:r>
      <w:r w:rsidR="004572F1" w:rsidRPr="009A0BE9">
        <w:rPr>
          <w:rStyle w:val="FootnoteReference"/>
        </w:rPr>
        <w:footnoteReference w:id="4"/>
      </w:r>
      <w:r w:rsidR="00776D9C" w:rsidRPr="009A0BE9">
        <w:t>, which</w:t>
      </w:r>
      <w:r w:rsidR="00776D9C">
        <w:t xml:space="preserve"> takes on a more sinister tone for the modern audience with the objectification and mistreatment of women that would be considered the norm otherwise.</w:t>
      </w:r>
      <w:r w:rsidR="005B7519">
        <w:t xml:space="preserve"> Love is interpreted differently</w:t>
      </w:r>
      <w:r w:rsidR="00074801">
        <w:t xml:space="preserve"> for each sex in Twelfth Night, or rather how unrequited love can be felt. Orsino describes his love as an “appetite” which he cannot satisfy, and again when describing his desires calls them </w:t>
      </w:r>
      <w:r w:rsidR="00074801">
        <w:lastRenderedPageBreak/>
        <w:t xml:space="preserve">“fell and cruel hounds” which ties into the hunting imagery. While these are more violent, sexual ideas of describing love, Olivia is far </w:t>
      </w:r>
      <w:r w:rsidR="008769DC">
        <w:t>blunter</w:t>
      </w:r>
      <w:r w:rsidR="00074801">
        <w:t xml:space="preserve"> with the expression of her feelings, describing it as a “plague”, as </w:t>
      </w:r>
      <w:r w:rsidR="00550641">
        <w:t xml:space="preserve">if </w:t>
      </w:r>
      <w:r w:rsidR="00074801">
        <w:t>her affections creep in unwanted and ma</w:t>
      </w:r>
      <w:r w:rsidR="00550641">
        <w:t>nifest in actual sickness.</w:t>
      </w:r>
    </w:p>
    <w:p w14:paraId="45E7ABE7" w14:textId="335C9B63" w:rsidR="0055626C" w:rsidRDefault="008142CF">
      <w:r>
        <w:t xml:space="preserve">While </w:t>
      </w:r>
      <w:r w:rsidR="00380E51">
        <w:t>Shakespeare</w:t>
      </w:r>
      <w:r>
        <w:t xml:space="preserve"> </w:t>
      </w:r>
      <w:r w:rsidR="00926368">
        <w:t>would not</w:t>
      </w:r>
      <w:r w:rsidR="00380E51">
        <w:t xml:space="preserve"> have been a feminist</w:t>
      </w:r>
      <w:r w:rsidR="00AD2B5F">
        <w:t>, considering the ideas of his time</w:t>
      </w:r>
      <w:r>
        <w:t>, o</w:t>
      </w:r>
      <w:r w:rsidR="00AB66F2">
        <w:t xml:space="preserve">ne of the </w:t>
      </w:r>
      <w:r w:rsidR="002A620C">
        <w:t>comparatively</w:t>
      </w:r>
      <w:r w:rsidR="00AB66F2">
        <w:t xml:space="preserve"> more modern aspects of the play is how </w:t>
      </w:r>
      <w:r w:rsidR="00777728">
        <w:t>he</w:t>
      </w:r>
      <w:r w:rsidR="00AB66F2">
        <w:t xml:space="preserve"> chooses to represent gender roles</w:t>
      </w:r>
      <w:r>
        <w:t xml:space="preserve"> and the ideas that surround these roles.</w:t>
      </w:r>
      <w:r w:rsidR="00BD3016">
        <w:t xml:space="preserve"> </w:t>
      </w:r>
      <w:r w:rsidR="009B6560">
        <w:t>Despite having to follow the norms of the time</w:t>
      </w:r>
      <w:r w:rsidR="00BD3016">
        <w:t xml:space="preserve">, </w:t>
      </w:r>
      <w:r w:rsidR="00BD3016" w:rsidRPr="00AD2B5F">
        <w:rPr>
          <w:i/>
          <w:iCs/>
        </w:rPr>
        <w:t>Twelfth Night</w:t>
      </w:r>
      <w:r w:rsidR="00BD3016">
        <w:t xml:space="preserve"> tu</w:t>
      </w:r>
      <w:r w:rsidR="00FF5EE8">
        <w:t>rns gender roles on their head by creating ‘false’ identities</w:t>
      </w:r>
      <w:r w:rsidR="0050182A">
        <w:t xml:space="preserve"> through a woman character a</w:t>
      </w:r>
      <w:r w:rsidR="003F465E">
        <w:t>doptin</w:t>
      </w:r>
      <w:r w:rsidR="0050182A">
        <w:t xml:space="preserve">g the identity </w:t>
      </w:r>
      <w:r w:rsidR="0050182A" w:rsidRPr="004D5357">
        <w:t>of a man</w:t>
      </w:r>
      <w:r w:rsidR="00BD1725" w:rsidRPr="004D5357">
        <w:t xml:space="preserve">, therefore assuming more rights within the world of </w:t>
      </w:r>
      <w:r w:rsidR="00B006D0" w:rsidRPr="004D5357">
        <w:t>Illyria</w:t>
      </w:r>
      <w:r w:rsidR="00BD1725" w:rsidRPr="004D5357">
        <w:t>.</w:t>
      </w:r>
      <w:r w:rsidR="002C529B" w:rsidRPr="004D5357">
        <w:t xml:space="preserve"> </w:t>
      </w:r>
      <w:r w:rsidR="00CC2DA3" w:rsidRPr="004D5357">
        <w:t>Th</w:t>
      </w:r>
      <w:r w:rsidR="00F46BED" w:rsidRPr="004D5357">
        <w:t>is play</w:t>
      </w:r>
      <w:r w:rsidR="00CC2DA3" w:rsidRPr="004D5357">
        <w:t xml:space="preserve"> chooses to</w:t>
      </w:r>
      <w:r w:rsidR="00F46BED" w:rsidRPr="004D5357">
        <w:t xml:space="preserve"> “negotiate the twin issues of social mobility and volatile gender relations”</w:t>
      </w:r>
      <w:r w:rsidR="009A0BE9" w:rsidRPr="004D5357">
        <w:rPr>
          <w:rStyle w:val="FootnoteReference"/>
        </w:rPr>
        <w:footnoteReference w:id="5"/>
      </w:r>
      <w:r w:rsidR="00F46BED" w:rsidRPr="004D5357">
        <w:t xml:space="preserve"> through this disruption of presented </w:t>
      </w:r>
      <w:r w:rsidR="002C529B" w:rsidRPr="004D5357">
        <w:t>ideals</w:t>
      </w:r>
      <w:r w:rsidR="001F0B35" w:rsidRPr="004D5357">
        <w:t xml:space="preserve">, </w:t>
      </w:r>
      <w:r w:rsidR="00DD3834" w:rsidRPr="004D5357">
        <w:t xml:space="preserve">only to </w:t>
      </w:r>
      <w:r w:rsidR="00130002" w:rsidRPr="004D5357">
        <w:t>resolve the chaos and return</w:t>
      </w:r>
      <w:r w:rsidR="00DD3834" w:rsidRPr="004D5357">
        <w:t xml:space="preserve"> to </w:t>
      </w:r>
      <w:r w:rsidR="00466F59" w:rsidRPr="004D5357">
        <w:t xml:space="preserve">the </w:t>
      </w:r>
      <w:r w:rsidR="00DD3834" w:rsidRPr="004D5357">
        <w:t>heteronormative</w:t>
      </w:r>
      <w:r w:rsidR="00466F59">
        <w:t xml:space="preserve"> standard</w:t>
      </w:r>
      <w:r w:rsidR="00130002">
        <w:t xml:space="preserve"> at the very end.</w:t>
      </w:r>
      <w:r w:rsidR="00254D22">
        <w:t xml:space="preserve"> </w:t>
      </w:r>
      <w:r w:rsidR="003919DA">
        <w:t xml:space="preserve">This </w:t>
      </w:r>
      <w:r w:rsidR="00414186">
        <w:t>usurpation, while</w:t>
      </w:r>
      <w:r w:rsidR="0055626C">
        <w:t xml:space="preserve"> contains the historical element of</w:t>
      </w:r>
      <w:r w:rsidR="00414186">
        <w:t xml:space="preserve"> highlight</w:t>
      </w:r>
      <w:r w:rsidR="00AF024D">
        <w:t xml:space="preserve">ing the fluidity of gender and status in a </w:t>
      </w:r>
      <w:proofErr w:type="gramStart"/>
      <w:r w:rsidR="00AF024D">
        <w:t>fairly rigid</w:t>
      </w:r>
      <w:proofErr w:type="gramEnd"/>
      <w:r w:rsidR="00AF024D">
        <w:t xml:space="preserve"> time, h</w:t>
      </w:r>
      <w:r w:rsidR="00414186">
        <w:t>olds little meaning as it is absorbed into the humorous discord of the play</w:t>
      </w:r>
      <w:r w:rsidR="0055626C">
        <w:t xml:space="preserve"> for modern audiences as we cannot in</w:t>
      </w:r>
      <w:r w:rsidR="00AF024D">
        <w:t xml:space="preserve">terpret the interlinked ideas </w:t>
      </w:r>
      <w:r w:rsidR="00D509A1">
        <w:t>in the same fashion.</w:t>
      </w:r>
      <w:r w:rsidR="00400653">
        <w:t xml:space="preserve"> Our identities are no longer formed from our status in quite the same way, but there is an overt emphasis o</w:t>
      </w:r>
      <w:r w:rsidR="00E05A18">
        <w:t>n</w:t>
      </w:r>
      <w:r w:rsidR="00400653">
        <w:t xml:space="preserve"> gender identity and gender roles</w:t>
      </w:r>
      <w:r w:rsidR="00142B6E">
        <w:t xml:space="preserve">, and how these two concepts intermingle, </w:t>
      </w:r>
      <w:r w:rsidR="00400653">
        <w:t>that pertains to this day.</w:t>
      </w:r>
      <w:r w:rsidR="009C50EF">
        <w:t xml:space="preserve"> </w:t>
      </w:r>
    </w:p>
    <w:p w14:paraId="2B241015" w14:textId="3635A839" w:rsidR="00D77BCA" w:rsidRDefault="00466F59">
      <w:r>
        <w:t xml:space="preserve">As seen through Viola’s performance of Cesario, gender identity can be linked to gender roles, as playing a different </w:t>
      </w:r>
      <w:r w:rsidR="00155928">
        <w:t>sex</w:t>
      </w:r>
      <w:r>
        <w:t xml:space="preserve"> means that one still </w:t>
      </w:r>
      <w:proofErr w:type="gramStart"/>
      <w:r>
        <w:t>has to</w:t>
      </w:r>
      <w:proofErr w:type="gramEnd"/>
      <w:r>
        <w:t xml:space="preserve"> fill the binary standards expected of that gender</w:t>
      </w:r>
      <w:r w:rsidR="00460342">
        <w:t>.</w:t>
      </w:r>
      <w:r w:rsidR="009A6A6C">
        <w:t xml:space="preserve"> </w:t>
      </w:r>
      <w:r w:rsidR="009A6A6C" w:rsidRPr="00F44447">
        <w:t xml:space="preserve">Whilst their appearance is commented on to be </w:t>
      </w:r>
      <w:proofErr w:type="gramStart"/>
      <w:r w:rsidR="009A6A6C" w:rsidRPr="00F44447">
        <w:t>similar to</w:t>
      </w:r>
      <w:proofErr w:type="gramEnd"/>
      <w:r w:rsidR="009A6A6C" w:rsidRPr="00F44447">
        <w:t xml:space="preserve"> that of a woman for humorous effect</w:t>
      </w:r>
      <w:r w:rsidR="00D53FC4" w:rsidRPr="00F44447">
        <w:t xml:space="preserve">, </w:t>
      </w:r>
      <w:r w:rsidR="00FC3FAC" w:rsidRPr="00F44447">
        <w:t>Cesario’s</w:t>
      </w:r>
      <w:r w:rsidR="00D53FC4" w:rsidRPr="00F44447">
        <w:t xml:space="preserve"> </w:t>
      </w:r>
      <w:r w:rsidR="00FC3FAC" w:rsidRPr="00F44447">
        <w:t>inadequacies</w:t>
      </w:r>
      <w:r w:rsidR="00D53FC4">
        <w:t xml:space="preserve"> are pointed out </w:t>
      </w:r>
      <w:r w:rsidR="00FC3FAC">
        <w:t xml:space="preserve">due to the fact Viola is purposefully disguised as a eunuch, therefore suggesting a </w:t>
      </w:r>
      <w:r w:rsidR="00D53FC4">
        <w:t>lack of maleness.</w:t>
      </w:r>
      <w:r w:rsidR="00CD21B8">
        <w:t xml:space="preserve"> Eunuchs </w:t>
      </w:r>
      <w:r w:rsidR="00D53FC4">
        <w:t xml:space="preserve">were </w:t>
      </w:r>
      <w:r w:rsidR="00CD21B8">
        <w:t xml:space="preserve">often </w:t>
      </w:r>
      <w:r w:rsidR="00D53FC4">
        <w:t>thought</w:t>
      </w:r>
      <w:r w:rsidR="00CD21B8">
        <w:t xml:space="preserve"> of</w:t>
      </w:r>
      <w:r w:rsidR="00D53FC4">
        <w:t xml:space="preserve"> as more effeminate, </w:t>
      </w:r>
      <w:r w:rsidR="00CD21B8">
        <w:t>as apparent</w:t>
      </w:r>
      <w:r w:rsidR="004C2198">
        <w:t xml:space="preserve">ly </w:t>
      </w:r>
      <w:r w:rsidR="00D53FC4">
        <w:t>genitalia</w:t>
      </w:r>
      <w:r w:rsidR="004C2198">
        <w:t xml:space="preserve"> or lack thereof</w:t>
      </w:r>
      <w:r w:rsidR="00CD21B8">
        <w:t xml:space="preserve"> for men is</w:t>
      </w:r>
      <w:r w:rsidR="00D53FC4">
        <w:t xml:space="preserve"> from wh</w:t>
      </w:r>
      <w:r w:rsidR="00CD21B8">
        <w:t xml:space="preserve">ere </w:t>
      </w:r>
      <w:r w:rsidR="00D53FC4">
        <w:t>stem</w:t>
      </w:r>
      <w:r w:rsidR="00CD21B8">
        <w:t>s</w:t>
      </w:r>
      <w:r w:rsidR="00D53FC4">
        <w:t xml:space="preserve"> </w:t>
      </w:r>
      <w:r w:rsidR="00D53FC4" w:rsidRPr="007C5AC3">
        <w:t>the entirety of the male identity.</w:t>
      </w:r>
      <w:r w:rsidR="00212574" w:rsidRPr="007C5AC3">
        <w:t xml:space="preserve"> These identities and roles </w:t>
      </w:r>
      <w:proofErr w:type="gramStart"/>
      <w:r w:rsidR="00212574" w:rsidRPr="007C5AC3">
        <w:t>have to</w:t>
      </w:r>
      <w:proofErr w:type="gramEnd"/>
      <w:r w:rsidR="00212574" w:rsidRPr="007C5AC3">
        <w:t xml:space="preserve"> be performed, and the emphasis on genitalia dictating gender is undercut by Viola’s portrayal of a man, or indeed a </w:t>
      </w:r>
      <w:r w:rsidR="000B1CF0" w:rsidRPr="007C5AC3">
        <w:t>boy playing a woman playing a man</w:t>
      </w:r>
      <w:r w:rsidR="00C52094" w:rsidRPr="007C5AC3">
        <w:t xml:space="preserve"> as would have been in Renaissance times.</w:t>
      </w:r>
      <w:r w:rsidR="00E7369C" w:rsidRPr="007C5AC3">
        <w:t xml:space="preserve"> </w:t>
      </w:r>
    </w:p>
    <w:p w14:paraId="2C5733BB" w14:textId="3F714BCA" w:rsidR="00CD2AA6" w:rsidRDefault="004073B1">
      <w:r w:rsidRPr="007C5AC3">
        <w:t>Viola often seems to see herself as both Cesario and Viola</w:t>
      </w:r>
      <w:r w:rsidR="007C5AC3" w:rsidRPr="007C5AC3">
        <w:t xml:space="preserve"> rather than just a character created to ensure her survival</w:t>
      </w:r>
      <w:r w:rsidRPr="007C5AC3">
        <w:t xml:space="preserve">, </w:t>
      </w:r>
      <w:r w:rsidR="007C5AC3" w:rsidRPr="007C5AC3">
        <w:t xml:space="preserve">which </w:t>
      </w:r>
      <w:r w:rsidRPr="007C5AC3">
        <w:t>c</w:t>
      </w:r>
      <w:r w:rsidR="00004FFD">
        <w:t>ausing</w:t>
      </w:r>
      <w:r w:rsidRPr="007C5AC3">
        <w:t xml:space="preserve"> further complication</w:t>
      </w:r>
      <w:r w:rsidR="007C5AC3" w:rsidRPr="007C5AC3">
        <w:t>.</w:t>
      </w:r>
      <w:r w:rsidR="005641E0">
        <w:t xml:space="preserve"> An interesting observation is that textually, despite deceiving every character surrounding her, including those close to her, with her disguise as a young man, she is the only one true in her affections</w:t>
      </w:r>
      <w:r w:rsidR="00D10C72">
        <w:t>. Despite each character on stage having a different perception of Viola as Cesario, she can</w:t>
      </w:r>
      <w:r w:rsidR="00CD2AA6">
        <w:t xml:space="preserve"> exist as both simultaneously</w:t>
      </w:r>
      <w:r w:rsidR="005E26EB">
        <w:t>; d</w:t>
      </w:r>
      <w:r w:rsidR="005641E0">
        <w:t>espite being false</w:t>
      </w:r>
      <w:r w:rsidR="00D10C72">
        <w:t xml:space="preserve"> in her identity</w:t>
      </w:r>
      <w:r w:rsidR="005641E0">
        <w:t>, her feelings hold the most value for their trueness</w:t>
      </w:r>
      <w:r w:rsidR="00CD2AA6">
        <w:t>, whereas everyone else true in their identity</w:t>
      </w:r>
      <w:r w:rsidR="006C10CE">
        <w:t xml:space="preserve"> is fickle with their emotions, often transferring their affections throughout the play.</w:t>
      </w:r>
    </w:p>
    <w:p w14:paraId="38FBF98F" w14:textId="42730D19" w:rsidR="003103AE" w:rsidRPr="00346B83" w:rsidRDefault="003B3F0E">
      <w:r>
        <w:t>There is a running theme of performance, both in the physical enactment of the play</w:t>
      </w:r>
      <w:r w:rsidR="008B0419">
        <w:t xml:space="preserve"> and within the content of the plot. They r</w:t>
      </w:r>
      <w:r>
        <w:t>un parallel to each other,</w:t>
      </w:r>
      <w:r w:rsidR="00A97123">
        <w:t xml:space="preserve"> and</w:t>
      </w:r>
      <w:r>
        <w:t xml:space="preserve"> mesh</w:t>
      </w:r>
      <w:r w:rsidR="00A97123">
        <w:t xml:space="preserve"> together</w:t>
      </w:r>
      <w:r>
        <w:t xml:space="preserve"> </w:t>
      </w:r>
      <w:r w:rsidR="00A97123">
        <w:t xml:space="preserve">the </w:t>
      </w:r>
      <w:r>
        <w:t>world</w:t>
      </w:r>
      <w:r w:rsidR="00A97123">
        <w:t xml:space="preserve"> presented</w:t>
      </w:r>
      <w:r>
        <w:t xml:space="preserve"> on stage with that of the </w:t>
      </w:r>
      <w:proofErr w:type="gramStart"/>
      <w:r>
        <w:t>audiences</w:t>
      </w:r>
      <w:r w:rsidR="00A97123">
        <w:t>’</w:t>
      </w:r>
      <w:proofErr w:type="gramEnd"/>
      <w:r w:rsidR="009F62E6">
        <w:t xml:space="preserve">. This is present both in </w:t>
      </w:r>
      <w:r w:rsidR="009F62E6" w:rsidRPr="000231C4">
        <w:t xml:space="preserve">the actors </w:t>
      </w:r>
      <w:r w:rsidR="00021B38" w:rsidRPr="000231C4">
        <w:t xml:space="preserve">performing </w:t>
      </w:r>
      <w:r w:rsidR="009F62E6" w:rsidRPr="000231C4">
        <w:t xml:space="preserve">various </w:t>
      </w:r>
      <w:r w:rsidR="00021B38" w:rsidRPr="000231C4">
        <w:t>gender identities and disguises</w:t>
      </w:r>
      <w:r w:rsidR="009F62E6" w:rsidRPr="000231C4">
        <w:t xml:space="preserve"> but also </w:t>
      </w:r>
      <w:r w:rsidR="006745C1" w:rsidRPr="000231C4">
        <w:t xml:space="preserve">in the lines that each actor has, such as Viola saying that she </w:t>
      </w:r>
      <w:r w:rsidR="004572F1" w:rsidRPr="000231C4">
        <w:t>“</w:t>
      </w:r>
      <w:r w:rsidR="00CD698A" w:rsidRPr="000231C4">
        <w:t xml:space="preserve">can say little more than I have studied, </w:t>
      </w:r>
      <w:r w:rsidR="00430B0B" w:rsidRPr="000231C4">
        <w:t>and</w:t>
      </w:r>
      <w:r w:rsidR="00CD698A" w:rsidRPr="000231C4">
        <w:t xml:space="preserve"> that question’s out of my part</w:t>
      </w:r>
      <w:r w:rsidR="004572F1" w:rsidRPr="000231C4">
        <w:t>”</w:t>
      </w:r>
      <w:r w:rsidR="004572F1" w:rsidRPr="000231C4">
        <w:rPr>
          <w:rStyle w:val="FootnoteReference"/>
        </w:rPr>
        <w:footnoteReference w:id="6"/>
      </w:r>
      <w:r w:rsidR="006745C1">
        <w:t xml:space="preserve"> in response to Olivia where Cesario is from</w:t>
      </w:r>
      <w:r w:rsidR="00CD698A" w:rsidRPr="004F5E5A">
        <w:t xml:space="preserve">, as though she is </w:t>
      </w:r>
      <w:r w:rsidR="00E40C34">
        <w:t>simply an</w:t>
      </w:r>
      <w:r w:rsidR="00CD698A" w:rsidRPr="004F5E5A">
        <w:t xml:space="preserve"> actor waiting for a different cue. </w:t>
      </w:r>
      <w:r w:rsidR="00737458">
        <w:t>It is interesting to note that e</w:t>
      </w:r>
      <w:r>
        <w:t xml:space="preserve">ven the dual titles hint to the </w:t>
      </w:r>
      <w:r w:rsidR="00EB700A">
        <w:t>acting</w:t>
      </w:r>
      <w:r w:rsidR="004837CA">
        <w:t xml:space="preserve"> of </w:t>
      </w:r>
      <w:r w:rsidR="008A45ED">
        <w:t xml:space="preserve">dual </w:t>
      </w:r>
      <w:r w:rsidR="004837CA">
        <w:t>identities</w:t>
      </w:r>
      <w:r w:rsidR="00602586">
        <w:t xml:space="preserve"> that takes place</w:t>
      </w:r>
      <w:r w:rsidR="00737458">
        <w:t xml:space="preserve"> within the performance</w:t>
      </w:r>
      <w:r w:rsidR="00FD6E0B">
        <w:t xml:space="preserve">, </w:t>
      </w:r>
      <w:r w:rsidR="00FD6E0B" w:rsidRPr="00346B83">
        <w:t xml:space="preserve">and this trope of </w:t>
      </w:r>
      <w:r w:rsidR="009077A1">
        <w:t>double identit</w:t>
      </w:r>
      <w:r w:rsidR="00654BAE">
        <w:t>y</w:t>
      </w:r>
      <w:r w:rsidR="009077A1">
        <w:t xml:space="preserve"> </w:t>
      </w:r>
      <w:r w:rsidR="003103AE" w:rsidRPr="00346B83">
        <w:t xml:space="preserve">questions </w:t>
      </w:r>
      <w:r w:rsidR="00FD6E0B" w:rsidRPr="00346B83">
        <w:t xml:space="preserve">the </w:t>
      </w:r>
      <w:r w:rsidR="003103AE" w:rsidRPr="00346B83">
        <w:t>gender conventions of Elizabethan theatre.</w:t>
      </w:r>
    </w:p>
    <w:p w14:paraId="67E8C508" w14:textId="2F29A872" w:rsidR="004F5E5A" w:rsidRPr="00442D7D" w:rsidRDefault="002B1614">
      <w:pPr>
        <w:rPr>
          <w:rFonts w:cs="Adobe Devanagari"/>
          <w:spacing w:val="-3"/>
        </w:rPr>
      </w:pPr>
      <w:r w:rsidRPr="00346B83">
        <w:lastRenderedPageBreak/>
        <w:t>The</w:t>
      </w:r>
      <w:r w:rsidR="00DE1DAF" w:rsidRPr="00346B83">
        <w:t xml:space="preserve"> interesting gender dynamics and </w:t>
      </w:r>
      <w:r w:rsidR="00AC457B" w:rsidRPr="00346B83">
        <w:t xml:space="preserve">much </w:t>
      </w:r>
      <w:r w:rsidR="00DE1DAF" w:rsidRPr="00346B83">
        <w:t>undeniable</w:t>
      </w:r>
      <w:r w:rsidR="00AC457B" w:rsidRPr="00346B83">
        <w:t xml:space="preserve"> homoerotic tension </w:t>
      </w:r>
      <w:r w:rsidR="00880098" w:rsidRPr="00346B83">
        <w:t xml:space="preserve">created within </w:t>
      </w:r>
      <w:r w:rsidRPr="00346B83">
        <w:rPr>
          <w:i/>
          <w:iCs/>
        </w:rPr>
        <w:t>Twelfth Night</w:t>
      </w:r>
      <w:r w:rsidR="00AC457B" w:rsidRPr="00346B83">
        <w:t xml:space="preserve"> </w:t>
      </w:r>
      <w:r w:rsidR="00880098" w:rsidRPr="00346B83">
        <w:t>by having actors cross dress simply cannot be viewed in any other light for a modern audience</w:t>
      </w:r>
      <w:r w:rsidR="003D0F40" w:rsidRPr="00346B83">
        <w:t>. While having boy actors play women on stage stemmed simply from</w:t>
      </w:r>
      <w:r w:rsidR="009E3386" w:rsidRPr="00346B83">
        <w:t xml:space="preserve"> the sexism </w:t>
      </w:r>
      <w:r w:rsidR="00C7143B" w:rsidRPr="00346B83">
        <w:t>present at the time</w:t>
      </w:r>
      <w:r w:rsidR="001A713B">
        <w:t xml:space="preserve"> and </w:t>
      </w:r>
      <w:r w:rsidR="009E3386" w:rsidRPr="00346B83">
        <w:t xml:space="preserve">further </w:t>
      </w:r>
      <w:r w:rsidR="009E3386" w:rsidRPr="001A713B">
        <w:t>reinforc</w:t>
      </w:r>
      <w:r w:rsidR="001A713B" w:rsidRPr="001A713B">
        <w:t>ed</w:t>
      </w:r>
      <w:r w:rsidR="009E3386" w:rsidRPr="001A713B">
        <w:t xml:space="preserve"> the gender roles present in the writing</w:t>
      </w:r>
      <w:r w:rsidR="00346B83" w:rsidRPr="001A713B">
        <w:t>, t</w:t>
      </w:r>
      <w:r w:rsidR="00C02643" w:rsidRPr="001A713B">
        <w:rPr>
          <w:rFonts w:cs="Adobe Devanagari"/>
          <w:spacing w:val="-3"/>
        </w:rPr>
        <w:t xml:space="preserve">his stage transvestism combined with </w:t>
      </w:r>
      <w:r w:rsidR="001A713B" w:rsidRPr="001A713B">
        <w:rPr>
          <w:rFonts w:cs="Adobe Devanagari"/>
          <w:spacing w:val="-3"/>
        </w:rPr>
        <w:t xml:space="preserve">the concept of </w:t>
      </w:r>
      <w:r w:rsidR="00C02643" w:rsidRPr="001A713B">
        <w:rPr>
          <w:rFonts w:cs="Adobe Devanagari"/>
          <w:spacing w:val="-3"/>
        </w:rPr>
        <w:t>textual cross-dressing, has been described as relating very specifically to homoeroticism and to disruptions of gender identity</w:t>
      </w:r>
      <w:r w:rsidR="00346B83" w:rsidRPr="001A713B">
        <w:rPr>
          <w:rFonts w:cs="Adobe Devanagari"/>
          <w:spacing w:val="-3"/>
        </w:rPr>
        <w:t>.</w:t>
      </w:r>
      <w:r w:rsidR="0017316B" w:rsidRPr="001A713B">
        <w:rPr>
          <w:rStyle w:val="FootnoteReference"/>
          <w:rFonts w:cs="Adobe Devanagari"/>
          <w:spacing w:val="-3"/>
        </w:rPr>
        <w:footnoteReference w:id="7"/>
      </w:r>
      <w:r w:rsidR="00C01EC0">
        <w:rPr>
          <w:rFonts w:cs="Adobe Devanagari"/>
          <w:spacing w:val="-3"/>
        </w:rPr>
        <w:t xml:space="preserve"> </w:t>
      </w:r>
      <w:r w:rsidR="0017316B">
        <w:rPr>
          <w:rStyle w:val="FootnoteReference"/>
          <w:rFonts w:cs="Adobe Devanagari"/>
          <w:spacing w:val="-3"/>
        </w:rPr>
        <w:footnoteReference w:id="8"/>
      </w:r>
      <w:r w:rsidR="0017316B">
        <w:rPr>
          <w:rFonts w:cs="Adobe Devanagari"/>
          <w:spacing w:val="-3"/>
        </w:rPr>
        <w:t xml:space="preserve"> </w:t>
      </w:r>
      <w:r w:rsidR="00C01EC0">
        <w:rPr>
          <w:rFonts w:cs="Adobe Devanagari"/>
          <w:spacing w:val="-3"/>
        </w:rPr>
        <w:t xml:space="preserve">However, one </w:t>
      </w:r>
      <w:r w:rsidR="00C01EC0" w:rsidRPr="00C01EC0">
        <w:rPr>
          <w:rFonts w:cs="Adobe Devanagari"/>
          <w:spacing w:val="-3"/>
        </w:rPr>
        <w:t>must acknowledge that our own</w:t>
      </w:r>
      <w:r w:rsidR="002045CA">
        <w:rPr>
          <w:rFonts w:cs="Adobe Devanagari"/>
          <w:spacing w:val="-3"/>
        </w:rPr>
        <w:t xml:space="preserve"> more contemporary ideals will alter and change the perspectives through which we are able to dissect the constructions of Elizabethan culture</w:t>
      </w:r>
      <w:r w:rsidR="00C01EC0">
        <w:rPr>
          <w:rFonts w:cs="Adobe Devanagari"/>
          <w:spacing w:val="-3"/>
        </w:rPr>
        <w:t xml:space="preserve"> – simply put, we cannot </w:t>
      </w:r>
      <w:r w:rsidR="0057209A">
        <w:rPr>
          <w:rFonts w:cs="Adobe Devanagari"/>
          <w:spacing w:val="-3"/>
        </w:rPr>
        <w:t xml:space="preserve">view this play from </w:t>
      </w:r>
      <w:r w:rsidR="00E26379">
        <w:rPr>
          <w:rFonts w:cs="Adobe Devanagari"/>
          <w:spacing w:val="-3"/>
        </w:rPr>
        <w:t xml:space="preserve">the </w:t>
      </w:r>
      <w:r w:rsidR="0057209A">
        <w:rPr>
          <w:rFonts w:cs="Adobe Devanagari"/>
          <w:spacing w:val="-3"/>
        </w:rPr>
        <w:t xml:space="preserve">more transparent standpoint </w:t>
      </w:r>
      <w:r w:rsidR="00E26379">
        <w:rPr>
          <w:rFonts w:cs="Adobe Devanagari"/>
          <w:spacing w:val="-3"/>
        </w:rPr>
        <w:t xml:space="preserve">that </w:t>
      </w:r>
      <w:r w:rsidR="0057209A">
        <w:rPr>
          <w:rFonts w:cs="Adobe Devanagari"/>
          <w:spacing w:val="-3"/>
        </w:rPr>
        <w:t>many would have done when watching the play in the 17</w:t>
      </w:r>
      <w:r w:rsidR="0057209A" w:rsidRPr="0057209A">
        <w:rPr>
          <w:rFonts w:cs="Adobe Devanagari"/>
          <w:spacing w:val="-3"/>
          <w:vertAlign w:val="superscript"/>
        </w:rPr>
        <w:t>th</w:t>
      </w:r>
      <w:r w:rsidR="0057209A">
        <w:rPr>
          <w:rFonts w:cs="Adobe Devanagari"/>
          <w:spacing w:val="-3"/>
        </w:rPr>
        <w:t xml:space="preserve"> century</w:t>
      </w:r>
      <w:r w:rsidR="00E26379">
        <w:rPr>
          <w:rFonts w:cs="Adobe Devanagari"/>
          <w:spacing w:val="-3"/>
        </w:rPr>
        <w:t xml:space="preserve">, as </w:t>
      </w:r>
      <w:r w:rsidR="00C01EC0">
        <w:rPr>
          <w:rFonts w:cs="Adobe Devanagari"/>
          <w:spacing w:val="-3"/>
        </w:rPr>
        <w:t xml:space="preserve"> ou</w:t>
      </w:r>
      <w:r w:rsidR="00780DC2">
        <w:rPr>
          <w:rFonts w:cs="Adobe Devanagari"/>
          <w:spacing w:val="-3"/>
        </w:rPr>
        <w:t xml:space="preserve">r own contemporary ideals </w:t>
      </w:r>
      <w:r w:rsidR="00E26379">
        <w:rPr>
          <w:rFonts w:cs="Adobe Devanagari"/>
          <w:spacing w:val="-3"/>
        </w:rPr>
        <w:t>get in the way of this. That is not to say transgender and gay people did not exist before the 21</w:t>
      </w:r>
      <w:r w:rsidR="00E26379" w:rsidRPr="00E26379">
        <w:rPr>
          <w:rFonts w:cs="Adobe Devanagari"/>
          <w:spacing w:val="-3"/>
          <w:vertAlign w:val="superscript"/>
        </w:rPr>
        <w:t>st</w:t>
      </w:r>
      <w:r w:rsidR="00E26379">
        <w:rPr>
          <w:rFonts w:cs="Adobe Devanagari"/>
          <w:spacing w:val="-3"/>
        </w:rPr>
        <w:t xml:space="preserve"> century, but they simply existed in a different fashion</w:t>
      </w:r>
      <w:r w:rsidR="005C0D9B">
        <w:rPr>
          <w:rFonts w:cs="Adobe Devanagari"/>
          <w:spacing w:val="-3"/>
        </w:rPr>
        <w:t xml:space="preserve"> as labelled identities such as we have would not have existed.</w:t>
      </w:r>
    </w:p>
    <w:p w14:paraId="1369B7ED" w14:textId="0C3563C0" w:rsidR="00F93EDC" w:rsidRPr="00AD5B7B" w:rsidRDefault="00E35189">
      <w:r w:rsidRPr="00AD5B7B">
        <w:t>While it would have likely provided naught more than mere amusement by creating additional entanglements within the play, the lesbian relationship between Viola and Olivia</w:t>
      </w:r>
      <w:r w:rsidR="00B06E9D" w:rsidRPr="00AD5B7B">
        <w:t xml:space="preserve">, even if one sided, </w:t>
      </w:r>
      <w:r w:rsidRPr="00AD5B7B">
        <w:t xml:space="preserve">is </w:t>
      </w:r>
      <w:r w:rsidR="00DC2C20">
        <w:t>g</w:t>
      </w:r>
      <w:r w:rsidRPr="00AD5B7B">
        <w:t>laringly obvious to modern audiences.</w:t>
      </w:r>
      <w:r w:rsidR="00D027BB" w:rsidRPr="00AD5B7B">
        <w:t xml:space="preserve"> Modern conceptions of sexuality do not compare and so cannot be placed</w:t>
      </w:r>
      <w:r w:rsidR="00DD2AA2" w:rsidRPr="00AD5B7B">
        <w:t xml:space="preserve"> within the historical conte</w:t>
      </w:r>
      <w:r w:rsidR="004363E5" w:rsidRPr="00AD5B7B">
        <w:t>xt of the play</w:t>
      </w:r>
      <w:r w:rsidR="00DB671B">
        <w:t xml:space="preserve">; </w:t>
      </w:r>
      <w:r w:rsidR="0063293A" w:rsidRPr="00AD5B7B">
        <w:t>one has</w:t>
      </w:r>
      <w:r w:rsidR="0063293A" w:rsidRPr="00AD5B7B">
        <w:t xml:space="preserve"> </w:t>
      </w:r>
      <w:r w:rsidR="0063293A" w:rsidRPr="00AD5B7B">
        <w:t xml:space="preserve">to </w:t>
      </w:r>
      <w:r w:rsidR="0063293A" w:rsidRPr="00AD5B7B">
        <w:t>acknowledg</w:t>
      </w:r>
      <w:r w:rsidR="0063293A" w:rsidRPr="00AD5B7B">
        <w:t>e</w:t>
      </w:r>
      <w:r w:rsidR="0063293A" w:rsidRPr="00AD5B7B">
        <w:t xml:space="preserve"> that </w:t>
      </w:r>
      <w:proofErr w:type="gramStart"/>
      <w:r w:rsidR="0063293A" w:rsidRPr="00AD5B7B">
        <w:t>a</w:t>
      </w:r>
      <w:proofErr w:type="gramEnd"/>
      <w:r w:rsidR="0063293A" w:rsidRPr="00AD5B7B">
        <w:t xml:space="preserve"> </w:t>
      </w:r>
      <w:r w:rsidR="0063293A" w:rsidRPr="00AD5B7B">
        <w:t>concrete</w:t>
      </w:r>
      <w:r w:rsidR="0063293A" w:rsidRPr="00AD5B7B">
        <w:t xml:space="preserve"> </w:t>
      </w:r>
      <w:r w:rsidR="0063293A" w:rsidRPr="00AD5B7B">
        <w:t>‘</w:t>
      </w:r>
      <w:r w:rsidR="0063293A" w:rsidRPr="00AD5B7B">
        <w:t>lesbian</w:t>
      </w:r>
      <w:r w:rsidR="0063293A" w:rsidRPr="00AD5B7B">
        <w:t>’</w:t>
      </w:r>
      <w:r w:rsidR="0063293A" w:rsidRPr="00AD5B7B">
        <w:t xml:space="preserve"> identity did not yet exist in th</w:t>
      </w:r>
      <w:r w:rsidR="0063293A" w:rsidRPr="00AD5B7B">
        <w:t>is</w:t>
      </w:r>
      <w:r w:rsidR="0063293A" w:rsidRPr="00AD5B7B">
        <w:t xml:space="preserve"> period</w:t>
      </w:r>
      <w:r w:rsidR="00D03F39" w:rsidRPr="00AD5B7B">
        <w:t xml:space="preserve"> but</w:t>
      </w:r>
      <w:r w:rsidR="005F4442">
        <w:t xml:space="preserve"> a</w:t>
      </w:r>
      <w:r w:rsidR="00D03F39" w:rsidRPr="00AD5B7B">
        <w:t xml:space="preserve"> modern </w:t>
      </w:r>
      <w:r w:rsidR="004363E5" w:rsidRPr="00AD5B7B">
        <w:t>appraisal</w:t>
      </w:r>
      <w:r w:rsidR="0063293A" w:rsidRPr="00AD5B7B">
        <w:t xml:space="preserve"> of the play</w:t>
      </w:r>
      <w:r w:rsidR="004363E5" w:rsidRPr="00AD5B7B">
        <w:t xml:space="preserve"> </w:t>
      </w:r>
      <w:r w:rsidR="004363E5" w:rsidRPr="00AD5B7B">
        <w:t>“has begun to explore the ways in which female homoeroticism was depicte</w:t>
      </w:r>
      <w:r w:rsidR="0063293A" w:rsidRPr="00AD5B7B">
        <w:t xml:space="preserve">d… </w:t>
      </w:r>
      <w:r w:rsidR="004363E5" w:rsidRPr="00AD5B7B">
        <w:t>recover</w:t>
      </w:r>
      <w:r w:rsidR="0063293A" w:rsidRPr="00AD5B7B">
        <w:t>[ing]</w:t>
      </w:r>
      <w:r w:rsidR="004363E5" w:rsidRPr="00AD5B7B">
        <w:t xml:space="preserve"> emergent and recognizable languages of female homoeroticism”</w:t>
      </w:r>
      <w:r w:rsidR="0063293A" w:rsidRPr="00AD5B7B">
        <w:t>. A</w:t>
      </w:r>
      <w:r w:rsidR="00527BE0" w:rsidRPr="00AD5B7B">
        <w:t>n</w:t>
      </w:r>
      <w:r w:rsidR="0063293A" w:rsidRPr="00AD5B7B">
        <w:t xml:space="preserve"> audience can </w:t>
      </w:r>
      <w:r w:rsidR="00837E9A">
        <w:t xml:space="preserve">distinctly </w:t>
      </w:r>
      <w:r w:rsidR="00D2178A" w:rsidRPr="00AD5B7B">
        <w:t>recognise that the troupes and tensions at play here are that of romance between two women</w:t>
      </w:r>
      <w:r w:rsidR="002A75AA" w:rsidRPr="00AD5B7B">
        <w:t xml:space="preserve">, and </w:t>
      </w:r>
      <w:r w:rsidR="002A75AA" w:rsidRPr="00AD5B7B">
        <w:t xml:space="preserve">the dramatic space created within </w:t>
      </w:r>
      <w:r w:rsidR="002A75AA" w:rsidRPr="00AD5B7B">
        <w:t xml:space="preserve">shared </w:t>
      </w:r>
      <w:r w:rsidR="002A75AA" w:rsidRPr="00AD5B7B">
        <w:t>scene</w:t>
      </w:r>
      <w:r w:rsidR="002A75AA" w:rsidRPr="00AD5B7B">
        <w:t>s</w:t>
      </w:r>
      <w:r w:rsidR="002A75AA" w:rsidRPr="00AD5B7B">
        <w:t xml:space="preserve"> allows for the female characters to “negotiate and revise the scripts and conventions … of the </w:t>
      </w:r>
      <w:r w:rsidR="000C126F" w:rsidRPr="00AD5B7B">
        <w:t>Petrarchan</w:t>
      </w:r>
      <w:r w:rsidR="002A75AA" w:rsidRPr="00AD5B7B">
        <w:t xml:space="preserve"> poetry of Elizabethan</w:t>
      </w:r>
      <w:r w:rsidR="00BF37B8" w:rsidRPr="00AD5B7B">
        <w:t xml:space="preserve"> courtiers”.</w:t>
      </w:r>
      <w:r w:rsidR="00AD5B7B">
        <w:rPr>
          <w:rStyle w:val="FootnoteReference"/>
        </w:rPr>
        <w:footnoteReference w:id="9"/>
      </w:r>
    </w:p>
    <w:p w14:paraId="62D5F48E" w14:textId="70A1EFC8" w:rsidR="00F63984" w:rsidRPr="002F22CA" w:rsidRDefault="00D85083" w:rsidP="009622EB">
      <w:r w:rsidRPr="00AD5B7B">
        <w:t>Though perhaps a less obvious candidate, Duke Orsino as a character contains</w:t>
      </w:r>
      <w:r>
        <w:t xml:space="preserve"> certain troupes that imply he may not be entirely heterosexual.</w:t>
      </w:r>
      <w:r w:rsidR="007C4786">
        <w:t xml:space="preserve"> There is undeniable homoerotic tension between the Duke and Cesario, although this may have been created in part by Viola’s feelings for him while disguised as a man.</w:t>
      </w:r>
      <w:r w:rsidR="00960CDE">
        <w:t xml:space="preserve"> Orsino’s speeches to Olivia </w:t>
      </w:r>
      <w:r w:rsidR="003C44CA">
        <w:t xml:space="preserve">in which he </w:t>
      </w:r>
      <w:r w:rsidR="00960CDE">
        <w:t>proclaim</w:t>
      </w:r>
      <w:r w:rsidR="003C44CA">
        <w:t>s</w:t>
      </w:r>
      <w:r w:rsidR="00960CDE">
        <w:t xml:space="preserve"> his love are not truly </w:t>
      </w:r>
      <w:r w:rsidR="003C44CA">
        <w:t xml:space="preserve">meant </w:t>
      </w:r>
      <w:r w:rsidR="006D650D">
        <w:t xml:space="preserve">for </w:t>
      </w:r>
      <w:r w:rsidR="00960CDE">
        <w:t xml:space="preserve">her upon inspection, and come across as shallow, more obsessed with the desire for “love itself, and for the poetry conventionally used to profess it”. Orsino is shown to be fickle in his </w:t>
      </w:r>
      <w:proofErr w:type="gramStart"/>
      <w:r w:rsidR="00960CDE">
        <w:t>affections, yet</w:t>
      </w:r>
      <w:proofErr w:type="gramEnd"/>
      <w:r w:rsidR="00960CDE">
        <w:t xml:space="preserve"> takes to Cesario strongly after having only known him for three days</w:t>
      </w:r>
      <w:r w:rsidR="009707B5">
        <w:t xml:space="preserve">, </w:t>
      </w:r>
      <w:bookmarkStart w:id="0" w:name="12"/>
      <w:r w:rsidR="009707B5">
        <w:t>but has “unclasp’d to thee [Cesario] the book even of my [his] secret soul”.</w:t>
      </w:r>
      <w:bookmarkEnd w:id="0"/>
      <w:r w:rsidR="009707B5">
        <w:t xml:space="preserve"> </w:t>
      </w:r>
      <w:r w:rsidR="00960CDE">
        <w:t>Olivia is a suitable match for him in age and social class and indeed would prove an effective ‘beard’ if needed.</w:t>
      </w:r>
      <w:r w:rsidR="00AA5A4C">
        <w:t xml:space="preserve"> </w:t>
      </w:r>
      <w:r w:rsidR="00F63984">
        <w:t xml:space="preserve">A telling example within the ending of the play is where Cesario’s </w:t>
      </w:r>
      <w:proofErr w:type="gramStart"/>
      <w:r w:rsidR="00F63984">
        <w:t>true identity</w:t>
      </w:r>
      <w:proofErr w:type="gramEnd"/>
      <w:r w:rsidR="00F63984">
        <w:t xml:space="preserve"> as Viola, a noblewoman, is revealed, and Orsino quickly diverts his attention from Olivia to her</w:t>
      </w:r>
      <w:r w:rsidR="00723BA9">
        <w:t>, while still addressing her by her male identity and calling her “boy”</w:t>
      </w:r>
      <w:r w:rsidR="000219E3">
        <w:t xml:space="preserve"> which</w:t>
      </w:r>
      <w:r w:rsidR="00723BA9">
        <w:t xml:space="preserve"> incredibly odd</w:t>
      </w:r>
      <w:r w:rsidR="000219E3">
        <w:t>,</w:t>
      </w:r>
      <w:r w:rsidR="00723BA9">
        <w:t xml:space="preserve"> and it seems more than a</w:t>
      </w:r>
      <w:r w:rsidR="000219E3">
        <w:t xml:space="preserve"> comedic addition by Shakespeare. It c</w:t>
      </w:r>
      <w:r w:rsidR="00723BA9">
        <w:t>ould</w:t>
      </w:r>
      <w:r w:rsidR="000219E3">
        <w:t xml:space="preserve"> </w:t>
      </w:r>
      <w:proofErr w:type="gramStart"/>
      <w:r w:rsidR="000219E3">
        <w:t>definitely</w:t>
      </w:r>
      <w:r w:rsidR="00723BA9">
        <w:t xml:space="preserve"> be</w:t>
      </w:r>
      <w:proofErr w:type="gramEnd"/>
      <w:r w:rsidR="00723BA9">
        <w:t xml:space="preserve"> interpreted as a suggestion of his feelings for the masculine version of Viola, and this is the only </w:t>
      </w:r>
      <w:r w:rsidR="00723BA9" w:rsidRPr="002F22CA">
        <w:t>way he can satisfy his desires in a socially acceptable fashion.</w:t>
      </w:r>
    </w:p>
    <w:p w14:paraId="5ABDA230" w14:textId="20880878" w:rsidR="00461F70" w:rsidRPr="006732A2" w:rsidRDefault="00982D06">
      <w:r w:rsidRPr="002F22CA">
        <w:t>One could also interpret the relationship between Sebastian and Antonio</w:t>
      </w:r>
      <w:r w:rsidR="00733789" w:rsidRPr="002F22CA">
        <w:t xml:space="preserve"> as many critics have done “through the apparatus of queer theory”</w:t>
      </w:r>
      <w:r w:rsidR="005B011E" w:rsidRPr="002F22CA">
        <w:rPr>
          <w:rStyle w:val="FootnoteReference"/>
        </w:rPr>
        <w:footnoteReference w:id="10"/>
      </w:r>
      <w:r w:rsidRPr="002F22CA">
        <w:t>, as something</w:t>
      </w:r>
      <w:r>
        <w:t xml:space="preserve"> more than friendship, at least in the heart </w:t>
      </w:r>
      <w:r>
        <w:lastRenderedPageBreak/>
        <w:t xml:space="preserve">of Antonio. It seems that Shakespeare enjoys </w:t>
      </w:r>
      <w:r w:rsidRPr="00A34C3A">
        <w:t>variating upon his “own conventions of romantic</w:t>
      </w:r>
      <w:r w:rsidR="009D16E4" w:rsidRPr="00A34C3A">
        <w:t xml:space="preserve"> comedy… add[ing] to the mix a longing homoerotic passion”</w:t>
      </w:r>
      <w:r w:rsidR="005B011E" w:rsidRPr="00A34C3A">
        <w:rPr>
          <w:rStyle w:val="FootnoteReference"/>
        </w:rPr>
        <w:footnoteReference w:id="11"/>
      </w:r>
      <w:r w:rsidR="009D16E4" w:rsidRPr="00A34C3A">
        <w:t xml:space="preserve"> that is not returned it seems.</w:t>
      </w:r>
      <w:r w:rsidR="008B0656" w:rsidRPr="00A34C3A">
        <w:t xml:space="preserve"> Antonio’s position is</w:t>
      </w:r>
      <w:r w:rsidR="00E779B5">
        <w:t xml:space="preserve"> however</w:t>
      </w:r>
      <w:r w:rsidR="008B0656" w:rsidRPr="00A34C3A">
        <w:t xml:space="preserve"> resolved</w:t>
      </w:r>
      <w:r w:rsidR="00D55AF0" w:rsidRPr="00A34C3A">
        <w:t xml:space="preserve"> for him</w:t>
      </w:r>
      <w:r w:rsidR="008B0656" w:rsidRPr="00A34C3A">
        <w:t xml:space="preserve"> at the end of </w:t>
      </w:r>
      <w:r w:rsidR="008B0656" w:rsidRPr="00A34C3A">
        <w:rPr>
          <w:i/>
          <w:iCs/>
        </w:rPr>
        <w:t>Twelfth</w:t>
      </w:r>
      <w:r w:rsidR="008B0656" w:rsidRPr="008B0656">
        <w:rPr>
          <w:i/>
          <w:iCs/>
        </w:rPr>
        <w:t xml:space="preserve"> Night</w:t>
      </w:r>
      <w:r w:rsidR="006732A2">
        <w:t xml:space="preserve">, </w:t>
      </w:r>
      <w:r w:rsidR="00D55AF0">
        <w:t>by Sebastian marrying Olivia</w:t>
      </w:r>
      <w:r w:rsidR="006831EE">
        <w:t xml:space="preserve"> – ultimately </w:t>
      </w:r>
      <w:r w:rsidR="006831EE" w:rsidRPr="00A34C3A">
        <w:t>nothing would come to fruition between these two characters, firstly as Sebastian was vastly portrayed as heterosexual, and secondly that early performances of this play coincided “with a time when there is a marked increase in persecutions of homosexuals, and love between men would have been a very dangerous and recognizable subject for representation”</w:t>
      </w:r>
      <w:r w:rsidR="00A34C3A" w:rsidRPr="00A34C3A">
        <w:rPr>
          <w:rStyle w:val="FootnoteReference"/>
        </w:rPr>
        <w:footnoteReference w:id="12"/>
      </w:r>
      <w:r w:rsidR="006831EE" w:rsidRPr="00A34C3A">
        <w:t>.</w:t>
      </w:r>
      <w:r w:rsidR="008E029C" w:rsidRPr="00A34C3A">
        <w:t xml:space="preserve"> Audiences</w:t>
      </w:r>
      <w:r w:rsidR="008E029C">
        <w:t xml:space="preserve"> of today are likely far more accepting, and so do not see an issue with performances of </w:t>
      </w:r>
      <w:r w:rsidR="008E029C" w:rsidRPr="005B0AED">
        <w:rPr>
          <w:i/>
          <w:iCs/>
        </w:rPr>
        <w:t>Twelfth Night</w:t>
      </w:r>
      <w:r w:rsidR="008E029C">
        <w:t xml:space="preserve"> being interpreted this way.</w:t>
      </w:r>
      <w:r w:rsidR="00207357">
        <w:t xml:space="preserve"> If this play was written </w:t>
      </w:r>
      <w:proofErr w:type="gramStart"/>
      <w:r w:rsidR="00207357">
        <w:t>in today’s society</w:t>
      </w:r>
      <w:proofErr w:type="gramEnd"/>
      <w:r w:rsidR="00240BBE">
        <w:t>, the troupe of a queer character only existing in a plot to be rejected may cause</w:t>
      </w:r>
      <w:r w:rsidR="00B36EF7">
        <w:t xml:space="preserve"> concern playing into well worn gay stereotypes such as ‘queerbaiting’</w:t>
      </w:r>
      <w:r w:rsidR="008F3E8E">
        <w:t xml:space="preserve">. </w:t>
      </w:r>
      <w:r w:rsidR="00461F70">
        <w:t xml:space="preserve">We must consider that any hints of representation were of the time, </w:t>
      </w:r>
      <w:r w:rsidR="005E0E1B">
        <w:t xml:space="preserve">either </w:t>
      </w:r>
      <w:proofErr w:type="spellStart"/>
      <w:r w:rsidR="005E0E1B">
        <w:t xml:space="preserve">well </w:t>
      </w:r>
      <w:r w:rsidR="00461F70">
        <w:t>hidden</w:t>
      </w:r>
      <w:proofErr w:type="spellEnd"/>
      <w:r w:rsidR="005E0E1B">
        <w:t xml:space="preserve"> or teased out of the original work </w:t>
      </w:r>
      <w:r w:rsidR="006975F2">
        <w:t>later in the queer theory cross</w:t>
      </w:r>
      <w:r w:rsidR="00F460A7">
        <w:t>-</w:t>
      </w:r>
      <w:r w:rsidR="006975F2">
        <w:t>examination of multiple classics</w:t>
      </w:r>
      <w:r w:rsidR="009E7CBF">
        <w:t xml:space="preserve"> that began in the 1990s with the work of Judith Butler and</w:t>
      </w:r>
      <w:r w:rsidR="000A0DF7">
        <w:t xml:space="preserve"> Michel Foucault </w:t>
      </w:r>
      <w:r w:rsidR="009E7CBF">
        <w:t>becoming more popular</w:t>
      </w:r>
      <w:r w:rsidR="005E0E1B">
        <w:t>.</w:t>
      </w:r>
    </w:p>
    <w:p w14:paraId="62EDA274" w14:textId="08394C23" w:rsidR="000C6767" w:rsidRPr="00B37D64" w:rsidRDefault="00EB700A">
      <w:r>
        <w:t>Having considered its themes and interpretations</w:t>
      </w:r>
      <w:r w:rsidR="00DA29AF">
        <w:t xml:space="preserve"> thoroughly</w:t>
      </w:r>
      <w:r>
        <w:t>, one must now question whether this play is enjoyable for a modern audience.</w:t>
      </w:r>
      <w:r w:rsidR="00160253">
        <w:t xml:space="preserve"> One would argue it is perhaps better than other plays of the time, more on par with the </w:t>
      </w:r>
      <w:r w:rsidR="00AB7CC3">
        <w:t>social ideals</w:t>
      </w:r>
      <w:r w:rsidR="00160253">
        <w:t xml:space="preserve"> of today than that the blatant misogyny shown in </w:t>
      </w:r>
      <w:r w:rsidR="00C620B2" w:rsidRPr="00C620B2">
        <w:rPr>
          <w:i/>
          <w:iCs/>
        </w:rPr>
        <w:t>T</w:t>
      </w:r>
      <w:r w:rsidR="00160253" w:rsidRPr="00C620B2">
        <w:rPr>
          <w:i/>
          <w:iCs/>
        </w:rPr>
        <w:t xml:space="preserve">he </w:t>
      </w:r>
      <w:r w:rsidR="00C620B2" w:rsidRPr="00C620B2">
        <w:rPr>
          <w:i/>
          <w:iCs/>
        </w:rPr>
        <w:t>S</w:t>
      </w:r>
      <w:r w:rsidR="00160253" w:rsidRPr="00C620B2">
        <w:rPr>
          <w:i/>
          <w:iCs/>
        </w:rPr>
        <w:t>hoemaker</w:t>
      </w:r>
      <w:r w:rsidR="00C620B2" w:rsidRPr="00C620B2">
        <w:rPr>
          <w:i/>
          <w:iCs/>
        </w:rPr>
        <w:t>’</w:t>
      </w:r>
      <w:r w:rsidR="00160253" w:rsidRPr="00C620B2">
        <w:rPr>
          <w:i/>
          <w:iCs/>
        </w:rPr>
        <w:t xml:space="preserve">s </w:t>
      </w:r>
      <w:r w:rsidR="00C620B2" w:rsidRPr="00C620B2">
        <w:rPr>
          <w:i/>
          <w:iCs/>
        </w:rPr>
        <w:t>Holiday</w:t>
      </w:r>
      <w:r w:rsidR="00160253">
        <w:t xml:space="preserve"> by </w:t>
      </w:r>
      <w:r w:rsidR="00C620B2">
        <w:t>Dekker</w:t>
      </w:r>
      <w:r w:rsidR="00160253">
        <w:t xml:space="preserve"> for example</w:t>
      </w:r>
      <w:r w:rsidR="00AB7CC3">
        <w:t>, which was</w:t>
      </w:r>
      <w:r w:rsidR="00160253">
        <w:t xml:space="preserve"> written around the same period. </w:t>
      </w:r>
      <w:r w:rsidR="00531B6D">
        <w:t>It a</w:t>
      </w:r>
      <w:r w:rsidR="00160253">
        <w:t>llows a modern audience</w:t>
      </w:r>
      <w:r w:rsidR="00531B6D">
        <w:t xml:space="preserve"> </w:t>
      </w:r>
      <w:r w:rsidR="00160253">
        <w:t xml:space="preserve">to enjoy a classic </w:t>
      </w:r>
      <w:r w:rsidR="00531B6D">
        <w:t>play</w:t>
      </w:r>
      <w:r w:rsidR="000C6767">
        <w:t xml:space="preserve"> and become invested in it</w:t>
      </w:r>
      <w:r w:rsidR="00531B6D">
        <w:t xml:space="preserve"> while seeing themselves represented</w:t>
      </w:r>
      <w:r w:rsidR="000C6767">
        <w:t xml:space="preserve">, which is uncommon for playtexts or literature from that era. The women characters are far more equal than one would </w:t>
      </w:r>
      <w:r w:rsidR="00DC1311">
        <w:t>expect and</w:t>
      </w:r>
      <w:r w:rsidR="000C6767">
        <w:t xml:space="preserve"> seem to be more fleshed out</w:t>
      </w:r>
      <w:r w:rsidR="00DC6657">
        <w:t xml:space="preserve"> – t</w:t>
      </w:r>
      <w:r w:rsidR="000C6767">
        <w:t>he play revolves around the troubles of Viola</w:t>
      </w:r>
      <w:r w:rsidR="00DC6657">
        <w:t xml:space="preserve"> after all</w:t>
      </w:r>
      <w:r w:rsidR="0019688A">
        <w:t xml:space="preserve"> and arguably just about passes the </w:t>
      </w:r>
      <w:r w:rsidR="00EA6DDF">
        <w:t>Bechdel</w:t>
      </w:r>
      <w:r w:rsidR="0019688A">
        <w:t xml:space="preserve"> test</w:t>
      </w:r>
      <w:r w:rsidR="00DC6657">
        <w:t xml:space="preserve">, which is more than can be said for some modern plays. These implications engage the audience more by </w:t>
      </w:r>
      <w:r w:rsidR="00DC6657" w:rsidRPr="00B37D64">
        <w:t>creating enjoyable</w:t>
      </w:r>
      <w:r w:rsidR="00F84633">
        <w:t xml:space="preserve"> and engaging</w:t>
      </w:r>
      <w:r w:rsidR="00146853" w:rsidRPr="00B37D64">
        <w:t xml:space="preserve"> plot lines that can be relevant to our time.</w:t>
      </w:r>
    </w:p>
    <w:p w14:paraId="306AFC79" w14:textId="616C4404" w:rsidR="009C48BE" w:rsidRDefault="001B6241" w:rsidP="00194E35">
      <w:r w:rsidRPr="00B37D64">
        <w:t>However, it is also wise to ask whether historical accuracy is entirely re</w:t>
      </w:r>
      <w:r w:rsidR="00146853" w:rsidRPr="00B37D64">
        <w:t>levant when considering the implications performances of Twelfth Night hold for modern audiences.</w:t>
      </w:r>
      <w:r w:rsidR="0044735D" w:rsidRPr="00B37D64">
        <w:t xml:space="preserve"> Shakespeare often did the “</w:t>
      </w:r>
      <w:r w:rsidR="0044735D" w:rsidRPr="00B37D64">
        <w:t>cultural work of aestheticizing what are political issues</w:t>
      </w:r>
      <w:r w:rsidR="001D553E" w:rsidRPr="00B37D64">
        <w:t>”</w:t>
      </w:r>
      <w:r w:rsidR="001D553E" w:rsidRPr="00B37D64">
        <w:rPr>
          <w:rStyle w:val="FootnoteReference"/>
        </w:rPr>
        <w:footnoteReference w:id="13"/>
      </w:r>
      <w:r w:rsidR="0044735D" w:rsidRPr="00B37D64">
        <w:t xml:space="preserve">, therefore should we follow in his footsteps </w:t>
      </w:r>
      <w:proofErr w:type="gramStart"/>
      <w:r w:rsidR="0044735D" w:rsidRPr="00B37D64">
        <w:t>as a way to</w:t>
      </w:r>
      <w:proofErr w:type="gramEnd"/>
      <w:r w:rsidR="0044735D" w:rsidRPr="00B37D64">
        <w:t xml:space="preserve"> honour his work and wishes?</w:t>
      </w:r>
      <w:r w:rsidR="00C506EA" w:rsidRPr="00B37D64">
        <w:t xml:space="preserve"> Modern versions</w:t>
      </w:r>
      <w:r w:rsidR="00C506EA" w:rsidRPr="002F22CA">
        <w:t xml:space="preserve"> of Twelfth Night have been adapted in various ways such as </w:t>
      </w:r>
      <w:r w:rsidR="004728A4" w:rsidRPr="002F22CA">
        <w:t>the iteration performed by the all-female theatre, the Takarazuka Revue</w:t>
      </w:r>
      <w:r w:rsidR="00A34C3A" w:rsidRPr="002F22CA">
        <w:rPr>
          <w:rStyle w:val="FootnoteReference"/>
        </w:rPr>
        <w:footnoteReference w:id="14"/>
      </w:r>
      <w:r w:rsidR="004728A4" w:rsidRPr="002F22CA">
        <w:t>, in Japan, or the loose adaption presented in the 2006 film ‘She’s the Man’</w:t>
      </w:r>
      <w:r w:rsidR="00CB5E28" w:rsidRPr="002F22CA">
        <w:t xml:space="preserve">. </w:t>
      </w:r>
      <w:proofErr w:type="gramStart"/>
      <w:r w:rsidR="00194E35" w:rsidRPr="002F22CA">
        <w:t>As long as</w:t>
      </w:r>
      <w:proofErr w:type="gramEnd"/>
      <w:r w:rsidR="00194E35" w:rsidRPr="002F22CA">
        <w:t xml:space="preserve"> the plot and themes</w:t>
      </w:r>
      <w:r w:rsidR="00194E35">
        <w:t xml:space="preserve"> are similar, </w:t>
      </w:r>
      <w:r w:rsidR="00194E35" w:rsidRPr="00F20FED">
        <w:t xml:space="preserve">surely </w:t>
      </w:r>
      <w:r w:rsidR="00CB5E28">
        <w:t xml:space="preserve">one could argue that </w:t>
      </w:r>
      <w:r w:rsidR="00194E35" w:rsidRPr="00F20FED">
        <w:t xml:space="preserve">it </w:t>
      </w:r>
      <w:r w:rsidR="00CB5E28">
        <w:t>is acceptable</w:t>
      </w:r>
      <w:r w:rsidR="00194E35" w:rsidRPr="00F20FED">
        <w:t xml:space="preserve"> to adapt it to our times so that</w:t>
      </w:r>
      <w:r w:rsidR="00CB5E28">
        <w:t xml:space="preserve"> </w:t>
      </w:r>
      <w:r w:rsidR="00194E35" w:rsidRPr="00F20FED">
        <w:t xml:space="preserve">more may enjoy it? </w:t>
      </w:r>
    </w:p>
    <w:p w14:paraId="22BE98BD" w14:textId="1C7E581F" w:rsidR="00CA0F65" w:rsidRDefault="00F003FB" w:rsidP="00194E35">
      <w:r>
        <w:t>Another issue that has surfaced wh</w:t>
      </w:r>
      <w:r w:rsidR="00E36EE8">
        <w:t>ile</w:t>
      </w:r>
      <w:r>
        <w:t xml:space="preserve"> reflecting on the implications of this play for audiences of our time</w:t>
      </w:r>
      <w:r w:rsidR="009A7B75">
        <w:t>,</w:t>
      </w:r>
      <w:r>
        <w:t xml:space="preserve"> is that of </w:t>
      </w:r>
      <w:r w:rsidR="00CB022B">
        <w:t xml:space="preserve">overexaggerating </w:t>
      </w:r>
      <w:r w:rsidR="004E5EFF">
        <w:t xml:space="preserve">crossdressing as a humorous </w:t>
      </w:r>
      <w:r w:rsidR="000F2664">
        <w:t>aspect when</w:t>
      </w:r>
      <w:r w:rsidR="004E5EFF">
        <w:t xml:space="preserve"> transphobia</w:t>
      </w:r>
      <w:r w:rsidR="00666316">
        <w:t xml:space="preserve"> </w:t>
      </w:r>
      <w:r w:rsidR="00CB022B">
        <w:t>is a major issue of our time. It must be noted that it depends entirely on how one would interpret the finer details of the play</w:t>
      </w:r>
      <w:r w:rsidR="00982132">
        <w:t>,</w:t>
      </w:r>
      <w:r w:rsidR="00CB022B">
        <w:t xml:space="preserve"> but i</w:t>
      </w:r>
      <w:r w:rsidR="00061BCE">
        <w:t xml:space="preserve">ndividual productions must be masterful in how they choose to portray gender identity issues, as a </w:t>
      </w:r>
      <w:r w:rsidR="00982132">
        <w:t>heavy-handed</w:t>
      </w:r>
      <w:r w:rsidR="00061BCE">
        <w:t xml:space="preserve"> approach from a theatre director may</w:t>
      </w:r>
      <w:r w:rsidR="007D7965">
        <w:t xml:space="preserve"> cause the </w:t>
      </w:r>
      <w:r w:rsidR="00982132">
        <w:t>light-hearted</w:t>
      </w:r>
      <w:r w:rsidR="007D7965">
        <w:t xml:space="preserve"> comedy to become a </w:t>
      </w:r>
      <w:r w:rsidR="006B00FC">
        <w:t xml:space="preserve">disheartening </w:t>
      </w:r>
      <w:r w:rsidR="007D7965">
        <w:t>caricature</w:t>
      </w:r>
      <w:r w:rsidR="006B00FC">
        <w:t>.</w:t>
      </w:r>
      <w:r w:rsidR="00982132">
        <w:t xml:space="preserve"> </w:t>
      </w:r>
      <w:r w:rsidR="00824A5A">
        <w:t>It all comes down to how each audience member would interpret the play</w:t>
      </w:r>
      <w:r w:rsidR="00524F8D">
        <w:t xml:space="preserve">, forming the </w:t>
      </w:r>
      <w:r w:rsidR="002D1795">
        <w:t>Schrodinger’s</w:t>
      </w:r>
      <w:r w:rsidR="00F70DF6">
        <w:t xml:space="preserve"> cat of theatre</w:t>
      </w:r>
      <w:r w:rsidR="00162DC2">
        <w:t xml:space="preserve"> –</w:t>
      </w:r>
      <w:r w:rsidR="00524F8D">
        <w:t xml:space="preserve"> </w:t>
      </w:r>
      <w:r w:rsidR="00162DC2">
        <w:t>s</w:t>
      </w:r>
      <w:r w:rsidR="00824A5A">
        <w:t>imultaneously</w:t>
      </w:r>
      <w:r w:rsidR="00524F8D">
        <w:t xml:space="preserve"> it could </w:t>
      </w:r>
      <w:r w:rsidR="00524F8D">
        <w:lastRenderedPageBreak/>
        <w:t>exist</w:t>
      </w:r>
      <w:r w:rsidR="00824A5A">
        <w:t xml:space="preserve"> as transphobic </w:t>
      </w:r>
      <w:r w:rsidR="00982132">
        <w:t>and</w:t>
      </w:r>
      <w:r w:rsidR="00824A5A">
        <w:t xml:space="preserve"> homophobic</w:t>
      </w:r>
      <w:r w:rsidR="00F70DF6">
        <w:t>, or as accepting representation.</w:t>
      </w:r>
      <w:r w:rsidR="00923205">
        <w:t xml:space="preserve"> T</w:t>
      </w:r>
      <w:r w:rsidR="00D707D0">
        <w:t xml:space="preserve">he </w:t>
      </w:r>
      <w:r w:rsidR="00BB39DD">
        <w:t xml:space="preserve">theories </w:t>
      </w:r>
      <w:r w:rsidR="00CA0F65">
        <w:t xml:space="preserve">that Shakespeare himself may have been gay allows queer literary enthusiasts to rally around his work for </w:t>
      </w:r>
      <w:r w:rsidR="00923205">
        <w:t>the latter reason</w:t>
      </w:r>
      <w:r w:rsidR="00982132">
        <w:t xml:space="preserve">, </w:t>
      </w:r>
      <w:r w:rsidR="00CF5269">
        <w:t>and one is inclined to believe that this is the true implication the play holds for modern audiences – simply that of a renaissance play so masterfully written it can be relevant throughout the ages for many</w:t>
      </w:r>
      <w:r w:rsidR="009A1B20">
        <w:t>, despite these ideals not existing at the time of writing, a feat within itself</w:t>
      </w:r>
      <w:r w:rsidR="00526211">
        <w:t>.</w:t>
      </w:r>
    </w:p>
    <w:p w14:paraId="7BACF46C" w14:textId="77777777" w:rsidR="00FA4C2F" w:rsidRDefault="00FA4C2F"/>
    <w:p w14:paraId="2171F36E" w14:textId="77777777" w:rsidR="008A0F4B" w:rsidRDefault="00FA4C2F" w:rsidP="008A0F4B">
      <w:r>
        <w:t>References</w:t>
      </w:r>
    </w:p>
    <w:p w14:paraId="7059C9D0" w14:textId="32F5F983" w:rsidR="008A0F4B" w:rsidRPr="008A0F4B" w:rsidRDefault="008A0F4B" w:rsidP="008A0F4B">
      <w:r w:rsidRPr="00C23B3E">
        <w:t xml:space="preserve">Ake, Jami. </w:t>
      </w:r>
      <w:r w:rsidRPr="00C23B3E">
        <w:rPr>
          <w:i/>
          <w:iCs/>
        </w:rPr>
        <w:t>Glimpsing a "Lesbian" Poetics in "Twelfth Night"</w:t>
      </w:r>
      <w:r w:rsidRPr="00C23B3E">
        <w:t xml:space="preserve"> in </w:t>
      </w:r>
      <w:r w:rsidRPr="00C23B3E">
        <w:rPr>
          <w:rFonts w:eastAsia="Times New Roman" w:cs="Times New Roman"/>
          <w:color w:val="000000"/>
          <w:spacing w:val="-5"/>
          <w:lang w:eastAsia="en-GB"/>
        </w:rPr>
        <w:t>Studies in English Literature,</w:t>
      </w:r>
      <w:r w:rsidRPr="00C23B3E">
        <w:rPr>
          <w:rFonts w:eastAsia="Times New Roman" w:cs="Times New Roman"/>
          <w:i/>
          <w:iCs/>
          <w:color w:val="000000"/>
          <w:spacing w:val="-5"/>
          <w:lang w:eastAsia="en-GB"/>
        </w:rPr>
        <w:t xml:space="preserve"> </w:t>
      </w:r>
      <w:r w:rsidRPr="00C23B3E">
        <w:rPr>
          <w:rFonts w:eastAsia="Times New Roman" w:cs="Times New Roman"/>
          <w:color w:val="000000"/>
          <w:spacing w:val="-5"/>
          <w:lang w:eastAsia="en-GB"/>
        </w:rPr>
        <w:t>1500-1900</w:t>
      </w:r>
      <w:r w:rsidRPr="00C23B3E">
        <w:rPr>
          <w:rFonts w:eastAsia="Times New Roman" w:cs="Times New Roman"/>
          <w:color w:val="000000"/>
          <w:spacing w:val="-5"/>
          <w:lang w:eastAsia="en-GB"/>
        </w:rPr>
        <w:t xml:space="preserve">, </w:t>
      </w:r>
      <w:r w:rsidRPr="00A4678A">
        <w:rPr>
          <w:rFonts w:eastAsia="Times New Roman" w:cs="Times New Roman"/>
          <w:color w:val="000000"/>
          <w:spacing w:val="-5"/>
          <w:lang w:eastAsia="en-GB"/>
        </w:rPr>
        <w:t xml:space="preserve">Vol. 43, </w:t>
      </w:r>
      <w:r w:rsidRPr="00C23B3E">
        <w:rPr>
          <w:rFonts w:eastAsia="Times New Roman" w:cs="Times New Roman"/>
          <w:color w:val="000000"/>
          <w:spacing w:val="-5"/>
          <w:lang w:eastAsia="en-GB"/>
        </w:rPr>
        <w:t>II</w:t>
      </w:r>
      <w:r w:rsidRPr="00A4678A">
        <w:rPr>
          <w:rFonts w:eastAsia="Times New Roman" w:cs="Times New Roman"/>
          <w:color w:val="000000"/>
          <w:spacing w:val="-5"/>
          <w:lang w:eastAsia="en-GB"/>
        </w:rPr>
        <w:t>, Tudor and Stuart Drama (</w:t>
      </w:r>
      <w:r w:rsidRPr="00C23B3E">
        <w:rPr>
          <w:rFonts w:eastAsia="Times New Roman" w:cs="Times New Roman"/>
          <w:color w:val="000000"/>
          <w:spacing w:val="-5"/>
          <w:lang w:eastAsia="en-GB"/>
        </w:rPr>
        <w:t>Rice University Press</w:t>
      </w:r>
      <w:r w:rsidRPr="00A4678A">
        <w:rPr>
          <w:rFonts w:eastAsia="Times New Roman" w:cs="Times New Roman"/>
          <w:color w:val="000000"/>
          <w:spacing w:val="-5"/>
          <w:lang w:eastAsia="en-GB"/>
        </w:rPr>
        <w:t>, 2003), pp. 375-394</w:t>
      </w:r>
      <w:r w:rsidRPr="00A34C3A">
        <w:rPr>
          <w:rFonts w:eastAsia="Times New Roman" w:cs="Times New Roman"/>
          <w:color w:val="000000"/>
          <w:spacing w:val="-5"/>
          <w:lang w:eastAsia="en-GB"/>
        </w:rPr>
        <w:t>.</w:t>
      </w:r>
    </w:p>
    <w:p w14:paraId="3FA01CFC" w14:textId="77777777" w:rsidR="008A0F4B" w:rsidRPr="00C23B3E" w:rsidRDefault="008A0F4B" w:rsidP="00783430">
      <w:pPr>
        <w:shd w:val="clear" w:color="auto" w:fill="FFFFFF"/>
        <w:spacing w:line="240" w:lineRule="auto"/>
      </w:pPr>
      <w:r w:rsidRPr="00A34C3A">
        <w:t xml:space="preserve">Charles, Casey. </w:t>
      </w:r>
      <w:r w:rsidRPr="00A34C3A">
        <w:rPr>
          <w:i/>
          <w:iCs/>
        </w:rPr>
        <w:t>Gender Trouble in “Twelfth Night</w:t>
      </w:r>
      <w:r w:rsidRPr="00A34C3A">
        <w:t>” in Theatre Journal Vol. 49</w:t>
      </w:r>
      <w:r w:rsidRPr="00C23B3E">
        <w:t>, II, (Johns Hopkins University Press, 1997), pp. 121-141.</w:t>
      </w:r>
    </w:p>
    <w:p w14:paraId="7C84C317" w14:textId="77777777" w:rsidR="008A0F4B" w:rsidRPr="00C23B3E" w:rsidRDefault="008A0F4B" w:rsidP="00783430">
      <w:pPr>
        <w:shd w:val="clear" w:color="auto" w:fill="FFFFFF"/>
        <w:spacing w:line="240" w:lineRule="auto"/>
      </w:pPr>
      <w:bookmarkStart w:id="1" w:name="_Hlk64204867"/>
      <w:r w:rsidRPr="00C23B3E">
        <w:t xml:space="preserve">Chen, Yilin. </w:t>
      </w:r>
      <w:r w:rsidRPr="00C23B3E">
        <w:rPr>
          <w:i/>
          <w:iCs/>
        </w:rPr>
        <w:t>Gender and Homosexuality in Takarazuka Theatre: Twelfth Night and Epiphany</w:t>
      </w:r>
      <w:r w:rsidRPr="00C23B3E">
        <w:t xml:space="preserve"> in </w:t>
      </w:r>
      <w:r w:rsidRPr="00C23B3E">
        <w:t>Performing Ethos</w:t>
      </w:r>
      <w:r w:rsidRPr="00C23B3E">
        <w:t>: International Journal of Ethics in Theatre &amp; Performance,</w:t>
      </w:r>
      <w:r w:rsidRPr="00C23B3E">
        <w:t xml:space="preserve"> Vo</w:t>
      </w:r>
      <w:r w:rsidRPr="00C23B3E">
        <w:t>l.</w:t>
      </w:r>
      <w:r w:rsidRPr="00C23B3E">
        <w:t xml:space="preserve"> 1</w:t>
      </w:r>
      <w:r w:rsidRPr="00C23B3E">
        <w:t>, I (Intellect,</w:t>
      </w:r>
      <w:r w:rsidRPr="00C23B3E">
        <w:rPr>
          <w:color w:val="000000"/>
          <w:shd w:val="clear" w:color="auto" w:fill="FFFFFF"/>
        </w:rPr>
        <w:t xml:space="preserve"> </w:t>
      </w:r>
      <w:r w:rsidRPr="00C23B3E">
        <w:t>Providence University of Taiwan</w:t>
      </w:r>
      <w:r w:rsidRPr="00C23B3E">
        <w:t>, 2010),</w:t>
      </w:r>
      <w:r w:rsidRPr="00C23B3E">
        <w:rPr>
          <w:color w:val="000000"/>
        </w:rPr>
        <w:t xml:space="preserve"> pp. </w:t>
      </w:r>
      <w:r w:rsidRPr="00C23B3E">
        <w:rPr>
          <w:rStyle w:val="pagesnum"/>
          <w:color w:val="000000"/>
        </w:rPr>
        <w:t>53-67</w:t>
      </w:r>
      <w:r w:rsidRPr="00C23B3E">
        <w:rPr>
          <w:rStyle w:val="pagesnum"/>
          <w:color w:val="000000"/>
        </w:rPr>
        <w:t>.</w:t>
      </w:r>
    </w:p>
    <w:p w14:paraId="0C3D3781" w14:textId="77777777" w:rsidR="008A0F4B" w:rsidRDefault="008A0F4B" w:rsidP="00783430">
      <w:pPr>
        <w:pStyle w:val="NormalWeb"/>
        <w:rPr>
          <w:rFonts w:asciiTheme="minorHAnsi" w:hAnsiTheme="minorHAnsi" w:cstheme="minorHAnsi"/>
          <w:color w:val="000000"/>
          <w:sz w:val="22"/>
          <w:szCs w:val="22"/>
          <w:shd w:val="clear" w:color="auto" w:fill="FFFFFF"/>
        </w:rPr>
      </w:pPr>
      <w:r>
        <w:rPr>
          <w:rStyle w:val="Strong"/>
          <w:rFonts w:asciiTheme="minorHAnsi" w:hAnsiTheme="minorHAnsi" w:cstheme="minorHAnsi"/>
          <w:b w:val="0"/>
          <w:bCs w:val="0"/>
          <w:color w:val="000000"/>
          <w:sz w:val="22"/>
          <w:szCs w:val="22"/>
          <w:shd w:val="clear" w:color="auto" w:fill="FFFFFF"/>
        </w:rPr>
        <w:t xml:space="preserve">Claret, </w:t>
      </w:r>
      <w:r w:rsidRPr="008A0F4B">
        <w:rPr>
          <w:rStyle w:val="Strong"/>
          <w:rFonts w:asciiTheme="minorHAnsi" w:hAnsiTheme="minorHAnsi" w:cstheme="minorHAnsi"/>
          <w:b w:val="0"/>
          <w:bCs w:val="0"/>
          <w:color w:val="000000"/>
          <w:sz w:val="22"/>
          <w:szCs w:val="22"/>
          <w:shd w:val="clear" w:color="auto" w:fill="FFFFFF"/>
        </w:rPr>
        <w:t>Jean-Louis</w:t>
      </w:r>
      <w:r>
        <w:rPr>
          <w:rStyle w:val="Strong"/>
          <w:rFonts w:asciiTheme="minorHAnsi" w:hAnsiTheme="minorHAnsi" w:cstheme="minorHAnsi"/>
          <w:b w:val="0"/>
          <w:bCs w:val="0"/>
          <w:color w:val="000000"/>
          <w:sz w:val="22"/>
          <w:szCs w:val="22"/>
          <w:shd w:val="clear" w:color="auto" w:fill="FFFFFF"/>
        </w:rPr>
        <w:t>.</w:t>
      </w:r>
      <w:r w:rsidRPr="008A0F4B">
        <w:rPr>
          <w:rFonts w:asciiTheme="minorHAnsi" w:hAnsiTheme="minorHAnsi" w:cstheme="minorHAnsi"/>
          <w:color w:val="000000"/>
          <w:sz w:val="22"/>
          <w:szCs w:val="22"/>
          <w:shd w:val="clear" w:color="auto" w:fill="FFFFFF"/>
        </w:rPr>
        <w:t xml:space="preserve"> “When the bear won't go hunt”: masculinity in Shakespeare's </w:t>
      </w:r>
      <w:r w:rsidRPr="008A0F4B">
        <w:rPr>
          <w:rStyle w:val="Emphasis"/>
          <w:rFonts w:asciiTheme="minorHAnsi" w:hAnsiTheme="minorHAnsi" w:cstheme="minorHAnsi"/>
          <w:color w:val="000000"/>
          <w:sz w:val="22"/>
          <w:szCs w:val="22"/>
          <w:shd w:val="clear" w:color="auto" w:fill="FFFFFF"/>
        </w:rPr>
        <w:t xml:space="preserve">Twelfth </w:t>
      </w:r>
      <w:proofErr w:type="gramStart"/>
      <w:r w:rsidRPr="008A0F4B">
        <w:rPr>
          <w:rStyle w:val="Emphasis"/>
          <w:rFonts w:asciiTheme="minorHAnsi" w:hAnsiTheme="minorHAnsi" w:cstheme="minorHAnsi"/>
          <w:color w:val="000000"/>
          <w:sz w:val="22"/>
          <w:szCs w:val="22"/>
          <w:shd w:val="clear" w:color="auto" w:fill="FFFFFF"/>
        </w:rPr>
        <w:t>Night</w:t>
      </w:r>
      <w:r>
        <w:rPr>
          <w:rFonts w:asciiTheme="minorHAnsi" w:hAnsiTheme="minorHAnsi" w:cstheme="minorHAnsi"/>
          <w:color w:val="000000"/>
          <w:sz w:val="22"/>
          <w:szCs w:val="22"/>
          <w:shd w:val="clear" w:color="auto" w:fill="FFFFFF"/>
        </w:rPr>
        <w:t xml:space="preserve">,   </w:t>
      </w:r>
      <w:proofErr w:type="gramEnd"/>
      <w:r>
        <w:rPr>
          <w:rFonts w:asciiTheme="minorHAnsi" w:hAnsiTheme="minorHAnsi" w:cstheme="minorHAnsi"/>
          <w:color w:val="000000"/>
          <w:sz w:val="22"/>
          <w:szCs w:val="22"/>
          <w:shd w:val="clear" w:color="auto" w:fill="FFFFFF"/>
        </w:rPr>
        <w:t xml:space="preserve">      </w:t>
      </w:r>
      <w:r w:rsidRPr="008A0F4B">
        <w:rPr>
          <w:rFonts w:asciiTheme="minorHAnsi" w:hAnsiTheme="minorHAnsi" w:cstheme="minorHAnsi"/>
          <w:color w:val="000000"/>
          <w:sz w:val="22"/>
          <w:szCs w:val="22"/>
          <w:shd w:val="clear" w:color="auto" w:fill="FFFFFF"/>
        </w:rPr>
        <w:t>http://journals.openedition.org/erea/2738</w:t>
      </w:r>
      <w:r>
        <w:rPr>
          <w:rFonts w:asciiTheme="minorHAnsi" w:hAnsiTheme="minorHAnsi" w:cstheme="minorHAnsi"/>
          <w:color w:val="000000"/>
          <w:sz w:val="22"/>
          <w:szCs w:val="22"/>
          <w:shd w:val="clear" w:color="auto" w:fill="FFFFFF"/>
        </w:rPr>
        <w:t xml:space="preserve"> [Posted 20</w:t>
      </w:r>
      <w:r w:rsidRPr="008A0F4B">
        <w:rPr>
          <w:rFonts w:asciiTheme="minorHAnsi" w:hAnsiTheme="minorHAnsi" w:cstheme="minorHAnsi"/>
          <w:color w:val="000000"/>
          <w:sz w:val="22"/>
          <w:szCs w:val="22"/>
          <w:shd w:val="clear" w:color="auto" w:fill="FFFFFF"/>
          <w:vertAlign w:val="superscript"/>
        </w:rPr>
        <w:t>th</w:t>
      </w:r>
      <w:r>
        <w:rPr>
          <w:rFonts w:asciiTheme="minorHAnsi" w:hAnsiTheme="minorHAnsi" w:cstheme="minorHAnsi"/>
          <w:color w:val="000000"/>
          <w:sz w:val="22"/>
          <w:szCs w:val="22"/>
          <w:shd w:val="clear" w:color="auto" w:fill="FFFFFF"/>
        </w:rPr>
        <w:t xml:space="preserve"> December 2012, Accessed 12 February 2021.]</w:t>
      </w:r>
    </w:p>
    <w:p w14:paraId="238703F1" w14:textId="2B947876" w:rsidR="008A0F4B" w:rsidRDefault="008A0F4B" w:rsidP="00783430">
      <w:pPr>
        <w:pStyle w:val="FootnoteText"/>
        <w:rPr>
          <w:rFonts w:cstheme="minorHAnsi"/>
          <w:sz w:val="22"/>
          <w:szCs w:val="22"/>
        </w:rPr>
      </w:pPr>
      <w:r w:rsidRPr="001F4451">
        <w:rPr>
          <w:rFonts w:cstheme="minorHAnsi"/>
          <w:sz w:val="22"/>
          <w:szCs w:val="22"/>
        </w:rPr>
        <w:t xml:space="preserve">Lisa Jardine, </w:t>
      </w:r>
      <w:r w:rsidRPr="001F4451">
        <w:rPr>
          <w:rFonts w:cstheme="minorHAnsi"/>
          <w:i/>
          <w:sz w:val="22"/>
          <w:szCs w:val="22"/>
        </w:rPr>
        <w:t>Still Harping on Daughters: Women and Drama in the Age of Shakespeare</w:t>
      </w:r>
      <w:r w:rsidRPr="001F4451">
        <w:rPr>
          <w:rFonts w:cstheme="minorHAnsi"/>
          <w:sz w:val="22"/>
          <w:szCs w:val="22"/>
        </w:rPr>
        <w:t>, 2</w:t>
      </w:r>
      <w:r w:rsidRPr="00133801">
        <w:rPr>
          <w:rFonts w:cstheme="minorHAnsi"/>
          <w:sz w:val="22"/>
          <w:szCs w:val="22"/>
          <w:vertAlign w:val="superscript"/>
        </w:rPr>
        <w:t>nd</w:t>
      </w:r>
      <w:r w:rsidRPr="001F4451">
        <w:rPr>
          <w:rFonts w:cstheme="minorHAnsi"/>
          <w:sz w:val="22"/>
          <w:szCs w:val="22"/>
        </w:rPr>
        <w:t xml:space="preserve"> edn (London: Harvester Wheatsheaf, 1983)</w:t>
      </w:r>
      <w:r>
        <w:rPr>
          <w:rFonts w:cstheme="minorHAnsi"/>
          <w:sz w:val="22"/>
          <w:szCs w:val="22"/>
        </w:rPr>
        <w:t>.</w:t>
      </w:r>
    </w:p>
    <w:p w14:paraId="26555E1B" w14:textId="77777777" w:rsidR="008A0F4B" w:rsidRPr="001F4451" w:rsidRDefault="008A0F4B" w:rsidP="00783430">
      <w:pPr>
        <w:pStyle w:val="FootnoteText"/>
        <w:rPr>
          <w:rFonts w:cstheme="minorHAnsi"/>
          <w:sz w:val="22"/>
          <w:szCs w:val="22"/>
        </w:rPr>
      </w:pPr>
    </w:p>
    <w:p w14:paraId="0DAEF13F" w14:textId="77777777" w:rsidR="008A0F4B" w:rsidRDefault="008A0F4B" w:rsidP="00783430">
      <w:pPr>
        <w:shd w:val="clear" w:color="auto" w:fill="FFFFFF"/>
        <w:spacing w:line="240" w:lineRule="auto"/>
      </w:pPr>
      <w:r>
        <w:t>Shannon, Laurie. Nature’s Bias: Renaissance Homonormativity and Elizabethan Comic Likeness in Modern Philogy – Religion, Gender, and the Writing of Women: Historicist Essays in Honor of Janel Mueller, Vol.98, II, (The University of Chicago Press, 2000), pp. 183-210.</w:t>
      </w:r>
    </w:p>
    <w:p w14:paraId="0B69B650" w14:textId="0EDCF050" w:rsidR="008A0F4B" w:rsidRDefault="008A0F4B" w:rsidP="00783430">
      <w:pPr>
        <w:pStyle w:val="FootnoteText"/>
        <w:rPr>
          <w:rFonts w:cstheme="minorHAnsi"/>
          <w:sz w:val="22"/>
          <w:szCs w:val="22"/>
        </w:rPr>
      </w:pPr>
      <w:r w:rsidRPr="001F4451">
        <w:rPr>
          <w:rFonts w:cstheme="minorHAnsi"/>
          <w:sz w:val="22"/>
          <w:szCs w:val="22"/>
        </w:rPr>
        <w:t xml:space="preserve">Stephen Orgel, ‘Nobody’s Perfect: Or Why Did the English Stage Take Boys for Women?’, 0in </w:t>
      </w:r>
      <w:r w:rsidRPr="001F4451">
        <w:rPr>
          <w:rFonts w:cstheme="minorHAnsi"/>
          <w:i/>
          <w:sz w:val="22"/>
          <w:szCs w:val="22"/>
        </w:rPr>
        <w:t>Displacing Homophobia: Gay Male Perspectives in Literature and Culture</w:t>
      </w:r>
      <w:r w:rsidRPr="001F4451">
        <w:rPr>
          <w:rFonts w:cstheme="minorHAnsi"/>
          <w:sz w:val="22"/>
          <w:szCs w:val="22"/>
        </w:rPr>
        <w:t>, ed. by Ronald R. Butters, John M. Clum, and Michael Moon (London: Duke University Press, 1989).</w:t>
      </w:r>
    </w:p>
    <w:p w14:paraId="4CFBE987" w14:textId="77777777" w:rsidR="008A0F4B" w:rsidRPr="001F4451" w:rsidRDefault="008A0F4B" w:rsidP="00783430">
      <w:pPr>
        <w:pStyle w:val="FootnoteText"/>
        <w:rPr>
          <w:rFonts w:cstheme="minorHAnsi"/>
          <w:sz w:val="22"/>
          <w:szCs w:val="22"/>
        </w:rPr>
      </w:pPr>
    </w:p>
    <w:p w14:paraId="7183C5EB" w14:textId="77777777" w:rsidR="008A0F4B" w:rsidRPr="00A34C3A" w:rsidRDefault="008A0F4B" w:rsidP="00783430">
      <w:pPr>
        <w:shd w:val="clear" w:color="auto" w:fill="FFFFFF"/>
        <w:spacing w:line="240" w:lineRule="auto"/>
      </w:pPr>
      <w:bookmarkStart w:id="2" w:name="_Hlk64205080"/>
      <w:r w:rsidRPr="00A34C3A">
        <w:t>Suzuki, Mihoko</w:t>
      </w:r>
      <w:r w:rsidRPr="00A34C3A">
        <w:rPr>
          <w:i/>
          <w:iCs/>
        </w:rPr>
        <w:t xml:space="preserve">. </w:t>
      </w:r>
      <w:r w:rsidRPr="00A34C3A">
        <w:rPr>
          <w:i/>
          <w:iCs/>
        </w:rPr>
        <w:t>Gender, Class, and the Social Order in Late Elizabethan Drama</w:t>
      </w:r>
      <w:r w:rsidRPr="00A34C3A">
        <w:t xml:space="preserve"> in </w:t>
      </w:r>
      <w:r w:rsidRPr="00A34C3A">
        <w:t>Theatre Journal</w:t>
      </w:r>
      <w:r w:rsidRPr="00A34C3A">
        <w:t xml:space="preserve"> </w:t>
      </w:r>
      <w:r w:rsidRPr="00A34C3A">
        <w:t xml:space="preserve">Vol. 44, </w:t>
      </w:r>
      <w:r w:rsidRPr="00A34C3A">
        <w:t>I</w:t>
      </w:r>
      <w:r w:rsidRPr="00A34C3A">
        <w:t xml:space="preserve"> (</w:t>
      </w:r>
      <w:r w:rsidRPr="00A34C3A">
        <w:t>Johns Hopkins University Press</w:t>
      </w:r>
      <w:r w:rsidRPr="00A34C3A">
        <w:t>, 1992), pp. 31-45</w:t>
      </w:r>
      <w:r w:rsidRPr="00A34C3A">
        <w:t>.</w:t>
      </w:r>
    </w:p>
    <w:bookmarkEnd w:id="2"/>
    <w:p w14:paraId="674CC4AD" w14:textId="77777777" w:rsidR="008A0F4B" w:rsidRDefault="008A0F4B" w:rsidP="00783430">
      <w:pPr>
        <w:pStyle w:val="NormalWeb"/>
        <w:rPr>
          <w:rFonts w:asciiTheme="minorHAnsi" w:hAnsiTheme="minorHAnsi" w:cstheme="minorHAnsi"/>
          <w:sz w:val="22"/>
          <w:szCs w:val="22"/>
        </w:rPr>
      </w:pPr>
      <w:r w:rsidRPr="006C098C">
        <w:rPr>
          <w:rStyle w:val="cf01"/>
          <w:rFonts w:asciiTheme="minorHAnsi" w:hAnsiTheme="minorHAnsi" w:cstheme="minorHAnsi"/>
          <w:sz w:val="22"/>
          <w:szCs w:val="22"/>
        </w:rPr>
        <w:t xml:space="preserve">Thomas, Catherine. </w:t>
      </w:r>
      <w:r w:rsidRPr="001D553E">
        <w:rPr>
          <w:rStyle w:val="cf01"/>
          <w:rFonts w:asciiTheme="minorHAnsi" w:hAnsiTheme="minorHAnsi" w:cstheme="minorHAnsi"/>
          <w:i/>
          <w:iCs/>
          <w:sz w:val="22"/>
          <w:szCs w:val="22"/>
        </w:rPr>
        <w:t>N</w:t>
      </w:r>
      <w:r w:rsidRPr="001D553E">
        <w:rPr>
          <w:rStyle w:val="cf01"/>
          <w:rFonts w:asciiTheme="minorHAnsi" w:hAnsiTheme="minorHAnsi" w:cstheme="minorHAnsi"/>
          <w:i/>
          <w:iCs/>
          <w:sz w:val="22"/>
          <w:szCs w:val="22"/>
        </w:rPr>
        <w:t>unn’s Sweet Transvestite: Desiring Viola in Twelfth Night</w:t>
      </w:r>
      <w:r>
        <w:rPr>
          <w:rStyle w:val="cf01"/>
          <w:rFonts w:asciiTheme="minorHAnsi" w:hAnsiTheme="minorHAnsi" w:cstheme="minorHAnsi"/>
          <w:sz w:val="22"/>
          <w:szCs w:val="22"/>
        </w:rPr>
        <w:t xml:space="preserve"> in </w:t>
      </w:r>
      <w:r w:rsidRPr="006C098C">
        <w:rPr>
          <w:rFonts w:asciiTheme="minorHAnsi" w:hAnsiTheme="minorHAnsi" w:cstheme="minorHAnsi"/>
          <w:sz w:val="22"/>
          <w:szCs w:val="22"/>
        </w:rPr>
        <w:t xml:space="preserve">The Journal of Popular Culture, Vol. 41, </w:t>
      </w:r>
      <w:r>
        <w:rPr>
          <w:rFonts w:asciiTheme="minorHAnsi" w:hAnsiTheme="minorHAnsi" w:cstheme="minorHAnsi"/>
          <w:sz w:val="22"/>
          <w:szCs w:val="22"/>
        </w:rPr>
        <w:t>II</w:t>
      </w:r>
      <w:r w:rsidRPr="006C098C">
        <w:rPr>
          <w:rFonts w:asciiTheme="minorHAnsi" w:hAnsiTheme="minorHAnsi" w:cstheme="minorHAnsi"/>
          <w:sz w:val="22"/>
          <w:szCs w:val="22"/>
        </w:rPr>
        <w:t xml:space="preserve">, </w:t>
      </w:r>
      <w:r>
        <w:rPr>
          <w:rFonts w:asciiTheme="minorHAnsi" w:hAnsiTheme="minorHAnsi" w:cstheme="minorHAnsi"/>
          <w:sz w:val="22"/>
          <w:szCs w:val="22"/>
        </w:rPr>
        <w:t xml:space="preserve">(Blackwell Publishing, </w:t>
      </w:r>
      <w:r w:rsidRPr="006C098C">
        <w:rPr>
          <w:rFonts w:asciiTheme="minorHAnsi" w:hAnsiTheme="minorHAnsi" w:cstheme="minorHAnsi"/>
          <w:sz w:val="22"/>
          <w:szCs w:val="22"/>
        </w:rPr>
        <w:t>2008</w:t>
      </w:r>
      <w:r>
        <w:rPr>
          <w:rFonts w:asciiTheme="minorHAnsi" w:hAnsiTheme="minorHAnsi" w:cstheme="minorHAnsi"/>
          <w:sz w:val="22"/>
          <w:szCs w:val="22"/>
        </w:rPr>
        <w:t>), p.306.</w:t>
      </w:r>
    </w:p>
    <w:p w14:paraId="072207E1" w14:textId="4F4F1DD1" w:rsidR="008A0F4B" w:rsidRDefault="008A0F4B" w:rsidP="00783430">
      <w:pPr>
        <w:pStyle w:val="FootnoteText"/>
        <w:rPr>
          <w:rFonts w:cstheme="minorHAnsi"/>
          <w:sz w:val="22"/>
          <w:szCs w:val="22"/>
        </w:rPr>
      </w:pPr>
      <w:r w:rsidRPr="001F4451">
        <w:rPr>
          <w:rFonts w:cstheme="minorHAnsi"/>
          <w:sz w:val="22"/>
          <w:szCs w:val="22"/>
        </w:rPr>
        <w:t xml:space="preserve">Thomas, Chad Allen. </w:t>
      </w:r>
      <w:r w:rsidRPr="001F4451">
        <w:rPr>
          <w:rFonts w:cstheme="minorHAnsi"/>
          <w:i/>
          <w:iCs/>
          <w:sz w:val="22"/>
          <w:szCs w:val="22"/>
        </w:rPr>
        <w:t>On Queering Twelfth Night</w:t>
      </w:r>
      <w:r w:rsidRPr="001F4451">
        <w:rPr>
          <w:rFonts w:cstheme="minorHAnsi"/>
          <w:sz w:val="22"/>
          <w:szCs w:val="22"/>
        </w:rPr>
        <w:t xml:space="preserve"> in Theatre Topics, Vol. 20, II, (Baltimore, 2010)</w:t>
      </w:r>
      <w:r>
        <w:rPr>
          <w:rFonts w:cstheme="minorHAnsi"/>
          <w:sz w:val="22"/>
          <w:szCs w:val="22"/>
        </w:rPr>
        <w:t>, pp.101-111.</w:t>
      </w:r>
    </w:p>
    <w:p w14:paraId="2937C4BA" w14:textId="77777777" w:rsidR="008A0F4B" w:rsidRDefault="008A0F4B" w:rsidP="00783430">
      <w:pPr>
        <w:pStyle w:val="FootnoteText"/>
        <w:rPr>
          <w:rFonts w:cstheme="minorHAnsi"/>
          <w:sz w:val="22"/>
          <w:szCs w:val="22"/>
        </w:rPr>
      </w:pPr>
    </w:p>
    <w:bookmarkEnd w:id="1"/>
    <w:p w14:paraId="3F94ECD9" w14:textId="77777777" w:rsidR="008A0F4B" w:rsidRPr="001F4451" w:rsidRDefault="008A0F4B" w:rsidP="00783430">
      <w:pPr>
        <w:shd w:val="clear" w:color="auto" w:fill="FFFFFF"/>
        <w:spacing w:line="240" w:lineRule="auto"/>
        <w:rPr>
          <w:rFonts w:cstheme="minorHAnsi"/>
        </w:rPr>
      </w:pPr>
      <w:r w:rsidRPr="001F4451">
        <w:rPr>
          <w:rFonts w:cstheme="minorHAnsi"/>
        </w:rPr>
        <w:t xml:space="preserve">Wells, Stanley. </w:t>
      </w:r>
      <w:r w:rsidRPr="001F4451">
        <w:rPr>
          <w:rFonts w:cstheme="minorHAnsi"/>
          <w:i/>
          <w:iCs/>
        </w:rPr>
        <w:t>Twelfth Night</w:t>
      </w:r>
      <w:r w:rsidRPr="001F4451">
        <w:rPr>
          <w:rFonts w:cstheme="minorHAnsi"/>
        </w:rPr>
        <w:t xml:space="preserve"> in William Shakespeare: The Complete Works, 2</w:t>
      </w:r>
      <w:r w:rsidRPr="001F4451">
        <w:rPr>
          <w:rFonts w:cstheme="minorHAnsi"/>
          <w:vertAlign w:val="superscript"/>
        </w:rPr>
        <w:t>nd</w:t>
      </w:r>
      <w:r w:rsidRPr="001F4451">
        <w:rPr>
          <w:rFonts w:cstheme="minorHAnsi"/>
        </w:rPr>
        <w:t xml:space="preserve"> edition, (Clarendon Press,2005), pp.719-742.</w:t>
      </w:r>
    </w:p>
    <w:p w14:paraId="6C12C826" w14:textId="27955D61" w:rsidR="00F5260B" w:rsidRPr="00170984" w:rsidRDefault="00F5260B" w:rsidP="00C761FF">
      <w:pPr>
        <w:spacing w:after="0" w:line="240" w:lineRule="auto"/>
        <w:rPr>
          <w:sz w:val="8"/>
          <w:szCs w:val="8"/>
        </w:rPr>
      </w:pPr>
    </w:p>
    <w:sectPr w:rsidR="00F5260B" w:rsidRPr="001709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E8E3A9" w14:textId="77777777" w:rsidR="00610177" w:rsidRDefault="00610177" w:rsidP="00A12EF5">
      <w:pPr>
        <w:spacing w:after="0" w:line="240" w:lineRule="auto"/>
      </w:pPr>
      <w:r>
        <w:separator/>
      </w:r>
    </w:p>
  </w:endnote>
  <w:endnote w:type="continuationSeparator" w:id="0">
    <w:p w14:paraId="0CA98ACA" w14:textId="77777777" w:rsidR="00610177" w:rsidRDefault="00610177" w:rsidP="00A12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0000000000000000000"/>
    <w:charset w:val="00"/>
    <w:family w:val="roman"/>
    <w:notTrueType/>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61192" w14:textId="77777777" w:rsidR="00610177" w:rsidRDefault="00610177" w:rsidP="00A12EF5">
      <w:pPr>
        <w:spacing w:after="0" w:line="240" w:lineRule="auto"/>
      </w:pPr>
      <w:r>
        <w:separator/>
      </w:r>
    </w:p>
  </w:footnote>
  <w:footnote w:type="continuationSeparator" w:id="0">
    <w:p w14:paraId="134FE044" w14:textId="77777777" w:rsidR="00610177" w:rsidRDefault="00610177" w:rsidP="00A12EF5">
      <w:pPr>
        <w:spacing w:after="0" w:line="240" w:lineRule="auto"/>
      </w:pPr>
      <w:r>
        <w:continuationSeparator/>
      </w:r>
    </w:p>
  </w:footnote>
  <w:footnote w:id="1">
    <w:p w14:paraId="7EE1945D" w14:textId="65370D2C" w:rsidR="00A12EF5" w:rsidRDefault="00A12EF5">
      <w:pPr>
        <w:pStyle w:val="FootnoteText"/>
      </w:pPr>
      <w:r>
        <w:rPr>
          <w:rStyle w:val="FootnoteReference"/>
        </w:rPr>
        <w:footnoteRef/>
      </w:r>
      <w:r>
        <w:t xml:space="preserve"> </w:t>
      </w:r>
      <w:r>
        <w:rPr>
          <w:rFonts w:ascii="Perpetua" w:hAnsi="Perpetua"/>
        </w:rPr>
        <w:t xml:space="preserve">Pamela Bickley and Jenny Stevens, </w:t>
      </w:r>
      <w:r>
        <w:rPr>
          <w:rFonts w:ascii="Perpetua" w:hAnsi="Perpetua"/>
          <w:i/>
        </w:rPr>
        <w:t>Essential Shakespeare: The Arden Guide to Text and Interpretation</w:t>
      </w:r>
      <w:r>
        <w:rPr>
          <w:rFonts w:ascii="Perpetua" w:hAnsi="Perpetua"/>
        </w:rPr>
        <w:t xml:space="preserve"> (London: Bloomsbury, 2013; repr. 2014</w:t>
      </w:r>
      <w:r>
        <w:rPr>
          <w:rFonts w:ascii="Perpetua" w:hAnsi="Perpetua"/>
        </w:rPr>
        <w:t>, pp. 58-60.</w:t>
      </w:r>
    </w:p>
  </w:footnote>
  <w:footnote w:id="2">
    <w:p w14:paraId="4A3EDF14" w14:textId="46438206" w:rsidR="00241B12" w:rsidRDefault="00241B12">
      <w:pPr>
        <w:pStyle w:val="FootnoteText"/>
      </w:pPr>
      <w:r>
        <w:rPr>
          <w:rStyle w:val="FootnoteReference"/>
        </w:rPr>
        <w:footnoteRef/>
      </w:r>
      <w:r>
        <w:t xml:space="preserve"> </w:t>
      </w:r>
      <w:r w:rsidRPr="00241B12">
        <w:rPr>
          <w:rFonts w:ascii="Perpetua" w:hAnsi="Perpetua"/>
        </w:rPr>
        <w:t>Laurie</w:t>
      </w:r>
      <w:r>
        <w:rPr>
          <w:rFonts w:ascii="Perpetua" w:hAnsi="Perpetua"/>
        </w:rPr>
        <w:t xml:space="preserve"> Shannon,</w:t>
      </w:r>
      <w:r w:rsidRPr="00241B12">
        <w:rPr>
          <w:rFonts w:ascii="Perpetua" w:hAnsi="Perpetua"/>
        </w:rPr>
        <w:t xml:space="preserve"> Nature’s Bias: Renaissance Homonormativity and Elizabethan Comic Likeness (The University of Chicago Press, 2000), pp. 18</w:t>
      </w:r>
      <w:r>
        <w:rPr>
          <w:rFonts w:ascii="Perpetua" w:hAnsi="Perpetua"/>
        </w:rPr>
        <w:t>6</w:t>
      </w:r>
      <w:r w:rsidRPr="00241B12">
        <w:rPr>
          <w:rFonts w:ascii="Perpetua" w:hAnsi="Perpetua"/>
        </w:rPr>
        <w:t>.</w:t>
      </w:r>
    </w:p>
  </w:footnote>
  <w:footnote w:id="3">
    <w:p w14:paraId="2A58A4D2" w14:textId="7C8B7D31" w:rsidR="00BA7F14" w:rsidRDefault="00BA7F14">
      <w:pPr>
        <w:pStyle w:val="FootnoteText"/>
      </w:pPr>
      <w:r w:rsidRPr="00241B12">
        <w:rPr>
          <w:rStyle w:val="FootnoteReference"/>
          <w:rFonts w:ascii="Perpetua" w:hAnsi="Perpetua"/>
        </w:rPr>
        <w:footnoteRef/>
      </w:r>
      <w:r w:rsidRPr="00241B12">
        <w:rPr>
          <w:rFonts w:ascii="Perpetua" w:hAnsi="Perpetua"/>
        </w:rPr>
        <w:t xml:space="preserve">Mihoko </w:t>
      </w:r>
      <w:r w:rsidRPr="00241B12">
        <w:rPr>
          <w:rFonts w:ascii="Perpetua" w:hAnsi="Perpetua"/>
        </w:rPr>
        <w:t>Suzuki</w:t>
      </w:r>
      <w:r w:rsidRPr="00241B12">
        <w:rPr>
          <w:rFonts w:ascii="Perpetua" w:hAnsi="Perpetua"/>
        </w:rPr>
        <w:t xml:space="preserve">. </w:t>
      </w:r>
      <w:r w:rsidRPr="00241B12">
        <w:rPr>
          <w:rFonts w:ascii="Perpetua" w:hAnsi="Perpetua"/>
          <w:i/>
          <w:iCs/>
        </w:rPr>
        <w:t>Gender, Class, and the Social Order in Late Elizabethan Drama in Theatre</w:t>
      </w:r>
      <w:r w:rsidRPr="00241B12">
        <w:rPr>
          <w:rFonts w:ascii="Perpetua" w:hAnsi="Perpetua"/>
        </w:rPr>
        <w:t xml:space="preserve"> (Johns Hopkins University Press, 1992), p. 31.</w:t>
      </w:r>
    </w:p>
  </w:footnote>
  <w:footnote w:id="4">
    <w:p w14:paraId="33C86A42" w14:textId="35F68A12" w:rsidR="004572F1" w:rsidRDefault="004572F1">
      <w:pPr>
        <w:pStyle w:val="FootnoteText"/>
      </w:pPr>
      <w:r>
        <w:rPr>
          <w:rStyle w:val="FootnoteReference"/>
        </w:rPr>
        <w:footnoteRef/>
      </w:r>
      <w:r>
        <w:t xml:space="preserve"> </w:t>
      </w:r>
      <w:r>
        <w:rPr>
          <w:rFonts w:ascii="Perpetua" w:hAnsi="Perpetua"/>
        </w:rPr>
        <w:t>Stanley Wells,</w:t>
      </w:r>
      <w:r w:rsidRPr="004572F1">
        <w:rPr>
          <w:rFonts w:ascii="Perpetua" w:hAnsi="Perpetua"/>
        </w:rPr>
        <w:t xml:space="preserve"> </w:t>
      </w:r>
      <w:r w:rsidRPr="004572F1">
        <w:rPr>
          <w:rFonts w:ascii="Perpetua" w:hAnsi="Perpetua"/>
          <w:i/>
          <w:iCs/>
        </w:rPr>
        <w:t>Twelfth Night</w:t>
      </w:r>
      <w:r w:rsidRPr="004572F1">
        <w:rPr>
          <w:rFonts w:ascii="Perpetua" w:hAnsi="Perpetua"/>
        </w:rPr>
        <w:t xml:space="preserve"> in William Shakespeare: The Complete Works, 2</w:t>
      </w:r>
      <w:r w:rsidRPr="004572F1">
        <w:rPr>
          <w:rFonts w:ascii="Perpetua" w:hAnsi="Perpetua"/>
          <w:vertAlign w:val="superscript"/>
        </w:rPr>
        <w:t>nd</w:t>
      </w:r>
      <w:r w:rsidRPr="004572F1">
        <w:rPr>
          <w:rFonts w:ascii="Perpetua" w:hAnsi="Perpetua"/>
        </w:rPr>
        <w:t xml:space="preserve"> edition, (Clarendon Press,2005), p</w:t>
      </w:r>
      <w:r w:rsidR="001C6E5C">
        <w:rPr>
          <w:rFonts w:ascii="Perpetua" w:hAnsi="Perpetua"/>
        </w:rPr>
        <w:t>. 728</w:t>
      </w:r>
      <w:r w:rsidRPr="004572F1">
        <w:rPr>
          <w:rFonts w:ascii="Perpetua" w:hAnsi="Perpetua"/>
        </w:rPr>
        <w:t>.</w:t>
      </w:r>
    </w:p>
  </w:footnote>
  <w:footnote w:id="5">
    <w:p w14:paraId="1D267E61" w14:textId="6A8CCB6C" w:rsidR="009A0BE9" w:rsidRPr="0091728F" w:rsidRDefault="009A0BE9">
      <w:pPr>
        <w:pStyle w:val="FootnoteText"/>
      </w:pPr>
      <w:r>
        <w:rPr>
          <w:rStyle w:val="FootnoteReference"/>
        </w:rPr>
        <w:footnoteRef/>
      </w:r>
      <w:r>
        <w:t xml:space="preserve"> </w:t>
      </w:r>
      <w:r w:rsidRPr="009A0BE9">
        <w:rPr>
          <w:rFonts w:ascii="Perpetua" w:hAnsi="Perpetua"/>
        </w:rPr>
        <w:t>Suzuki</w:t>
      </w:r>
      <w:r w:rsidRPr="0091728F">
        <w:rPr>
          <w:rFonts w:ascii="Perpetua" w:hAnsi="Perpetua"/>
        </w:rPr>
        <w:t xml:space="preserve">, </w:t>
      </w:r>
      <w:r w:rsidRPr="0091728F">
        <w:rPr>
          <w:rFonts w:ascii="Perpetua" w:hAnsi="Perpetua"/>
        </w:rPr>
        <w:t xml:space="preserve">p. </w:t>
      </w:r>
      <w:r w:rsidR="0091728F" w:rsidRPr="0091728F">
        <w:rPr>
          <w:rFonts w:ascii="Perpetua" w:hAnsi="Perpetua"/>
        </w:rPr>
        <w:t>38</w:t>
      </w:r>
      <w:r w:rsidRPr="0091728F">
        <w:rPr>
          <w:rFonts w:ascii="Perpetua" w:hAnsi="Perpetua"/>
        </w:rPr>
        <w:t>.</w:t>
      </w:r>
    </w:p>
  </w:footnote>
  <w:footnote w:id="6">
    <w:p w14:paraId="018C9ABC" w14:textId="7218ED86" w:rsidR="004572F1" w:rsidRDefault="004572F1" w:rsidP="004572F1">
      <w:pPr>
        <w:shd w:val="clear" w:color="auto" w:fill="FFFFFF"/>
      </w:pPr>
      <w:r w:rsidRPr="0091728F">
        <w:rPr>
          <w:rStyle w:val="FootnoteReference"/>
        </w:rPr>
        <w:footnoteRef/>
      </w:r>
      <w:r w:rsidRPr="0091728F">
        <w:t xml:space="preserve"> </w:t>
      </w:r>
      <w:r w:rsidRPr="0091728F">
        <w:rPr>
          <w:rFonts w:ascii="Perpetua" w:hAnsi="Perpetua"/>
          <w:sz w:val="20"/>
          <w:szCs w:val="20"/>
        </w:rPr>
        <w:t>Wells</w:t>
      </w:r>
      <w:r w:rsidR="009A0BE9" w:rsidRPr="0091728F">
        <w:rPr>
          <w:rFonts w:ascii="Perpetua" w:hAnsi="Perpetua"/>
          <w:sz w:val="20"/>
          <w:szCs w:val="20"/>
        </w:rPr>
        <w:t xml:space="preserve">, </w:t>
      </w:r>
      <w:r w:rsidRPr="0091728F">
        <w:rPr>
          <w:rFonts w:ascii="Perpetua" w:hAnsi="Perpetua"/>
          <w:sz w:val="20"/>
          <w:szCs w:val="20"/>
        </w:rPr>
        <w:t>p.7</w:t>
      </w:r>
      <w:r w:rsidR="0091728F" w:rsidRPr="0091728F">
        <w:rPr>
          <w:rFonts w:ascii="Perpetua" w:hAnsi="Perpetua"/>
          <w:sz w:val="20"/>
          <w:szCs w:val="20"/>
        </w:rPr>
        <w:t>24</w:t>
      </w:r>
      <w:r w:rsidRPr="0091728F">
        <w:rPr>
          <w:rFonts w:ascii="Perpetua" w:hAnsi="Perpetua"/>
          <w:sz w:val="20"/>
          <w:szCs w:val="20"/>
        </w:rPr>
        <w:t>.</w:t>
      </w:r>
    </w:p>
    <w:p w14:paraId="7ACF4EAB" w14:textId="0A18D0F4" w:rsidR="004572F1" w:rsidRDefault="004572F1">
      <w:pPr>
        <w:pStyle w:val="FootnoteText"/>
      </w:pPr>
    </w:p>
  </w:footnote>
  <w:footnote w:id="7">
    <w:p w14:paraId="517B71F7" w14:textId="657604F8" w:rsidR="0017316B" w:rsidRPr="0017316B" w:rsidRDefault="0017316B">
      <w:pPr>
        <w:pStyle w:val="FootnoteText"/>
        <w:rPr>
          <w:rFonts w:ascii="Perpetua" w:hAnsi="Perpetua"/>
        </w:rPr>
      </w:pPr>
      <w:r>
        <w:rPr>
          <w:rStyle w:val="FootnoteReference"/>
        </w:rPr>
        <w:footnoteRef/>
      </w:r>
      <w:r>
        <w:t xml:space="preserve"> </w:t>
      </w:r>
      <w:r>
        <w:rPr>
          <w:rFonts w:ascii="Perpetua" w:hAnsi="Perpetua"/>
        </w:rPr>
        <w:t xml:space="preserve">Lisa Jardine, </w:t>
      </w:r>
      <w:r>
        <w:rPr>
          <w:rFonts w:ascii="Perpetua" w:hAnsi="Perpetua"/>
          <w:i/>
        </w:rPr>
        <w:t>Still Harping on Daughters: Women and Drama in the Age of Shakespeare</w:t>
      </w:r>
      <w:r>
        <w:rPr>
          <w:rFonts w:ascii="Perpetua" w:hAnsi="Perpetua"/>
        </w:rPr>
        <w:t xml:space="preserve">, 2nd </w:t>
      </w:r>
      <w:proofErr w:type="spellStart"/>
      <w:r>
        <w:rPr>
          <w:rFonts w:ascii="Perpetua" w:hAnsi="Perpetua"/>
        </w:rPr>
        <w:t>edn</w:t>
      </w:r>
      <w:proofErr w:type="spellEnd"/>
      <w:r>
        <w:rPr>
          <w:rFonts w:ascii="Perpetua" w:hAnsi="Perpetua"/>
        </w:rPr>
        <w:t xml:space="preserve"> (London: Harvester Wheatsheaf, 1983)</w:t>
      </w:r>
      <w:r>
        <w:rPr>
          <w:rFonts w:ascii="Perpetua" w:hAnsi="Perpetua"/>
        </w:rPr>
        <w:t>.</w:t>
      </w:r>
    </w:p>
  </w:footnote>
  <w:footnote w:id="8">
    <w:p w14:paraId="7A3C5FBB" w14:textId="59F08F7D" w:rsidR="0017316B" w:rsidRPr="00AD5B7B" w:rsidRDefault="0017316B">
      <w:pPr>
        <w:pStyle w:val="FootnoteText"/>
        <w:rPr>
          <w:rFonts w:ascii="Perpetua" w:hAnsi="Perpetua"/>
        </w:rPr>
      </w:pPr>
      <w:r>
        <w:rPr>
          <w:rStyle w:val="FootnoteReference"/>
        </w:rPr>
        <w:footnoteRef/>
      </w:r>
      <w:r>
        <w:t xml:space="preserve"> </w:t>
      </w:r>
      <w:r>
        <w:rPr>
          <w:rFonts w:ascii="Perpetua" w:hAnsi="Perpetua"/>
        </w:rPr>
        <w:t xml:space="preserve">Stephen Orgel, </w:t>
      </w:r>
      <w:r w:rsidRPr="00301FF2">
        <w:rPr>
          <w:rFonts w:ascii="Perpetua" w:hAnsi="Perpetua"/>
          <w:i/>
          <w:iCs/>
        </w:rPr>
        <w:t>‘Nobody’s Perfect: Or Why Did the English Stage Take Boys for Women?’</w:t>
      </w:r>
      <w:r>
        <w:rPr>
          <w:rFonts w:ascii="Perpetua" w:hAnsi="Perpetua"/>
        </w:rPr>
        <w:t xml:space="preserve">, in </w:t>
      </w:r>
      <w:r w:rsidRPr="00301FF2">
        <w:rPr>
          <w:rFonts w:ascii="Perpetua" w:hAnsi="Perpetua"/>
          <w:iCs/>
        </w:rPr>
        <w:t xml:space="preserve">Displacing Homophobia: Gay Male Perspectives in Literature and Culture, </w:t>
      </w:r>
      <w:r>
        <w:rPr>
          <w:rFonts w:ascii="Perpetua" w:hAnsi="Perpetua"/>
        </w:rPr>
        <w:t xml:space="preserve">ed. by Ronald R. Butters, John M. </w:t>
      </w:r>
      <w:proofErr w:type="spellStart"/>
      <w:r>
        <w:rPr>
          <w:rFonts w:ascii="Perpetua" w:hAnsi="Perpetua"/>
        </w:rPr>
        <w:t>Clum</w:t>
      </w:r>
      <w:proofErr w:type="spellEnd"/>
      <w:r>
        <w:rPr>
          <w:rFonts w:ascii="Perpetua" w:hAnsi="Perpetua"/>
        </w:rPr>
        <w:t>, and Michael Moon (London: Duke University Press, 1989).</w:t>
      </w:r>
    </w:p>
  </w:footnote>
  <w:footnote w:id="9">
    <w:p w14:paraId="7DE61F25" w14:textId="35BF8C9D" w:rsidR="00AD5B7B" w:rsidRDefault="00AD5B7B">
      <w:pPr>
        <w:pStyle w:val="FootnoteText"/>
      </w:pPr>
      <w:r>
        <w:rPr>
          <w:rStyle w:val="FootnoteReference"/>
        </w:rPr>
        <w:footnoteRef/>
      </w:r>
      <w:r>
        <w:t xml:space="preserve"> </w:t>
      </w:r>
      <w:r w:rsidR="005E34FB" w:rsidRPr="005E34FB">
        <w:rPr>
          <w:rFonts w:ascii="Perpetua" w:hAnsi="Perpetua"/>
        </w:rPr>
        <w:t xml:space="preserve">Jami </w:t>
      </w:r>
      <w:r w:rsidRPr="005E34FB">
        <w:rPr>
          <w:rFonts w:ascii="Perpetua" w:hAnsi="Perpetua"/>
        </w:rPr>
        <w:t>Ake</w:t>
      </w:r>
      <w:r w:rsidR="005E34FB" w:rsidRPr="005E34FB">
        <w:rPr>
          <w:rFonts w:ascii="Perpetua" w:hAnsi="Perpetua"/>
        </w:rPr>
        <w:t>,</w:t>
      </w:r>
      <w:r w:rsidRPr="005E34FB">
        <w:rPr>
          <w:rFonts w:ascii="Perpetua" w:hAnsi="Perpetua"/>
        </w:rPr>
        <w:t xml:space="preserve"> Glimpsing a "Lesbian" Poetics in "Twelfth Night" in Studies in English Literature, 1500-1900, Vol. 43, II, Tudor and</w:t>
      </w:r>
      <w:r w:rsidRPr="00AD5B7B">
        <w:rPr>
          <w:rFonts w:ascii="Perpetua" w:hAnsi="Perpetua"/>
        </w:rPr>
        <w:t xml:space="preserve"> Stuart Drama (Rice University Press, 2003), pp. 375-3</w:t>
      </w:r>
      <w:r w:rsidR="005E34FB">
        <w:rPr>
          <w:rFonts w:ascii="Perpetua" w:hAnsi="Perpetua"/>
        </w:rPr>
        <w:t>76</w:t>
      </w:r>
      <w:r w:rsidRPr="00AD5B7B">
        <w:rPr>
          <w:rFonts w:ascii="Perpetua" w:hAnsi="Perpetua"/>
        </w:rPr>
        <w:t>.</w:t>
      </w:r>
    </w:p>
  </w:footnote>
  <w:footnote w:id="10">
    <w:p w14:paraId="31A0DA58" w14:textId="18CA3D06" w:rsidR="005B011E" w:rsidRDefault="005B011E">
      <w:pPr>
        <w:pStyle w:val="FootnoteText"/>
      </w:pPr>
      <w:r>
        <w:rPr>
          <w:rStyle w:val="FootnoteReference"/>
        </w:rPr>
        <w:footnoteRef/>
      </w:r>
      <w:r>
        <w:t xml:space="preserve"> </w:t>
      </w:r>
      <w:r w:rsidRPr="005B011E">
        <w:rPr>
          <w:rFonts w:ascii="Perpetua" w:hAnsi="Perpetua"/>
        </w:rPr>
        <w:t>Chad Allen</w:t>
      </w:r>
      <w:r w:rsidRPr="005B011E">
        <w:rPr>
          <w:rFonts w:ascii="Perpetua" w:hAnsi="Perpetua"/>
        </w:rPr>
        <w:t xml:space="preserve"> Thomas,</w:t>
      </w:r>
      <w:r w:rsidRPr="005B011E">
        <w:rPr>
          <w:rFonts w:ascii="Perpetua" w:hAnsi="Perpetua"/>
        </w:rPr>
        <w:t xml:space="preserve"> On Queering Twelfth Night in Theatre Topics, Vol. 20, II, (Baltimore, 2010), p</w:t>
      </w:r>
      <w:r w:rsidRPr="005B011E">
        <w:rPr>
          <w:rFonts w:ascii="Perpetua" w:hAnsi="Perpetua"/>
        </w:rPr>
        <w:t>. 103</w:t>
      </w:r>
      <w:r>
        <w:rPr>
          <w:rFonts w:ascii="Perpetua" w:hAnsi="Perpetua"/>
        </w:rPr>
        <w:t>.</w:t>
      </w:r>
    </w:p>
  </w:footnote>
  <w:footnote w:id="11">
    <w:p w14:paraId="06DEE99C" w14:textId="16281E79" w:rsidR="005B011E" w:rsidRPr="005B011E" w:rsidRDefault="005B011E">
      <w:pPr>
        <w:pStyle w:val="FootnoteText"/>
        <w:rPr>
          <w:rFonts w:ascii="Perpetua" w:hAnsi="Perpetua"/>
        </w:rPr>
      </w:pPr>
      <w:r>
        <w:rPr>
          <w:rStyle w:val="FootnoteReference"/>
        </w:rPr>
        <w:footnoteRef/>
      </w:r>
      <w:r>
        <w:t xml:space="preserve"> </w:t>
      </w:r>
      <w:r>
        <w:rPr>
          <w:rFonts w:ascii="Perpetua" w:hAnsi="Perpetua"/>
        </w:rPr>
        <w:t>Bickley and Stevens, p. 60.</w:t>
      </w:r>
    </w:p>
  </w:footnote>
  <w:footnote w:id="12">
    <w:p w14:paraId="170D831F" w14:textId="3E0633F3" w:rsidR="00A34C3A" w:rsidRDefault="00A34C3A">
      <w:pPr>
        <w:pStyle w:val="FootnoteText"/>
      </w:pPr>
      <w:r>
        <w:rPr>
          <w:rStyle w:val="FootnoteReference"/>
        </w:rPr>
        <w:footnoteRef/>
      </w:r>
      <w:r>
        <w:t xml:space="preserve"> </w:t>
      </w:r>
      <w:r w:rsidRPr="005B011E">
        <w:rPr>
          <w:rFonts w:ascii="Perpetua" w:hAnsi="Perpetua"/>
        </w:rPr>
        <w:t>Thomas,</w:t>
      </w:r>
      <w:r>
        <w:rPr>
          <w:rFonts w:ascii="Perpetua" w:hAnsi="Perpetua"/>
        </w:rPr>
        <w:t xml:space="preserve"> </w:t>
      </w:r>
      <w:r w:rsidRPr="005B011E">
        <w:rPr>
          <w:rFonts w:ascii="Perpetua" w:hAnsi="Perpetua"/>
        </w:rPr>
        <w:t>p. 103</w:t>
      </w:r>
      <w:r>
        <w:rPr>
          <w:rFonts w:ascii="Perpetua" w:hAnsi="Perpetua"/>
        </w:rPr>
        <w:t>.</w:t>
      </w:r>
    </w:p>
  </w:footnote>
  <w:footnote w:id="13">
    <w:p w14:paraId="117A2952" w14:textId="0B6771C2" w:rsidR="001D553E" w:rsidRDefault="001D553E">
      <w:pPr>
        <w:pStyle w:val="FootnoteText"/>
      </w:pPr>
      <w:r>
        <w:rPr>
          <w:rStyle w:val="FootnoteReference"/>
        </w:rPr>
        <w:footnoteRef/>
      </w:r>
      <w:r>
        <w:t xml:space="preserve"> </w:t>
      </w:r>
      <w:r w:rsidRPr="001D553E">
        <w:rPr>
          <w:rFonts w:ascii="Perpetua" w:hAnsi="Perpetua"/>
        </w:rPr>
        <w:t>Catherine</w:t>
      </w:r>
      <w:r>
        <w:rPr>
          <w:rFonts w:ascii="Perpetua" w:hAnsi="Perpetua"/>
        </w:rPr>
        <w:t xml:space="preserve"> Thomas</w:t>
      </w:r>
      <w:r w:rsidR="00B37D64">
        <w:rPr>
          <w:rFonts w:ascii="Perpetua" w:hAnsi="Perpetua"/>
        </w:rPr>
        <w:t>,</w:t>
      </w:r>
      <w:r w:rsidRPr="001D553E">
        <w:rPr>
          <w:rFonts w:ascii="Perpetua" w:hAnsi="Perpetua"/>
        </w:rPr>
        <w:t xml:space="preserve"> Nunn’s Sweet Transvestite: Desiring Viola in Twelfth Night in The Journal of Popular Culture, Vol. 41, II, (Blackwell Publishing, 2008), p.306.</w:t>
      </w:r>
    </w:p>
  </w:footnote>
  <w:footnote w:id="14">
    <w:p w14:paraId="6BDFFABA" w14:textId="45ED75D0" w:rsidR="00A34C3A" w:rsidRDefault="00A34C3A">
      <w:pPr>
        <w:pStyle w:val="FootnoteText"/>
      </w:pPr>
      <w:r>
        <w:rPr>
          <w:rStyle w:val="FootnoteReference"/>
        </w:rPr>
        <w:footnoteRef/>
      </w:r>
      <w:r>
        <w:t xml:space="preserve"> </w:t>
      </w:r>
      <w:r w:rsidRPr="00A34C3A">
        <w:rPr>
          <w:rFonts w:ascii="Perpetua" w:hAnsi="Perpetua"/>
        </w:rPr>
        <w:t xml:space="preserve">Chen, Yilin. Gender and Homosexuality in </w:t>
      </w:r>
      <w:proofErr w:type="spellStart"/>
      <w:r w:rsidRPr="00A34C3A">
        <w:rPr>
          <w:rFonts w:ascii="Perpetua" w:hAnsi="Perpetua"/>
        </w:rPr>
        <w:t>Takarazuka</w:t>
      </w:r>
      <w:proofErr w:type="spellEnd"/>
      <w:r w:rsidRPr="00A34C3A">
        <w:rPr>
          <w:rFonts w:ascii="Perpetua" w:hAnsi="Perpetua"/>
        </w:rPr>
        <w:t xml:space="preserve"> Theatre: Twelfth Night and Epiphany in Performing Ethos: International Journal of Ethics in Theatre &amp; Performance, Vol. 1, I (Intellect, Providence University of Taiwan, 2010), p. 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80"/>
    <w:rsid w:val="00004FDE"/>
    <w:rsid w:val="00004FFD"/>
    <w:rsid w:val="00011C24"/>
    <w:rsid w:val="00013A2C"/>
    <w:rsid w:val="000219E3"/>
    <w:rsid w:val="00021B38"/>
    <w:rsid w:val="000231C4"/>
    <w:rsid w:val="000311C0"/>
    <w:rsid w:val="00033D9E"/>
    <w:rsid w:val="00036511"/>
    <w:rsid w:val="000373EA"/>
    <w:rsid w:val="000431F7"/>
    <w:rsid w:val="0005422D"/>
    <w:rsid w:val="00061BCE"/>
    <w:rsid w:val="00066E38"/>
    <w:rsid w:val="000679B4"/>
    <w:rsid w:val="00074801"/>
    <w:rsid w:val="00080B64"/>
    <w:rsid w:val="00082758"/>
    <w:rsid w:val="00082D92"/>
    <w:rsid w:val="000858B8"/>
    <w:rsid w:val="00094AA1"/>
    <w:rsid w:val="000A042A"/>
    <w:rsid w:val="000A0DF7"/>
    <w:rsid w:val="000B1CF0"/>
    <w:rsid w:val="000B2F20"/>
    <w:rsid w:val="000B3B69"/>
    <w:rsid w:val="000B4236"/>
    <w:rsid w:val="000B5585"/>
    <w:rsid w:val="000C126F"/>
    <w:rsid w:val="000C3F81"/>
    <w:rsid w:val="000C4F25"/>
    <w:rsid w:val="000C6767"/>
    <w:rsid w:val="000C6CFB"/>
    <w:rsid w:val="000D3499"/>
    <w:rsid w:val="000E488D"/>
    <w:rsid w:val="000E6119"/>
    <w:rsid w:val="000F2664"/>
    <w:rsid w:val="00101030"/>
    <w:rsid w:val="00105741"/>
    <w:rsid w:val="00123877"/>
    <w:rsid w:val="00130002"/>
    <w:rsid w:val="00133801"/>
    <w:rsid w:val="001408E0"/>
    <w:rsid w:val="00142B6E"/>
    <w:rsid w:val="00146853"/>
    <w:rsid w:val="00154BCF"/>
    <w:rsid w:val="00155928"/>
    <w:rsid w:val="00156279"/>
    <w:rsid w:val="00160253"/>
    <w:rsid w:val="001610B4"/>
    <w:rsid w:val="001629B4"/>
    <w:rsid w:val="00162DC2"/>
    <w:rsid w:val="00167F4F"/>
    <w:rsid w:val="00170984"/>
    <w:rsid w:val="0017316B"/>
    <w:rsid w:val="00177046"/>
    <w:rsid w:val="00184AE2"/>
    <w:rsid w:val="00186ED7"/>
    <w:rsid w:val="00187139"/>
    <w:rsid w:val="00194E35"/>
    <w:rsid w:val="0019688A"/>
    <w:rsid w:val="00197C3B"/>
    <w:rsid w:val="001A44E8"/>
    <w:rsid w:val="001A5552"/>
    <w:rsid w:val="001A600F"/>
    <w:rsid w:val="001A713B"/>
    <w:rsid w:val="001B3886"/>
    <w:rsid w:val="001B6241"/>
    <w:rsid w:val="001C6E5C"/>
    <w:rsid w:val="001D0720"/>
    <w:rsid w:val="001D49BA"/>
    <w:rsid w:val="001D553E"/>
    <w:rsid w:val="001D5AB6"/>
    <w:rsid w:val="001E612F"/>
    <w:rsid w:val="001F0B35"/>
    <w:rsid w:val="001F4451"/>
    <w:rsid w:val="001F4DA7"/>
    <w:rsid w:val="002045CA"/>
    <w:rsid w:val="00206A73"/>
    <w:rsid w:val="00207357"/>
    <w:rsid w:val="00211C4C"/>
    <w:rsid w:val="00212574"/>
    <w:rsid w:val="0023048B"/>
    <w:rsid w:val="00240BBE"/>
    <w:rsid w:val="00241B12"/>
    <w:rsid w:val="00245623"/>
    <w:rsid w:val="002514B7"/>
    <w:rsid w:val="00254D22"/>
    <w:rsid w:val="00263FE7"/>
    <w:rsid w:val="002674A5"/>
    <w:rsid w:val="0027193B"/>
    <w:rsid w:val="00271945"/>
    <w:rsid w:val="00272BF0"/>
    <w:rsid w:val="00275639"/>
    <w:rsid w:val="002863AD"/>
    <w:rsid w:val="00290708"/>
    <w:rsid w:val="002A5841"/>
    <w:rsid w:val="002A5DD7"/>
    <w:rsid w:val="002A620C"/>
    <w:rsid w:val="002A75AA"/>
    <w:rsid w:val="002B1614"/>
    <w:rsid w:val="002B7AAA"/>
    <w:rsid w:val="002C1091"/>
    <w:rsid w:val="002C3830"/>
    <w:rsid w:val="002C529B"/>
    <w:rsid w:val="002D104B"/>
    <w:rsid w:val="002D1571"/>
    <w:rsid w:val="002D1795"/>
    <w:rsid w:val="002D6308"/>
    <w:rsid w:val="002F22CA"/>
    <w:rsid w:val="002F3DFB"/>
    <w:rsid w:val="00301FF2"/>
    <w:rsid w:val="00302CE7"/>
    <w:rsid w:val="00304C1A"/>
    <w:rsid w:val="003103AE"/>
    <w:rsid w:val="003133B2"/>
    <w:rsid w:val="0032187D"/>
    <w:rsid w:val="00325DD9"/>
    <w:rsid w:val="00342398"/>
    <w:rsid w:val="00343198"/>
    <w:rsid w:val="00346B83"/>
    <w:rsid w:val="003517E3"/>
    <w:rsid w:val="00352D63"/>
    <w:rsid w:val="00376D73"/>
    <w:rsid w:val="00380E51"/>
    <w:rsid w:val="003919DA"/>
    <w:rsid w:val="003959BA"/>
    <w:rsid w:val="003A2028"/>
    <w:rsid w:val="003A7A6F"/>
    <w:rsid w:val="003B3F0E"/>
    <w:rsid w:val="003C44CA"/>
    <w:rsid w:val="003C4913"/>
    <w:rsid w:val="003D0058"/>
    <w:rsid w:val="003D0F40"/>
    <w:rsid w:val="003D2F82"/>
    <w:rsid w:val="003E2555"/>
    <w:rsid w:val="003E2D17"/>
    <w:rsid w:val="003E4455"/>
    <w:rsid w:val="003F4297"/>
    <w:rsid w:val="003F465E"/>
    <w:rsid w:val="00400653"/>
    <w:rsid w:val="00400BC6"/>
    <w:rsid w:val="004073B1"/>
    <w:rsid w:val="0041195D"/>
    <w:rsid w:val="00414186"/>
    <w:rsid w:val="00417E06"/>
    <w:rsid w:val="004232C8"/>
    <w:rsid w:val="0042500B"/>
    <w:rsid w:val="004268A7"/>
    <w:rsid w:val="00426DEB"/>
    <w:rsid w:val="00427398"/>
    <w:rsid w:val="00430B0B"/>
    <w:rsid w:val="00430B82"/>
    <w:rsid w:val="004348CE"/>
    <w:rsid w:val="0043569B"/>
    <w:rsid w:val="004363E5"/>
    <w:rsid w:val="00442D7D"/>
    <w:rsid w:val="00447241"/>
    <w:rsid w:val="0044735D"/>
    <w:rsid w:val="00452469"/>
    <w:rsid w:val="0045349F"/>
    <w:rsid w:val="004572F1"/>
    <w:rsid w:val="00460342"/>
    <w:rsid w:val="004604DF"/>
    <w:rsid w:val="00461F70"/>
    <w:rsid w:val="00466F59"/>
    <w:rsid w:val="0047229C"/>
    <w:rsid w:val="004728A4"/>
    <w:rsid w:val="0047456C"/>
    <w:rsid w:val="004837CA"/>
    <w:rsid w:val="0048580E"/>
    <w:rsid w:val="004935CC"/>
    <w:rsid w:val="004A055D"/>
    <w:rsid w:val="004A1AA2"/>
    <w:rsid w:val="004A4778"/>
    <w:rsid w:val="004A7C5A"/>
    <w:rsid w:val="004A7FDB"/>
    <w:rsid w:val="004B0980"/>
    <w:rsid w:val="004B0FEB"/>
    <w:rsid w:val="004B2014"/>
    <w:rsid w:val="004B439F"/>
    <w:rsid w:val="004B715A"/>
    <w:rsid w:val="004B78DC"/>
    <w:rsid w:val="004C054E"/>
    <w:rsid w:val="004C2198"/>
    <w:rsid w:val="004D2A78"/>
    <w:rsid w:val="004D5357"/>
    <w:rsid w:val="004E15F8"/>
    <w:rsid w:val="004E3F11"/>
    <w:rsid w:val="004E5EFF"/>
    <w:rsid w:val="004F0269"/>
    <w:rsid w:val="004F5E5A"/>
    <w:rsid w:val="0050182A"/>
    <w:rsid w:val="005055E5"/>
    <w:rsid w:val="0051275A"/>
    <w:rsid w:val="0051545D"/>
    <w:rsid w:val="00522BCB"/>
    <w:rsid w:val="00524F8D"/>
    <w:rsid w:val="00526211"/>
    <w:rsid w:val="00527BE0"/>
    <w:rsid w:val="00531B6D"/>
    <w:rsid w:val="00537964"/>
    <w:rsid w:val="00550641"/>
    <w:rsid w:val="00551CA6"/>
    <w:rsid w:val="00552012"/>
    <w:rsid w:val="005553B7"/>
    <w:rsid w:val="005554EF"/>
    <w:rsid w:val="00556149"/>
    <w:rsid w:val="0055626C"/>
    <w:rsid w:val="005579DE"/>
    <w:rsid w:val="005641B6"/>
    <w:rsid w:val="005641E0"/>
    <w:rsid w:val="00567D8D"/>
    <w:rsid w:val="0057209A"/>
    <w:rsid w:val="0057220F"/>
    <w:rsid w:val="00572639"/>
    <w:rsid w:val="005813B4"/>
    <w:rsid w:val="00593B20"/>
    <w:rsid w:val="00597EB9"/>
    <w:rsid w:val="005A3F1B"/>
    <w:rsid w:val="005B011E"/>
    <w:rsid w:val="005B0AED"/>
    <w:rsid w:val="005B1FA5"/>
    <w:rsid w:val="005B27A2"/>
    <w:rsid w:val="005B7519"/>
    <w:rsid w:val="005C0D9B"/>
    <w:rsid w:val="005C2C97"/>
    <w:rsid w:val="005C5DBC"/>
    <w:rsid w:val="005D2D89"/>
    <w:rsid w:val="005D6BA2"/>
    <w:rsid w:val="005E0E1B"/>
    <w:rsid w:val="005E26EB"/>
    <w:rsid w:val="005E34FB"/>
    <w:rsid w:val="005F4442"/>
    <w:rsid w:val="005F542C"/>
    <w:rsid w:val="005F7585"/>
    <w:rsid w:val="00602586"/>
    <w:rsid w:val="00610177"/>
    <w:rsid w:val="006158E7"/>
    <w:rsid w:val="006217AB"/>
    <w:rsid w:val="0062699B"/>
    <w:rsid w:val="006326BB"/>
    <w:rsid w:val="0063293A"/>
    <w:rsid w:val="006409D3"/>
    <w:rsid w:val="00642DF7"/>
    <w:rsid w:val="00654BAE"/>
    <w:rsid w:val="006632A7"/>
    <w:rsid w:val="00666316"/>
    <w:rsid w:val="006732A2"/>
    <w:rsid w:val="006745C1"/>
    <w:rsid w:val="006831EE"/>
    <w:rsid w:val="0068775C"/>
    <w:rsid w:val="00695B7C"/>
    <w:rsid w:val="006975F2"/>
    <w:rsid w:val="006A3321"/>
    <w:rsid w:val="006A4F6E"/>
    <w:rsid w:val="006A5CBC"/>
    <w:rsid w:val="006B00FC"/>
    <w:rsid w:val="006B4A78"/>
    <w:rsid w:val="006B7357"/>
    <w:rsid w:val="006C098C"/>
    <w:rsid w:val="006C10CE"/>
    <w:rsid w:val="006C57F4"/>
    <w:rsid w:val="006C692E"/>
    <w:rsid w:val="006C6FDC"/>
    <w:rsid w:val="006D0384"/>
    <w:rsid w:val="006D13AF"/>
    <w:rsid w:val="006D650D"/>
    <w:rsid w:val="006F79E4"/>
    <w:rsid w:val="007041F5"/>
    <w:rsid w:val="00705090"/>
    <w:rsid w:val="00710172"/>
    <w:rsid w:val="00714C43"/>
    <w:rsid w:val="00723BA9"/>
    <w:rsid w:val="007266A2"/>
    <w:rsid w:val="007300F4"/>
    <w:rsid w:val="00733789"/>
    <w:rsid w:val="00737458"/>
    <w:rsid w:val="007428A1"/>
    <w:rsid w:val="00743420"/>
    <w:rsid w:val="0074552E"/>
    <w:rsid w:val="007505AA"/>
    <w:rsid w:val="00750FF4"/>
    <w:rsid w:val="007579A5"/>
    <w:rsid w:val="00766068"/>
    <w:rsid w:val="00770861"/>
    <w:rsid w:val="00771FE4"/>
    <w:rsid w:val="00776A7E"/>
    <w:rsid w:val="00776D9C"/>
    <w:rsid w:val="00777728"/>
    <w:rsid w:val="00780885"/>
    <w:rsid w:val="00780DC2"/>
    <w:rsid w:val="00780F82"/>
    <w:rsid w:val="00783430"/>
    <w:rsid w:val="00791FB2"/>
    <w:rsid w:val="0079330B"/>
    <w:rsid w:val="00795C10"/>
    <w:rsid w:val="007A5CBE"/>
    <w:rsid w:val="007C2D6D"/>
    <w:rsid w:val="007C4786"/>
    <w:rsid w:val="007C5AC3"/>
    <w:rsid w:val="007C7E6C"/>
    <w:rsid w:val="007D0779"/>
    <w:rsid w:val="007D21F7"/>
    <w:rsid w:val="007D287D"/>
    <w:rsid w:val="007D5B30"/>
    <w:rsid w:val="007D7965"/>
    <w:rsid w:val="007E30DF"/>
    <w:rsid w:val="007F297D"/>
    <w:rsid w:val="007F469B"/>
    <w:rsid w:val="008056BC"/>
    <w:rsid w:val="00806E7D"/>
    <w:rsid w:val="0081320F"/>
    <w:rsid w:val="008142CF"/>
    <w:rsid w:val="00822079"/>
    <w:rsid w:val="00824A5A"/>
    <w:rsid w:val="00825DA2"/>
    <w:rsid w:val="00836C38"/>
    <w:rsid w:val="00837E9A"/>
    <w:rsid w:val="0084159C"/>
    <w:rsid w:val="00843BE0"/>
    <w:rsid w:val="00846B11"/>
    <w:rsid w:val="00850A35"/>
    <w:rsid w:val="00851D5F"/>
    <w:rsid w:val="00867BAD"/>
    <w:rsid w:val="0087624D"/>
    <w:rsid w:val="008769DC"/>
    <w:rsid w:val="00880098"/>
    <w:rsid w:val="0088209F"/>
    <w:rsid w:val="008A02A8"/>
    <w:rsid w:val="008A0F4B"/>
    <w:rsid w:val="008A4567"/>
    <w:rsid w:val="008A45ED"/>
    <w:rsid w:val="008B0419"/>
    <w:rsid w:val="008B0656"/>
    <w:rsid w:val="008B5421"/>
    <w:rsid w:val="008B7DC8"/>
    <w:rsid w:val="008C4CEA"/>
    <w:rsid w:val="008C65E8"/>
    <w:rsid w:val="008D30A3"/>
    <w:rsid w:val="008D4027"/>
    <w:rsid w:val="008D6A2C"/>
    <w:rsid w:val="008E029C"/>
    <w:rsid w:val="008F3E8E"/>
    <w:rsid w:val="00902B46"/>
    <w:rsid w:val="00905F6E"/>
    <w:rsid w:val="009061B9"/>
    <w:rsid w:val="009077A1"/>
    <w:rsid w:val="00910C69"/>
    <w:rsid w:val="00916C2A"/>
    <w:rsid w:val="0091728F"/>
    <w:rsid w:val="009200E2"/>
    <w:rsid w:val="00921F67"/>
    <w:rsid w:val="00923205"/>
    <w:rsid w:val="0092350C"/>
    <w:rsid w:val="00925595"/>
    <w:rsid w:val="0092609A"/>
    <w:rsid w:val="00926368"/>
    <w:rsid w:val="00926857"/>
    <w:rsid w:val="00941A86"/>
    <w:rsid w:val="00942ACD"/>
    <w:rsid w:val="009446F1"/>
    <w:rsid w:val="0095378A"/>
    <w:rsid w:val="00953D2E"/>
    <w:rsid w:val="00957A5B"/>
    <w:rsid w:val="00960CDE"/>
    <w:rsid w:val="009622EB"/>
    <w:rsid w:val="009669C7"/>
    <w:rsid w:val="00970774"/>
    <w:rsid w:val="009707B5"/>
    <w:rsid w:val="009777B9"/>
    <w:rsid w:val="00982132"/>
    <w:rsid w:val="00982D06"/>
    <w:rsid w:val="00983784"/>
    <w:rsid w:val="00984E0E"/>
    <w:rsid w:val="00987B31"/>
    <w:rsid w:val="009A0645"/>
    <w:rsid w:val="009A0BE9"/>
    <w:rsid w:val="009A1B20"/>
    <w:rsid w:val="009A6A6C"/>
    <w:rsid w:val="009A6F59"/>
    <w:rsid w:val="009A7B75"/>
    <w:rsid w:val="009B6560"/>
    <w:rsid w:val="009C48BE"/>
    <w:rsid w:val="009C50EF"/>
    <w:rsid w:val="009C779C"/>
    <w:rsid w:val="009D16E4"/>
    <w:rsid w:val="009E19C4"/>
    <w:rsid w:val="009E3386"/>
    <w:rsid w:val="009E4393"/>
    <w:rsid w:val="009E7CBF"/>
    <w:rsid w:val="009F61B4"/>
    <w:rsid w:val="009F62E6"/>
    <w:rsid w:val="00A00655"/>
    <w:rsid w:val="00A12EF5"/>
    <w:rsid w:val="00A16F20"/>
    <w:rsid w:val="00A257DE"/>
    <w:rsid w:val="00A2780C"/>
    <w:rsid w:val="00A315FF"/>
    <w:rsid w:val="00A31C39"/>
    <w:rsid w:val="00A34C3A"/>
    <w:rsid w:val="00A366CD"/>
    <w:rsid w:val="00A4678A"/>
    <w:rsid w:val="00A507A3"/>
    <w:rsid w:val="00A5227D"/>
    <w:rsid w:val="00A53D57"/>
    <w:rsid w:val="00A66634"/>
    <w:rsid w:val="00A67775"/>
    <w:rsid w:val="00A755CC"/>
    <w:rsid w:val="00A7617E"/>
    <w:rsid w:val="00A767FC"/>
    <w:rsid w:val="00A80BAE"/>
    <w:rsid w:val="00A817CF"/>
    <w:rsid w:val="00A87E67"/>
    <w:rsid w:val="00A97123"/>
    <w:rsid w:val="00AA5A4C"/>
    <w:rsid w:val="00AB2FEE"/>
    <w:rsid w:val="00AB4BB4"/>
    <w:rsid w:val="00AB66F2"/>
    <w:rsid w:val="00AB7936"/>
    <w:rsid w:val="00AB7CC3"/>
    <w:rsid w:val="00AC457B"/>
    <w:rsid w:val="00AC712A"/>
    <w:rsid w:val="00AD2B5F"/>
    <w:rsid w:val="00AD582C"/>
    <w:rsid w:val="00AD5B7B"/>
    <w:rsid w:val="00AE04DC"/>
    <w:rsid w:val="00AE1140"/>
    <w:rsid w:val="00AF024D"/>
    <w:rsid w:val="00B001EC"/>
    <w:rsid w:val="00B006D0"/>
    <w:rsid w:val="00B0227F"/>
    <w:rsid w:val="00B06E9D"/>
    <w:rsid w:val="00B07F39"/>
    <w:rsid w:val="00B10DFE"/>
    <w:rsid w:val="00B12E2B"/>
    <w:rsid w:val="00B13BFD"/>
    <w:rsid w:val="00B15D6A"/>
    <w:rsid w:val="00B238A8"/>
    <w:rsid w:val="00B24EA8"/>
    <w:rsid w:val="00B3129F"/>
    <w:rsid w:val="00B36EF7"/>
    <w:rsid w:val="00B37D64"/>
    <w:rsid w:val="00B44A7A"/>
    <w:rsid w:val="00B50440"/>
    <w:rsid w:val="00B50BB2"/>
    <w:rsid w:val="00B53E55"/>
    <w:rsid w:val="00B62D74"/>
    <w:rsid w:val="00B72CDE"/>
    <w:rsid w:val="00B73C21"/>
    <w:rsid w:val="00B75427"/>
    <w:rsid w:val="00B76834"/>
    <w:rsid w:val="00B9083A"/>
    <w:rsid w:val="00B94E02"/>
    <w:rsid w:val="00BA07AB"/>
    <w:rsid w:val="00BA0F91"/>
    <w:rsid w:val="00BA15B5"/>
    <w:rsid w:val="00BA1805"/>
    <w:rsid w:val="00BA3B0C"/>
    <w:rsid w:val="00BA3B54"/>
    <w:rsid w:val="00BA7F14"/>
    <w:rsid w:val="00BB39DD"/>
    <w:rsid w:val="00BC45BB"/>
    <w:rsid w:val="00BC7420"/>
    <w:rsid w:val="00BD1725"/>
    <w:rsid w:val="00BD17A8"/>
    <w:rsid w:val="00BD3016"/>
    <w:rsid w:val="00BD478B"/>
    <w:rsid w:val="00BE590D"/>
    <w:rsid w:val="00BF13CC"/>
    <w:rsid w:val="00BF36B9"/>
    <w:rsid w:val="00BF37B8"/>
    <w:rsid w:val="00C01EC0"/>
    <w:rsid w:val="00C025E1"/>
    <w:rsid w:val="00C02643"/>
    <w:rsid w:val="00C0425C"/>
    <w:rsid w:val="00C1316C"/>
    <w:rsid w:val="00C23B3E"/>
    <w:rsid w:val="00C24AE5"/>
    <w:rsid w:val="00C32039"/>
    <w:rsid w:val="00C432FF"/>
    <w:rsid w:val="00C43898"/>
    <w:rsid w:val="00C44070"/>
    <w:rsid w:val="00C44492"/>
    <w:rsid w:val="00C479F5"/>
    <w:rsid w:val="00C506EA"/>
    <w:rsid w:val="00C52094"/>
    <w:rsid w:val="00C52CCA"/>
    <w:rsid w:val="00C620B2"/>
    <w:rsid w:val="00C7143B"/>
    <w:rsid w:val="00C761FF"/>
    <w:rsid w:val="00C82921"/>
    <w:rsid w:val="00C85BAE"/>
    <w:rsid w:val="00C96582"/>
    <w:rsid w:val="00C97A0D"/>
    <w:rsid w:val="00CA0F65"/>
    <w:rsid w:val="00CA7D99"/>
    <w:rsid w:val="00CB022B"/>
    <w:rsid w:val="00CB5B5C"/>
    <w:rsid w:val="00CB5E28"/>
    <w:rsid w:val="00CC2D0D"/>
    <w:rsid w:val="00CC2DA3"/>
    <w:rsid w:val="00CC2ECD"/>
    <w:rsid w:val="00CC32F0"/>
    <w:rsid w:val="00CD21B8"/>
    <w:rsid w:val="00CD2AA6"/>
    <w:rsid w:val="00CD698A"/>
    <w:rsid w:val="00CD6C2D"/>
    <w:rsid w:val="00CE6A31"/>
    <w:rsid w:val="00CF5269"/>
    <w:rsid w:val="00D027BB"/>
    <w:rsid w:val="00D03A42"/>
    <w:rsid w:val="00D03F39"/>
    <w:rsid w:val="00D10C72"/>
    <w:rsid w:val="00D13A8F"/>
    <w:rsid w:val="00D13E2E"/>
    <w:rsid w:val="00D2178A"/>
    <w:rsid w:val="00D30E05"/>
    <w:rsid w:val="00D32B15"/>
    <w:rsid w:val="00D34603"/>
    <w:rsid w:val="00D35A55"/>
    <w:rsid w:val="00D42DBB"/>
    <w:rsid w:val="00D450BB"/>
    <w:rsid w:val="00D509A1"/>
    <w:rsid w:val="00D51907"/>
    <w:rsid w:val="00D53FC4"/>
    <w:rsid w:val="00D5444E"/>
    <w:rsid w:val="00D55AF0"/>
    <w:rsid w:val="00D57A41"/>
    <w:rsid w:val="00D65D3D"/>
    <w:rsid w:val="00D66095"/>
    <w:rsid w:val="00D707D0"/>
    <w:rsid w:val="00D77344"/>
    <w:rsid w:val="00D77BCA"/>
    <w:rsid w:val="00D8353A"/>
    <w:rsid w:val="00D85083"/>
    <w:rsid w:val="00D9091F"/>
    <w:rsid w:val="00DA1CDB"/>
    <w:rsid w:val="00DA29AF"/>
    <w:rsid w:val="00DA69ED"/>
    <w:rsid w:val="00DB670C"/>
    <w:rsid w:val="00DB671B"/>
    <w:rsid w:val="00DC1311"/>
    <w:rsid w:val="00DC2C20"/>
    <w:rsid w:val="00DC3C68"/>
    <w:rsid w:val="00DC592F"/>
    <w:rsid w:val="00DC6657"/>
    <w:rsid w:val="00DD2AA2"/>
    <w:rsid w:val="00DD3834"/>
    <w:rsid w:val="00DD5241"/>
    <w:rsid w:val="00DE1DAF"/>
    <w:rsid w:val="00DF215E"/>
    <w:rsid w:val="00DF6BAE"/>
    <w:rsid w:val="00E0096F"/>
    <w:rsid w:val="00E05A18"/>
    <w:rsid w:val="00E06472"/>
    <w:rsid w:val="00E06C88"/>
    <w:rsid w:val="00E07E1B"/>
    <w:rsid w:val="00E1257B"/>
    <w:rsid w:val="00E13B4A"/>
    <w:rsid w:val="00E26379"/>
    <w:rsid w:val="00E345A2"/>
    <w:rsid w:val="00E35189"/>
    <w:rsid w:val="00E36A20"/>
    <w:rsid w:val="00E36EE8"/>
    <w:rsid w:val="00E407CA"/>
    <w:rsid w:val="00E40C34"/>
    <w:rsid w:val="00E53FEB"/>
    <w:rsid w:val="00E64C5C"/>
    <w:rsid w:val="00E710EE"/>
    <w:rsid w:val="00E72AA7"/>
    <w:rsid w:val="00E7369C"/>
    <w:rsid w:val="00E779B5"/>
    <w:rsid w:val="00E82E05"/>
    <w:rsid w:val="00E94513"/>
    <w:rsid w:val="00EA048B"/>
    <w:rsid w:val="00EA3270"/>
    <w:rsid w:val="00EA6DDF"/>
    <w:rsid w:val="00EB1F74"/>
    <w:rsid w:val="00EB700A"/>
    <w:rsid w:val="00EC73C3"/>
    <w:rsid w:val="00ED0933"/>
    <w:rsid w:val="00ED0F9D"/>
    <w:rsid w:val="00ED1F7B"/>
    <w:rsid w:val="00ED2A94"/>
    <w:rsid w:val="00ED3202"/>
    <w:rsid w:val="00ED5606"/>
    <w:rsid w:val="00EE6623"/>
    <w:rsid w:val="00F003FB"/>
    <w:rsid w:val="00F148F0"/>
    <w:rsid w:val="00F20FED"/>
    <w:rsid w:val="00F32ACE"/>
    <w:rsid w:val="00F4383F"/>
    <w:rsid w:val="00F44447"/>
    <w:rsid w:val="00F4456D"/>
    <w:rsid w:val="00F460A7"/>
    <w:rsid w:val="00F46BED"/>
    <w:rsid w:val="00F5260B"/>
    <w:rsid w:val="00F52C22"/>
    <w:rsid w:val="00F54B9E"/>
    <w:rsid w:val="00F56CB2"/>
    <w:rsid w:val="00F63984"/>
    <w:rsid w:val="00F6537A"/>
    <w:rsid w:val="00F70DF6"/>
    <w:rsid w:val="00F76907"/>
    <w:rsid w:val="00F83A0E"/>
    <w:rsid w:val="00F84633"/>
    <w:rsid w:val="00F90540"/>
    <w:rsid w:val="00F9224A"/>
    <w:rsid w:val="00F9252F"/>
    <w:rsid w:val="00F93EDC"/>
    <w:rsid w:val="00FA4C2F"/>
    <w:rsid w:val="00FB367F"/>
    <w:rsid w:val="00FC0431"/>
    <w:rsid w:val="00FC2F20"/>
    <w:rsid w:val="00FC3F8F"/>
    <w:rsid w:val="00FC3FAC"/>
    <w:rsid w:val="00FD6E0B"/>
    <w:rsid w:val="00FF0CFA"/>
    <w:rsid w:val="00FF3062"/>
    <w:rsid w:val="00FF5EE8"/>
    <w:rsid w:val="00FF7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695002"/>
  <w15:chartTrackingRefBased/>
  <w15:docId w15:val="{A0DAADB9-16DD-4658-89AF-E1D527253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26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5">
    <w:name w:val="heading 5"/>
    <w:basedOn w:val="Normal"/>
    <w:next w:val="Normal"/>
    <w:link w:val="Heading5Char"/>
    <w:uiPriority w:val="9"/>
    <w:semiHidden/>
    <w:unhideWhenUsed/>
    <w:qFormat/>
    <w:rsid w:val="0047456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1FF"/>
    <w:pPr>
      <w:ind w:left="720"/>
      <w:contextualSpacing/>
    </w:pPr>
  </w:style>
  <w:style w:type="character" w:styleId="CommentReference">
    <w:name w:val="annotation reference"/>
    <w:basedOn w:val="DefaultParagraphFont"/>
    <w:uiPriority w:val="99"/>
    <w:semiHidden/>
    <w:unhideWhenUsed/>
    <w:rsid w:val="00CC32F0"/>
    <w:rPr>
      <w:sz w:val="16"/>
      <w:szCs w:val="16"/>
    </w:rPr>
  </w:style>
  <w:style w:type="paragraph" w:styleId="CommentText">
    <w:name w:val="annotation text"/>
    <w:basedOn w:val="Normal"/>
    <w:link w:val="CommentTextChar"/>
    <w:uiPriority w:val="99"/>
    <w:unhideWhenUsed/>
    <w:rsid w:val="00CC32F0"/>
    <w:pPr>
      <w:spacing w:line="240" w:lineRule="auto"/>
    </w:pPr>
    <w:rPr>
      <w:sz w:val="20"/>
      <w:szCs w:val="20"/>
    </w:rPr>
  </w:style>
  <w:style w:type="character" w:customStyle="1" w:styleId="CommentTextChar">
    <w:name w:val="Comment Text Char"/>
    <w:basedOn w:val="DefaultParagraphFont"/>
    <w:link w:val="CommentText"/>
    <w:uiPriority w:val="99"/>
    <w:rsid w:val="00CC32F0"/>
    <w:rPr>
      <w:sz w:val="20"/>
      <w:szCs w:val="20"/>
    </w:rPr>
  </w:style>
  <w:style w:type="paragraph" w:styleId="CommentSubject">
    <w:name w:val="annotation subject"/>
    <w:basedOn w:val="CommentText"/>
    <w:next w:val="CommentText"/>
    <w:link w:val="CommentSubjectChar"/>
    <w:uiPriority w:val="99"/>
    <w:semiHidden/>
    <w:unhideWhenUsed/>
    <w:rsid w:val="00CC32F0"/>
    <w:rPr>
      <w:b/>
      <w:bCs/>
    </w:rPr>
  </w:style>
  <w:style w:type="character" w:customStyle="1" w:styleId="CommentSubjectChar">
    <w:name w:val="Comment Subject Char"/>
    <w:basedOn w:val="CommentTextChar"/>
    <w:link w:val="CommentSubject"/>
    <w:uiPriority w:val="99"/>
    <w:semiHidden/>
    <w:rsid w:val="00CC32F0"/>
    <w:rPr>
      <w:b/>
      <w:bCs/>
      <w:sz w:val="20"/>
      <w:szCs w:val="20"/>
    </w:rPr>
  </w:style>
  <w:style w:type="character" w:customStyle="1" w:styleId="Heading1Char">
    <w:name w:val="Heading 1 Char"/>
    <w:basedOn w:val="DefaultParagraphFont"/>
    <w:link w:val="Heading1"/>
    <w:uiPriority w:val="9"/>
    <w:rsid w:val="00F5260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5260B"/>
    <w:rPr>
      <w:color w:val="0000FF"/>
      <w:u w:val="single"/>
    </w:rPr>
  </w:style>
  <w:style w:type="character" w:styleId="HTMLCite">
    <w:name w:val="HTML Cite"/>
    <w:basedOn w:val="DefaultParagraphFont"/>
    <w:uiPriority w:val="99"/>
    <w:semiHidden/>
    <w:unhideWhenUsed/>
    <w:rsid w:val="00F5260B"/>
    <w:rPr>
      <w:i/>
      <w:iCs/>
    </w:rPr>
  </w:style>
  <w:style w:type="paragraph" w:styleId="NormalWeb">
    <w:name w:val="Normal (Web)"/>
    <w:basedOn w:val="Normal"/>
    <w:uiPriority w:val="99"/>
    <w:unhideWhenUsed/>
    <w:rsid w:val="00D544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5444E"/>
    <w:rPr>
      <w:rFonts w:ascii="Segoe UI" w:hAnsi="Segoe UI" w:cs="Segoe UI" w:hint="default"/>
      <w:sz w:val="18"/>
      <w:szCs w:val="18"/>
    </w:rPr>
  </w:style>
  <w:style w:type="character" w:customStyle="1" w:styleId="cf11">
    <w:name w:val="cf11"/>
    <w:basedOn w:val="DefaultParagraphFont"/>
    <w:rsid w:val="00D5444E"/>
    <w:rPr>
      <w:rFonts w:ascii="Segoe UI" w:hAnsi="Segoe UI" w:cs="Segoe UI" w:hint="default"/>
      <w:sz w:val="18"/>
      <w:szCs w:val="18"/>
    </w:rPr>
  </w:style>
  <w:style w:type="character" w:customStyle="1" w:styleId="cf21">
    <w:name w:val="cf21"/>
    <w:basedOn w:val="DefaultParagraphFont"/>
    <w:rsid w:val="00D5444E"/>
    <w:rPr>
      <w:rFonts w:ascii="Segoe UI" w:hAnsi="Segoe UI" w:cs="Segoe UI" w:hint="default"/>
      <w:sz w:val="18"/>
      <w:szCs w:val="18"/>
    </w:rPr>
  </w:style>
  <w:style w:type="character" w:styleId="UnresolvedMention">
    <w:name w:val="Unresolved Mention"/>
    <w:basedOn w:val="DefaultParagraphFont"/>
    <w:uiPriority w:val="99"/>
    <w:semiHidden/>
    <w:unhideWhenUsed/>
    <w:rsid w:val="005C5DBC"/>
    <w:rPr>
      <w:color w:val="605E5C"/>
      <w:shd w:val="clear" w:color="auto" w:fill="E1DFDD"/>
    </w:rPr>
  </w:style>
  <w:style w:type="character" w:customStyle="1" w:styleId="Heading5Char">
    <w:name w:val="Heading 5 Char"/>
    <w:basedOn w:val="DefaultParagraphFont"/>
    <w:link w:val="Heading5"/>
    <w:uiPriority w:val="9"/>
    <w:semiHidden/>
    <w:rsid w:val="0047456C"/>
    <w:rPr>
      <w:rFonts w:asciiTheme="majorHAnsi" w:eastAsiaTheme="majorEastAsia" w:hAnsiTheme="majorHAnsi" w:cstheme="majorBidi"/>
      <w:color w:val="2F5496" w:themeColor="accent1" w:themeShade="BF"/>
    </w:rPr>
  </w:style>
  <w:style w:type="character" w:customStyle="1" w:styleId="rust">
    <w:name w:val="rust"/>
    <w:basedOn w:val="DefaultParagraphFont"/>
    <w:rsid w:val="0047456C"/>
  </w:style>
  <w:style w:type="character" w:styleId="Strong">
    <w:name w:val="Strong"/>
    <w:basedOn w:val="DefaultParagraphFont"/>
    <w:uiPriority w:val="22"/>
    <w:qFormat/>
    <w:rsid w:val="0047456C"/>
    <w:rPr>
      <w:b/>
      <w:bCs/>
    </w:rPr>
  </w:style>
  <w:style w:type="character" w:customStyle="1" w:styleId="dimensionsbadgeembed">
    <w:name w:val="__dimensions_badge_embed__"/>
    <w:basedOn w:val="DefaultParagraphFont"/>
    <w:rsid w:val="0047456C"/>
  </w:style>
  <w:style w:type="character" w:customStyle="1" w:styleId="pagesnum">
    <w:name w:val="pagesnum"/>
    <w:basedOn w:val="DefaultParagraphFont"/>
    <w:rsid w:val="0047456C"/>
  </w:style>
  <w:style w:type="paragraph" w:styleId="FootnoteText">
    <w:name w:val="footnote text"/>
    <w:basedOn w:val="Normal"/>
    <w:link w:val="FootnoteTextChar"/>
    <w:uiPriority w:val="99"/>
    <w:unhideWhenUsed/>
    <w:rsid w:val="00A12EF5"/>
    <w:pPr>
      <w:spacing w:after="0" w:line="240" w:lineRule="auto"/>
    </w:pPr>
    <w:rPr>
      <w:sz w:val="20"/>
      <w:szCs w:val="20"/>
    </w:rPr>
  </w:style>
  <w:style w:type="character" w:customStyle="1" w:styleId="FootnoteTextChar">
    <w:name w:val="Footnote Text Char"/>
    <w:basedOn w:val="DefaultParagraphFont"/>
    <w:link w:val="FootnoteText"/>
    <w:uiPriority w:val="99"/>
    <w:rsid w:val="00A12EF5"/>
    <w:rPr>
      <w:sz w:val="20"/>
      <w:szCs w:val="20"/>
    </w:rPr>
  </w:style>
  <w:style w:type="character" w:styleId="FootnoteReference">
    <w:name w:val="footnote reference"/>
    <w:basedOn w:val="DefaultParagraphFont"/>
    <w:uiPriority w:val="99"/>
    <w:semiHidden/>
    <w:unhideWhenUsed/>
    <w:rsid w:val="00A12EF5"/>
    <w:rPr>
      <w:vertAlign w:val="superscript"/>
    </w:rPr>
  </w:style>
  <w:style w:type="character" w:customStyle="1" w:styleId="pvxs">
    <w:name w:val="pvxs"/>
    <w:basedOn w:val="DefaultParagraphFont"/>
    <w:rsid w:val="006D0384"/>
  </w:style>
  <w:style w:type="character" w:customStyle="1" w:styleId="titleauthoretc">
    <w:name w:val="titleauthoretc"/>
    <w:basedOn w:val="DefaultParagraphFont"/>
    <w:rsid w:val="001F4451"/>
  </w:style>
  <w:style w:type="character" w:customStyle="1" w:styleId="familyname">
    <w:name w:val="familyname"/>
    <w:basedOn w:val="DefaultParagraphFont"/>
    <w:rsid w:val="008A0F4B"/>
  </w:style>
  <w:style w:type="character" w:styleId="Emphasis">
    <w:name w:val="Emphasis"/>
    <w:basedOn w:val="DefaultParagraphFont"/>
    <w:uiPriority w:val="20"/>
    <w:qFormat/>
    <w:rsid w:val="008A0F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574070">
      <w:bodyDiv w:val="1"/>
      <w:marLeft w:val="0"/>
      <w:marRight w:val="0"/>
      <w:marTop w:val="0"/>
      <w:marBottom w:val="0"/>
      <w:divBdr>
        <w:top w:val="none" w:sz="0" w:space="0" w:color="auto"/>
        <w:left w:val="none" w:sz="0" w:space="0" w:color="auto"/>
        <w:bottom w:val="none" w:sz="0" w:space="0" w:color="auto"/>
        <w:right w:val="none" w:sz="0" w:space="0" w:color="auto"/>
      </w:divBdr>
      <w:divsChild>
        <w:div w:id="788089562">
          <w:marLeft w:val="0"/>
          <w:marRight w:val="0"/>
          <w:marTop w:val="0"/>
          <w:marBottom w:val="0"/>
          <w:divBdr>
            <w:top w:val="none" w:sz="0" w:space="0" w:color="auto"/>
            <w:left w:val="none" w:sz="0" w:space="0" w:color="auto"/>
            <w:bottom w:val="none" w:sz="0" w:space="0" w:color="auto"/>
            <w:right w:val="none" w:sz="0" w:space="0" w:color="auto"/>
          </w:divBdr>
          <w:divsChild>
            <w:div w:id="545991798">
              <w:marLeft w:val="0"/>
              <w:marRight w:val="0"/>
              <w:marTop w:val="0"/>
              <w:marBottom w:val="0"/>
              <w:divBdr>
                <w:top w:val="none" w:sz="0" w:space="0" w:color="auto"/>
                <w:left w:val="none" w:sz="0" w:space="0" w:color="auto"/>
                <w:bottom w:val="none" w:sz="0" w:space="0" w:color="auto"/>
                <w:right w:val="none" w:sz="0" w:space="0" w:color="auto"/>
              </w:divBdr>
              <w:divsChild>
                <w:div w:id="67006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11142">
          <w:marLeft w:val="0"/>
          <w:marRight w:val="0"/>
          <w:marTop w:val="0"/>
          <w:marBottom w:val="0"/>
          <w:divBdr>
            <w:top w:val="none" w:sz="0" w:space="0" w:color="auto"/>
            <w:left w:val="none" w:sz="0" w:space="0" w:color="auto"/>
            <w:bottom w:val="none" w:sz="0" w:space="0" w:color="auto"/>
            <w:right w:val="none" w:sz="0" w:space="0" w:color="auto"/>
          </w:divBdr>
          <w:divsChild>
            <w:div w:id="145244148">
              <w:marLeft w:val="0"/>
              <w:marRight w:val="0"/>
              <w:marTop w:val="0"/>
              <w:marBottom w:val="0"/>
              <w:divBdr>
                <w:top w:val="none" w:sz="0" w:space="0" w:color="auto"/>
                <w:left w:val="none" w:sz="0" w:space="0" w:color="auto"/>
                <w:bottom w:val="none" w:sz="0" w:space="0" w:color="auto"/>
                <w:right w:val="none" w:sz="0" w:space="0" w:color="auto"/>
              </w:divBdr>
              <w:divsChild>
                <w:div w:id="755202288">
                  <w:marLeft w:val="0"/>
                  <w:marRight w:val="0"/>
                  <w:marTop w:val="0"/>
                  <w:marBottom w:val="0"/>
                  <w:divBdr>
                    <w:top w:val="none" w:sz="0" w:space="0" w:color="auto"/>
                    <w:left w:val="none" w:sz="0" w:space="0" w:color="auto"/>
                    <w:bottom w:val="none" w:sz="0" w:space="0" w:color="auto"/>
                    <w:right w:val="none" w:sz="0" w:space="0" w:color="auto"/>
                  </w:divBdr>
                </w:div>
                <w:div w:id="560750295">
                  <w:marLeft w:val="0"/>
                  <w:marRight w:val="0"/>
                  <w:marTop w:val="0"/>
                  <w:marBottom w:val="0"/>
                  <w:divBdr>
                    <w:top w:val="none" w:sz="0" w:space="0" w:color="auto"/>
                    <w:left w:val="none" w:sz="0" w:space="0" w:color="auto"/>
                    <w:bottom w:val="none" w:sz="0" w:space="0" w:color="auto"/>
                    <w:right w:val="none" w:sz="0" w:space="0" w:color="auto"/>
                  </w:divBdr>
                  <w:divsChild>
                    <w:div w:id="117376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753449">
              <w:marLeft w:val="0"/>
              <w:marRight w:val="0"/>
              <w:marTop w:val="120"/>
              <w:marBottom w:val="0"/>
              <w:divBdr>
                <w:top w:val="none" w:sz="0" w:space="0" w:color="auto"/>
                <w:left w:val="none" w:sz="0" w:space="0" w:color="auto"/>
                <w:bottom w:val="none" w:sz="0" w:space="0" w:color="auto"/>
                <w:right w:val="none" w:sz="0" w:space="0" w:color="auto"/>
              </w:divBdr>
              <w:divsChild>
                <w:div w:id="26215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878958">
      <w:bodyDiv w:val="1"/>
      <w:marLeft w:val="0"/>
      <w:marRight w:val="0"/>
      <w:marTop w:val="0"/>
      <w:marBottom w:val="0"/>
      <w:divBdr>
        <w:top w:val="none" w:sz="0" w:space="0" w:color="auto"/>
        <w:left w:val="none" w:sz="0" w:space="0" w:color="auto"/>
        <w:bottom w:val="none" w:sz="0" w:space="0" w:color="auto"/>
        <w:right w:val="none" w:sz="0" w:space="0" w:color="auto"/>
      </w:divBdr>
      <w:divsChild>
        <w:div w:id="241718312">
          <w:marLeft w:val="0"/>
          <w:marRight w:val="0"/>
          <w:marTop w:val="0"/>
          <w:marBottom w:val="0"/>
          <w:divBdr>
            <w:top w:val="none" w:sz="0" w:space="0" w:color="auto"/>
            <w:left w:val="none" w:sz="0" w:space="0" w:color="auto"/>
            <w:bottom w:val="none" w:sz="0" w:space="0" w:color="auto"/>
            <w:right w:val="none" w:sz="0" w:space="0" w:color="auto"/>
          </w:divBdr>
          <w:divsChild>
            <w:div w:id="2115175218">
              <w:marLeft w:val="0"/>
              <w:marRight w:val="0"/>
              <w:marTop w:val="0"/>
              <w:marBottom w:val="0"/>
              <w:divBdr>
                <w:top w:val="none" w:sz="0" w:space="0" w:color="auto"/>
                <w:left w:val="none" w:sz="0" w:space="0" w:color="auto"/>
                <w:bottom w:val="none" w:sz="0" w:space="0" w:color="auto"/>
                <w:right w:val="none" w:sz="0" w:space="0" w:color="auto"/>
              </w:divBdr>
              <w:divsChild>
                <w:div w:id="120802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942281">
          <w:marLeft w:val="0"/>
          <w:marRight w:val="0"/>
          <w:marTop w:val="0"/>
          <w:marBottom w:val="0"/>
          <w:divBdr>
            <w:top w:val="none" w:sz="0" w:space="0" w:color="auto"/>
            <w:left w:val="none" w:sz="0" w:space="0" w:color="auto"/>
            <w:bottom w:val="none" w:sz="0" w:space="0" w:color="auto"/>
            <w:right w:val="none" w:sz="0" w:space="0" w:color="auto"/>
          </w:divBdr>
          <w:divsChild>
            <w:div w:id="1426531215">
              <w:marLeft w:val="0"/>
              <w:marRight w:val="0"/>
              <w:marTop w:val="0"/>
              <w:marBottom w:val="0"/>
              <w:divBdr>
                <w:top w:val="none" w:sz="0" w:space="0" w:color="auto"/>
                <w:left w:val="none" w:sz="0" w:space="0" w:color="auto"/>
                <w:bottom w:val="none" w:sz="0" w:space="0" w:color="auto"/>
                <w:right w:val="none" w:sz="0" w:space="0" w:color="auto"/>
              </w:divBdr>
              <w:divsChild>
                <w:div w:id="498154424">
                  <w:marLeft w:val="0"/>
                  <w:marRight w:val="0"/>
                  <w:marTop w:val="0"/>
                  <w:marBottom w:val="0"/>
                  <w:divBdr>
                    <w:top w:val="none" w:sz="0" w:space="0" w:color="auto"/>
                    <w:left w:val="none" w:sz="0" w:space="0" w:color="auto"/>
                    <w:bottom w:val="none" w:sz="0" w:space="0" w:color="auto"/>
                    <w:right w:val="none" w:sz="0" w:space="0" w:color="auto"/>
                  </w:divBdr>
                </w:div>
                <w:div w:id="597834431">
                  <w:marLeft w:val="0"/>
                  <w:marRight w:val="0"/>
                  <w:marTop w:val="0"/>
                  <w:marBottom w:val="0"/>
                  <w:divBdr>
                    <w:top w:val="none" w:sz="0" w:space="0" w:color="auto"/>
                    <w:left w:val="none" w:sz="0" w:space="0" w:color="auto"/>
                    <w:bottom w:val="none" w:sz="0" w:space="0" w:color="auto"/>
                    <w:right w:val="none" w:sz="0" w:space="0" w:color="auto"/>
                  </w:divBdr>
                  <w:divsChild>
                    <w:div w:id="72838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81677">
      <w:bodyDiv w:val="1"/>
      <w:marLeft w:val="0"/>
      <w:marRight w:val="0"/>
      <w:marTop w:val="0"/>
      <w:marBottom w:val="0"/>
      <w:divBdr>
        <w:top w:val="none" w:sz="0" w:space="0" w:color="auto"/>
        <w:left w:val="none" w:sz="0" w:space="0" w:color="auto"/>
        <w:bottom w:val="none" w:sz="0" w:space="0" w:color="auto"/>
        <w:right w:val="none" w:sz="0" w:space="0" w:color="auto"/>
      </w:divBdr>
    </w:div>
    <w:div w:id="530412247">
      <w:bodyDiv w:val="1"/>
      <w:marLeft w:val="0"/>
      <w:marRight w:val="0"/>
      <w:marTop w:val="0"/>
      <w:marBottom w:val="0"/>
      <w:divBdr>
        <w:top w:val="none" w:sz="0" w:space="0" w:color="auto"/>
        <w:left w:val="none" w:sz="0" w:space="0" w:color="auto"/>
        <w:bottom w:val="none" w:sz="0" w:space="0" w:color="auto"/>
        <w:right w:val="none" w:sz="0" w:space="0" w:color="auto"/>
      </w:divBdr>
    </w:div>
    <w:div w:id="564070233">
      <w:bodyDiv w:val="1"/>
      <w:marLeft w:val="0"/>
      <w:marRight w:val="0"/>
      <w:marTop w:val="0"/>
      <w:marBottom w:val="0"/>
      <w:divBdr>
        <w:top w:val="none" w:sz="0" w:space="0" w:color="auto"/>
        <w:left w:val="none" w:sz="0" w:space="0" w:color="auto"/>
        <w:bottom w:val="none" w:sz="0" w:space="0" w:color="auto"/>
        <w:right w:val="none" w:sz="0" w:space="0" w:color="auto"/>
      </w:divBdr>
    </w:div>
    <w:div w:id="820390140">
      <w:bodyDiv w:val="1"/>
      <w:marLeft w:val="0"/>
      <w:marRight w:val="0"/>
      <w:marTop w:val="0"/>
      <w:marBottom w:val="0"/>
      <w:divBdr>
        <w:top w:val="none" w:sz="0" w:space="0" w:color="auto"/>
        <w:left w:val="none" w:sz="0" w:space="0" w:color="auto"/>
        <w:bottom w:val="none" w:sz="0" w:space="0" w:color="auto"/>
        <w:right w:val="none" w:sz="0" w:space="0" w:color="auto"/>
      </w:divBdr>
      <w:divsChild>
        <w:div w:id="235239080">
          <w:marLeft w:val="0"/>
          <w:marRight w:val="0"/>
          <w:marTop w:val="0"/>
          <w:marBottom w:val="0"/>
          <w:divBdr>
            <w:top w:val="none" w:sz="0" w:space="0" w:color="auto"/>
            <w:left w:val="none" w:sz="0" w:space="0" w:color="auto"/>
            <w:bottom w:val="none" w:sz="0" w:space="0" w:color="auto"/>
            <w:right w:val="none" w:sz="0" w:space="0" w:color="auto"/>
          </w:divBdr>
          <w:divsChild>
            <w:div w:id="1016688214">
              <w:marLeft w:val="0"/>
              <w:marRight w:val="0"/>
              <w:marTop w:val="0"/>
              <w:marBottom w:val="0"/>
              <w:divBdr>
                <w:top w:val="none" w:sz="0" w:space="0" w:color="auto"/>
                <w:left w:val="none" w:sz="0" w:space="0" w:color="auto"/>
                <w:bottom w:val="none" w:sz="0" w:space="0" w:color="auto"/>
                <w:right w:val="none" w:sz="0" w:space="0" w:color="auto"/>
              </w:divBdr>
              <w:divsChild>
                <w:div w:id="1368682786">
                  <w:marLeft w:val="0"/>
                  <w:marRight w:val="75"/>
                  <w:marTop w:val="0"/>
                  <w:marBottom w:val="0"/>
                  <w:divBdr>
                    <w:top w:val="none" w:sz="0" w:space="0" w:color="auto"/>
                    <w:left w:val="none" w:sz="0" w:space="0" w:color="auto"/>
                    <w:bottom w:val="none" w:sz="0" w:space="0" w:color="auto"/>
                    <w:right w:val="none" w:sz="0" w:space="0" w:color="auto"/>
                  </w:divBdr>
                </w:div>
              </w:divsChild>
            </w:div>
            <w:div w:id="745613962">
              <w:marLeft w:val="0"/>
              <w:marRight w:val="0"/>
              <w:marTop w:val="90"/>
              <w:marBottom w:val="0"/>
              <w:divBdr>
                <w:top w:val="single" w:sz="6" w:space="2" w:color="A4A6A8"/>
                <w:left w:val="single" w:sz="6" w:space="4" w:color="A4A6A8"/>
                <w:bottom w:val="single" w:sz="6" w:space="2" w:color="A4A6A8"/>
                <w:right w:val="single" w:sz="6" w:space="4" w:color="A4A6A8"/>
              </w:divBdr>
              <w:divsChild>
                <w:div w:id="1505172343">
                  <w:marLeft w:val="0"/>
                  <w:marRight w:val="0"/>
                  <w:marTop w:val="0"/>
                  <w:marBottom w:val="0"/>
                  <w:divBdr>
                    <w:top w:val="none" w:sz="0" w:space="0" w:color="auto"/>
                    <w:left w:val="none" w:sz="0" w:space="0" w:color="auto"/>
                    <w:bottom w:val="none" w:sz="0" w:space="0" w:color="auto"/>
                    <w:right w:val="none" w:sz="0" w:space="0" w:color="auto"/>
                  </w:divBdr>
                  <w:divsChild>
                    <w:div w:id="335233356">
                      <w:marLeft w:val="0"/>
                      <w:marRight w:val="0"/>
                      <w:marTop w:val="0"/>
                      <w:marBottom w:val="0"/>
                      <w:divBdr>
                        <w:top w:val="none" w:sz="0" w:space="0" w:color="auto"/>
                        <w:left w:val="none" w:sz="0" w:space="0" w:color="auto"/>
                        <w:bottom w:val="none" w:sz="0" w:space="0" w:color="auto"/>
                        <w:right w:val="none" w:sz="0" w:space="0" w:color="auto"/>
                      </w:divBdr>
                    </w:div>
                    <w:div w:id="58072450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257056867">
          <w:marLeft w:val="0"/>
          <w:marRight w:val="0"/>
          <w:marTop w:val="0"/>
          <w:marBottom w:val="0"/>
          <w:divBdr>
            <w:top w:val="none" w:sz="0" w:space="0" w:color="auto"/>
            <w:left w:val="none" w:sz="0" w:space="0" w:color="auto"/>
            <w:bottom w:val="none" w:sz="0" w:space="0" w:color="auto"/>
            <w:right w:val="none" w:sz="0" w:space="0" w:color="auto"/>
          </w:divBdr>
          <w:divsChild>
            <w:div w:id="2136362064">
              <w:marLeft w:val="0"/>
              <w:marRight w:val="0"/>
              <w:marTop w:val="0"/>
              <w:marBottom w:val="0"/>
              <w:divBdr>
                <w:top w:val="none" w:sz="0" w:space="0" w:color="auto"/>
                <w:left w:val="none" w:sz="0" w:space="0" w:color="auto"/>
                <w:bottom w:val="none" w:sz="0" w:space="0" w:color="auto"/>
                <w:right w:val="none" w:sz="0" w:space="0" w:color="auto"/>
              </w:divBdr>
              <w:divsChild>
                <w:div w:id="440416226">
                  <w:marLeft w:val="0"/>
                  <w:marRight w:val="0"/>
                  <w:marTop w:val="0"/>
                  <w:marBottom w:val="0"/>
                  <w:divBdr>
                    <w:top w:val="none" w:sz="0" w:space="0" w:color="auto"/>
                    <w:left w:val="none" w:sz="0" w:space="0" w:color="auto"/>
                    <w:bottom w:val="none" w:sz="0" w:space="0" w:color="auto"/>
                    <w:right w:val="none" w:sz="0" w:space="0" w:color="auto"/>
                  </w:divBdr>
                </w:div>
                <w:div w:id="166797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281526">
      <w:bodyDiv w:val="1"/>
      <w:marLeft w:val="0"/>
      <w:marRight w:val="0"/>
      <w:marTop w:val="0"/>
      <w:marBottom w:val="0"/>
      <w:divBdr>
        <w:top w:val="none" w:sz="0" w:space="0" w:color="auto"/>
        <w:left w:val="none" w:sz="0" w:space="0" w:color="auto"/>
        <w:bottom w:val="none" w:sz="0" w:space="0" w:color="auto"/>
        <w:right w:val="none" w:sz="0" w:space="0" w:color="auto"/>
      </w:divBdr>
      <w:divsChild>
        <w:div w:id="244144142">
          <w:marLeft w:val="0"/>
          <w:marRight w:val="0"/>
          <w:marTop w:val="0"/>
          <w:marBottom w:val="0"/>
          <w:divBdr>
            <w:top w:val="none" w:sz="0" w:space="0" w:color="auto"/>
            <w:left w:val="none" w:sz="0" w:space="0" w:color="auto"/>
            <w:bottom w:val="none" w:sz="0" w:space="0" w:color="auto"/>
            <w:right w:val="none" w:sz="0" w:space="0" w:color="auto"/>
          </w:divBdr>
          <w:divsChild>
            <w:div w:id="2070761188">
              <w:marLeft w:val="0"/>
              <w:marRight w:val="0"/>
              <w:marTop w:val="0"/>
              <w:marBottom w:val="0"/>
              <w:divBdr>
                <w:top w:val="none" w:sz="0" w:space="0" w:color="auto"/>
                <w:left w:val="none" w:sz="0" w:space="0" w:color="auto"/>
                <w:bottom w:val="none" w:sz="0" w:space="0" w:color="auto"/>
                <w:right w:val="none" w:sz="0" w:space="0" w:color="auto"/>
              </w:divBdr>
              <w:divsChild>
                <w:div w:id="401101683">
                  <w:marLeft w:val="0"/>
                  <w:marRight w:val="0"/>
                  <w:marTop w:val="0"/>
                  <w:marBottom w:val="0"/>
                  <w:divBdr>
                    <w:top w:val="none" w:sz="0" w:space="0" w:color="auto"/>
                    <w:left w:val="none" w:sz="0" w:space="0" w:color="auto"/>
                    <w:bottom w:val="none" w:sz="0" w:space="0" w:color="auto"/>
                    <w:right w:val="none" w:sz="0" w:space="0" w:color="auto"/>
                  </w:divBdr>
                  <w:divsChild>
                    <w:div w:id="408578616">
                      <w:marLeft w:val="0"/>
                      <w:marRight w:val="0"/>
                      <w:marTop w:val="0"/>
                      <w:marBottom w:val="0"/>
                      <w:divBdr>
                        <w:top w:val="none" w:sz="0" w:space="0" w:color="auto"/>
                        <w:left w:val="none" w:sz="0" w:space="0" w:color="auto"/>
                        <w:bottom w:val="none" w:sz="0" w:space="0" w:color="auto"/>
                        <w:right w:val="none" w:sz="0" w:space="0" w:color="auto"/>
                      </w:divBdr>
                      <w:divsChild>
                        <w:div w:id="202921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8545">
                  <w:marLeft w:val="0"/>
                  <w:marRight w:val="0"/>
                  <w:marTop w:val="0"/>
                  <w:marBottom w:val="0"/>
                  <w:divBdr>
                    <w:top w:val="none" w:sz="0" w:space="0" w:color="auto"/>
                    <w:left w:val="none" w:sz="0" w:space="0" w:color="auto"/>
                    <w:bottom w:val="none" w:sz="0" w:space="0" w:color="auto"/>
                    <w:right w:val="none" w:sz="0" w:space="0" w:color="auto"/>
                  </w:divBdr>
                  <w:divsChild>
                    <w:div w:id="1996300822">
                      <w:marLeft w:val="0"/>
                      <w:marRight w:val="0"/>
                      <w:marTop w:val="0"/>
                      <w:marBottom w:val="0"/>
                      <w:divBdr>
                        <w:top w:val="none" w:sz="0" w:space="0" w:color="auto"/>
                        <w:left w:val="none" w:sz="0" w:space="0" w:color="auto"/>
                        <w:bottom w:val="none" w:sz="0" w:space="0" w:color="auto"/>
                        <w:right w:val="none" w:sz="0" w:space="0" w:color="auto"/>
                      </w:divBdr>
                    </w:div>
                    <w:div w:id="262692348">
                      <w:marLeft w:val="0"/>
                      <w:marRight w:val="0"/>
                      <w:marTop w:val="0"/>
                      <w:marBottom w:val="0"/>
                      <w:divBdr>
                        <w:top w:val="none" w:sz="0" w:space="0" w:color="auto"/>
                        <w:left w:val="none" w:sz="0" w:space="0" w:color="auto"/>
                        <w:bottom w:val="none" w:sz="0" w:space="0" w:color="auto"/>
                        <w:right w:val="none" w:sz="0" w:space="0" w:color="auto"/>
                      </w:divBdr>
                      <w:divsChild>
                        <w:div w:id="1085152041">
                          <w:marLeft w:val="0"/>
                          <w:marRight w:val="0"/>
                          <w:marTop w:val="0"/>
                          <w:marBottom w:val="0"/>
                          <w:divBdr>
                            <w:top w:val="none" w:sz="0" w:space="0" w:color="auto"/>
                            <w:left w:val="none" w:sz="0" w:space="0" w:color="auto"/>
                            <w:bottom w:val="none" w:sz="0" w:space="0" w:color="auto"/>
                            <w:right w:val="none" w:sz="0" w:space="0" w:color="auto"/>
                          </w:divBdr>
                        </w:div>
                        <w:div w:id="743722690">
                          <w:marLeft w:val="0"/>
                          <w:marRight w:val="0"/>
                          <w:marTop w:val="0"/>
                          <w:marBottom w:val="0"/>
                          <w:divBdr>
                            <w:top w:val="none" w:sz="0" w:space="0" w:color="auto"/>
                            <w:left w:val="none" w:sz="0" w:space="0" w:color="auto"/>
                            <w:bottom w:val="none" w:sz="0" w:space="0" w:color="auto"/>
                            <w:right w:val="none" w:sz="0" w:space="0" w:color="auto"/>
                          </w:divBdr>
                          <w:divsChild>
                            <w:div w:id="1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819567">
                      <w:marLeft w:val="0"/>
                      <w:marRight w:val="0"/>
                      <w:marTop w:val="120"/>
                      <w:marBottom w:val="0"/>
                      <w:divBdr>
                        <w:top w:val="none" w:sz="0" w:space="0" w:color="auto"/>
                        <w:left w:val="none" w:sz="0" w:space="0" w:color="auto"/>
                        <w:bottom w:val="none" w:sz="0" w:space="0" w:color="auto"/>
                        <w:right w:val="none" w:sz="0" w:space="0" w:color="auto"/>
                      </w:divBdr>
                      <w:divsChild>
                        <w:div w:id="1035696366">
                          <w:marLeft w:val="0"/>
                          <w:marRight w:val="0"/>
                          <w:marTop w:val="0"/>
                          <w:marBottom w:val="0"/>
                          <w:divBdr>
                            <w:top w:val="none" w:sz="0" w:space="0" w:color="auto"/>
                            <w:left w:val="none" w:sz="0" w:space="0" w:color="auto"/>
                            <w:bottom w:val="none" w:sz="0" w:space="0" w:color="auto"/>
                            <w:right w:val="none" w:sz="0" w:space="0" w:color="auto"/>
                          </w:divBdr>
                        </w:div>
                      </w:divsChild>
                    </w:div>
                    <w:div w:id="546524775">
                      <w:marLeft w:val="0"/>
                      <w:marRight w:val="0"/>
                      <w:marTop w:val="0"/>
                      <w:marBottom w:val="0"/>
                      <w:divBdr>
                        <w:top w:val="none" w:sz="0" w:space="0" w:color="auto"/>
                        <w:left w:val="none" w:sz="0" w:space="0" w:color="auto"/>
                        <w:bottom w:val="none" w:sz="0" w:space="0" w:color="auto"/>
                        <w:right w:val="none" w:sz="0" w:space="0" w:color="auto"/>
                      </w:divBdr>
                      <w:divsChild>
                        <w:div w:id="1781411737">
                          <w:marLeft w:val="0"/>
                          <w:marRight w:val="0"/>
                          <w:marTop w:val="0"/>
                          <w:marBottom w:val="0"/>
                          <w:divBdr>
                            <w:top w:val="none" w:sz="0" w:space="0" w:color="auto"/>
                            <w:left w:val="none" w:sz="0" w:space="0" w:color="auto"/>
                            <w:bottom w:val="none" w:sz="0" w:space="0" w:color="auto"/>
                            <w:right w:val="none" w:sz="0" w:space="0" w:color="auto"/>
                          </w:divBdr>
                        </w:div>
                      </w:divsChild>
                    </w:div>
                    <w:div w:id="1431391214">
                      <w:marLeft w:val="0"/>
                      <w:marRight w:val="0"/>
                      <w:marTop w:val="0"/>
                      <w:marBottom w:val="0"/>
                      <w:divBdr>
                        <w:top w:val="none" w:sz="0" w:space="0" w:color="auto"/>
                        <w:left w:val="none" w:sz="0" w:space="0" w:color="auto"/>
                        <w:bottom w:val="none" w:sz="0" w:space="0" w:color="auto"/>
                        <w:right w:val="none" w:sz="0" w:space="0" w:color="auto"/>
                      </w:divBdr>
                      <w:divsChild>
                        <w:div w:id="1877618640">
                          <w:marLeft w:val="0"/>
                          <w:marRight w:val="0"/>
                          <w:marTop w:val="0"/>
                          <w:marBottom w:val="0"/>
                          <w:divBdr>
                            <w:top w:val="none" w:sz="0" w:space="0" w:color="auto"/>
                            <w:left w:val="none" w:sz="0" w:space="0" w:color="auto"/>
                            <w:bottom w:val="none" w:sz="0" w:space="0" w:color="auto"/>
                            <w:right w:val="none" w:sz="0" w:space="0" w:color="auto"/>
                          </w:divBdr>
                          <w:divsChild>
                            <w:div w:id="1946766568">
                              <w:marLeft w:val="0"/>
                              <w:marRight w:val="0"/>
                              <w:marTop w:val="0"/>
                              <w:marBottom w:val="0"/>
                              <w:divBdr>
                                <w:top w:val="none" w:sz="0" w:space="0" w:color="auto"/>
                                <w:left w:val="none" w:sz="0" w:space="0" w:color="auto"/>
                                <w:bottom w:val="none" w:sz="0" w:space="0" w:color="auto"/>
                                <w:right w:val="none" w:sz="0" w:space="0" w:color="auto"/>
                              </w:divBdr>
                              <w:divsChild>
                                <w:div w:id="1661035940">
                                  <w:marLeft w:val="0"/>
                                  <w:marRight w:val="0"/>
                                  <w:marTop w:val="0"/>
                                  <w:marBottom w:val="0"/>
                                  <w:divBdr>
                                    <w:top w:val="none" w:sz="0" w:space="0" w:color="auto"/>
                                    <w:left w:val="none" w:sz="0" w:space="0" w:color="auto"/>
                                    <w:bottom w:val="none" w:sz="0" w:space="0" w:color="auto"/>
                                    <w:right w:val="none" w:sz="0" w:space="0" w:color="auto"/>
                                  </w:divBdr>
                                </w:div>
                              </w:divsChild>
                            </w:div>
                            <w:div w:id="257906809">
                              <w:marLeft w:val="0"/>
                              <w:marRight w:val="0"/>
                              <w:marTop w:val="0"/>
                              <w:marBottom w:val="0"/>
                              <w:divBdr>
                                <w:top w:val="none" w:sz="0" w:space="0" w:color="auto"/>
                                <w:left w:val="none" w:sz="0" w:space="0" w:color="auto"/>
                                <w:bottom w:val="none" w:sz="0" w:space="0" w:color="auto"/>
                                <w:right w:val="none" w:sz="0" w:space="0" w:color="auto"/>
                              </w:divBdr>
                            </w:div>
                            <w:div w:id="259874475">
                              <w:marLeft w:val="0"/>
                              <w:marRight w:val="0"/>
                              <w:marTop w:val="0"/>
                              <w:marBottom w:val="0"/>
                              <w:divBdr>
                                <w:top w:val="none" w:sz="0" w:space="0" w:color="auto"/>
                                <w:left w:val="none" w:sz="0" w:space="0" w:color="auto"/>
                                <w:bottom w:val="none" w:sz="0" w:space="0" w:color="auto"/>
                                <w:right w:val="none" w:sz="0" w:space="0" w:color="auto"/>
                              </w:divBdr>
                              <w:divsChild>
                                <w:div w:id="1054357443">
                                  <w:marLeft w:val="0"/>
                                  <w:marRight w:val="0"/>
                                  <w:marTop w:val="0"/>
                                  <w:marBottom w:val="0"/>
                                  <w:divBdr>
                                    <w:top w:val="none" w:sz="0" w:space="0" w:color="auto"/>
                                    <w:left w:val="none" w:sz="0" w:space="0" w:color="auto"/>
                                    <w:bottom w:val="none" w:sz="0" w:space="0" w:color="auto"/>
                                    <w:right w:val="none" w:sz="0" w:space="0" w:color="auto"/>
                                  </w:divBdr>
                                  <w:divsChild>
                                    <w:div w:id="973606814">
                                      <w:marLeft w:val="0"/>
                                      <w:marRight w:val="0"/>
                                      <w:marTop w:val="0"/>
                                      <w:marBottom w:val="0"/>
                                      <w:divBdr>
                                        <w:top w:val="none" w:sz="0" w:space="0" w:color="auto"/>
                                        <w:left w:val="none" w:sz="0" w:space="0" w:color="auto"/>
                                        <w:bottom w:val="none" w:sz="0" w:space="0" w:color="auto"/>
                                        <w:right w:val="none" w:sz="0" w:space="0" w:color="auto"/>
                                      </w:divBdr>
                                    </w:div>
                                  </w:divsChild>
                                </w:div>
                                <w:div w:id="1313100906">
                                  <w:marLeft w:val="0"/>
                                  <w:marRight w:val="0"/>
                                  <w:marTop w:val="0"/>
                                  <w:marBottom w:val="0"/>
                                  <w:divBdr>
                                    <w:top w:val="none" w:sz="0" w:space="0" w:color="auto"/>
                                    <w:left w:val="none" w:sz="0" w:space="0" w:color="auto"/>
                                    <w:bottom w:val="none" w:sz="0" w:space="0" w:color="auto"/>
                                    <w:right w:val="none" w:sz="0" w:space="0" w:color="auto"/>
                                  </w:divBdr>
                                  <w:divsChild>
                                    <w:div w:id="14474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3268942">
      <w:bodyDiv w:val="1"/>
      <w:marLeft w:val="0"/>
      <w:marRight w:val="0"/>
      <w:marTop w:val="0"/>
      <w:marBottom w:val="0"/>
      <w:divBdr>
        <w:top w:val="none" w:sz="0" w:space="0" w:color="auto"/>
        <w:left w:val="none" w:sz="0" w:space="0" w:color="auto"/>
        <w:bottom w:val="none" w:sz="0" w:space="0" w:color="auto"/>
        <w:right w:val="none" w:sz="0" w:space="0" w:color="auto"/>
      </w:divBdr>
      <w:divsChild>
        <w:div w:id="1982271636">
          <w:marLeft w:val="0"/>
          <w:marRight w:val="0"/>
          <w:marTop w:val="0"/>
          <w:marBottom w:val="0"/>
          <w:divBdr>
            <w:top w:val="none" w:sz="0" w:space="0" w:color="auto"/>
            <w:left w:val="none" w:sz="0" w:space="0" w:color="auto"/>
            <w:bottom w:val="none" w:sz="0" w:space="0" w:color="auto"/>
            <w:right w:val="none" w:sz="0" w:space="0" w:color="auto"/>
          </w:divBdr>
        </w:div>
        <w:div w:id="1303803934">
          <w:marLeft w:val="0"/>
          <w:marRight w:val="0"/>
          <w:marTop w:val="0"/>
          <w:marBottom w:val="0"/>
          <w:divBdr>
            <w:top w:val="none" w:sz="0" w:space="0" w:color="auto"/>
            <w:left w:val="none" w:sz="0" w:space="0" w:color="auto"/>
            <w:bottom w:val="none" w:sz="0" w:space="0" w:color="auto"/>
            <w:right w:val="none" w:sz="0" w:space="0" w:color="auto"/>
          </w:divBdr>
          <w:divsChild>
            <w:div w:id="33739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27233">
      <w:bodyDiv w:val="1"/>
      <w:marLeft w:val="0"/>
      <w:marRight w:val="0"/>
      <w:marTop w:val="0"/>
      <w:marBottom w:val="0"/>
      <w:divBdr>
        <w:top w:val="none" w:sz="0" w:space="0" w:color="auto"/>
        <w:left w:val="none" w:sz="0" w:space="0" w:color="auto"/>
        <w:bottom w:val="none" w:sz="0" w:space="0" w:color="auto"/>
        <w:right w:val="none" w:sz="0" w:space="0" w:color="auto"/>
      </w:divBdr>
      <w:divsChild>
        <w:div w:id="1311834162">
          <w:marLeft w:val="0"/>
          <w:marRight w:val="0"/>
          <w:marTop w:val="0"/>
          <w:marBottom w:val="0"/>
          <w:divBdr>
            <w:top w:val="none" w:sz="0" w:space="0" w:color="auto"/>
            <w:left w:val="none" w:sz="0" w:space="0" w:color="auto"/>
            <w:bottom w:val="none" w:sz="0" w:space="0" w:color="auto"/>
            <w:right w:val="none" w:sz="0" w:space="0" w:color="auto"/>
          </w:divBdr>
        </w:div>
        <w:div w:id="35476471">
          <w:marLeft w:val="0"/>
          <w:marRight w:val="0"/>
          <w:marTop w:val="0"/>
          <w:marBottom w:val="0"/>
          <w:divBdr>
            <w:top w:val="none" w:sz="0" w:space="0" w:color="auto"/>
            <w:left w:val="none" w:sz="0" w:space="0" w:color="auto"/>
            <w:bottom w:val="none" w:sz="0" w:space="0" w:color="auto"/>
            <w:right w:val="none" w:sz="0" w:space="0" w:color="auto"/>
          </w:divBdr>
        </w:div>
      </w:divsChild>
    </w:div>
    <w:div w:id="1689133895">
      <w:bodyDiv w:val="1"/>
      <w:marLeft w:val="0"/>
      <w:marRight w:val="0"/>
      <w:marTop w:val="0"/>
      <w:marBottom w:val="0"/>
      <w:divBdr>
        <w:top w:val="none" w:sz="0" w:space="0" w:color="auto"/>
        <w:left w:val="none" w:sz="0" w:space="0" w:color="auto"/>
        <w:bottom w:val="none" w:sz="0" w:space="0" w:color="auto"/>
        <w:right w:val="none" w:sz="0" w:space="0" w:color="auto"/>
      </w:divBdr>
    </w:div>
    <w:div w:id="2080013466">
      <w:bodyDiv w:val="1"/>
      <w:marLeft w:val="0"/>
      <w:marRight w:val="0"/>
      <w:marTop w:val="0"/>
      <w:marBottom w:val="0"/>
      <w:divBdr>
        <w:top w:val="none" w:sz="0" w:space="0" w:color="auto"/>
        <w:left w:val="none" w:sz="0" w:space="0" w:color="auto"/>
        <w:bottom w:val="none" w:sz="0" w:space="0" w:color="auto"/>
        <w:right w:val="none" w:sz="0" w:space="0" w:color="auto"/>
      </w:divBdr>
    </w:div>
    <w:div w:id="2120486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6518</TotalTime>
  <Pages>5</Pages>
  <Words>2815</Words>
  <Characters>14473</Characters>
  <Application>Microsoft Office Word</Application>
  <DocSecurity>0</DocSecurity>
  <Lines>195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837</cp:revision>
  <dcterms:created xsi:type="dcterms:W3CDTF">2021-02-09T20:03:00Z</dcterms:created>
  <dcterms:modified xsi:type="dcterms:W3CDTF">2021-02-14T17:29:00Z</dcterms:modified>
</cp:coreProperties>
</file>