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96474" w14:textId="77777777" w:rsidR="007F0CE8" w:rsidRDefault="007F0CE8" w:rsidP="007F0CE8">
      <w:pPr>
        <w:spacing w:before="212"/>
        <w:jc w:val="center"/>
        <w:rPr>
          <w:rFonts w:ascii="Arial"/>
          <w:b/>
          <w:sz w:val="56"/>
        </w:rPr>
      </w:pPr>
      <w:r>
        <w:rPr>
          <w:rFonts w:ascii="Arial"/>
          <w:b/>
          <w:noProof/>
          <w:sz w:val="56"/>
        </w:rPr>
        <w:drawing>
          <wp:inline distT="0" distB="0" distL="0" distR="0" wp14:anchorId="7D92A728" wp14:editId="7E23B08C">
            <wp:extent cx="3524324" cy="1404938"/>
            <wp:effectExtent l="0" t="0" r="0" b="508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75EFBD02" w14:textId="77777777" w:rsidR="007F0CE8" w:rsidRPr="0066224E" w:rsidRDefault="007F0CE8" w:rsidP="007F0CE8">
      <w:pPr>
        <w:spacing w:before="212"/>
        <w:jc w:val="center"/>
        <w:rPr>
          <w:rFonts w:ascii="Arial"/>
          <w:b/>
          <w:sz w:val="36"/>
          <w:szCs w:val="36"/>
        </w:rPr>
      </w:pPr>
    </w:p>
    <w:p w14:paraId="0932F422" w14:textId="77777777" w:rsidR="007F0CE8" w:rsidRDefault="007F0CE8" w:rsidP="007F0CE8">
      <w:pPr>
        <w:spacing w:before="212"/>
        <w:rPr>
          <w:rFonts w:ascii="Arial"/>
          <w:b/>
          <w:sz w:val="56"/>
        </w:rPr>
      </w:pPr>
    </w:p>
    <w:p w14:paraId="02CC8051" w14:textId="689746A6" w:rsidR="007F0CE8" w:rsidRPr="00AD6D49" w:rsidRDefault="007F0CE8" w:rsidP="007F0CE8">
      <w:pPr>
        <w:spacing w:before="212"/>
        <w:rPr>
          <w:rFonts w:ascii="Arial"/>
          <w:b/>
          <w:sz w:val="48"/>
          <w:szCs w:val="48"/>
          <w:lang w:val="fr-FR"/>
        </w:rPr>
      </w:pPr>
      <w:r w:rsidRPr="00AD6D49">
        <w:rPr>
          <w:rFonts w:ascii="Arial"/>
          <w:b/>
          <w:sz w:val="48"/>
          <w:szCs w:val="48"/>
          <w:lang w:val="fr-FR"/>
        </w:rPr>
        <w:t xml:space="preserve">MODULE </w:t>
      </w:r>
      <w:proofErr w:type="gramStart"/>
      <w:r w:rsidRPr="00AD6D49">
        <w:rPr>
          <w:rFonts w:ascii="Arial"/>
          <w:b/>
          <w:sz w:val="48"/>
          <w:szCs w:val="48"/>
          <w:lang w:val="fr-FR"/>
        </w:rPr>
        <w:t>CODE:</w:t>
      </w:r>
      <w:proofErr w:type="gramEnd"/>
      <w:r w:rsidRPr="00AD6D49">
        <w:rPr>
          <w:rFonts w:ascii="Arial"/>
          <w:b/>
          <w:sz w:val="48"/>
          <w:szCs w:val="48"/>
          <w:lang w:val="fr-FR"/>
        </w:rPr>
        <w:t xml:space="preserve"> ECDE701</w:t>
      </w:r>
      <w:r>
        <w:rPr>
          <w:rFonts w:ascii="Arial"/>
          <w:b/>
          <w:sz w:val="48"/>
          <w:szCs w:val="48"/>
          <w:lang w:val="fr-FR"/>
        </w:rPr>
        <w:t>3</w:t>
      </w:r>
    </w:p>
    <w:p w14:paraId="7A634D3C" w14:textId="77777777" w:rsidR="007F0CE8" w:rsidRPr="00AD6D49" w:rsidRDefault="007F0CE8" w:rsidP="007F0CE8">
      <w:pPr>
        <w:spacing w:before="212"/>
        <w:rPr>
          <w:rFonts w:ascii="Arial"/>
          <w:b/>
          <w:sz w:val="48"/>
          <w:szCs w:val="48"/>
          <w:lang w:val="fr-FR"/>
        </w:rPr>
      </w:pPr>
    </w:p>
    <w:p w14:paraId="4E96DE46" w14:textId="2D3C3CAA" w:rsidR="007F0CE8" w:rsidRPr="00AD6D49" w:rsidRDefault="007F0CE8" w:rsidP="007F0CE8">
      <w:pPr>
        <w:spacing w:before="212"/>
        <w:rPr>
          <w:rFonts w:ascii="Arial"/>
          <w:b/>
          <w:sz w:val="48"/>
          <w:szCs w:val="48"/>
          <w:lang w:val="fr-FR"/>
        </w:rPr>
      </w:pPr>
      <w:r w:rsidRPr="00AD6D49">
        <w:rPr>
          <w:rFonts w:ascii="Arial"/>
          <w:b/>
          <w:sz w:val="48"/>
          <w:szCs w:val="48"/>
          <w:lang w:val="fr-FR"/>
        </w:rPr>
        <w:t xml:space="preserve">ASSESSMENT </w:t>
      </w:r>
      <w:proofErr w:type="gramStart"/>
      <w:r w:rsidRPr="00AD6D49">
        <w:rPr>
          <w:rFonts w:ascii="Arial"/>
          <w:b/>
          <w:sz w:val="48"/>
          <w:szCs w:val="48"/>
          <w:lang w:val="fr-FR"/>
        </w:rPr>
        <w:t>COMPONENT:</w:t>
      </w:r>
      <w:proofErr w:type="gramEnd"/>
      <w:r w:rsidRPr="00AD6D49">
        <w:rPr>
          <w:rFonts w:ascii="Arial"/>
          <w:b/>
          <w:sz w:val="48"/>
          <w:szCs w:val="48"/>
          <w:lang w:val="fr-FR"/>
        </w:rPr>
        <w:t xml:space="preserve"> </w:t>
      </w:r>
      <w:r>
        <w:rPr>
          <w:rFonts w:ascii="Arial"/>
          <w:b/>
          <w:sz w:val="48"/>
          <w:szCs w:val="48"/>
          <w:lang w:val="fr-FR"/>
        </w:rPr>
        <w:t>2</w:t>
      </w:r>
    </w:p>
    <w:p w14:paraId="0CDA0E5B" w14:textId="77777777" w:rsidR="007F0CE8" w:rsidRPr="00AD6D49" w:rsidRDefault="007F0CE8" w:rsidP="007F0CE8">
      <w:pPr>
        <w:spacing w:before="7"/>
        <w:jc w:val="center"/>
        <w:rPr>
          <w:rFonts w:ascii="Arial"/>
          <w:b/>
          <w:sz w:val="44"/>
          <w:lang w:val="fr-FR"/>
        </w:rPr>
      </w:pPr>
    </w:p>
    <w:p w14:paraId="24657441" w14:textId="77777777" w:rsidR="007F0CE8" w:rsidRPr="00E0469B" w:rsidRDefault="007F0CE8" w:rsidP="007F0CE8">
      <w:pPr>
        <w:spacing w:before="3"/>
        <w:rPr>
          <w:rFonts w:ascii="Arial"/>
          <w:b/>
          <w:sz w:val="48"/>
          <w:szCs w:val="48"/>
          <w:lang w:val="nl-NL"/>
        </w:rPr>
      </w:pPr>
      <w:r w:rsidRPr="00E0469B">
        <w:rPr>
          <w:rFonts w:ascii="Arial"/>
          <w:b/>
          <w:sz w:val="48"/>
          <w:szCs w:val="48"/>
          <w:lang w:val="nl-NL"/>
        </w:rPr>
        <w:t>STUDENT NAME: Katy Bernardelli</w:t>
      </w:r>
    </w:p>
    <w:p w14:paraId="6329A81E" w14:textId="77777777" w:rsidR="007F0CE8" w:rsidRPr="00E0469B" w:rsidRDefault="007F0CE8" w:rsidP="007F0CE8">
      <w:pPr>
        <w:spacing w:before="3"/>
        <w:rPr>
          <w:rFonts w:ascii="Arial"/>
          <w:b/>
          <w:sz w:val="48"/>
          <w:szCs w:val="48"/>
          <w:lang w:val="nl-NL"/>
        </w:rPr>
      </w:pPr>
    </w:p>
    <w:p w14:paraId="5023842E" w14:textId="77777777" w:rsidR="007F0CE8" w:rsidRPr="00C834F4" w:rsidRDefault="007F0CE8" w:rsidP="007F0CE8">
      <w:pPr>
        <w:spacing w:before="3"/>
        <w:rPr>
          <w:rFonts w:ascii="Arial"/>
          <w:b/>
          <w:sz w:val="48"/>
          <w:szCs w:val="48"/>
          <w:lang w:val="nl-NL"/>
        </w:rPr>
      </w:pPr>
      <w:r w:rsidRPr="00C834F4">
        <w:rPr>
          <w:rFonts w:ascii="Arial"/>
          <w:b/>
          <w:sz w:val="48"/>
          <w:szCs w:val="48"/>
          <w:lang w:val="nl-NL"/>
        </w:rPr>
        <w:t xml:space="preserve">STUDENT NUMBER: </w:t>
      </w:r>
      <w:r>
        <w:rPr>
          <w:rFonts w:ascii="Arial"/>
          <w:b/>
          <w:sz w:val="48"/>
          <w:szCs w:val="48"/>
          <w:lang w:val="nl-NL"/>
        </w:rPr>
        <w:t>2311581</w:t>
      </w:r>
    </w:p>
    <w:p w14:paraId="60DB7BA6" w14:textId="77777777" w:rsidR="00693900" w:rsidRDefault="00693900" w:rsidP="00693900">
      <w:pPr>
        <w:rPr>
          <w:lang w:val="nl-NL"/>
        </w:rPr>
      </w:pPr>
    </w:p>
    <w:p w14:paraId="23377833" w14:textId="77777777" w:rsidR="007F0CE8" w:rsidRDefault="007F0CE8" w:rsidP="00693900">
      <w:pPr>
        <w:rPr>
          <w:lang w:val="nl-NL"/>
        </w:rPr>
      </w:pPr>
    </w:p>
    <w:p w14:paraId="19EDD94B" w14:textId="77777777" w:rsidR="007F0CE8" w:rsidRDefault="007F0CE8" w:rsidP="00693900">
      <w:pPr>
        <w:rPr>
          <w:lang w:val="nl-NL"/>
        </w:rPr>
      </w:pPr>
    </w:p>
    <w:p w14:paraId="60B36ABC" w14:textId="77777777" w:rsidR="007F0CE8" w:rsidRDefault="007F0CE8" w:rsidP="00693900">
      <w:pPr>
        <w:rPr>
          <w:lang w:val="nl-NL"/>
        </w:rPr>
      </w:pPr>
    </w:p>
    <w:p w14:paraId="08F4AD45" w14:textId="77777777" w:rsidR="007F0CE8" w:rsidRDefault="007F0CE8" w:rsidP="00693900">
      <w:pPr>
        <w:rPr>
          <w:lang w:val="nl-NL"/>
        </w:rPr>
      </w:pPr>
    </w:p>
    <w:p w14:paraId="1B612DB9" w14:textId="7A23E201" w:rsidR="007F0CE8" w:rsidRDefault="007F0CE8">
      <w:pPr>
        <w:rPr>
          <w:lang w:val="nl-NL"/>
        </w:rPr>
      </w:pPr>
      <w:r>
        <w:rPr>
          <w:lang w:val="nl-NL"/>
        </w:rPr>
        <w:br w:type="page"/>
      </w:r>
    </w:p>
    <w:p w14:paraId="4DA22B5C" w14:textId="77777777" w:rsidR="007F0CE8" w:rsidRPr="007F0CE8" w:rsidRDefault="007F0CE8" w:rsidP="00693900">
      <w:pPr>
        <w:rPr>
          <w:lang w:val="nl-NL"/>
        </w:rPr>
      </w:pPr>
    </w:p>
    <w:sdt>
      <w:sdtPr>
        <w:rPr>
          <w:caps w:val="0"/>
          <w:color w:val="auto"/>
          <w:spacing w:val="0"/>
          <w:sz w:val="22"/>
          <w:szCs w:val="22"/>
        </w:rPr>
        <w:id w:val="638545166"/>
        <w:docPartObj>
          <w:docPartGallery w:val="Table of Contents"/>
          <w:docPartUnique/>
        </w:docPartObj>
      </w:sdtPr>
      <w:sdtEndPr>
        <w:rPr>
          <w:b/>
          <w:bCs/>
          <w:noProof/>
        </w:rPr>
      </w:sdtEndPr>
      <w:sdtContent>
        <w:p w14:paraId="4598E193" w14:textId="26B54440" w:rsidR="00693900" w:rsidRDefault="00693900">
          <w:pPr>
            <w:pStyle w:val="TOCHeading"/>
          </w:pPr>
          <w:r>
            <w:t>Table of Contents</w:t>
          </w:r>
        </w:p>
        <w:p w14:paraId="0F4F3E5B" w14:textId="29DDFE3A" w:rsidR="00693900" w:rsidRDefault="00693900">
          <w:pPr>
            <w:pStyle w:val="TOC1"/>
            <w:tabs>
              <w:tab w:val="right" w:leader="dot" w:pos="9350"/>
            </w:tabs>
            <w:rPr>
              <w:rFonts w:eastAsiaTheme="minorEastAsia" w:cstheme="minorBidi"/>
              <w:b w:val="0"/>
              <w:bCs w:val="0"/>
              <w:i w:val="0"/>
              <w:iCs w:val="0"/>
              <w:noProof/>
              <w:kern w:val="2"/>
              <w:szCs w:val="24"/>
              <w14:ligatures w14:val="standardContextual"/>
            </w:rPr>
          </w:pPr>
          <w:r>
            <w:rPr>
              <w:b w:val="0"/>
              <w:bCs w:val="0"/>
            </w:rPr>
            <w:fldChar w:fldCharType="begin"/>
          </w:r>
          <w:r>
            <w:instrText xml:space="preserve"> TOC \o "1-3" \h \z \u </w:instrText>
          </w:r>
          <w:r>
            <w:rPr>
              <w:b w:val="0"/>
              <w:bCs w:val="0"/>
            </w:rPr>
            <w:fldChar w:fldCharType="separate"/>
          </w:r>
          <w:hyperlink w:anchor="_Toc229750428" w:history="1">
            <w:r w:rsidRPr="007875A7">
              <w:rPr>
                <w:rStyle w:val="Hyperlink"/>
                <w:noProof/>
                <w:lang w:val="en-US"/>
              </w:rPr>
              <w:t>Exploring Academics’ perceptions of Education for Sustainable Development and its role in a history degree: policy-driven implementation, or accidental embedding?</w:t>
            </w:r>
            <w:r>
              <w:rPr>
                <w:noProof/>
                <w:webHidden/>
              </w:rPr>
              <w:tab/>
            </w:r>
            <w:r>
              <w:rPr>
                <w:noProof/>
                <w:webHidden/>
              </w:rPr>
              <w:fldChar w:fldCharType="begin"/>
            </w:r>
            <w:r>
              <w:rPr>
                <w:noProof/>
                <w:webHidden/>
              </w:rPr>
              <w:instrText xml:space="preserve"> PAGEREF _Toc229750428 \h </w:instrText>
            </w:r>
            <w:r>
              <w:rPr>
                <w:noProof/>
                <w:webHidden/>
              </w:rPr>
            </w:r>
            <w:r>
              <w:rPr>
                <w:noProof/>
                <w:webHidden/>
              </w:rPr>
              <w:fldChar w:fldCharType="separate"/>
            </w:r>
            <w:r>
              <w:rPr>
                <w:noProof/>
                <w:webHidden/>
              </w:rPr>
              <w:t>1</w:t>
            </w:r>
            <w:r>
              <w:rPr>
                <w:noProof/>
                <w:webHidden/>
              </w:rPr>
              <w:fldChar w:fldCharType="end"/>
            </w:r>
          </w:hyperlink>
        </w:p>
        <w:p w14:paraId="6E17D20B" w14:textId="6AA1C8B1" w:rsidR="00693900" w:rsidRDefault="00693900">
          <w:pPr>
            <w:pStyle w:val="TOC2"/>
            <w:tabs>
              <w:tab w:val="right" w:leader="dot" w:pos="9350"/>
            </w:tabs>
            <w:rPr>
              <w:rFonts w:eastAsiaTheme="minorEastAsia" w:cstheme="minorBidi"/>
              <w:b w:val="0"/>
              <w:bCs w:val="0"/>
              <w:noProof/>
              <w:kern w:val="2"/>
              <w:sz w:val="24"/>
              <w:szCs w:val="24"/>
              <w14:ligatures w14:val="standardContextual"/>
            </w:rPr>
          </w:pPr>
          <w:hyperlink w:anchor="_Toc229750429" w:history="1">
            <w:r w:rsidRPr="007875A7">
              <w:rPr>
                <w:rStyle w:val="Hyperlink"/>
                <w:noProof/>
                <w:lang w:val="en-US"/>
              </w:rPr>
              <w:t>1. INTRODUCTION</w:t>
            </w:r>
            <w:r>
              <w:rPr>
                <w:noProof/>
                <w:webHidden/>
              </w:rPr>
              <w:tab/>
            </w:r>
            <w:r>
              <w:rPr>
                <w:noProof/>
                <w:webHidden/>
              </w:rPr>
              <w:fldChar w:fldCharType="begin"/>
            </w:r>
            <w:r>
              <w:rPr>
                <w:noProof/>
                <w:webHidden/>
              </w:rPr>
              <w:instrText xml:space="preserve"> PAGEREF _Toc229750429 \h </w:instrText>
            </w:r>
            <w:r>
              <w:rPr>
                <w:noProof/>
                <w:webHidden/>
              </w:rPr>
            </w:r>
            <w:r>
              <w:rPr>
                <w:noProof/>
                <w:webHidden/>
              </w:rPr>
              <w:fldChar w:fldCharType="separate"/>
            </w:r>
            <w:r>
              <w:rPr>
                <w:noProof/>
                <w:webHidden/>
              </w:rPr>
              <w:t>1</w:t>
            </w:r>
            <w:r>
              <w:rPr>
                <w:noProof/>
                <w:webHidden/>
              </w:rPr>
              <w:fldChar w:fldCharType="end"/>
            </w:r>
          </w:hyperlink>
        </w:p>
        <w:p w14:paraId="22E1D78D" w14:textId="37F11DD4" w:rsidR="00693900" w:rsidRDefault="00693900">
          <w:pPr>
            <w:pStyle w:val="TOC2"/>
            <w:tabs>
              <w:tab w:val="right" w:leader="dot" w:pos="9350"/>
            </w:tabs>
            <w:rPr>
              <w:rFonts w:eastAsiaTheme="minorEastAsia" w:cstheme="minorBidi"/>
              <w:b w:val="0"/>
              <w:bCs w:val="0"/>
              <w:noProof/>
              <w:kern w:val="2"/>
              <w:sz w:val="24"/>
              <w:szCs w:val="24"/>
              <w14:ligatures w14:val="standardContextual"/>
            </w:rPr>
          </w:pPr>
          <w:hyperlink w:anchor="_Toc229750430" w:history="1">
            <w:r w:rsidRPr="007875A7">
              <w:rPr>
                <w:rStyle w:val="Hyperlink"/>
                <w:noProof/>
                <w:lang w:val="en-US"/>
              </w:rPr>
              <w:t>2. REVIEW OF THE LITERATURE</w:t>
            </w:r>
            <w:r>
              <w:rPr>
                <w:noProof/>
                <w:webHidden/>
              </w:rPr>
              <w:tab/>
            </w:r>
            <w:r>
              <w:rPr>
                <w:noProof/>
                <w:webHidden/>
              </w:rPr>
              <w:fldChar w:fldCharType="begin"/>
            </w:r>
            <w:r>
              <w:rPr>
                <w:noProof/>
                <w:webHidden/>
              </w:rPr>
              <w:instrText xml:space="preserve"> PAGEREF _Toc229750430 \h </w:instrText>
            </w:r>
            <w:r>
              <w:rPr>
                <w:noProof/>
                <w:webHidden/>
              </w:rPr>
            </w:r>
            <w:r>
              <w:rPr>
                <w:noProof/>
                <w:webHidden/>
              </w:rPr>
              <w:fldChar w:fldCharType="separate"/>
            </w:r>
            <w:r>
              <w:rPr>
                <w:noProof/>
                <w:webHidden/>
              </w:rPr>
              <w:t>3</w:t>
            </w:r>
            <w:r>
              <w:rPr>
                <w:noProof/>
                <w:webHidden/>
              </w:rPr>
              <w:fldChar w:fldCharType="end"/>
            </w:r>
          </w:hyperlink>
        </w:p>
        <w:p w14:paraId="4D16F0BF" w14:textId="2BEBCA18" w:rsidR="00693900" w:rsidRDefault="00693900">
          <w:pPr>
            <w:pStyle w:val="TOC3"/>
            <w:tabs>
              <w:tab w:val="right" w:leader="dot" w:pos="9350"/>
            </w:tabs>
            <w:rPr>
              <w:rFonts w:eastAsiaTheme="minorEastAsia" w:cstheme="minorBidi"/>
              <w:noProof/>
              <w:kern w:val="2"/>
              <w:sz w:val="24"/>
              <w14:ligatures w14:val="standardContextual"/>
            </w:rPr>
          </w:pPr>
          <w:hyperlink w:anchor="_Toc229750431" w:history="1">
            <w:r w:rsidRPr="007875A7">
              <w:rPr>
                <w:rStyle w:val="Hyperlink"/>
                <w:noProof/>
                <w:lang w:val="en-US"/>
              </w:rPr>
              <w:t>2.1 HISTORY AS A DISCIPLINE OF COMPLEXITY</w:t>
            </w:r>
            <w:r>
              <w:rPr>
                <w:noProof/>
                <w:webHidden/>
              </w:rPr>
              <w:tab/>
            </w:r>
            <w:r>
              <w:rPr>
                <w:noProof/>
                <w:webHidden/>
              </w:rPr>
              <w:fldChar w:fldCharType="begin"/>
            </w:r>
            <w:r>
              <w:rPr>
                <w:noProof/>
                <w:webHidden/>
              </w:rPr>
              <w:instrText xml:space="preserve"> PAGEREF _Toc229750431 \h </w:instrText>
            </w:r>
            <w:r>
              <w:rPr>
                <w:noProof/>
                <w:webHidden/>
              </w:rPr>
            </w:r>
            <w:r>
              <w:rPr>
                <w:noProof/>
                <w:webHidden/>
              </w:rPr>
              <w:fldChar w:fldCharType="separate"/>
            </w:r>
            <w:r>
              <w:rPr>
                <w:noProof/>
                <w:webHidden/>
              </w:rPr>
              <w:t>3</w:t>
            </w:r>
            <w:r>
              <w:rPr>
                <w:noProof/>
                <w:webHidden/>
              </w:rPr>
              <w:fldChar w:fldCharType="end"/>
            </w:r>
          </w:hyperlink>
        </w:p>
        <w:p w14:paraId="041EB5E5" w14:textId="24B6215E" w:rsidR="00693900" w:rsidRDefault="00693900">
          <w:pPr>
            <w:pStyle w:val="TOC3"/>
            <w:tabs>
              <w:tab w:val="right" w:leader="dot" w:pos="9350"/>
            </w:tabs>
            <w:rPr>
              <w:rFonts w:eastAsiaTheme="minorEastAsia" w:cstheme="minorBidi"/>
              <w:noProof/>
              <w:kern w:val="2"/>
              <w:sz w:val="24"/>
              <w14:ligatures w14:val="standardContextual"/>
            </w:rPr>
          </w:pPr>
          <w:hyperlink w:anchor="_Toc229750432" w:history="1">
            <w:r w:rsidRPr="007875A7">
              <w:rPr>
                <w:rStyle w:val="Hyperlink"/>
                <w:noProof/>
                <w:lang w:val="en-US"/>
              </w:rPr>
              <w:t>2.2 SUSTAINABILITY, HIGHER EDUCATION, AND THE CHALLENGE OF COMPLEXITY</w:t>
            </w:r>
            <w:r>
              <w:rPr>
                <w:noProof/>
                <w:webHidden/>
              </w:rPr>
              <w:tab/>
            </w:r>
            <w:r>
              <w:rPr>
                <w:noProof/>
                <w:webHidden/>
              </w:rPr>
              <w:fldChar w:fldCharType="begin"/>
            </w:r>
            <w:r>
              <w:rPr>
                <w:noProof/>
                <w:webHidden/>
              </w:rPr>
              <w:instrText xml:space="preserve"> PAGEREF _Toc229750432 \h </w:instrText>
            </w:r>
            <w:r>
              <w:rPr>
                <w:noProof/>
                <w:webHidden/>
              </w:rPr>
            </w:r>
            <w:r>
              <w:rPr>
                <w:noProof/>
                <w:webHidden/>
              </w:rPr>
              <w:fldChar w:fldCharType="separate"/>
            </w:r>
            <w:r>
              <w:rPr>
                <w:noProof/>
                <w:webHidden/>
              </w:rPr>
              <w:t>5</w:t>
            </w:r>
            <w:r>
              <w:rPr>
                <w:noProof/>
                <w:webHidden/>
              </w:rPr>
              <w:fldChar w:fldCharType="end"/>
            </w:r>
          </w:hyperlink>
        </w:p>
        <w:p w14:paraId="2934B1E3" w14:textId="5A120BC1" w:rsidR="00693900" w:rsidRDefault="00693900">
          <w:pPr>
            <w:pStyle w:val="TOC3"/>
            <w:tabs>
              <w:tab w:val="right" w:leader="dot" w:pos="9350"/>
            </w:tabs>
            <w:rPr>
              <w:rFonts w:eastAsiaTheme="minorEastAsia" w:cstheme="minorBidi"/>
              <w:noProof/>
              <w:kern w:val="2"/>
              <w:sz w:val="24"/>
              <w14:ligatures w14:val="standardContextual"/>
            </w:rPr>
          </w:pPr>
          <w:hyperlink w:anchor="_Toc229750433" w:history="1">
            <w:r w:rsidRPr="007875A7">
              <w:rPr>
                <w:rStyle w:val="Hyperlink"/>
                <w:noProof/>
                <w:lang w:val="en-US"/>
              </w:rPr>
              <w:t>2.3 ESD IN U.K. HIGHER EDUCATION: POLICY DRIVERS AND QUALITY FRAMEWORKS</w:t>
            </w:r>
            <w:r>
              <w:rPr>
                <w:noProof/>
                <w:webHidden/>
              </w:rPr>
              <w:tab/>
            </w:r>
            <w:r>
              <w:rPr>
                <w:noProof/>
                <w:webHidden/>
              </w:rPr>
              <w:fldChar w:fldCharType="begin"/>
            </w:r>
            <w:r>
              <w:rPr>
                <w:noProof/>
                <w:webHidden/>
              </w:rPr>
              <w:instrText xml:space="preserve"> PAGEREF _Toc229750433 \h </w:instrText>
            </w:r>
            <w:r>
              <w:rPr>
                <w:noProof/>
                <w:webHidden/>
              </w:rPr>
            </w:r>
            <w:r>
              <w:rPr>
                <w:noProof/>
                <w:webHidden/>
              </w:rPr>
              <w:fldChar w:fldCharType="separate"/>
            </w:r>
            <w:r>
              <w:rPr>
                <w:noProof/>
                <w:webHidden/>
              </w:rPr>
              <w:t>6</w:t>
            </w:r>
            <w:r>
              <w:rPr>
                <w:noProof/>
                <w:webHidden/>
              </w:rPr>
              <w:fldChar w:fldCharType="end"/>
            </w:r>
          </w:hyperlink>
        </w:p>
        <w:p w14:paraId="659924EF" w14:textId="702FA4E8" w:rsidR="00693900" w:rsidRDefault="00693900">
          <w:pPr>
            <w:pStyle w:val="TOC3"/>
            <w:tabs>
              <w:tab w:val="right" w:leader="dot" w:pos="9350"/>
            </w:tabs>
            <w:rPr>
              <w:rFonts w:eastAsiaTheme="minorEastAsia" w:cstheme="minorBidi"/>
              <w:noProof/>
              <w:kern w:val="2"/>
              <w:sz w:val="24"/>
              <w14:ligatures w14:val="standardContextual"/>
            </w:rPr>
          </w:pPr>
          <w:hyperlink w:anchor="_Toc229750434" w:history="1">
            <w:r w:rsidRPr="007875A7">
              <w:rPr>
                <w:rStyle w:val="Hyperlink"/>
                <w:noProof/>
                <w:lang w:val="en-US"/>
              </w:rPr>
              <w:t>2.4 ACADEMICS’ PERCEPTIONS OF ESD</w:t>
            </w:r>
            <w:r>
              <w:rPr>
                <w:noProof/>
                <w:webHidden/>
              </w:rPr>
              <w:tab/>
            </w:r>
            <w:r>
              <w:rPr>
                <w:noProof/>
                <w:webHidden/>
              </w:rPr>
              <w:fldChar w:fldCharType="begin"/>
            </w:r>
            <w:r>
              <w:rPr>
                <w:noProof/>
                <w:webHidden/>
              </w:rPr>
              <w:instrText xml:space="preserve"> PAGEREF _Toc229750434 \h </w:instrText>
            </w:r>
            <w:r>
              <w:rPr>
                <w:noProof/>
                <w:webHidden/>
              </w:rPr>
            </w:r>
            <w:r>
              <w:rPr>
                <w:noProof/>
                <w:webHidden/>
              </w:rPr>
              <w:fldChar w:fldCharType="separate"/>
            </w:r>
            <w:r>
              <w:rPr>
                <w:noProof/>
                <w:webHidden/>
              </w:rPr>
              <w:t>7</w:t>
            </w:r>
            <w:r>
              <w:rPr>
                <w:noProof/>
                <w:webHidden/>
              </w:rPr>
              <w:fldChar w:fldCharType="end"/>
            </w:r>
          </w:hyperlink>
        </w:p>
        <w:p w14:paraId="3F2ACC00" w14:textId="2FC86D4A" w:rsidR="00693900" w:rsidRDefault="00693900">
          <w:pPr>
            <w:pStyle w:val="TOC3"/>
            <w:tabs>
              <w:tab w:val="right" w:leader="dot" w:pos="9350"/>
            </w:tabs>
            <w:rPr>
              <w:rFonts w:eastAsiaTheme="minorEastAsia" w:cstheme="minorBidi"/>
              <w:noProof/>
              <w:kern w:val="2"/>
              <w:sz w:val="24"/>
              <w14:ligatures w14:val="standardContextual"/>
            </w:rPr>
          </w:pPr>
          <w:hyperlink w:anchor="_Toc229750435" w:history="1">
            <w:r w:rsidRPr="007875A7">
              <w:rPr>
                <w:rStyle w:val="Hyperlink"/>
                <w:noProof/>
                <w:lang w:val="en-US"/>
              </w:rPr>
              <w:t>2.5 EVOLVING APPROACHES TO HISTORY TEACHING IN HIGHER EDUCATION</w:t>
            </w:r>
            <w:r>
              <w:rPr>
                <w:noProof/>
                <w:webHidden/>
              </w:rPr>
              <w:tab/>
            </w:r>
            <w:r>
              <w:rPr>
                <w:noProof/>
                <w:webHidden/>
              </w:rPr>
              <w:fldChar w:fldCharType="begin"/>
            </w:r>
            <w:r>
              <w:rPr>
                <w:noProof/>
                <w:webHidden/>
              </w:rPr>
              <w:instrText xml:space="preserve"> PAGEREF _Toc229750435 \h </w:instrText>
            </w:r>
            <w:r>
              <w:rPr>
                <w:noProof/>
                <w:webHidden/>
              </w:rPr>
            </w:r>
            <w:r>
              <w:rPr>
                <w:noProof/>
                <w:webHidden/>
              </w:rPr>
              <w:fldChar w:fldCharType="separate"/>
            </w:r>
            <w:r>
              <w:rPr>
                <w:noProof/>
                <w:webHidden/>
              </w:rPr>
              <w:t>10</w:t>
            </w:r>
            <w:r>
              <w:rPr>
                <w:noProof/>
                <w:webHidden/>
              </w:rPr>
              <w:fldChar w:fldCharType="end"/>
            </w:r>
          </w:hyperlink>
        </w:p>
        <w:p w14:paraId="67E0FA68" w14:textId="4CA27A4C" w:rsidR="00693900" w:rsidRDefault="00693900">
          <w:pPr>
            <w:pStyle w:val="TOC3"/>
            <w:tabs>
              <w:tab w:val="right" w:leader="dot" w:pos="9350"/>
            </w:tabs>
            <w:rPr>
              <w:rFonts w:eastAsiaTheme="minorEastAsia" w:cstheme="minorBidi"/>
              <w:noProof/>
              <w:kern w:val="2"/>
              <w:sz w:val="24"/>
              <w14:ligatures w14:val="standardContextual"/>
            </w:rPr>
          </w:pPr>
          <w:hyperlink w:anchor="_Toc229750436" w:history="1">
            <w:r w:rsidRPr="007875A7">
              <w:rPr>
                <w:rStyle w:val="Hyperlink"/>
                <w:noProof/>
                <w:lang w:val="en-US"/>
              </w:rPr>
              <w:t>2.6 ESD AND HISTORY: THE STATE OF THE FIELD</w:t>
            </w:r>
            <w:r>
              <w:rPr>
                <w:noProof/>
                <w:webHidden/>
              </w:rPr>
              <w:tab/>
            </w:r>
            <w:r>
              <w:rPr>
                <w:noProof/>
                <w:webHidden/>
              </w:rPr>
              <w:fldChar w:fldCharType="begin"/>
            </w:r>
            <w:r>
              <w:rPr>
                <w:noProof/>
                <w:webHidden/>
              </w:rPr>
              <w:instrText xml:space="preserve"> PAGEREF _Toc229750436 \h </w:instrText>
            </w:r>
            <w:r>
              <w:rPr>
                <w:noProof/>
                <w:webHidden/>
              </w:rPr>
            </w:r>
            <w:r>
              <w:rPr>
                <w:noProof/>
                <w:webHidden/>
              </w:rPr>
              <w:fldChar w:fldCharType="separate"/>
            </w:r>
            <w:r>
              <w:rPr>
                <w:noProof/>
                <w:webHidden/>
              </w:rPr>
              <w:t>11</w:t>
            </w:r>
            <w:r>
              <w:rPr>
                <w:noProof/>
                <w:webHidden/>
              </w:rPr>
              <w:fldChar w:fldCharType="end"/>
            </w:r>
          </w:hyperlink>
        </w:p>
        <w:p w14:paraId="3CF362E4" w14:textId="32E5B1B5" w:rsidR="00693900" w:rsidRDefault="00693900">
          <w:pPr>
            <w:pStyle w:val="TOC3"/>
            <w:tabs>
              <w:tab w:val="right" w:leader="dot" w:pos="9350"/>
            </w:tabs>
            <w:rPr>
              <w:rFonts w:eastAsiaTheme="minorEastAsia" w:cstheme="minorBidi"/>
              <w:noProof/>
              <w:kern w:val="2"/>
              <w:sz w:val="24"/>
              <w14:ligatures w14:val="standardContextual"/>
            </w:rPr>
          </w:pPr>
          <w:hyperlink w:anchor="_Toc229750437" w:history="1">
            <w:r w:rsidRPr="007875A7">
              <w:rPr>
                <w:rStyle w:val="Hyperlink"/>
                <w:noProof/>
                <w:lang w:val="en-US"/>
              </w:rPr>
              <w:t>2.7 SUMMARY: THE GAP IN THE LITERATURE</w:t>
            </w:r>
            <w:r>
              <w:rPr>
                <w:noProof/>
                <w:webHidden/>
              </w:rPr>
              <w:tab/>
            </w:r>
            <w:r>
              <w:rPr>
                <w:noProof/>
                <w:webHidden/>
              </w:rPr>
              <w:fldChar w:fldCharType="begin"/>
            </w:r>
            <w:r>
              <w:rPr>
                <w:noProof/>
                <w:webHidden/>
              </w:rPr>
              <w:instrText xml:space="preserve"> PAGEREF _Toc229750437 \h </w:instrText>
            </w:r>
            <w:r>
              <w:rPr>
                <w:noProof/>
                <w:webHidden/>
              </w:rPr>
            </w:r>
            <w:r>
              <w:rPr>
                <w:noProof/>
                <w:webHidden/>
              </w:rPr>
              <w:fldChar w:fldCharType="separate"/>
            </w:r>
            <w:r>
              <w:rPr>
                <w:noProof/>
                <w:webHidden/>
              </w:rPr>
              <w:t>12</w:t>
            </w:r>
            <w:r>
              <w:rPr>
                <w:noProof/>
                <w:webHidden/>
              </w:rPr>
              <w:fldChar w:fldCharType="end"/>
            </w:r>
          </w:hyperlink>
        </w:p>
        <w:p w14:paraId="60258903" w14:textId="7F2897F5" w:rsidR="00693900" w:rsidRDefault="00693900">
          <w:pPr>
            <w:pStyle w:val="TOC2"/>
            <w:tabs>
              <w:tab w:val="right" w:leader="dot" w:pos="9350"/>
            </w:tabs>
            <w:rPr>
              <w:rFonts w:eastAsiaTheme="minorEastAsia" w:cstheme="minorBidi"/>
              <w:b w:val="0"/>
              <w:bCs w:val="0"/>
              <w:noProof/>
              <w:kern w:val="2"/>
              <w:sz w:val="24"/>
              <w:szCs w:val="24"/>
              <w14:ligatures w14:val="standardContextual"/>
            </w:rPr>
          </w:pPr>
          <w:hyperlink w:anchor="_Toc229750438" w:history="1">
            <w:r w:rsidRPr="007875A7">
              <w:rPr>
                <w:rStyle w:val="Hyperlink"/>
                <w:noProof/>
                <w:lang w:val="en-US"/>
              </w:rPr>
              <w:t>3. METHODOLOGY</w:t>
            </w:r>
            <w:r>
              <w:rPr>
                <w:noProof/>
                <w:webHidden/>
              </w:rPr>
              <w:tab/>
            </w:r>
            <w:r>
              <w:rPr>
                <w:noProof/>
                <w:webHidden/>
              </w:rPr>
              <w:fldChar w:fldCharType="begin"/>
            </w:r>
            <w:r>
              <w:rPr>
                <w:noProof/>
                <w:webHidden/>
              </w:rPr>
              <w:instrText xml:space="preserve"> PAGEREF _Toc229750438 \h </w:instrText>
            </w:r>
            <w:r>
              <w:rPr>
                <w:noProof/>
                <w:webHidden/>
              </w:rPr>
            </w:r>
            <w:r>
              <w:rPr>
                <w:noProof/>
                <w:webHidden/>
              </w:rPr>
              <w:fldChar w:fldCharType="separate"/>
            </w:r>
            <w:r>
              <w:rPr>
                <w:noProof/>
                <w:webHidden/>
              </w:rPr>
              <w:t>13</w:t>
            </w:r>
            <w:r>
              <w:rPr>
                <w:noProof/>
                <w:webHidden/>
              </w:rPr>
              <w:fldChar w:fldCharType="end"/>
            </w:r>
          </w:hyperlink>
        </w:p>
        <w:p w14:paraId="1B061D2C" w14:textId="559F01E1" w:rsidR="00693900" w:rsidRDefault="00693900">
          <w:pPr>
            <w:pStyle w:val="TOC3"/>
            <w:tabs>
              <w:tab w:val="right" w:leader="dot" w:pos="9350"/>
            </w:tabs>
            <w:rPr>
              <w:rFonts w:eastAsiaTheme="minorEastAsia" w:cstheme="minorBidi"/>
              <w:noProof/>
              <w:kern w:val="2"/>
              <w:sz w:val="24"/>
              <w14:ligatures w14:val="standardContextual"/>
            </w:rPr>
          </w:pPr>
          <w:hyperlink w:anchor="_Toc229750439" w:history="1">
            <w:r w:rsidRPr="007875A7">
              <w:rPr>
                <w:rStyle w:val="Hyperlink"/>
                <w:noProof/>
                <w:lang w:val="en-US"/>
              </w:rPr>
              <w:t>3.1 RESEARCH CONTEXT</w:t>
            </w:r>
            <w:r>
              <w:rPr>
                <w:noProof/>
                <w:webHidden/>
              </w:rPr>
              <w:tab/>
            </w:r>
            <w:r>
              <w:rPr>
                <w:noProof/>
                <w:webHidden/>
              </w:rPr>
              <w:fldChar w:fldCharType="begin"/>
            </w:r>
            <w:r>
              <w:rPr>
                <w:noProof/>
                <w:webHidden/>
              </w:rPr>
              <w:instrText xml:space="preserve"> PAGEREF _Toc229750439 \h </w:instrText>
            </w:r>
            <w:r>
              <w:rPr>
                <w:noProof/>
                <w:webHidden/>
              </w:rPr>
            </w:r>
            <w:r>
              <w:rPr>
                <w:noProof/>
                <w:webHidden/>
              </w:rPr>
              <w:fldChar w:fldCharType="separate"/>
            </w:r>
            <w:r>
              <w:rPr>
                <w:noProof/>
                <w:webHidden/>
              </w:rPr>
              <w:t>13</w:t>
            </w:r>
            <w:r>
              <w:rPr>
                <w:noProof/>
                <w:webHidden/>
              </w:rPr>
              <w:fldChar w:fldCharType="end"/>
            </w:r>
          </w:hyperlink>
        </w:p>
        <w:p w14:paraId="5499D5BC" w14:textId="40C3D9F7" w:rsidR="00693900" w:rsidRDefault="00693900">
          <w:pPr>
            <w:pStyle w:val="TOC3"/>
            <w:tabs>
              <w:tab w:val="right" w:leader="dot" w:pos="9350"/>
            </w:tabs>
            <w:rPr>
              <w:rFonts w:eastAsiaTheme="minorEastAsia" w:cstheme="minorBidi"/>
              <w:noProof/>
              <w:kern w:val="2"/>
              <w:sz w:val="24"/>
              <w14:ligatures w14:val="standardContextual"/>
            </w:rPr>
          </w:pPr>
          <w:hyperlink w:anchor="_Toc229750440" w:history="1">
            <w:r w:rsidRPr="007875A7">
              <w:rPr>
                <w:rStyle w:val="Hyperlink"/>
                <w:noProof/>
                <w:lang w:val="en-US"/>
              </w:rPr>
              <w:t>3.2 METHODOLOGY</w:t>
            </w:r>
            <w:r>
              <w:rPr>
                <w:noProof/>
                <w:webHidden/>
              </w:rPr>
              <w:tab/>
            </w:r>
            <w:r>
              <w:rPr>
                <w:noProof/>
                <w:webHidden/>
              </w:rPr>
              <w:fldChar w:fldCharType="begin"/>
            </w:r>
            <w:r>
              <w:rPr>
                <w:noProof/>
                <w:webHidden/>
              </w:rPr>
              <w:instrText xml:space="preserve"> PAGEREF _Toc229750440 \h </w:instrText>
            </w:r>
            <w:r>
              <w:rPr>
                <w:noProof/>
                <w:webHidden/>
              </w:rPr>
            </w:r>
            <w:r>
              <w:rPr>
                <w:noProof/>
                <w:webHidden/>
              </w:rPr>
              <w:fldChar w:fldCharType="separate"/>
            </w:r>
            <w:r>
              <w:rPr>
                <w:noProof/>
                <w:webHidden/>
              </w:rPr>
              <w:t>17</w:t>
            </w:r>
            <w:r>
              <w:rPr>
                <w:noProof/>
                <w:webHidden/>
              </w:rPr>
              <w:fldChar w:fldCharType="end"/>
            </w:r>
          </w:hyperlink>
        </w:p>
        <w:p w14:paraId="2CA96258" w14:textId="39958D65" w:rsidR="00693900" w:rsidRDefault="00693900">
          <w:pPr>
            <w:pStyle w:val="TOC3"/>
            <w:tabs>
              <w:tab w:val="right" w:leader="dot" w:pos="9350"/>
            </w:tabs>
            <w:rPr>
              <w:rFonts w:eastAsiaTheme="minorEastAsia" w:cstheme="minorBidi"/>
              <w:noProof/>
              <w:kern w:val="2"/>
              <w:sz w:val="24"/>
              <w14:ligatures w14:val="standardContextual"/>
            </w:rPr>
          </w:pPr>
          <w:hyperlink w:anchor="_Toc229750441" w:history="1">
            <w:r w:rsidRPr="007875A7">
              <w:rPr>
                <w:rStyle w:val="Hyperlink"/>
                <w:noProof/>
                <w:lang w:val="en-US"/>
              </w:rPr>
              <w:t>3.3 RESEARCH METHODS</w:t>
            </w:r>
            <w:r>
              <w:rPr>
                <w:noProof/>
                <w:webHidden/>
              </w:rPr>
              <w:tab/>
            </w:r>
            <w:r>
              <w:rPr>
                <w:noProof/>
                <w:webHidden/>
              </w:rPr>
              <w:fldChar w:fldCharType="begin"/>
            </w:r>
            <w:r>
              <w:rPr>
                <w:noProof/>
                <w:webHidden/>
              </w:rPr>
              <w:instrText xml:space="preserve"> PAGEREF _Toc229750441 \h </w:instrText>
            </w:r>
            <w:r>
              <w:rPr>
                <w:noProof/>
                <w:webHidden/>
              </w:rPr>
            </w:r>
            <w:r>
              <w:rPr>
                <w:noProof/>
                <w:webHidden/>
              </w:rPr>
              <w:fldChar w:fldCharType="separate"/>
            </w:r>
            <w:r>
              <w:rPr>
                <w:noProof/>
                <w:webHidden/>
              </w:rPr>
              <w:t>20</w:t>
            </w:r>
            <w:r>
              <w:rPr>
                <w:noProof/>
                <w:webHidden/>
              </w:rPr>
              <w:fldChar w:fldCharType="end"/>
            </w:r>
          </w:hyperlink>
        </w:p>
        <w:p w14:paraId="792E83A9" w14:textId="6D555E4B" w:rsidR="00693900" w:rsidRDefault="00693900">
          <w:pPr>
            <w:pStyle w:val="TOC3"/>
            <w:tabs>
              <w:tab w:val="right" w:leader="dot" w:pos="9350"/>
            </w:tabs>
            <w:rPr>
              <w:rFonts w:eastAsiaTheme="minorEastAsia" w:cstheme="minorBidi"/>
              <w:noProof/>
              <w:kern w:val="2"/>
              <w:sz w:val="24"/>
              <w14:ligatures w14:val="standardContextual"/>
            </w:rPr>
          </w:pPr>
          <w:hyperlink w:anchor="_Toc229750442" w:history="1">
            <w:r w:rsidRPr="007875A7">
              <w:rPr>
                <w:rStyle w:val="Hyperlink"/>
                <w:noProof/>
                <w:lang w:val="en-US"/>
              </w:rPr>
              <w:t>3.4 DATA ANALYSIS AND PRESENTATION OF FINDINGS</w:t>
            </w:r>
            <w:r>
              <w:rPr>
                <w:noProof/>
                <w:webHidden/>
              </w:rPr>
              <w:tab/>
            </w:r>
            <w:r>
              <w:rPr>
                <w:noProof/>
                <w:webHidden/>
              </w:rPr>
              <w:fldChar w:fldCharType="begin"/>
            </w:r>
            <w:r>
              <w:rPr>
                <w:noProof/>
                <w:webHidden/>
              </w:rPr>
              <w:instrText xml:space="preserve"> PAGEREF _Toc229750442 \h </w:instrText>
            </w:r>
            <w:r>
              <w:rPr>
                <w:noProof/>
                <w:webHidden/>
              </w:rPr>
            </w:r>
            <w:r>
              <w:rPr>
                <w:noProof/>
                <w:webHidden/>
              </w:rPr>
              <w:fldChar w:fldCharType="separate"/>
            </w:r>
            <w:r>
              <w:rPr>
                <w:noProof/>
                <w:webHidden/>
              </w:rPr>
              <w:t>29</w:t>
            </w:r>
            <w:r>
              <w:rPr>
                <w:noProof/>
                <w:webHidden/>
              </w:rPr>
              <w:fldChar w:fldCharType="end"/>
            </w:r>
          </w:hyperlink>
        </w:p>
        <w:p w14:paraId="087DE55B" w14:textId="0961C73E" w:rsidR="00693900" w:rsidRDefault="00693900">
          <w:pPr>
            <w:pStyle w:val="TOC2"/>
            <w:tabs>
              <w:tab w:val="right" w:leader="dot" w:pos="9350"/>
            </w:tabs>
            <w:rPr>
              <w:rFonts w:eastAsiaTheme="minorEastAsia" w:cstheme="minorBidi"/>
              <w:b w:val="0"/>
              <w:bCs w:val="0"/>
              <w:noProof/>
              <w:kern w:val="2"/>
              <w:sz w:val="24"/>
              <w:szCs w:val="24"/>
              <w14:ligatures w14:val="standardContextual"/>
            </w:rPr>
          </w:pPr>
          <w:hyperlink w:anchor="_Toc229750443" w:history="1">
            <w:r w:rsidRPr="007875A7">
              <w:rPr>
                <w:rStyle w:val="Hyperlink"/>
                <w:noProof/>
                <w:lang w:val="en-US"/>
              </w:rPr>
              <w:t>4. FINDINGS</w:t>
            </w:r>
            <w:r>
              <w:rPr>
                <w:noProof/>
                <w:webHidden/>
              </w:rPr>
              <w:tab/>
            </w:r>
            <w:r>
              <w:rPr>
                <w:noProof/>
                <w:webHidden/>
              </w:rPr>
              <w:fldChar w:fldCharType="begin"/>
            </w:r>
            <w:r>
              <w:rPr>
                <w:noProof/>
                <w:webHidden/>
              </w:rPr>
              <w:instrText xml:space="preserve"> PAGEREF _Toc229750443 \h </w:instrText>
            </w:r>
            <w:r>
              <w:rPr>
                <w:noProof/>
                <w:webHidden/>
              </w:rPr>
            </w:r>
            <w:r>
              <w:rPr>
                <w:noProof/>
                <w:webHidden/>
              </w:rPr>
              <w:fldChar w:fldCharType="separate"/>
            </w:r>
            <w:r>
              <w:rPr>
                <w:noProof/>
                <w:webHidden/>
              </w:rPr>
              <w:t>32</w:t>
            </w:r>
            <w:r>
              <w:rPr>
                <w:noProof/>
                <w:webHidden/>
              </w:rPr>
              <w:fldChar w:fldCharType="end"/>
            </w:r>
          </w:hyperlink>
        </w:p>
        <w:p w14:paraId="60D48A61" w14:textId="3BC79E2C" w:rsidR="00693900" w:rsidRDefault="00693900">
          <w:pPr>
            <w:pStyle w:val="TOC3"/>
            <w:tabs>
              <w:tab w:val="right" w:leader="dot" w:pos="9350"/>
            </w:tabs>
            <w:rPr>
              <w:rFonts w:eastAsiaTheme="minorEastAsia" w:cstheme="minorBidi"/>
              <w:noProof/>
              <w:kern w:val="2"/>
              <w:sz w:val="24"/>
              <w14:ligatures w14:val="standardContextual"/>
            </w:rPr>
          </w:pPr>
          <w:hyperlink w:anchor="_Toc229750444" w:history="1">
            <w:r w:rsidRPr="007875A7">
              <w:rPr>
                <w:rStyle w:val="Hyperlink"/>
                <w:noProof/>
                <w:lang w:val="en-US"/>
              </w:rPr>
              <w:t>4.1 PARTICIPANT RECRUITMENT AND RESPONSE</w:t>
            </w:r>
            <w:r>
              <w:rPr>
                <w:noProof/>
                <w:webHidden/>
              </w:rPr>
              <w:tab/>
            </w:r>
            <w:r>
              <w:rPr>
                <w:noProof/>
                <w:webHidden/>
              </w:rPr>
              <w:fldChar w:fldCharType="begin"/>
            </w:r>
            <w:r>
              <w:rPr>
                <w:noProof/>
                <w:webHidden/>
              </w:rPr>
              <w:instrText xml:space="preserve"> PAGEREF _Toc229750444 \h </w:instrText>
            </w:r>
            <w:r>
              <w:rPr>
                <w:noProof/>
                <w:webHidden/>
              </w:rPr>
            </w:r>
            <w:r>
              <w:rPr>
                <w:noProof/>
                <w:webHidden/>
              </w:rPr>
              <w:fldChar w:fldCharType="separate"/>
            </w:r>
            <w:r>
              <w:rPr>
                <w:noProof/>
                <w:webHidden/>
              </w:rPr>
              <w:t>32</w:t>
            </w:r>
            <w:r>
              <w:rPr>
                <w:noProof/>
                <w:webHidden/>
              </w:rPr>
              <w:fldChar w:fldCharType="end"/>
            </w:r>
          </w:hyperlink>
        </w:p>
        <w:p w14:paraId="54CD9F87" w14:textId="06A57CD8" w:rsidR="00693900" w:rsidRDefault="00693900">
          <w:pPr>
            <w:pStyle w:val="TOC3"/>
            <w:tabs>
              <w:tab w:val="right" w:leader="dot" w:pos="9350"/>
            </w:tabs>
            <w:rPr>
              <w:rFonts w:eastAsiaTheme="minorEastAsia" w:cstheme="minorBidi"/>
              <w:noProof/>
              <w:kern w:val="2"/>
              <w:sz w:val="24"/>
              <w14:ligatures w14:val="standardContextual"/>
            </w:rPr>
          </w:pPr>
          <w:hyperlink w:anchor="_Toc229750445" w:history="1">
            <w:r w:rsidRPr="007875A7">
              <w:rPr>
                <w:rStyle w:val="Hyperlink"/>
                <w:noProof/>
                <w:lang w:val="en-US"/>
              </w:rPr>
              <w:t>4.2 FACTOR EXTRACTION</w:t>
            </w:r>
            <w:r>
              <w:rPr>
                <w:noProof/>
                <w:webHidden/>
              </w:rPr>
              <w:tab/>
            </w:r>
            <w:r>
              <w:rPr>
                <w:noProof/>
                <w:webHidden/>
              </w:rPr>
              <w:fldChar w:fldCharType="begin"/>
            </w:r>
            <w:r>
              <w:rPr>
                <w:noProof/>
                <w:webHidden/>
              </w:rPr>
              <w:instrText xml:space="preserve"> PAGEREF _Toc229750445 \h </w:instrText>
            </w:r>
            <w:r>
              <w:rPr>
                <w:noProof/>
                <w:webHidden/>
              </w:rPr>
            </w:r>
            <w:r>
              <w:rPr>
                <w:noProof/>
                <w:webHidden/>
              </w:rPr>
              <w:fldChar w:fldCharType="separate"/>
            </w:r>
            <w:r>
              <w:rPr>
                <w:noProof/>
                <w:webHidden/>
              </w:rPr>
              <w:t>33</w:t>
            </w:r>
            <w:r>
              <w:rPr>
                <w:noProof/>
                <w:webHidden/>
              </w:rPr>
              <w:fldChar w:fldCharType="end"/>
            </w:r>
          </w:hyperlink>
        </w:p>
        <w:p w14:paraId="6F6DD448" w14:textId="1351616F" w:rsidR="00693900" w:rsidRDefault="00693900">
          <w:pPr>
            <w:pStyle w:val="TOC3"/>
            <w:tabs>
              <w:tab w:val="right" w:leader="dot" w:pos="9350"/>
            </w:tabs>
            <w:rPr>
              <w:rFonts w:eastAsiaTheme="minorEastAsia" w:cstheme="minorBidi"/>
              <w:noProof/>
              <w:kern w:val="2"/>
              <w:sz w:val="24"/>
              <w14:ligatures w14:val="standardContextual"/>
            </w:rPr>
          </w:pPr>
          <w:hyperlink w:anchor="_Toc229750446" w:history="1">
            <w:r w:rsidRPr="007875A7">
              <w:rPr>
                <w:rStyle w:val="Hyperlink"/>
                <w:noProof/>
                <w:lang w:val="en-US"/>
              </w:rPr>
              <w:t>4.3 FACTOR 1: ‘HISTORY IS ALREADY A SUSTAINABILITY DISCIPLINE – WE JUST HAVEN’T NAMED IT’</w:t>
            </w:r>
            <w:r>
              <w:rPr>
                <w:noProof/>
                <w:webHidden/>
              </w:rPr>
              <w:tab/>
            </w:r>
            <w:r>
              <w:rPr>
                <w:noProof/>
                <w:webHidden/>
              </w:rPr>
              <w:fldChar w:fldCharType="begin"/>
            </w:r>
            <w:r>
              <w:rPr>
                <w:noProof/>
                <w:webHidden/>
              </w:rPr>
              <w:instrText xml:space="preserve"> PAGEREF _Toc229750446 \h </w:instrText>
            </w:r>
            <w:r>
              <w:rPr>
                <w:noProof/>
                <w:webHidden/>
              </w:rPr>
            </w:r>
            <w:r>
              <w:rPr>
                <w:noProof/>
                <w:webHidden/>
              </w:rPr>
              <w:fldChar w:fldCharType="separate"/>
            </w:r>
            <w:r>
              <w:rPr>
                <w:noProof/>
                <w:webHidden/>
              </w:rPr>
              <w:t>34</w:t>
            </w:r>
            <w:r>
              <w:rPr>
                <w:noProof/>
                <w:webHidden/>
              </w:rPr>
              <w:fldChar w:fldCharType="end"/>
            </w:r>
          </w:hyperlink>
        </w:p>
        <w:p w14:paraId="6375D0FB" w14:textId="6FF8FCDD" w:rsidR="00693900" w:rsidRDefault="00693900">
          <w:pPr>
            <w:pStyle w:val="TOC3"/>
            <w:tabs>
              <w:tab w:val="right" w:leader="dot" w:pos="9350"/>
            </w:tabs>
            <w:rPr>
              <w:rFonts w:eastAsiaTheme="minorEastAsia" w:cstheme="minorBidi"/>
              <w:noProof/>
              <w:kern w:val="2"/>
              <w:sz w:val="24"/>
              <w14:ligatures w14:val="standardContextual"/>
            </w:rPr>
          </w:pPr>
          <w:hyperlink w:anchor="_Toc229750447" w:history="1">
            <w:r w:rsidRPr="007875A7">
              <w:rPr>
                <w:rStyle w:val="Hyperlink"/>
                <w:noProof/>
                <w:lang w:val="en-US"/>
              </w:rPr>
              <w:t>4.4 FACTOR 2: ‘HISTORY MUST ACTIVELY CHANGE TO ENGAGE WITH SUSTAINABILITY – AND WE NEED SUPPORT TO DO IT’</w:t>
            </w:r>
            <w:r>
              <w:rPr>
                <w:noProof/>
                <w:webHidden/>
              </w:rPr>
              <w:tab/>
            </w:r>
            <w:r>
              <w:rPr>
                <w:noProof/>
                <w:webHidden/>
              </w:rPr>
              <w:fldChar w:fldCharType="begin"/>
            </w:r>
            <w:r>
              <w:rPr>
                <w:noProof/>
                <w:webHidden/>
              </w:rPr>
              <w:instrText xml:space="preserve"> PAGEREF _Toc229750447 \h </w:instrText>
            </w:r>
            <w:r>
              <w:rPr>
                <w:noProof/>
                <w:webHidden/>
              </w:rPr>
            </w:r>
            <w:r>
              <w:rPr>
                <w:noProof/>
                <w:webHidden/>
              </w:rPr>
              <w:fldChar w:fldCharType="separate"/>
            </w:r>
            <w:r>
              <w:rPr>
                <w:noProof/>
                <w:webHidden/>
              </w:rPr>
              <w:t>40</w:t>
            </w:r>
            <w:r>
              <w:rPr>
                <w:noProof/>
                <w:webHidden/>
              </w:rPr>
              <w:fldChar w:fldCharType="end"/>
            </w:r>
          </w:hyperlink>
        </w:p>
        <w:p w14:paraId="39DF0C91" w14:textId="11DEA62E" w:rsidR="00693900" w:rsidRDefault="00693900">
          <w:pPr>
            <w:pStyle w:val="TOC3"/>
            <w:tabs>
              <w:tab w:val="right" w:leader="dot" w:pos="9350"/>
            </w:tabs>
            <w:rPr>
              <w:rFonts w:eastAsiaTheme="minorEastAsia" w:cstheme="minorBidi"/>
              <w:noProof/>
              <w:kern w:val="2"/>
              <w:sz w:val="24"/>
              <w14:ligatures w14:val="standardContextual"/>
            </w:rPr>
          </w:pPr>
          <w:hyperlink w:anchor="_Toc229750448" w:history="1">
            <w:r w:rsidRPr="007875A7">
              <w:rPr>
                <w:rStyle w:val="Hyperlink"/>
                <w:noProof/>
                <w:lang w:val="en-US"/>
              </w:rPr>
              <w:t>4.5 CONSENSUS STATEMENTS</w:t>
            </w:r>
            <w:r>
              <w:rPr>
                <w:noProof/>
                <w:webHidden/>
              </w:rPr>
              <w:tab/>
            </w:r>
            <w:r>
              <w:rPr>
                <w:noProof/>
                <w:webHidden/>
              </w:rPr>
              <w:fldChar w:fldCharType="begin"/>
            </w:r>
            <w:r>
              <w:rPr>
                <w:noProof/>
                <w:webHidden/>
              </w:rPr>
              <w:instrText xml:space="preserve"> PAGEREF _Toc229750448 \h </w:instrText>
            </w:r>
            <w:r>
              <w:rPr>
                <w:noProof/>
                <w:webHidden/>
              </w:rPr>
            </w:r>
            <w:r>
              <w:rPr>
                <w:noProof/>
                <w:webHidden/>
              </w:rPr>
              <w:fldChar w:fldCharType="separate"/>
            </w:r>
            <w:r>
              <w:rPr>
                <w:noProof/>
                <w:webHidden/>
              </w:rPr>
              <w:t>43</w:t>
            </w:r>
            <w:r>
              <w:rPr>
                <w:noProof/>
                <w:webHidden/>
              </w:rPr>
              <w:fldChar w:fldCharType="end"/>
            </w:r>
          </w:hyperlink>
        </w:p>
        <w:p w14:paraId="3CF1F948" w14:textId="1DCCDDD8" w:rsidR="00693900" w:rsidRDefault="00693900">
          <w:pPr>
            <w:pStyle w:val="TOC2"/>
            <w:tabs>
              <w:tab w:val="right" w:leader="dot" w:pos="9350"/>
            </w:tabs>
            <w:rPr>
              <w:rFonts w:eastAsiaTheme="minorEastAsia" w:cstheme="minorBidi"/>
              <w:b w:val="0"/>
              <w:bCs w:val="0"/>
              <w:noProof/>
              <w:kern w:val="2"/>
              <w:sz w:val="24"/>
              <w:szCs w:val="24"/>
              <w14:ligatures w14:val="standardContextual"/>
            </w:rPr>
          </w:pPr>
          <w:hyperlink w:anchor="_Toc229750449" w:history="1">
            <w:r w:rsidRPr="007875A7">
              <w:rPr>
                <w:rStyle w:val="Hyperlink"/>
                <w:noProof/>
                <w:lang w:val="en-US"/>
              </w:rPr>
              <w:t>5. DISCUSSION</w:t>
            </w:r>
            <w:r>
              <w:rPr>
                <w:noProof/>
                <w:webHidden/>
              </w:rPr>
              <w:tab/>
            </w:r>
            <w:r>
              <w:rPr>
                <w:noProof/>
                <w:webHidden/>
              </w:rPr>
              <w:fldChar w:fldCharType="begin"/>
            </w:r>
            <w:r>
              <w:rPr>
                <w:noProof/>
                <w:webHidden/>
              </w:rPr>
              <w:instrText xml:space="preserve"> PAGEREF _Toc229750449 \h </w:instrText>
            </w:r>
            <w:r>
              <w:rPr>
                <w:noProof/>
                <w:webHidden/>
              </w:rPr>
            </w:r>
            <w:r>
              <w:rPr>
                <w:noProof/>
                <w:webHidden/>
              </w:rPr>
              <w:fldChar w:fldCharType="separate"/>
            </w:r>
            <w:r>
              <w:rPr>
                <w:noProof/>
                <w:webHidden/>
              </w:rPr>
              <w:t>43</w:t>
            </w:r>
            <w:r>
              <w:rPr>
                <w:noProof/>
                <w:webHidden/>
              </w:rPr>
              <w:fldChar w:fldCharType="end"/>
            </w:r>
          </w:hyperlink>
        </w:p>
        <w:p w14:paraId="29F51A7F" w14:textId="32FEE8C0" w:rsidR="00693900" w:rsidRDefault="00693900">
          <w:pPr>
            <w:pStyle w:val="TOC3"/>
            <w:tabs>
              <w:tab w:val="right" w:leader="dot" w:pos="9350"/>
            </w:tabs>
            <w:rPr>
              <w:rFonts w:eastAsiaTheme="minorEastAsia" w:cstheme="minorBidi"/>
              <w:noProof/>
              <w:kern w:val="2"/>
              <w:sz w:val="24"/>
              <w14:ligatures w14:val="standardContextual"/>
            </w:rPr>
          </w:pPr>
          <w:hyperlink w:anchor="_Toc229750450" w:history="1">
            <w:r w:rsidRPr="007875A7">
              <w:rPr>
                <w:rStyle w:val="Hyperlink"/>
                <w:noProof/>
                <w:lang w:val="en-US"/>
              </w:rPr>
              <w:t>5.1 HISTORY’S EPISTEMOLOGICAL ALIGNMENT WITH SUSTAINABILITY: CONFIRMED BUT CONTESTED</w:t>
            </w:r>
            <w:r>
              <w:rPr>
                <w:noProof/>
                <w:webHidden/>
              </w:rPr>
              <w:tab/>
            </w:r>
            <w:r>
              <w:rPr>
                <w:noProof/>
                <w:webHidden/>
              </w:rPr>
              <w:fldChar w:fldCharType="begin"/>
            </w:r>
            <w:r>
              <w:rPr>
                <w:noProof/>
                <w:webHidden/>
              </w:rPr>
              <w:instrText xml:space="preserve"> PAGEREF _Toc229750450 \h </w:instrText>
            </w:r>
            <w:r>
              <w:rPr>
                <w:noProof/>
                <w:webHidden/>
              </w:rPr>
            </w:r>
            <w:r>
              <w:rPr>
                <w:noProof/>
                <w:webHidden/>
              </w:rPr>
              <w:fldChar w:fldCharType="separate"/>
            </w:r>
            <w:r>
              <w:rPr>
                <w:noProof/>
                <w:webHidden/>
              </w:rPr>
              <w:t>43</w:t>
            </w:r>
            <w:r>
              <w:rPr>
                <w:noProof/>
                <w:webHidden/>
              </w:rPr>
              <w:fldChar w:fldCharType="end"/>
            </w:r>
          </w:hyperlink>
        </w:p>
        <w:p w14:paraId="3B063DB9" w14:textId="7A064080" w:rsidR="00693900" w:rsidRDefault="00693900">
          <w:pPr>
            <w:pStyle w:val="TOC3"/>
            <w:tabs>
              <w:tab w:val="right" w:leader="dot" w:pos="9350"/>
            </w:tabs>
            <w:rPr>
              <w:rFonts w:eastAsiaTheme="minorEastAsia" w:cstheme="minorBidi"/>
              <w:noProof/>
              <w:kern w:val="2"/>
              <w:sz w:val="24"/>
              <w14:ligatures w14:val="standardContextual"/>
            </w:rPr>
          </w:pPr>
          <w:hyperlink w:anchor="_Toc229750451" w:history="1">
            <w:r w:rsidRPr="007875A7">
              <w:rPr>
                <w:rStyle w:val="Hyperlink"/>
                <w:noProof/>
                <w:lang w:val="en-US"/>
              </w:rPr>
              <w:t>5.2 ORGANIC EMBEDDING VERSUS DELIBERATE INTEGRATION: THE CENTRAL TENSION</w:t>
            </w:r>
            <w:r>
              <w:rPr>
                <w:noProof/>
                <w:webHidden/>
              </w:rPr>
              <w:tab/>
            </w:r>
            <w:r>
              <w:rPr>
                <w:noProof/>
                <w:webHidden/>
              </w:rPr>
              <w:fldChar w:fldCharType="begin"/>
            </w:r>
            <w:r>
              <w:rPr>
                <w:noProof/>
                <w:webHidden/>
              </w:rPr>
              <w:instrText xml:space="preserve"> PAGEREF _Toc229750451 \h </w:instrText>
            </w:r>
            <w:r>
              <w:rPr>
                <w:noProof/>
                <w:webHidden/>
              </w:rPr>
            </w:r>
            <w:r>
              <w:rPr>
                <w:noProof/>
                <w:webHidden/>
              </w:rPr>
              <w:fldChar w:fldCharType="separate"/>
            </w:r>
            <w:r>
              <w:rPr>
                <w:noProof/>
                <w:webHidden/>
              </w:rPr>
              <w:t>44</w:t>
            </w:r>
            <w:r>
              <w:rPr>
                <w:noProof/>
                <w:webHidden/>
              </w:rPr>
              <w:fldChar w:fldCharType="end"/>
            </w:r>
          </w:hyperlink>
        </w:p>
        <w:p w14:paraId="797AB5E6" w14:textId="65BB64D4" w:rsidR="00693900" w:rsidRDefault="00693900">
          <w:pPr>
            <w:pStyle w:val="TOC3"/>
            <w:tabs>
              <w:tab w:val="right" w:leader="dot" w:pos="9350"/>
            </w:tabs>
            <w:rPr>
              <w:rFonts w:eastAsiaTheme="minorEastAsia" w:cstheme="minorBidi"/>
              <w:noProof/>
              <w:kern w:val="2"/>
              <w:sz w:val="24"/>
              <w14:ligatures w14:val="standardContextual"/>
            </w:rPr>
          </w:pPr>
          <w:hyperlink w:anchor="_Toc229750452" w:history="1">
            <w:r w:rsidRPr="007875A7">
              <w:rPr>
                <w:rStyle w:val="Hyperlink"/>
                <w:noProof/>
                <w:lang w:val="en-US"/>
              </w:rPr>
              <w:t>5.3 THE ‘FUZZINESS’ OF SUSTAINABILITY: OBSTACLE OR ASSET?</w:t>
            </w:r>
            <w:r>
              <w:rPr>
                <w:noProof/>
                <w:webHidden/>
              </w:rPr>
              <w:tab/>
            </w:r>
            <w:r>
              <w:rPr>
                <w:noProof/>
                <w:webHidden/>
              </w:rPr>
              <w:fldChar w:fldCharType="begin"/>
            </w:r>
            <w:r>
              <w:rPr>
                <w:noProof/>
                <w:webHidden/>
              </w:rPr>
              <w:instrText xml:space="preserve"> PAGEREF _Toc229750452 \h </w:instrText>
            </w:r>
            <w:r>
              <w:rPr>
                <w:noProof/>
                <w:webHidden/>
              </w:rPr>
            </w:r>
            <w:r>
              <w:rPr>
                <w:noProof/>
                <w:webHidden/>
              </w:rPr>
              <w:fldChar w:fldCharType="separate"/>
            </w:r>
            <w:r>
              <w:rPr>
                <w:noProof/>
                <w:webHidden/>
              </w:rPr>
              <w:t>46</w:t>
            </w:r>
            <w:r>
              <w:rPr>
                <w:noProof/>
                <w:webHidden/>
              </w:rPr>
              <w:fldChar w:fldCharType="end"/>
            </w:r>
          </w:hyperlink>
        </w:p>
        <w:p w14:paraId="73A134A2" w14:textId="7380F70A" w:rsidR="00693900" w:rsidRDefault="00693900">
          <w:pPr>
            <w:pStyle w:val="TOC3"/>
            <w:tabs>
              <w:tab w:val="right" w:leader="dot" w:pos="9350"/>
            </w:tabs>
            <w:rPr>
              <w:rFonts w:eastAsiaTheme="minorEastAsia" w:cstheme="minorBidi"/>
              <w:noProof/>
              <w:kern w:val="2"/>
              <w:sz w:val="24"/>
              <w14:ligatures w14:val="standardContextual"/>
            </w:rPr>
          </w:pPr>
          <w:hyperlink w:anchor="_Toc229750453" w:history="1">
            <w:r w:rsidRPr="007875A7">
              <w:rPr>
                <w:rStyle w:val="Hyperlink"/>
                <w:noProof/>
                <w:lang w:val="en-US"/>
              </w:rPr>
              <w:t>5.4 BARRIERS TO ENGAGEMENT: RESOURCES, TRAINING AND INSTITUTIONAL FRAMING</w:t>
            </w:r>
            <w:r>
              <w:rPr>
                <w:noProof/>
                <w:webHidden/>
              </w:rPr>
              <w:tab/>
            </w:r>
            <w:r>
              <w:rPr>
                <w:noProof/>
                <w:webHidden/>
              </w:rPr>
              <w:fldChar w:fldCharType="begin"/>
            </w:r>
            <w:r>
              <w:rPr>
                <w:noProof/>
                <w:webHidden/>
              </w:rPr>
              <w:instrText xml:space="preserve"> PAGEREF _Toc229750453 \h </w:instrText>
            </w:r>
            <w:r>
              <w:rPr>
                <w:noProof/>
                <w:webHidden/>
              </w:rPr>
            </w:r>
            <w:r>
              <w:rPr>
                <w:noProof/>
                <w:webHidden/>
              </w:rPr>
              <w:fldChar w:fldCharType="separate"/>
            </w:r>
            <w:r>
              <w:rPr>
                <w:noProof/>
                <w:webHidden/>
              </w:rPr>
              <w:t>46</w:t>
            </w:r>
            <w:r>
              <w:rPr>
                <w:noProof/>
                <w:webHidden/>
              </w:rPr>
              <w:fldChar w:fldCharType="end"/>
            </w:r>
          </w:hyperlink>
        </w:p>
        <w:p w14:paraId="0A6D2344" w14:textId="45C856D6" w:rsidR="00693900" w:rsidRDefault="00693900">
          <w:pPr>
            <w:pStyle w:val="TOC3"/>
            <w:tabs>
              <w:tab w:val="right" w:leader="dot" w:pos="9350"/>
            </w:tabs>
            <w:rPr>
              <w:rFonts w:eastAsiaTheme="minorEastAsia" w:cstheme="minorBidi"/>
              <w:noProof/>
              <w:kern w:val="2"/>
              <w:sz w:val="24"/>
              <w14:ligatures w14:val="standardContextual"/>
            </w:rPr>
          </w:pPr>
          <w:hyperlink w:anchor="_Toc229750454" w:history="1">
            <w:r w:rsidRPr="007875A7">
              <w:rPr>
                <w:rStyle w:val="Hyperlink"/>
                <w:noProof/>
                <w:lang w:val="en-US"/>
              </w:rPr>
              <w:t>5.5 IMPLICATIONS FOR PRACTICE</w:t>
            </w:r>
            <w:r>
              <w:rPr>
                <w:noProof/>
                <w:webHidden/>
              </w:rPr>
              <w:tab/>
            </w:r>
            <w:r>
              <w:rPr>
                <w:noProof/>
                <w:webHidden/>
              </w:rPr>
              <w:fldChar w:fldCharType="begin"/>
            </w:r>
            <w:r>
              <w:rPr>
                <w:noProof/>
                <w:webHidden/>
              </w:rPr>
              <w:instrText xml:space="preserve"> PAGEREF _Toc229750454 \h </w:instrText>
            </w:r>
            <w:r>
              <w:rPr>
                <w:noProof/>
                <w:webHidden/>
              </w:rPr>
            </w:r>
            <w:r>
              <w:rPr>
                <w:noProof/>
                <w:webHidden/>
              </w:rPr>
              <w:fldChar w:fldCharType="separate"/>
            </w:r>
            <w:r>
              <w:rPr>
                <w:noProof/>
                <w:webHidden/>
              </w:rPr>
              <w:t>47</w:t>
            </w:r>
            <w:r>
              <w:rPr>
                <w:noProof/>
                <w:webHidden/>
              </w:rPr>
              <w:fldChar w:fldCharType="end"/>
            </w:r>
          </w:hyperlink>
        </w:p>
        <w:p w14:paraId="17EE9749" w14:textId="021A1F8E" w:rsidR="00693900" w:rsidRDefault="00693900">
          <w:pPr>
            <w:pStyle w:val="TOC2"/>
            <w:tabs>
              <w:tab w:val="right" w:leader="dot" w:pos="9350"/>
            </w:tabs>
            <w:rPr>
              <w:rFonts w:eastAsiaTheme="minorEastAsia" w:cstheme="minorBidi"/>
              <w:b w:val="0"/>
              <w:bCs w:val="0"/>
              <w:noProof/>
              <w:kern w:val="2"/>
              <w:sz w:val="24"/>
              <w:szCs w:val="24"/>
              <w14:ligatures w14:val="standardContextual"/>
            </w:rPr>
          </w:pPr>
          <w:hyperlink w:anchor="_Toc229750455" w:history="1">
            <w:r w:rsidRPr="007875A7">
              <w:rPr>
                <w:rStyle w:val="Hyperlink"/>
                <w:noProof/>
                <w:lang w:val="en-US"/>
              </w:rPr>
              <w:t>6.    CONCLUSION</w:t>
            </w:r>
            <w:r>
              <w:rPr>
                <w:noProof/>
                <w:webHidden/>
              </w:rPr>
              <w:tab/>
            </w:r>
            <w:r>
              <w:rPr>
                <w:noProof/>
                <w:webHidden/>
              </w:rPr>
              <w:fldChar w:fldCharType="begin"/>
            </w:r>
            <w:r>
              <w:rPr>
                <w:noProof/>
                <w:webHidden/>
              </w:rPr>
              <w:instrText xml:space="preserve"> PAGEREF _Toc229750455 \h </w:instrText>
            </w:r>
            <w:r>
              <w:rPr>
                <w:noProof/>
                <w:webHidden/>
              </w:rPr>
            </w:r>
            <w:r>
              <w:rPr>
                <w:noProof/>
                <w:webHidden/>
              </w:rPr>
              <w:fldChar w:fldCharType="separate"/>
            </w:r>
            <w:r>
              <w:rPr>
                <w:noProof/>
                <w:webHidden/>
              </w:rPr>
              <w:t>48</w:t>
            </w:r>
            <w:r>
              <w:rPr>
                <w:noProof/>
                <w:webHidden/>
              </w:rPr>
              <w:fldChar w:fldCharType="end"/>
            </w:r>
          </w:hyperlink>
        </w:p>
        <w:p w14:paraId="372E8C1C" w14:textId="1000B528" w:rsidR="00693900" w:rsidRDefault="00693900">
          <w:pPr>
            <w:pStyle w:val="TOC2"/>
            <w:tabs>
              <w:tab w:val="right" w:leader="dot" w:pos="9350"/>
            </w:tabs>
          </w:pPr>
          <w:hyperlink w:anchor="_Toc229750456" w:history="1">
            <w:r w:rsidRPr="007875A7">
              <w:rPr>
                <w:rStyle w:val="Hyperlink"/>
                <w:noProof/>
                <w:lang w:val="en-US"/>
              </w:rPr>
              <w:t>REFERENCES</w:t>
            </w:r>
            <w:r>
              <w:rPr>
                <w:noProof/>
                <w:webHidden/>
              </w:rPr>
              <w:tab/>
            </w:r>
            <w:r>
              <w:rPr>
                <w:noProof/>
                <w:webHidden/>
              </w:rPr>
              <w:fldChar w:fldCharType="begin"/>
            </w:r>
            <w:r>
              <w:rPr>
                <w:noProof/>
                <w:webHidden/>
              </w:rPr>
              <w:instrText xml:space="preserve"> PAGEREF _Toc229750456 \h </w:instrText>
            </w:r>
            <w:r>
              <w:rPr>
                <w:noProof/>
                <w:webHidden/>
              </w:rPr>
            </w:r>
            <w:r>
              <w:rPr>
                <w:noProof/>
                <w:webHidden/>
              </w:rPr>
              <w:fldChar w:fldCharType="separate"/>
            </w:r>
            <w:r>
              <w:rPr>
                <w:noProof/>
                <w:webHidden/>
              </w:rPr>
              <w:t>51</w:t>
            </w:r>
            <w:r>
              <w:rPr>
                <w:noProof/>
                <w:webHidden/>
              </w:rPr>
              <w:fldChar w:fldCharType="end"/>
            </w:r>
          </w:hyperlink>
        </w:p>
        <w:p w14:paraId="6B729412" w14:textId="77777777" w:rsidR="00FB2AF6" w:rsidRPr="00FB2AF6" w:rsidRDefault="00FB2AF6" w:rsidP="00FB2AF6">
          <w:pPr>
            <w:rPr>
              <w:b/>
              <w:bCs/>
            </w:rPr>
          </w:pPr>
        </w:p>
        <w:p w14:paraId="2166EC85" w14:textId="604C1286" w:rsidR="00FB2AF6" w:rsidRPr="00FB2AF6" w:rsidRDefault="00FB2AF6" w:rsidP="00FB2AF6">
          <w:pPr>
            <w:rPr>
              <w:b/>
              <w:bCs/>
            </w:rPr>
          </w:pPr>
          <w:r w:rsidRPr="00FB2AF6">
            <w:rPr>
              <w:b/>
              <w:bCs/>
            </w:rPr>
            <w:t>APPENDICES</w:t>
          </w:r>
        </w:p>
        <w:p w14:paraId="0FC1D7AE" w14:textId="59DD151A" w:rsidR="00693900" w:rsidRDefault="00693900">
          <w:pPr>
            <w:pStyle w:val="TOC1"/>
            <w:tabs>
              <w:tab w:val="right" w:leader="dot" w:pos="9350"/>
            </w:tabs>
            <w:rPr>
              <w:rFonts w:eastAsiaTheme="minorEastAsia" w:cstheme="minorBidi"/>
              <w:b w:val="0"/>
              <w:bCs w:val="0"/>
              <w:i w:val="0"/>
              <w:iCs w:val="0"/>
              <w:noProof/>
              <w:kern w:val="2"/>
              <w:szCs w:val="24"/>
              <w14:ligatures w14:val="standardContextual"/>
            </w:rPr>
          </w:pPr>
          <w:hyperlink w:anchor="_Toc229750457" w:history="1">
            <w:r w:rsidRPr="007875A7">
              <w:rPr>
                <w:rStyle w:val="Hyperlink"/>
                <w:noProof/>
              </w:rPr>
              <w:t>Appendix 1: Crea</w:t>
            </w:r>
            <w:r w:rsidRPr="007875A7">
              <w:rPr>
                <w:rStyle w:val="Hyperlink"/>
                <w:noProof/>
              </w:rPr>
              <w:t>t</w:t>
            </w:r>
            <w:r w:rsidRPr="007875A7">
              <w:rPr>
                <w:rStyle w:val="Hyperlink"/>
                <w:noProof/>
              </w:rPr>
              <w:t>ing the Concourse</w:t>
            </w:r>
            <w:r>
              <w:rPr>
                <w:noProof/>
                <w:webHidden/>
              </w:rPr>
              <w:tab/>
            </w:r>
            <w:r>
              <w:rPr>
                <w:noProof/>
                <w:webHidden/>
              </w:rPr>
              <w:fldChar w:fldCharType="begin"/>
            </w:r>
            <w:r>
              <w:rPr>
                <w:noProof/>
                <w:webHidden/>
              </w:rPr>
              <w:instrText xml:space="preserve"> PAGEREF _Toc229750457 \h </w:instrText>
            </w:r>
            <w:r>
              <w:rPr>
                <w:noProof/>
                <w:webHidden/>
              </w:rPr>
            </w:r>
            <w:r>
              <w:rPr>
                <w:noProof/>
                <w:webHidden/>
              </w:rPr>
              <w:fldChar w:fldCharType="separate"/>
            </w:r>
            <w:r>
              <w:rPr>
                <w:noProof/>
                <w:webHidden/>
              </w:rPr>
              <w:t>58</w:t>
            </w:r>
            <w:r>
              <w:rPr>
                <w:noProof/>
                <w:webHidden/>
              </w:rPr>
              <w:fldChar w:fldCharType="end"/>
            </w:r>
          </w:hyperlink>
        </w:p>
        <w:p w14:paraId="0BF3A5B5" w14:textId="54A0EBB4" w:rsidR="00693900" w:rsidRDefault="00693900">
          <w:pPr>
            <w:pStyle w:val="TOC1"/>
            <w:tabs>
              <w:tab w:val="right" w:leader="dot" w:pos="9350"/>
            </w:tabs>
            <w:rPr>
              <w:rFonts w:eastAsiaTheme="minorEastAsia" w:cstheme="minorBidi"/>
              <w:b w:val="0"/>
              <w:bCs w:val="0"/>
              <w:i w:val="0"/>
              <w:iCs w:val="0"/>
              <w:noProof/>
              <w:kern w:val="2"/>
              <w:szCs w:val="24"/>
              <w14:ligatures w14:val="standardContextual"/>
            </w:rPr>
          </w:pPr>
          <w:hyperlink w:anchor="_Toc229750480" w:history="1">
            <w:r w:rsidRPr="007875A7">
              <w:rPr>
                <w:rStyle w:val="Hyperlink"/>
                <w:noProof/>
              </w:rPr>
              <w:t>Appendix 2: The Concourse – state</w:t>
            </w:r>
            <w:r w:rsidRPr="007875A7">
              <w:rPr>
                <w:rStyle w:val="Hyperlink"/>
                <w:noProof/>
              </w:rPr>
              <w:t>m</w:t>
            </w:r>
            <w:r w:rsidRPr="007875A7">
              <w:rPr>
                <w:rStyle w:val="Hyperlink"/>
                <w:noProof/>
              </w:rPr>
              <w:t>ents generated from the Google Gemini ‘Deep Research’ report, Notebook LM and Google Gemini’s Canvas tool.</w:t>
            </w:r>
            <w:r>
              <w:rPr>
                <w:noProof/>
                <w:webHidden/>
              </w:rPr>
              <w:tab/>
            </w:r>
            <w:r>
              <w:rPr>
                <w:noProof/>
                <w:webHidden/>
              </w:rPr>
              <w:fldChar w:fldCharType="begin"/>
            </w:r>
            <w:r>
              <w:rPr>
                <w:noProof/>
                <w:webHidden/>
              </w:rPr>
              <w:instrText xml:space="preserve"> PAGEREF _Toc229750480 \h </w:instrText>
            </w:r>
            <w:r>
              <w:rPr>
                <w:noProof/>
                <w:webHidden/>
              </w:rPr>
            </w:r>
            <w:r>
              <w:rPr>
                <w:noProof/>
                <w:webHidden/>
              </w:rPr>
              <w:fldChar w:fldCharType="separate"/>
            </w:r>
            <w:r>
              <w:rPr>
                <w:noProof/>
                <w:webHidden/>
              </w:rPr>
              <w:t>73</w:t>
            </w:r>
            <w:r>
              <w:rPr>
                <w:noProof/>
                <w:webHidden/>
              </w:rPr>
              <w:fldChar w:fldCharType="end"/>
            </w:r>
          </w:hyperlink>
        </w:p>
        <w:p w14:paraId="0787CE72" w14:textId="37FC37EA" w:rsidR="00693900" w:rsidRDefault="00693900">
          <w:pPr>
            <w:pStyle w:val="TOC1"/>
            <w:tabs>
              <w:tab w:val="right" w:leader="dot" w:pos="9350"/>
            </w:tabs>
            <w:rPr>
              <w:rFonts w:eastAsiaTheme="minorEastAsia" w:cstheme="minorBidi"/>
              <w:b w:val="0"/>
              <w:bCs w:val="0"/>
              <w:i w:val="0"/>
              <w:iCs w:val="0"/>
              <w:noProof/>
              <w:kern w:val="2"/>
              <w:szCs w:val="24"/>
              <w14:ligatures w14:val="standardContextual"/>
            </w:rPr>
          </w:pPr>
          <w:hyperlink w:anchor="_Toc229750489" w:history="1">
            <w:r w:rsidRPr="007875A7">
              <w:rPr>
                <w:rStyle w:val="Hyperlink"/>
                <w:noProof/>
              </w:rPr>
              <w:t>Appendix 3: The Q-se</w:t>
            </w:r>
            <w:r w:rsidRPr="007875A7">
              <w:rPr>
                <w:rStyle w:val="Hyperlink"/>
                <w:noProof/>
              </w:rPr>
              <w:t>t</w:t>
            </w:r>
            <w:r>
              <w:rPr>
                <w:noProof/>
                <w:webHidden/>
              </w:rPr>
              <w:tab/>
            </w:r>
            <w:r>
              <w:rPr>
                <w:noProof/>
                <w:webHidden/>
              </w:rPr>
              <w:fldChar w:fldCharType="begin"/>
            </w:r>
            <w:r>
              <w:rPr>
                <w:noProof/>
                <w:webHidden/>
              </w:rPr>
              <w:instrText xml:space="preserve"> PAGEREF _Toc229750489 \h </w:instrText>
            </w:r>
            <w:r>
              <w:rPr>
                <w:noProof/>
                <w:webHidden/>
              </w:rPr>
            </w:r>
            <w:r>
              <w:rPr>
                <w:noProof/>
                <w:webHidden/>
              </w:rPr>
              <w:fldChar w:fldCharType="separate"/>
            </w:r>
            <w:r>
              <w:rPr>
                <w:noProof/>
                <w:webHidden/>
              </w:rPr>
              <w:t>79</w:t>
            </w:r>
            <w:r>
              <w:rPr>
                <w:noProof/>
                <w:webHidden/>
              </w:rPr>
              <w:fldChar w:fldCharType="end"/>
            </w:r>
          </w:hyperlink>
        </w:p>
        <w:p w14:paraId="3E92AC12" w14:textId="7212B711" w:rsidR="00693900" w:rsidRDefault="00693900">
          <w:pPr>
            <w:pStyle w:val="TOC1"/>
            <w:tabs>
              <w:tab w:val="right" w:leader="dot" w:pos="9350"/>
            </w:tabs>
            <w:rPr>
              <w:rFonts w:eastAsiaTheme="minorEastAsia" w:cstheme="minorBidi"/>
              <w:b w:val="0"/>
              <w:bCs w:val="0"/>
              <w:i w:val="0"/>
              <w:iCs w:val="0"/>
              <w:noProof/>
              <w:kern w:val="2"/>
              <w:szCs w:val="24"/>
              <w14:ligatures w14:val="standardContextual"/>
            </w:rPr>
          </w:pPr>
          <w:hyperlink w:anchor="_Toc229750491" w:history="1">
            <w:r w:rsidRPr="007875A7">
              <w:rPr>
                <w:rStyle w:val="Hyperlink"/>
                <w:noProof/>
              </w:rPr>
              <w:t>Appendix 4: The Online Tool</w:t>
            </w:r>
            <w:r>
              <w:rPr>
                <w:noProof/>
                <w:webHidden/>
              </w:rPr>
              <w:tab/>
            </w:r>
            <w:r>
              <w:rPr>
                <w:noProof/>
                <w:webHidden/>
              </w:rPr>
              <w:fldChar w:fldCharType="begin"/>
            </w:r>
            <w:r>
              <w:rPr>
                <w:noProof/>
                <w:webHidden/>
              </w:rPr>
              <w:instrText xml:space="preserve"> PAGEREF _Toc229750491 \h </w:instrText>
            </w:r>
            <w:r>
              <w:rPr>
                <w:noProof/>
                <w:webHidden/>
              </w:rPr>
            </w:r>
            <w:r>
              <w:rPr>
                <w:noProof/>
                <w:webHidden/>
              </w:rPr>
              <w:fldChar w:fldCharType="separate"/>
            </w:r>
            <w:r>
              <w:rPr>
                <w:noProof/>
                <w:webHidden/>
              </w:rPr>
              <w:t>81</w:t>
            </w:r>
            <w:r>
              <w:rPr>
                <w:noProof/>
                <w:webHidden/>
              </w:rPr>
              <w:fldChar w:fldCharType="end"/>
            </w:r>
          </w:hyperlink>
        </w:p>
        <w:p w14:paraId="151291E2" w14:textId="5305F5D8" w:rsidR="00693900" w:rsidRDefault="00693900">
          <w:r>
            <w:rPr>
              <w:b/>
              <w:bCs/>
              <w:noProof/>
            </w:rPr>
            <w:fldChar w:fldCharType="end"/>
          </w:r>
        </w:p>
      </w:sdtContent>
    </w:sdt>
    <w:p w14:paraId="0DC288BB" w14:textId="5DE0EEA2" w:rsidR="00FB2AF6" w:rsidRPr="00FB2AF6" w:rsidRDefault="00FB2AF6">
      <w:pPr>
        <w:pStyle w:val="TableofFigures"/>
        <w:tabs>
          <w:tab w:val="right" w:leader="dot" w:pos="9350"/>
        </w:tabs>
        <w:rPr>
          <w:b/>
          <w:bCs/>
        </w:rPr>
      </w:pPr>
      <w:r w:rsidRPr="00FB2AF6">
        <w:rPr>
          <w:b/>
          <w:bCs/>
        </w:rPr>
        <w:t>LIST OF FIGURES</w:t>
      </w:r>
    </w:p>
    <w:p w14:paraId="0987E98A" w14:textId="616F815C" w:rsidR="00693900" w:rsidRDefault="00693900">
      <w:pPr>
        <w:pStyle w:val="TableofFigures"/>
        <w:tabs>
          <w:tab w:val="right" w:leader="dot" w:pos="9350"/>
        </w:tabs>
        <w:rPr>
          <w:noProof/>
        </w:rPr>
      </w:pPr>
      <w:r>
        <w:fldChar w:fldCharType="begin"/>
      </w:r>
      <w:r>
        <w:instrText xml:space="preserve"> TOC \h \z \c "Figure" </w:instrText>
      </w:r>
      <w:r>
        <w:fldChar w:fldCharType="separate"/>
      </w:r>
      <w:hyperlink w:anchor="_Toc229750649" w:history="1">
        <w:r w:rsidRPr="005211DA">
          <w:rPr>
            <w:rStyle w:val="Hyperlink"/>
            <w:noProof/>
          </w:rPr>
          <w:t>Figure 1: FLOWCHART TO</w:t>
        </w:r>
        <w:r w:rsidRPr="005211DA">
          <w:rPr>
            <w:rStyle w:val="Hyperlink"/>
            <w:noProof/>
          </w:rPr>
          <w:t xml:space="preserve"> </w:t>
        </w:r>
        <w:r w:rsidRPr="005211DA">
          <w:rPr>
            <w:rStyle w:val="Hyperlink"/>
            <w:noProof/>
          </w:rPr>
          <w:t>DEMONSTRATE Q METHODOLOGY</w:t>
        </w:r>
        <w:r>
          <w:rPr>
            <w:noProof/>
            <w:webHidden/>
          </w:rPr>
          <w:tab/>
        </w:r>
        <w:r>
          <w:rPr>
            <w:noProof/>
            <w:webHidden/>
          </w:rPr>
          <w:fldChar w:fldCharType="begin"/>
        </w:r>
        <w:r>
          <w:rPr>
            <w:noProof/>
            <w:webHidden/>
          </w:rPr>
          <w:instrText xml:space="preserve"> PAGEREF _Toc229750649 \h </w:instrText>
        </w:r>
        <w:r>
          <w:rPr>
            <w:noProof/>
            <w:webHidden/>
          </w:rPr>
        </w:r>
        <w:r>
          <w:rPr>
            <w:noProof/>
            <w:webHidden/>
          </w:rPr>
          <w:fldChar w:fldCharType="separate"/>
        </w:r>
        <w:r>
          <w:rPr>
            <w:noProof/>
            <w:webHidden/>
          </w:rPr>
          <w:t>22</w:t>
        </w:r>
        <w:r>
          <w:rPr>
            <w:noProof/>
            <w:webHidden/>
          </w:rPr>
          <w:fldChar w:fldCharType="end"/>
        </w:r>
      </w:hyperlink>
    </w:p>
    <w:p w14:paraId="3E16FD65" w14:textId="7E326552" w:rsidR="00693900" w:rsidRDefault="00693900">
      <w:pPr>
        <w:pStyle w:val="TableofFigures"/>
        <w:tabs>
          <w:tab w:val="right" w:leader="dot" w:pos="9350"/>
        </w:tabs>
        <w:rPr>
          <w:noProof/>
        </w:rPr>
      </w:pPr>
      <w:hyperlink w:anchor="_Toc229750650" w:history="1">
        <w:r w:rsidRPr="005211DA">
          <w:rPr>
            <w:rStyle w:val="Hyperlink"/>
            <w:noProof/>
          </w:rPr>
          <w:t>Figure 2: COMPOSITE Q-SORT (FACTOR ARRAY) FOR FACTOR 1: ‘HISTORY IS ALREADY A SUSTAINABILITY DISCIPLINE’</w:t>
        </w:r>
        <w:r>
          <w:rPr>
            <w:noProof/>
            <w:webHidden/>
          </w:rPr>
          <w:tab/>
        </w:r>
        <w:r>
          <w:rPr>
            <w:noProof/>
            <w:webHidden/>
          </w:rPr>
          <w:fldChar w:fldCharType="begin"/>
        </w:r>
        <w:r>
          <w:rPr>
            <w:noProof/>
            <w:webHidden/>
          </w:rPr>
          <w:instrText xml:space="preserve"> PAGEREF _Toc229750650 \h </w:instrText>
        </w:r>
        <w:r>
          <w:rPr>
            <w:noProof/>
            <w:webHidden/>
          </w:rPr>
        </w:r>
        <w:r>
          <w:rPr>
            <w:noProof/>
            <w:webHidden/>
          </w:rPr>
          <w:fldChar w:fldCharType="separate"/>
        </w:r>
        <w:r>
          <w:rPr>
            <w:noProof/>
            <w:webHidden/>
          </w:rPr>
          <w:t>36</w:t>
        </w:r>
        <w:r>
          <w:rPr>
            <w:noProof/>
            <w:webHidden/>
          </w:rPr>
          <w:fldChar w:fldCharType="end"/>
        </w:r>
      </w:hyperlink>
    </w:p>
    <w:p w14:paraId="1303D041" w14:textId="564FB6FE" w:rsidR="00693900" w:rsidRDefault="00693900">
      <w:pPr>
        <w:pStyle w:val="TableofFigures"/>
        <w:tabs>
          <w:tab w:val="right" w:leader="dot" w:pos="9350"/>
        </w:tabs>
        <w:rPr>
          <w:noProof/>
        </w:rPr>
      </w:pPr>
      <w:hyperlink w:anchor="_Toc229750651" w:history="1">
        <w:r w:rsidRPr="005211DA">
          <w:rPr>
            <w:rStyle w:val="Hyperlink"/>
            <w:noProof/>
          </w:rPr>
          <w:t>Figure 3: COMPOSITE Q-SORT (FACTOR ARRAY) FOR FACTOR 2: ‘HISTORY MUST ACTVELY CHANGE TO ENGAGE WITH SUSTAINABILITY</w:t>
        </w:r>
        <w:r>
          <w:rPr>
            <w:noProof/>
            <w:webHidden/>
          </w:rPr>
          <w:tab/>
        </w:r>
        <w:r>
          <w:rPr>
            <w:noProof/>
            <w:webHidden/>
          </w:rPr>
          <w:fldChar w:fldCharType="begin"/>
        </w:r>
        <w:r>
          <w:rPr>
            <w:noProof/>
            <w:webHidden/>
          </w:rPr>
          <w:instrText xml:space="preserve"> PAGEREF _Toc229750651 \h </w:instrText>
        </w:r>
        <w:r>
          <w:rPr>
            <w:noProof/>
            <w:webHidden/>
          </w:rPr>
        </w:r>
        <w:r>
          <w:rPr>
            <w:noProof/>
            <w:webHidden/>
          </w:rPr>
          <w:fldChar w:fldCharType="separate"/>
        </w:r>
        <w:r>
          <w:rPr>
            <w:noProof/>
            <w:webHidden/>
          </w:rPr>
          <w:t>43</w:t>
        </w:r>
        <w:r>
          <w:rPr>
            <w:noProof/>
            <w:webHidden/>
          </w:rPr>
          <w:fldChar w:fldCharType="end"/>
        </w:r>
      </w:hyperlink>
    </w:p>
    <w:p w14:paraId="7CA6601C" w14:textId="77777777" w:rsidR="007F0CE8" w:rsidRDefault="00693900" w:rsidP="00693900">
      <w:pPr>
        <w:sectPr w:rsidR="007F0CE8" w:rsidSect="007F0CE8">
          <w:footerReference w:type="even" r:id="rId9"/>
          <w:footerReference w:type="default" r:id="rId10"/>
          <w:pgSz w:w="12240" w:h="15840"/>
          <w:pgMar w:top="1440" w:right="1440" w:bottom="1440" w:left="1440" w:header="720" w:footer="720" w:gutter="0"/>
          <w:pgNumType w:start="1"/>
          <w:cols w:space="720"/>
          <w:noEndnote/>
          <w:titlePg/>
        </w:sectPr>
      </w:pPr>
      <w:r>
        <w:fldChar w:fldCharType="end"/>
      </w:r>
    </w:p>
    <w:p w14:paraId="713F811B" w14:textId="2BB1E718" w:rsidR="00693900" w:rsidRDefault="00693900" w:rsidP="00693900"/>
    <w:p w14:paraId="18084028" w14:textId="7B6F2085" w:rsidR="00846D06" w:rsidRPr="00846D06" w:rsidRDefault="00846D06" w:rsidP="00FA0A77">
      <w:pPr>
        <w:pStyle w:val="Heading1"/>
        <w:rPr>
          <w:lang w:val="en-US"/>
        </w:rPr>
      </w:pPr>
      <w:bookmarkStart w:id="0" w:name="_Toc229750428"/>
      <w:r w:rsidRPr="00846D06">
        <w:rPr>
          <w:lang w:val="en-US"/>
        </w:rPr>
        <w:t>Exploring Academics’ perceptions of Education for Sustainable Development and its role in a history degree: policy-driven implementation, or accidental embedding?</w:t>
      </w:r>
      <w:bookmarkEnd w:id="0"/>
    </w:p>
    <w:p w14:paraId="0F91EC9E"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6C2F11B5" w14:textId="77777777" w:rsidR="00846D06" w:rsidRPr="00846D06" w:rsidRDefault="00846D06" w:rsidP="00846D06">
      <w:pPr>
        <w:pStyle w:val="Heading2"/>
        <w:rPr>
          <w:lang w:val="en-US"/>
        </w:rPr>
      </w:pPr>
      <w:bookmarkStart w:id="1" w:name="_Toc229750429"/>
      <w:r w:rsidRPr="00846D06">
        <w:rPr>
          <w:lang w:val="en-US"/>
        </w:rPr>
        <w:t>1. INTRODUCTION</w:t>
      </w:r>
      <w:bookmarkEnd w:id="1"/>
    </w:p>
    <w:p w14:paraId="64C74251"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Since the UN Decade of Education for Sustainable Development (UN DESD) (2005-2014), there has been pressure on universities to demonstrate engagement with sustainability both from a quality enhancement direction and from a </w:t>
      </w:r>
      <w:proofErr w:type="spellStart"/>
      <w:r w:rsidRPr="00846D06">
        <w:rPr>
          <w:rFonts w:asciiTheme="minorHAnsi" w:hAnsiTheme="minorHAnsi" w:cs="Helvetica"/>
          <w:color w:val="000000"/>
          <w:sz w:val="24"/>
          <w:szCs w:val="24"/>
          <w:lang w:val="en-US"/>
        </w:rPr>
        <w:t>commercialisation</w:t>
      </w:r>
      <w:proofErr w:type="spellEnd"/>
      <w:r w:rsidRPr="00846D06">
        <w:rPr>
          <w:rFonts w:asciiTheme="minorHAnsi" w:hAnsiTheme="minorHAnsi" w:cs="Helvetica"/>
          <w:color w:val="000000"/>
          <w:sz w:val="24"/>
          <w:szCs w:val="24"/>
          <w:lang w:val="en-US"/>
        </w:rPr>
        <w:t xml:space="preserve"> perspective (Fahey, 2018).  Guidance from the Quality Assurance Agency for Higher Education (QAA) in the form of a joint publication with Advance HE (Advance HE and QAA, 2021), along with revised </w:t>
      </w:r>
      <w:r w:rsidRPr="00846D06">
        <w:rPr>
          <w:rFonts w:asciiTheme="minorHAnsi" w:hAnsiTheme="minorHAnsi" w:cs="Helvetica"/>
          <w:i/>
          <w:iCs/>
          <w:color w:val="000000"/>
          <w:sz w:val="24"/>
          <w:szCs w:val="24"/>
          <w:lang w:val="en-US"/>
        </w:rPr>
        <w:t>Subject Benchmark Statements</w:t>
      </w:r>
      <w:r w:rsidRPr="00846D06">
        <w:rPr>
          <w:rFonts w:asciiTheme="minorHAnsi" w:hAnsiTheme="minorHAnsi" w:cs="Helvetica"/>
          <w:color w:val="000000"/>
          <w:sz w:val="24"/>
          <w:szCs w:val="24"/>
          <w:lang w:val="en-US"/>
        </w:rPr>
        <w:t xml:space="preserve"> (QAA, n.d.) call for Education for Sustainable Development (ESD) to be embedded in curriculum content and approaches to learning, teaching and assessment.  At the same time, there is considerable pressure through university league table rankings to prove institutional sustainability credentials (Atici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2020; Bautista-Puig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2022).</w:t>
      </w:r>
    </w:p>
    <w:p w14:paraId="4B47F71D"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While the pressure to embed ESD falls evenly across disciplines, there remains a disciplinary bias.  The subjects </w:t>
      </w:r>
      <w:proofErr w:type="gramStart"/>
      <w:r w:rsidRPr="00846D06">
        <w:rPr>
          <w:rFonts w:asciiTheme="minorHAnsi" w:hAnsiTheme="minorHAnsi" w:cs="Helvetica"/>
          <w:color w:val="000000"/>
          <w:sz w:val="24"/>
          <w:szCs w:val="24"/>
          <w:lang w:val="en-US"/>
        </w:rPr>
        <w:t>most commonly associated</w:t>
      </w:r>
      <w:proofErr w:type="gramEnd"/>
      <w:r w:rsidRPr="00846D06">
        <w:rPr>
          <w:rFonts w:asciiTheme="minorHAnsi" w:hAnsiTheme="minorHAnsi" w:cs="Helvetica"/>
          <w:color w:val="000000"/>
          <w:sz w:val="24"/>
          <w:szCs w:val="24"/>
          <w:lang w:val="en-US"/>
        </w:rPr>
        <w:t xml:space="preserve"> with sustainability in the literature – Geography, Environmental Science, Engineering, Architecture, Biological Sciences – are those with an obvious connection to environmental systems or the design of sustainable solutions (Advance HE and QAA, 2021; Vogel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2023).  For disciplines in the arts, humanities and social sciences, the relationship is less self-evident, and the perception that sustainability is not relevant to all subject areas has been identified as a significant barrier to engagement (2005; Cotton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2007; Dawe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Christie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2015).</w:t>
      </w:r>
    </w:p>
    <w:p w14:paraId="22DFFDA3"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lastRenderedPageBreak/>
        <w:t xml:space="preserve">History is a case in point.  As a graduate of a </w:t>
      </w:r>
      <w:proofErr w:type="gramStart"/>
      <w:r w:rsidRPr="00846D06">
        <w:rPr>
          <w:rFonts w:asciiTheme="minorHAnsi" w:hAnsiTheme="minorHAnsi" w:cs="Helvetica"/>
          <w:color w:val="000000"/>
          <w:sz w:val="24"/>
          <w:szCs w:val="24"/>
          <w:lang w:val="en-US"/>
        </w:rPr>
        <w:t>History</w:t>
      </w:r>
      <w:proofErr w:type="gramEnd"/>
      <w:r w:rsidRPr="00846D06">
        <w:rPr>
          <w:rFonts w:asciiTheme="minorHAnsi" w:hAnsiTheme="minorHAnsi" w:cs="Helvetica"/>
          <w:color w:val="000000"/>
          <w:sz w:val="24"/>
          <w:szCs w:val="24"/>
          <w:lang w:val="en-US"/>
        </w:rPr>
        <w:t xml:space="preserve"> degree, I can reflect that my own undergraduate experience, while intellectually formative, offered no explicit connection to sustainability and no obvious vocational direction.  The degree cultivated habits of mind – critical thinking, comfort with ambiguity, the weighing of contested evidence – but these were never framed as having relevance to the pressing global challenges that ESD seeks to address.  This experience is not unusual: History, along with other arts and humanities disciplines, has tended to be perceived as peripheral to the sustainability agenda (Brooks and Ryan, 2006; Christie et al., 2015).  Yet, as this study will argue, there are compelling reasons to believe that the epistemology of History is fundamentally aligned with the intellectual demands of sustainability – and that the apparent distance between the two may be more a failure of framing than of substance.</w:t>
      </w:r>
    </w:p>
    <w:p w14:paraId="0612117D"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This research aims to investigate the perceptions of History lecturers at four U.K. universities concerning ESD and its role withing a </w:t>
      </w:r>
      <w:proofErr w:type="gramStart"/>
      <w:r w:rsidRPr="00846D06">
        <w:rPr>
          <w:rFonts w:asciiTheme="minorHAnsi" w:hAnsiTheme="minorHAnsi" w:cs="Helvetica"/>
          <w:color w:val="000000"/>
          <w:sz w:val="24"/>
          <w:szCs w:val="24"/>
          <w:lang w:val="en-US"/>
        </w:rPr>
        <w:t>History</w:t>
      </w:r>
      <w:proofErr w:type="gramEnd"/>
      <w:r w:rsidRPr="00846D06">
        <w:rPr>
          <w:rFonts w:asciiTheme="minorHAnsi" w:hAnsiTheme="minorHAnsi" w:cs="Helvetica"/>
          <w:color w:val="000000"/>
          <w:sz w:val="24"/>
          <w:szCs w:val="24"/>
          <w:lang w:val="en-US"/>
        </w:rPr>
        <w:t xml:space="preserve"> degree </w:t>
      </w:r>
      <w:proofErr w:type="spellStart"/>
      <w:r w:rsidRPr="00846D06">
        <w:rPr>
          <w:rFonts w:asciiTheme="minorHAnsi" w:hAnsiTheme="minorHAnsi" w:cs="Helvetica"/>
          <w:color w:val="000000"/>
          <w:sz w:val="24"/>
          <w:szCs w:val="24"/>
          <w:lang w:val="en-US"/>
        </w:rPr>
        <w:t>programme</w:t>
      </w:r>
      <w:proofErr w:type="spellEnd"/>
      <w:r w:rsidRPr="00846D06">
        <w:rPr>
          <w:rFonts w:asciiTheme="minorHAnsi" w:hAnsiTheme="minorHAnsi" w:cs="Helvetica"/>
          <w:color w:val="000000"/>
          <w:sz w:val="24"/>
          <w:szCs w:val="24"/>
          <w:lang w:val="en-US"/>
        </w:rPr>
        <w:t xml:space="preserve">.  Working as a Curriculum Development Specialist at a university with a strong reputation for sustainability education, I support course teams across disciplines in identifying and articulating connections to ESD.  This study is motivated by a professional conviction that such connections exist for all disciplines, including History, and by the need to understand how best to support academics in </w:t>
      </w:r>
      <w:proofErr w:type="spellStart"/>
      <w:r w:rsidRPr="00846D06">
        <w:rPr>
          <w:rFonts w:asciiTheme="minorHAnsi" w:hAnsiTheme="minorHAnsi" w:cs="Helvetica"/>
          <w:color w:val="000000"/>
          <w:sz w:val="24"/>
          <w:szCs w:val="24"/>
          <w:lang w:val="en-US"/>
        </w:rPr>
        <w:t>recognising</w:t>
      </w:r>
      <w:proofErr w:type="spellEnd"/>
      <w:r w:rsidRPr="00846D06">
        <w:rPr>
          <w:rFonts w:asciiTheme="minorHAnsi" w:hAnsiTheme="minorHAnsi" w:cs="Helvetica"/>
          <w:color w:val="000000"/>
          <w:sz w:val="24"/>
          <w:szCs w:val="24"/>
          <w:lang w:val="en-US"/>
        </w:rPr>
        <w:t xml:space="preserve"> and making use of them.  The literature review that follows will begin by examining the epistemology of History and its alignment with sustainability thinking, before situating this within the broader discourse on the purpose of higher education and the policy frameworks driving ESD.  Subsequent sections will review existing research on academics’ perceptions of ESD, the evolving pedagogy of History in higher education, and the limited literature connecting History to ESD directly.  The methodology, research methods, findings and conclusions of the study will then be presented.</w:t>
      </w:r>
    </w:p>
    <w:p w14:paraId="7E358F85" w14:textId="77777777" w:rsidR="00846D06" w:rsidRPr="00846D06" w:rsidRDefault="00846D06" w:rsidP="00846D06">
      <w:pPr>
        <w:pStyle w:val="Heading2"/>
        <w:rPr>
          <w:lang w:val="en-US"/>
        </w:rPr>
      </w:pPr>
      <w:bookmarkStart w:id="2" w:name="_Toc229750430"/>
      <w:r w:rsidRPr="00846D06">
        <w:rPr>
          <w:lang w:val="en-US"/>
        </w:rPr>
        <w:lastRenderedPageBreak/>
        <w:t>2. REVIEW OF THE LITERATURE</w:t>
      </w:r>
      <w:bookmarkEnd w:id="2"/>
    </w:p>
    <w:p w14:paraId="67CFDA79" w14:textId="77777777" w:rsidR="00846D06" w:rsidRPr="00846D06" w:rsidRDefault="00846D06" w:rsidP="00846D06">
      <w:pPr>
        <w:pStyle w:val="Heading3"/>
        <w:rPr>
          <w:lang w:val="en-US"/>
        </w:rPr>
      </w:pPr>
      <w:bookmarkStart w:id="3" w:name="_Toc229750431"/>
      <w:r w:rsidRPr="00846D06">
        <w:rPr>
          <w:lang w:val="en-US"/>
        </w:rPr>
        <w:t>2.1 HISTORY AS A DISCIPLINE OF COMPLEXITY</w:t>
      </w:r>
      <w:bookmarkEnd w:id="3"/>
    </w:p>
    <w:p w14:paraId="2BFD4939"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2EEECD73"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In a recent publication on the teaching of History in higher education, Dickinson (2025) searches for an ‘epistemology of History’ (p.17) and arrives at a strong conclusion: History as a discipline is defined not by methodological coherence but by its embrace of complexity and indeterminacy.  Because History is methodologically messy and lacks agreed-upon standards, Dickinson argues that educators should abandon the pursuit of epistemological coherence in </w:t>
      </w:r>
      <w:proofErr w:type="spellStart"/>
      <w:r w:rsidRPr="00846D06">
        <w:rPr>
          <w:rFonts w:asciiTheme="minorHAnsi" w:hAnsiTheme="minorHAnsi" w:cs="Helvetica"/>
          <w:color w:val="000000"/>
          <w:sz w:val="24"/>
          <w:szCs w:val="24"/>
          <w:lang w:val="en-US"/>
        </w:rPr>
        <w:t>favour</w:t>
      </w:r>
      <w:proofErr w:type="spellEnd"/>
      <w:r w:rsidRPr="00846D06">
        <w:rPr>
          <w:rFonts w:asciiTheme="minorHAnsi" w:hAnsiTheme="minorHAnsi" w:cs="Helvetica"/>
          <w:color w:val="000000"/>
          <w:sz w:val="24"/>
          <w:szCs w:val="24"/>
          <w:lang w:val="en-US"/>
        </w:rPr>
        <w:t xml:space="preserve"> of an ‘ethical definition’ (ibid. p12) that views past actors as fully human within a holistic context.  The result is a discipline that </w:t>
      </w:r>
      <w:r w:rsidRPr="00846D06">
        <w:rPr>
          <w:rFonts w:asciiTheme="minorHAnsi" w:hAnsiTheme="minorHAnsi" w:cs="Helvetica"/>
          <w:i/>
          <w:iCs/>
          <w:color w:val="000000"/>
          <w:sz w:val="24"/>
          <w:szCs w:val="24"/>
          <w:lang w:val="en-US"/>
        </w:rPr>
        <w:t>predisposes</w:t>
      </w:r>
      <w:r w:rsidRPr="00846D06">
        <w:rPr>
          <w:rFonts w:asciiTheme="minorHAnsi" w:hAnsiTheme="minorHAnsi" w:cs="Helvetica"/>
          <w:color w:val="000000"/>
          <w:sz w:val="24"/>
          <w:szCs w:val="24"/>
          <w:lang w:val="en-US"/>
        </w:rPr>
        <w:t xml:space="preserve"> its students ‘to accept and understand complexity and indeterminacy’ (ibid. p.183).  Students of History learn to navigate ambiguity, weigh contested evidence, hold multiple perspectives in tension, and resist the temptation of singular causal explanations.  These are not incidental by-products of a </w:t>
      </w:r>
      <w:proofErr w:type="gramStart"/>
      <w:r w:rsidRPr="00846D06">
        <w:rPr>
          <w:rFonts w:asciiTheme="minorHAnsi" w:hAnsiTheme="minorHAnsi" w:cs="Helvetica"/>
          <w:color w:val="000000"/>
          <w:sz w:val="24"/>
          <w:szCs w:val="24"/>
          <w:lang w:val="en-US"/>
        </w:rPr>
        <w:t>History</w:t>
      </w:r>
      <w:proofErr w:type="gramEnd"/>
      <w:r w:rsidRPr="00846D06">
        <w:rPr>
          <w:rFonts w:asciiTheme="minorHAnsi" w:hAnsiTheme="minorHAnsi" w:cs="Helvetica"/>
          <w:color w:val="000000"/>
          <w:sz w:val="24"/>
          <w:szCs w:val="24"/>
          <w:lang w:val="en-US"/>
        </w:rPr>
        <w:t xml:space="preserve"> degree; they are its core intellectual offering.</w:t>
      </w:r>
    </w:p>
    <w:p w14:paraId="1A4C8208"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This matters because the challenges articulated by the United Nations Sustainable Development Goals (SDGs) – poverty, inequality, climate change, environmental degradation, peace and justice (UNESCO, 2017) – are not susceptible to neat technical fixes.  They are </w:t>
      </w:r>
      <w:proofErr w:type="spellStart"/>
      <w:r w:rsidRPr="00846D06">
        <w:rPr>
          <w:rFonts w:asciiTheme="minorHAnsi" w:hAnsiTheme="minorHAnsi" w:cs="Helvetica"/>
          <w:color w:val="000000"/>
          <w:sz w:val="24"/>
          <w:szCs w:val="24"/>
          <w:lang w:val="en-US"/>
        </w:rPr>
        <w:t>characterised</w:t>
      </w:r>
      <w:proofErr w:type="spellEnd"/>
      <w:r w:rsidRPr="00846D06">
        <w:rPr>
          <w:rFonts w:asciiTheme="minorHAnsi" w:hAnsiTheme="minorHAnsi" w:cs="Helvetica"/>
          <w:color w:val="000000"/>
          <w:sz w:val="24"/>
          <w:szCs w:val="24"/>
          <w:lang w:val="en-US"/>
        </w:rPr>
        <w:t xml:space="preserve"> by precisely the kind of complexity, contested values and entangled causation that historians are trained to interrogate.  There is, therefore, a compelling case to be made that History is an inherently sustainability-oriented discipline – not because it teaches students </w:t>
      </w:r>
      <w:r w:rsidRPr="00846D06">
        <w:rPr>
          <w:rFonts w:asciiTheme="minorHAnsi" w:hAnsiTheme="minorHAnsi" w:cs="Helvetica"/>
          <w:i/>
          <w:iCs/>
          <w:color w:val="000000"/>
          <w:sz w:val="24"/>
          <w:szCs w:val="24"/>
          <w:lang w:val="en-US"/>
        </w:rPr>
        <w:t>about</w:t>
      </w:r>
      <w:r w:rsidRPr="00846D06">
        <w:rPr>
          <w:rFonts w:asciiTheme="minorHAnsi" w:hAnsiTheme="minorHAnsi" w:cs="Helvetica"/>
          <w:color w:val="000000"/>
          <w:sz w:val="24"/>
          <w:szCs w:val="24"/>
          <w:lang w:val="en-US"/>
        </w:rPr>
        <w:t xml:space="preserve"> sustainability, but because it teaches them to </w:t>
      </w:r>
      <w:r w:rsidRPr="00846D06">
        <w:rPr>
          <w:rFonts w:asciiTheme="minorHAnsi" w:hAnsiTheme="minorHAnsi" w:cs="Helvetica"/>
          <w:i/>
          <w:iCs/>
          <w:color w:val="000000"/>
          <w:sz w:val="24"/>
          <w:szCs w:val="24"/>
          <w:lang w:val="en-US"/>
        </w:rPr>
        <w:t>think</w:t>
      </w:r>
      <w:r w:rsidRPr="00846D06">
        <w:rPr>
          <w:rFonts w:asciiTheme="minorHAnsi" w:hAnsiTheme="minorHAnsi" w:cs="Helvetica"/>
          <w:color w:val="000000"/>
          <w:sz w:val="24"/>
          <w:szCs w:val="24"/>
          <w:lang w:val="en-US"/>
        </w:rPr>
        <w:t xml:space="preserve"> in the ways that sustainability challenges demand.</w:t>
      </w:r>
    </w:p>
    <w:p w14:paraId="04252ACD"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lastRenderedPageBreak/>
        <w:t xml:space="preserve">There is recognition within higher education of the value of historical engagement with sustainability issues.  The Centre for World Environmental History at the University of Sussex, established to examine past human-environment interactions, exemplifies institutional recognition that historical inquiry has a distinctive contribution to make to environmental and sustainability scholarship.  Moreover, the 2006 report on Education for Sustainable Development (ESD) for the Higher Education Academy (HEA) Subject </w:t>
      </w:r>
      <w:proofErr w:type="spellStart"/>
      <w:r w:rsidRPr="00846D06">
        <w:rPr>
          <w:rFonts w:asciiTheme="minorHAnsi" w:hAnsiTheme="minorHAnsi" w:cs="Helvetica"/>
          <w:color w:val="000000"/>
          <w:sz w:val="24"/>
          <w:szCs w:val="24"/>
          <w:lang w:val="en-US"/>
        </w:rPr>
        <w:t>Centres</w:t>
      </w:r>
      <w:proofErr w:type="spellEnd"/>
      <w:r w:rsidRPr="00846D06">
        <w:rPr>
          <w:rFonts w:asciiTheme="minorHAnsi" w:hAnsiTheme="minorHAnsi" w:cs="Helvetica"/>
          <w:color w:val="000000"/>
          <w:sz w:val="24"/>
          <w:szCs w:val="24"/>
          <w:lang w:val="en-US"/>
        </w:rPr>
        <w:t xml:space="preserve"> for History, Classics and Archaeology (HCA) and Sociology, Anthropology and Politics (C-SAP) (Brooks and Ryan, 2006) found a significant number of Environmental History courses across the U.K., alongside individuals with research expertise in sustainability.  While dated, this report is interesting for its finding that academics in these disciplines understood the new expectations of ESD through the lens of a pre-existing focus on notions such as progress, nature, and power dynamics in past human-environment interactions – suggesting that historians had already been engaging with sustainability-related questions long before the language of ESD entered the quality assurance framework.</w:t>
      </w:r>
    </w:p>
    <w:p w14:paraId="20E7AF4D"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A highly significant finding of the Brooks and Ryan (2006) report is that ‘Our academics do not want the implicit to be made crudely explicit…’ (p.17).  This tension – between the organic alignment of History with sustainability thinking and the policy-driven demand for explicit ESD embedding – lies at the heart of this research.  If History already cultivates the habits of mind that ESD seeks to develop, what is the role of deliberate, labelled ESD provision within a </w:t>
      </w:r>
      <w:proofErr w:type="gramStart"/>
      <w:r w:rsidRPr="00846D06">
        <w:rPr>
          <w:rFonts w:asciiTheme="minorHAnsi" w:hAnsiTheme="minorHAnsi" w:cs="Helvetica"/>
          <w:color w:val="000000"/>
          <w:sz w:val="24"/>
          <w:szCs w:val="24"/>
          <w:lang w:val="en-US"/>
        </w:rPr>
        <w:t>History</w:t>
      </w:r>
      <w:proofErr w:type="gramEnd"/>
      <w:r w:rsidRPr="00846D06">
        <w:rPr>
          <w:rFonts w:asciiTheme="minorHAnsi" w:hAnsiTheme="minorHAnsi" w:cs="Helvetica"/>
          <w:color w:val="000000"/>
          <w:sz w:val="24"/>
          <w:szCs w:val="24"/>
          <w:lang w:val="en-US"/>
        </w:rPr>
        <w:t xml:space="preserve"> degree </w:t>
      </w:r>
      <w:proofErr w:type="spellStart"/>
      <w:r w:rsidRPr="00846D06">
        <w:rPr>
          <w:rFonts w:asciiTheme="minorHAnsi" w:hAnsiTheme="minorHAnsi" w:cs="Helvetica"/>
          <w:color w:val="000000"/>
          <w:sz w:val="24"/>
          <w:szCs w:val="24"/>
          <w:lang w:val="en-US"/>
        </w:rPr>
        <w:t>programme</w:t>
      </w:r>
      <w:proofErr w:type="spellEnd"/>
      <w:r w:rsidRPr="00846D06">
        <w:rPr>
          <w:rFonts w:asciiTheme="minorHAnsi" w:hAnsiTheme="minorHAnsi" w:cs="Helvetica"/>
          <w:color w:val="000000"/>
          <w:sz w:val="24"/>
          <w:szCs w:val="24"/>
          <w:lang w:val="en-US"/>
        </w:rPr>
        <w:t>?  And how do historians themselves perceive this question?</w:t>
      </w:r>
    </w:p>
    <w:p w14:paraId="733CD29E"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7F68F9B2" w14:textId="77777777" w:rsidR="00846D06" w:rsidRPr="00846D06" w:rsidRDefault="00846D06" w:rsidP="00846D06">
      <w:pPr>
        <w:pStyle w:val="Heading3"/>
        <w:rPr>
          <w:lang w:val="en-US"/>
        </w:rPr>
      </w:pPr>
      <w:bookmarkStart w:id="4" w:name="_Toc229750432"/>
      <w:r w:rsidRPr="00846D06">
        <w:rPr>
          <w:lang w:val="en-US"/>
        </w:rPr>
        <w:t>2.2 SUSTAINABILITY, HIGHER EDUCATION, AND THE CHALLENGE OF COMPLEXITY</w:t>
      </w:r>
      <w:bookmarkEnd w:id="4"/>
    </w:p>
    <w:p w14:paraId="79401D11" w14:textId="77777777" w:rsidR="00846D06" w:rsidRPr="00846D06" w:rsidRDefault="00846D06" w:rsidP="00846D06">
      <w:pPr>
        <w:autoSpaceDE w:val="0"/>
        <w:autoSpaceDN w:val="0"/>
        <w:adjustRightInd w:val="0"/>
        <w:spacing w:after="266" w:line="336"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2BA81BAC"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lastRenderedPageBreak/>
        <w:t>The alignment between History’s epistemology and the demands of sustainability can be situated within a broader discourse about the purpose of higher education.  Barnett’s (2004) influential concept of ‘</w:t>
      </w:r>
      <w:proofErr w:type="spellStart"/>
      <w:r w:rsidRPr="00846D06">
        <w:rPr>
          <w:rFonts w:asciiTheme="minorHAnsi" w:hAnsiTheme="minorHAnsi" w:cs="Helvetica"/>
          <w:color w:val="000000"/>
          <w:sz w:val="24"/>
          <w:szCs w:val="24"/>
          <w:lang w:val="en-US"/>
        </w:rPr>
        <w:t>supercomplexity</w:t>
      </w:r>
      <w:proofErr w:type="spellEnd"/>
      <w:r w:rsidRPr="00846D06">
        <w:rPr>
          <w:rFonts w:asciiTheme="minorHAnsi" w:hAnsiTheme="minorHAnsi" w:cs="Helvetica"/>
          <w:color w:val="000000"/>
          <w:sz w:val="24"/>
          <w:szCs w:val="24"/>
          <w:lang w:val="en-US"/>
        </w:rPr>
        <w:t xml:space="preserve">’ (p.71) argues that universities must prepare graduates not simply with knowledge or skills, but with the capacity to navigate a world of radical uncertainty where multiple frameworks of understanding compete and conflict.  </w:t>
      </w:r>
      <w:proofErr w:type="spellStart"/>
      <w:r w:rsidRPr="00846D06">
        <w:rPr>
          <w:rFonts w:asciiTheme="minorHAnsi" w:hAnsiTheme="minorHAnsi" w:cs="Helvetica"/>
          <w:color w:val="000000"/>
          <w:sz w:val="24"/>
          <w:szCs w:val="24"/>
          <w:lang w:val="en-US"/>
        </w:rPr>
        <w:t>Dall’Alba</w:t>
      </w:r>
      <w:proofErr w:type="spellEnd"/>
      <w:r w:rsidRPr="00846D06">
        <w:rPr>
          <w:rFonts w:asciiTheme="minorHAnsi" w:hAnsiTheme="minorHAnsi" w:cs="Helvetica"/>
          <w:color w:val="000000"/>
          <w:sz w:val="24"/>
          <w:szCs w:val="24"/>
          <w:lang w:val="en-US"/>
        </w:rPr>
        <w:t xml:space="preserve"> and Barnacle (2007) extend this argument, proposing a shift from the epistemological to the ontological purpose of higher education, drawing on Barnett’s ‘knowing, acting and being’ (p.679) framework.  The aim, in this view, is a transformative education producing individuals with the openness and vision to confront global and societal challenges.</w:t>
      </w:r>
    </w:p>
    <w:p w14:paraId="6B3A711F"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The knowing, acting and being framework has achieved a strong association in recent years with ESD (Shephard, 2008; </w:t>
      </w:r>
      <w:proofErr w:type="spellStart"/>
      <w:r w:rsidRPr="00846D06">
        <w:rPr>
          <w:rFonts w:asciiTheme="minorHAnsi" w:hAnsiTheme="minorHAnsi" w:cs="Helvetica"/>
          <w:color w:val="000000"/>
          <w:sz w:val="24"/>
          <w:szCs w:val="24"/>
          <w:lang w:val="en-US"/>
        </w:rPr>
        <w:t>Sípos</w:t>
      </w:r>
      <w:proofErr w:type="spellEnd"/>
      <w:r w:rsidRPr="00846D06">
        <w:rPr>
          <w:rFonts w:asciiTheme="minorHAnsi" w:hAnsiTheme="minorHAnsi" w:cs="Helvetica"/>
          <w:color w:val="000000"/>
          <w:sz w:val="24"/>
          <w:szCs w:val="24"/>
          <w:lang w:val="en-US"/>
        </w:rPr>
        <w:t xml:space="preserve">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2008; Advance HE/QAA, 2021), which </w:t>
      </w:r>
      <w:proofErr w:type="spellStart"/>
      <w:r w:rsidRPr="00846D06">
        <w:rPr>
          <w:rFonts w:asciiTheme="minorHAnsi" w:hAnsiTheme="minorHAnsi" w:cs="Helvetica"/>
          <w:color w:val="000000"/>
          <w:sz w:val="24"/>
          <w:szCs w:val="24"/>
          <w:lang w:val="en-US"/>
        </w:rPr>
        <w:t>emphasises</w:t>
      </w:r>
      <w:proofErr w:type="spellEnd"/>
      <w:r w:rsidRPr="00846D06">
        <w:rPr>
          <w:rFonts w:asciiTheme="minorHAnsi" w:hAnsiTheme="minorHAnsi" w:cs="Helvetica"/>
          <w:color w:val="000000"/>
          <w:sz w:val="24"/>
          <w:szCs w:val="24"/>
          <w:lang w:val="en-US"/>
        </w:rPr>
        <w:t xml:space="preserve"> transformative learning, critical thinking, and the challenging of existing worldviews and norms.  ESD calls for individuals to take informed decisions and responsible actions for environmental integrity, economic viability and just societies for present and future generations (Cortese and Hatton, 2010; Zhou, 2024).  </w:t>
      </w:r>
      <w:proofErr w:type="spellStart"/>
      <w:r w:rsidRPr="00846D06">
        <w:rPr>
          <w:rFonts w:asciiTheme="minorHAnsi" w:hAnsiTheme="minorHAnsi" w:cs="Helvetica"/>
          <w:color w:val="000000"/>
          <w:sz w:val="24"/>
          <w:szCs w:val="24"/>
          <w:lang w:val="en-US"/>
        </w:rPr>
        <w:t>Sípos</w:t>
      </w:r>
      <w:proofErr w:type="spellEnd"/>
      <w:r w:rsidRPr="00846D06">
        <w:rPr>
          <w:rFonts w:asciiTheme="minorHAnsi" w:hAnsiTheme="minorHAnsi" w:cs="Helvetica"/>
          <w:color w:val="000000"/>
          <w:sz w:val="24"/>
          <w:szCs w:val="24"/>
          <w:lang w:val="en-US"/>
        </w:rPr>
        <w:t xml:space="preserve">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(2008) </w:t>
      </w:r>
      <w:proofErr w:type="spellStart"/>
      <w:r w:rsidRPr="00846D06">
        <w:rPr>
          <w:rFonts w:asciiTheme="minorHAnsi" w:hAnsiTheme="minorHAnsi" w:cs="Helvetica"/>
          <w:color w:val="000000"/>
          <w:sz w:val="24"/>
          <w:szCs w:val="24"/>
          <w:lang w:val="en-US"/>
        </w:rPr>
        <w:t>organise</w:t>
      </w:r>
      <w:proofErr w:type="spellEnd"/>
      <w:r w:rsidRPr="00846D06">
        <w:rPr>
          <w:rFonts w:asciiTheme="minorHAnsi" w:hAnsiTheme="minorHAnsi" w:cs="Helvetica"/>
          <w:color w:val="000000"/>
          <w:sz w:val="24"/>
          <w:szCs w:val="24"/>
          <w:lang w:val="en-US"/>
        </w:rPr>
        <w:t xml:space="preserve"> sustainability learning objectives as relating to head, heart and hands, or ‘cognitive, psychomotor and affective domains’ (p.77), while Shephard (2008) proposes that affective learning outcomes – necessitating the transformation of the individual – form ‘the essence of education for sustainability’ (p.88).</w:t>
      </w:r>
    </w:p>
    <w:p w14:paraId="3C1291B9"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What is notable about this discourse is how closely it echoes what Dickinson (2025) identifies as already happening within History.  The discipline’s emphasis on independent thinking, breadth and depth of inquiry, intellectual </w:t>
      </w:r>
      <w:proofErr w:type="spellStart"/>
      <w:r w:rsidRPr="00846D06">
        <w:rPr>
          <w:rFonts w:asciiTheme="minorHAnsi" w:hAnsiTheme="minorHAnsi" w:cs="Helvetica"/>
          <w:color w:val="000000"/>
          <w:sz w:val="24"/>
          <w:szCs w:val="24"/>
          <w:lang w:val="en-US"/>
        </w:rPr>
        <w:t>rigour</w:t>
      </w:r>
      <w:proofErr w:type="spellEnd"/>
      <w:r w:rsidRPr="00846D06">
        <w:rPr>
          <w:rFonts w:asciiTheme="minorHAnsi" w:hAnsiTheme="minorHAnsi" w:cs="Helvetica"/>
          <w:color w:val="000000"/>
          <w:sz w:val="24"/>
          <w:szCs w:val="24"/>
          <w:lang w:val="en-US"/>
        </w:rPr>
        <w:t xml:space="preserve">, flexibility, open-mindedness, and engagement with diverse perspectives maps directly onto the competencies that ESD </w:t>
      </w:r>
      <w:r w:rsidRPr="00846D06">
        <w:rPr>
          <w:rFonts w:asciiTheme="minorHAnsi" w:hAnsiTheme="minorHAnsi" w:cs="Helvetica"/>
          <w:color w:val="000000"/>
          <w:sz w:val="24"/>
          <w:szCs w:val="24"/>
          <w:lang w:val="en-US"/>
        </w:rPr>
        <w:lastRenderedPageBreak/>
        <w:t xml:space="preserve">seeks to cultivate.  The question is whether this alignment is </w:t>
      </w:r>
      <w:proofErr w:type="spellStart"/>
      <w:r w:rsidRPr="00846D06">
        <w:rPr>
          <w:rFonts w:asciiTheme="minorHAnsi" w:hAnsiTheme="minorHAnsi" w:cs="Helvetica"/>
          <w:color w:val="000000"/>
          <w:sz w:val="24"/>
          <w:szCs w:val="24"/>
          <w:lang w:val="en-US"/>
        </w:rPr>
        <w:t>recognised</w:t>
      </w:r>
      <w:proofErr w:type="spellEnd"/>
      <w:r w:rsidRPr="00846D06">
        <w:rPr>
          <w:rFonts w:asciiTheme="minorHAnsi" w:hAnsiTheme="minorHAnsi" w:cs="Helvetica"/>
          <w:color w:val="000000"/>
          <w:sz w:val="24"/>
          <w:szCs w:val="24"/>
          <w:lang w:val="en-US"/>
        </w:rPr>
        <w:t>, and whether it matters to historians that it be made visible.</w:t>
      </w:r>
    </w:p>
    <w:p w14:paraId="2F6D296B"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09DAC517" w14:textId="77777777" w:rsidR="00846D06" w:rsidRPr="00846D06" w:rsidRDefault="00846D06" w:rsidP="00846D06">
      <w:pPr>
        <w:pStyle w:val="Heading3"/>
        <w:rPr>
          <w:lang w:val="en-US"/>
        </w:rPr>
      </w:pPr>
      <w:bookmarkStart w:id="5" w:name="_Toc229750433"/>
      <w:r w:rsidRPr="00846D06">
        <w:rPr>
          <w:lang w:val="en-US"/>
        </w:rPr>
        <w:t>2.3 ESD IN U.K. HIGHER EDUCATION: POLICY DRIVERS AND QUALITY FRAMEWORKS</w:t>
      </w:r>
      <w:bookmarkEnd w:id="5"/>
    </w:p>
    <w:p w14:paraId="28C7C751" w14:textId="77777777" w:rsidR="00846D06" w:rsidRPr="00846D06" w:rsidRDefault="00846D06" w:rsidP="00846D06">
      <w:pPr>
        <w:autoSpaceDE w:val="0"/>
        <w:autoSpaceDN w:val="0"/>
        <w:adjustRightInd w:val="0"/>
        <w:spacing w:after="266" w:line="308"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13363E9A"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Since the UN Decade of Education for Sustainable Development (UN DESD) (2005-2014), there has been increasing pressure on U.K. universities to demonstrate engagement with sustainability.  The </w:t>
      </w:r>
      <w:r w:rsidRPr="00846D06">
        <w:rPr>
          <w:rFonts w:asciiTheme="minorHAnsi" w:hAnsiTheme="minorHAnsi" w:cs="Helvetica"/>
          <w:i/>
          <w:iCs/>
          <w:color w:val="000000"/>
          <w:sz w:val="24"/>
          <w:szCs w:val="24"/>
          <w:lang w:val="en-US"/>
        </w:rPr>
        <w:t>Advance HE/QAA Education for Sustainable Development Guidance</w:t>
      </w:r>
      <w:r w:rsidRPr="00846D06">
        <w:rPr>
          <w:rFonts w:asciiTheme="minorHAnsi" w:hAnsiTheme="minorHAnsi" w:cs="Helvetica"/>
          <w:color w:val="000000"/>
          <w:sz w:val="24"/>
          <w:szCs w:val="24"/>
          <w:lang w:val="en-US"/>
        </w:rPr>
        <w:t xml:space="preserve"> (Advance HE and QAA, 2021), first published in 2014 and substantially revised in 2021, has been particularly influential.  The </w:t>
      </w:r>
      <w:r w:rsidRPr="00846D06">
        <w:rPr>
          <w:rFonts w:asciiTheme="minorHAnsi" w:hAnsiTheme="minorHAnsi" w:cs="Helvetica"/>
          <w:i/>
          <w:iCs/>
          <w:color w:val="000000"/>
          <w:sz w:val="24"/>
          <w:szCs w:val="24"/>
          <w:lang w:val="en-US"/>
        </w:rPr>
        <w:t>Guidance</w:t>
      </w:r>
      <w:r w:rsidRPr="00846D06">
        <w:rPr>
          <w:rFonts w:asciiTheme="minorHAnsi" w:hAnsiTheme="minorHAnsi" w:cs="Helvetica"/>
          <w:color w:val="000000"/>
          <w:sz w:val="24"/>
          <w:szCs w:val="24"/>
          <w:lang w:val="en-US"/>
        </w:rPr>
        <w:t xml:space="preserve"> articulates the UNESCO eight ‘key competencies for sustainability’ (UNESCO, 2017) in the higher education context, </w:t>
      </w:r>
      <w:proofErr w:type="spellStart"/>
      <w:r w:rsidRPr="00846D06">
        <w:rPr>
          <w:rFonts w:asciiTheme="minorHAnsi" w:hAnsiTheme="minorHAnsi" w:cs="Helvetica"/>
          <w:color w:val="000000"/>
          <w:sz w:val="24"/>
          <w:szCs w:val="24"/>
          <w:lang w:val="en-US"/>
        </w:rPr>
        <w:t>emphasises</w:t>
      </w:r>
      <w:proofErr w:type="spellEnd"/>
      <w:r w:rsidRPr="00846D06">
        <w:rPr>
          <w:rFonts w:asciiTheme="minorHAnsi" w:hAnsiTheme="minorHAnsi" w:cs="Helvetica"/>
          <w:color w:val="000000"/>
          <w:sz w:val="24"/>
          <w:szCs w:val="24"/>
          <w:lang w:val="en-US"/>
        </w:rPr>
        <w:t xml:space="preserve"> the interdependence of environmental integrity, social justice and economic prosperity, and suggests ways in which ESD might be included in learning, teaching, and quality processes.  Internationally, it has been praised for its potential to influence change through quality assurance and enhancement processes (Janssens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2022).</w:t>
      </w:r>
    </w:p>
    <w:p w14:paraId="230C5B0F"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Of </w:t>
      </w:r>
      <w:proofErr w:type="gramStart"/>
      <w:r w:rsidRPr="00846D06">
        <w:rPr>
          <w:rFonts w:asciiTheme="minorHAnsi" w:hAnsiTheme="minorHAnsi" w:cs="Helvetica"/>
          <w:color w:val="000000"/>
          <w:sz w:val="24"/>
          <w:szCs w:val="24"/>
          <w:lang w:val="en-US"/>
        </w:rPr>
        <w:t>particular relevance</w:t>
      </w:r>
      <w:proofErr w:type="gramEnd"/>
      <w:r w:rsidRPr="00846D06">
        <w:rPr>
          <w:rFonts w:asciiTheme="minorHAnsi" w:hAnsiTheme="minorHAnsi" w:cs="Helvetica"/>
          <w:color w:val="000000"/>
          <w:sz w:val="24"/>
          <w:szCs w:val="24"/>
          <w:lang w:val="en-US"/>
        </w:rPr>
        <w:t xml:space="preserve"> to this study is the revised QAA </w:t>
      </w:r>
      <w:r w:rsidRPr="00846D06">
        <w:rPr>
          <w:rFonts w:asciiTheme="minorHAnsi" w:hAnsiTheme="minorHAnsi" w:cs="Helvetica"/>
          <w:i/>
          <w:iCs/>
          <w:color w:val="000000"/>
          <w:sz w:val="24"/>
          <w:szCs w:val="24"/>
          <w:lang w:val="en-US"/>
        </w:rPr>
        <w:t>Subject Benchmark Statement for History</w:t>
      </w:r>
      <w:r w:rsidRPr="00846D06">
        <w:rPr>
          <w:rFonts w:asciiTheme="minorHAnsi" w:hAnsiTheme="minorHAnsi" w:cs="Helvetica"/>
          <w:color w:val="000000"/>
          <w:sz w:val="24"/>
          <w:szCs w:val="24"/>
          <w:lang w:val="en-US"/>
        </w:rPr>
        <w:t xml:space="preserve"> (QAA, 2022), which makes explicit reference to sustainability as it relates to the discipline.  The </w:t>
      </w:r>
      <w:r w:rsidRPr="00846D06">
        <w:rPr>
          <w:rFonts w:asciiTheme="minorHAnsi" w:hAnsiTheme="minorHAnsi" w:cs="Helvetica"/>
          <w:i/>
          <w:iCs/>
          <w:color w:val="000000"/>
          <w:sz w:val="24"/>
          <w:szCs w:val="24"/>
          <w:lang w:val="en-US"/>
        </w:rPr>
        <w:t>Statement</w:t>
      </w:r>
      <w:r w:rsidRPr="00846D06">
        <w:rPr>
          <w:rFonts w:asciiTheme="minorHAnsi" w:hAnsiTheme="minorHAnsi" w:cs="Helvetica"/>
          <w:color w:val="000000"/>
          <w:sz w:val="24"/>
          <w:szCs w:val="24"/>
          <w:lang w:val="en-US"/>
        </w:rPr>
        <w:t xml:space="preserve"> identifies three areas of connection: disciplinary content, particularly Environmental History; engagement with heritage and conservation; and teaching methods that focus on examining change, causation and multi-perspectivity.  Ultimately, the </w:t>
      </w:r>
      <w:r w:rsidRPr="00846D06">
        <w:rPr>
          <w:rFonts w:asciiTheme="minorHAnsi" w:hAnsiTheme="minorHAnsi" w:cs="Helvetica"/>
          <w:i/>
          <w:iCs/>
          <w:color w:val="000000"/>
          <w:sz w:val="24"/>
          <w:szCs w:val="24"/>
          <w:lang w:val="en-US"/>
        </w:rPr>
        <w:t>Statement</w:t>
      </w:r>
      <w:r w:rsidRPr="00846D06">
        <w:rPr>
          <w:rFonts w:asciiTheme="minorHAnsi" w:hAnsiTheme="minorHAnsi" w:cs="Helvetica"/>
          <w:color w:val="000000"/>
          <w:sz w:val="24"/>
          <w:szCs w:val="24"/>
          <w:lang w:val="en-US"/>
        </w:rPr>
        <w:t xml:space="preserve"> concludes that a </w:t>
      </w:r>
      <w:proofErr w:type="gramStart"/>
      <w:r w:rsidRPr="00846D06">
        <w:rPr>
          <w:rFonts w:asciiTheme="minorHAnsi" w:hAnsiTheme="minorHAnsi" w:cs="Helvetica"/>
          <w:color w:val="000000"/>
          <w:sz w:val="24"/>
          <w:szCs w:val="24"/>
          <w:lang w:val="en-US"/>
        </w:rPr>
        <w:t>History</w:t>
      </w:r>
      <w:proofErr w:type="gramEnd"/>
      <w:r w:rsidRPr="00846D06">
        <w:rPr>
          <w:rFonts w:asciiTheme="minorHAnsi" w:hAnsiTheme="minorHAnsi" w:cs="Helvetica"/>
          <w:color w:val="000000"/>
          <w:sz w:val="24"/>
          <w:szCs w:val="24"/>
          <w:lang w:val="en-US"/>
        </w:rPr>
        <w:t xml:space="preserve"> degree prepares graduates for complex current and future sustainability challenges requiring critical mindsets, flexibility, and multi-disciplinary approaches.  This is, in essence, a quality assurance validation of the argument advanced by Dickinson (2025) – that the </w:t>
      </w:r>
      <w:r w:rsidRPr="00846D06">
        <w:rPr>
          <w:rFonts w:asciiTheme="minorHAnsi" w:hAnsiTheme="minorHAnsi" w:cs="Helvetica"/>
          <w:color w:val="000000"/>
          <w:sz w:val="24"/>
          <w:szCs w:val="24"/>
          <w:lang w:val="en-US"/>
        </w:rPr>
        <w:lastRenderedPageBreak/>
        <w:t>epistemology of History is fundamentally aligned with the intellectual demands of sustainability.</w:t>
      </w:r>
    </w:p>
    <w:p w14:paraId="2C0E225F"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Yet the question remains: has this policy recognition translated into practice?  The evidence from the literature is limited and somewhat discouraging.  Research into the perceptions of historians regarding ESD remains strikingly scarce, and the isolated examples of dedicated modules or projects that exist – an interdisciplinary food systems module (Blodgett and Feld, 2021), a pilot study integrating historical content into ICT for Sustainability (Brooks et al., 2024) – are far too limited to suggest systematic disciplinary engagement with ESD.  This study aims to address that gap.</w:t>
      </w:r>
    </w:p>
    <w:p w14:paraId="35495AC6"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5A2C239D" w14:textId="77777777" w:rsidR="00846D06" w:rsidRPr="00846D06" w:rsidRDefault="00846D06" w:rsidP="00846D06">
      <w:pPr>
        <w:pStyle w:val="Heading3"/>
        <w:rPr>
          <w:lang w:val="en-US"/>
        </w:rPr>
      </w:pPr>
      <w:bookmarkStart w:id="6" w:name="_Toc229750434"/>
      <w:r w:rsidRPr="00846D06">
        <w:rPr>
          <w:lang w:val="en-US"/>
        </w:rPr>
        <w:t>2.4 ACADEMICS’ PERCEPTIONS OF ESD</w:t>
      </w:r>
      <w:bookmarkEnd w:id="6"/>
    </w:p>
    <w:p w14:paraId="6A5F1506"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5CB682F6"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Studies regarding the ways in which higher education practitioners perceive ESD have been relatively few.  An early study at Macquarie University (Australia) took a </w:t>
      </w:r>
      <w:proofErr w:type="spellStart"/>
      <w:r w:rsidRPr="00846D06">
        <w:rPr>
          <w:rFonts w:asciiTheme="minorHAnsi" w:hAnsiTheme="minorHAnsi" w:cs="Helvetica"/>
          <w:color w:val="000000"/>
          <w:sz w:val="24"/>
          <w:szCs w:val="24"/>
          <w:lang w:val="en-US"/>
        </w:rPr>
        <w:t>phenomenographic</w:t>
      </w:r>
      <w:proofErr w:type="spellEnd"/>
      <w:r w:rsidRPr="00846D06">
        <w:rPr>
          <w:rFonts w:asciiTheme="minorHAnsi" w:hAnsiTheme="minorHAnsi" w:cs="Helvetica"/>
          <w:color w:val="000000"/>
          <w:sz w:val="24"/>
          <w:szCs w:val="24"/>
          <w:lang w:val="en-US"/>
        </w:rPr>
        <w:t xml:space="preserve"> approach through interviews with 14 lecturers (Reid and </w:t>
      </w:r>
      <w:proofErr w:type="spellStart"/>
      <w:r w:rsidRPr="00846D06">
        <w:rPr>
          <w:rFonts w:asciiTheme="minorHAnsi" w:hAnsiTheme="minorHAnsi" w:cs="Helvetica"/>
          <w:color w:val="000000"/>
          <w:sz w:val="24"/>
          <w:szCs w:val="24"/>
          <w:lang w:val="en-US"/>
        </w:rPr>
        <w:t>Petocz</w:t>
      </w:r>
      <w:proofErr w:type="spellEnd"/>
      <w:r w:rsidRPr="00846D06">
        <w:rPr>
          <w:rFonts w:asciiTheme="minorHAnsi" w:hAnsiTheme="minorHAnsi" w:cs="Helvetica"/>
          <w:color w:val="000000"/>
          <w:sz w:val="24"/>
          <w:szCs w:val="24"/>
          <w:lang w:val="en-US"/>
        </w:rPr>
        <w:t xml:space="preserve">, 2006).  Sampling targeted early-career academics with an interest in sustainability-related action research, limiting the </w:t>
      </w:r>
      <w:proofErr w:type="spellStart"/>
      <w:r w:rsidRPr="00846D06">
        <w:rPr>
          <w:rFonts w:asciiTheme="minorHAnsi" w:hAnsiTheme="minorHAnsi" w:cs="Helvetica"/>
          <w:color w:val="000000"/>
          <w:sz w:val="24"/>
          <w:szCs w:val="24"/>
          <w:lang w:val="en-US"/>
        </w:rPr>
        <w:t>generalisability</w:t>
      </w:r>
      <w:proofErr w:type="spellEnd"/>
      <w:r w:rsidRPr="00846D06">
        <w:rPr>
          <w:rFonts w:asciiTheme="minorHAnsi" w:hAnsiTheme="minorHAnsi" w:cs="Helvetica"/>
          <w:color w:val="000000"/>
          <w:sz w:val="24"/>
          <w:szCs w:val="24"/>
          <w:lang w:val="en-US"/>
        </w:rPr>
        <w:t xml:space="preserve"> of the results.  Given the self-selection bias of the Macquarie study, it is surprising, therefore, that several participants nevertheless report difficulties with understanding the language of sustainability and sustainable development, with varying notions, including ‘keeping things going’, and the importance of recycling paper being mentioned.  While </w:t>
      </w:r>
      <w:proofErr w:type="gramStart"/>
      <w:r w:rsidRPr="00846D06">
        <w:rPr>
          <w:rFonts w:asciiTheme="minorHAnsi" w:hAnsiTheme="minorHAnsi" w:cs="Helvetica"/>
          <w:color w:val="000000"/>
          <w:sz w:val="24"/>
          <w:szCs w:val="24"/>
          <w:lang w:val="en-US"/>
        </w:rPr>
        <w:t>a number of</w:t>
      </w:r>
      <w:proofErr w:type="gramEnd"/>
      <w:r w:rsidRPr="00846D06">
        <w:rPr>
          <w:rFonts w:asciiTheme="minorHAnsi" w:hAnsiTheme="minorHAnsi" w:cs="Helvetica"/>
          <w:color w:val="000000"/>
          <w:sz w:val="24"/>
          <w:szCs w:val="24"/>
          <w:lang w:val="en-US"/>
        </w:rPr>
        <w:t xml:space="preserve"> lecturers from arts, humanities and social sciences were interviewed for the study, with experiences and understanding that may have relevance to this research, no historians took part.  A further serious limitation of the Macquarie study is that, while the authors state that the value of their research lies in </w:t>
      </w:r>
      <w:r w:rsidRPr="00846D06">
        <w:rPr>
          <w:rFonts w:asciiTheme="minorHAnsi" w:hAnsiTheme="minorHAnsi" w:cs="Helvetica"/>
          <w:color w:val="000000"/>
          <w:sz w:val="24"/>
          <w:szCs w:val="24"/>
          <w:lang w:val="en-US"/>
        </w:rPr>
        <w:lastRenderedPageBreak/>
        <w:t xml:space="preserve">its inclusion of academics from across a wide range of disciplines, rather than from the disciplines </w:t>
      </w:r>
      <w:proofErr w:type="gramStart"/>
      <w:r w:rsidRPr="00846D06">
        <w:rPr>
          <w:rFonts w:asciiTheme="minorHAnsi" w:hAnsiTheme="minorHAnsi" w:cs="Helvetica"/>
          <w:color w:val="000000"/>
          <w:sz w:val="24"/>
          <w:szCs w:val="24"/>
          <w:lang w:val="en-US"/>
        </w:rPr>
        <w:t>most commonly associated</w:t>
      </w:r>
      <w:proofErr w:type="gramEnd"/>
      <w:r w:rsidRPr="00846D06">
        <w:rPr>
          <w:rFonts w:asciiTheme="minorHAnsi" w:hAnsiTheme="minorHAnsi" w:cs="Helvetica"/>
          <w:color w:val="000000"/>
          <w:sz w:val="24"/>
          <w:szCs w:val="24"/>
          <w:lang w:val="en-US"/>
        </w:rPr>
        <w:t xml:space="preserve"> with sustainability and environmental education, they draw no conclusions regarding differing experiences and understandings dependent on discipline area.</w:t>
      </w:r>
    </w:p>
    <w:p w14:paraId="60CAF3E7"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Closer to home, a much-cited U.K. study was undertaken at the University of Plymouth, claiming to provide insights adaptable to other HEIs (Cotton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2007).  One insight of value to the present study was the emergence of the concept of ‘balance’ in academics’ understandings and descriptions of sustainability: the association of sustainability with human-nature interactions.  This human-nature interconnectedness will be referred to again in connection with the discipline of History.</w:t>
      </w:r>
    </w:p>
    <w:p w14:paraId="64FBCB45"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A later survey conducted in Australia called on academics from across disciplines and institutions country-wide (Christie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2015), aiming to explore the cross-disciplinary angle.  The main finding was that academics show general support for the integration of Education for Sustainability (</w:t>
      </w:r>
      <w:proofErr w:type="spellStart"/>
      <w:r w:rsidRPr="00846D06">
        <w:rPr>
          <w:rFonts w:asciiTheme="minorHAnsi" w:hAnsiTheme="minorHAnsi" w:cs="Helvetica"/>
          <w:color w:val="000000"/>
          <w:sz w:val="24"/>
          <w:szCs w:val="24"/>
          <w:lang w:val="en-US"/>
        </w:rPr>
        <w:t>EfS</w:t>
      </w:r>
      <w:proofErr w:type="spellEnd"/>
      <w:r w:rsidRPr="00846D06">
        <w:rPr>
          <w:rFonts w:asciiTheme="minorHAnsi" w:hAnsiTheme="minorHAnsi" w:cs="Helvetica"/>
          <w:color w:val="000000"/>
          <w:sz w:val="24"/>
          <w:szCs w:val="24"/>
          <w:lang w:val="en-US"/>
        </w:rPr>
        <w:t xml:space="preserve">) (the term overwhelmingly preferred in Australia) in higher education, though with variations in understandings of sustainability concepts.  A further finding is in strong alignment with several others looking at the barriers to embedding ESD in curricula (Dawe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2005; Lozano, 2006; Cebrián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2015).  That is, that overloaded curricula, a lack of institutional support, and the perception that sustainability is not relevant to all disciplines are very common themes.</w:t>
      </w:r>
    </w:p>
    <w:p w14:paraId="2AB1F48D"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Significantly, academics in creative disciplines showed more support, and perceived more relevance of </w:t>
      </w:r>
      <w:proofErr w:type="spellStart"/>
      <w:r w:rsidRPr="00846D06">
        <w:rPr>
          <w:rFonts w:asciiTheme="minorHAnsi" w:hAnsiTheme="minorHAnsi" w:cs="Helvetica"/>
          <w:color w:val="000000"/>
          <w:sz w:val="24"/>
          <w:szCs w:val="24"/>
          <w:lang w:val="en-US"/>
        </w:rPr>
        <w:t>EfS</w:t>
      </w:r>
      <w:proofErr w:type="spellEnd"/>
      <w:r w:rsidRPr="00846D06">
        <w:rPr>
          <w:rFonts w:asciiTheme="minorHAnsi" w:hAnsiTheme="minorHAnsi" w:cs="Helvetica"/>
          <w:color w:val="000000"/>
          <w:sz w:val="24"/>
          <w:szCs w:val="24"/>
          <w:lang w:val="en-US"/>
        </w:rPr>
        <w:t xml:space="preserve">, than those from Science, Technology, Engineering and Mathematics (STEM).  The authors conclude that the reasons for this lie in the worldviews of academics, claiming that the positivist, Cartesian epistemologies of scientists are less compatible with the somewhat ‘fuzzy’ concepts of sustainability education, while creatives, in embracing a postpositivist constructivist stance are more likely to also embrace </w:t>
      </w:r>
      <w:proofErr w:type="spellStart"/>
      <w:r w:rsidRPr="00846D06">
        <w:rPr>
          <w:rFonts w:asciiTheme="minorHAnsi" w:hAnsiTheme="minorHAnsi" w:cs="Helvetica"/>
          <w:color w:val="000000"/>
          <w:sz w:val="24"/>
          <w:szCs w:val="24"/>
          <w:lang w:val="en-US"/>
        </w:rPr>
        <w:lastRenderedPageBreak/>
        <w:t>EfS</w:t>
      </w:r>
      <w:proofErr w:type="spellEnd"/>
      <w:r w:rsidRPr="00846D06">
        <w:rPr>
          <w:rFonts w:asciiTheme="minorHAnsi" w:hAnsiTheme="minorHAnsi" w:cs="Helvetica"/>
          <w:color w:val="000000"/>
          <w:sz w:val="24"/>
          <w:szCs w:val="24"/>
          <w:lang w:val="en-US"/>
        </w:rPr>
        <w:t>.  However, since reference to worldviews appears to have been absent in the survey and the data gathered, this conclusion would appear to be purely speculative.  It is, nevertheless, a fascinating one, and suggests the value of including questions about epistemologies and values in further research in this area.</w:t>
      </w:r>
    </w:p>
    <w:p w14:paraId="07FFA0F0" w14:textId="77777777" w:rsid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Christie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(2015) conclude by setting up the context for the present study:</w:t>
      </w:r>
    </w:p>
    <w:p w14:paraId="2C576AD1" w14:textId="2B90312F" w:rsidR="00846D06" w:rsidRPr="00846D06" w:rsidRDefault="00846D06" w:rsidP="00846D06">
      <w:pPr>
        <w:autoSpaceDE w:val="0"/>
        <w:autoSpaceDN w:val="0"/>
        <w:adjustRightInd w:val="0"/>
        <w:spacing w:after="266" w:line="480" w:lineRule="atLeast"/>
        <w:ind w:left="720"/>
        <w:rPr>
          <w:rFonts w:asciiTheme="minorHAnsi" w:hAnsiTheme="minorHAnsi" w:cs="Helvetica"/>
          <w:i/>
          <w:iCs/>
          <w:color w:val="000000"/>
          <w:sz w:val="24"/>
          <w:szCs w:val="24"/>
          <w:lang w:val="en-US"/>
        </w:rPr>
      </w:pPr>
      <w:r w:rsidRPr="00846D06">
        <w:rPr>
          <w:rFonts w:asciiTheme="minorHAnsi" w:hAnsiTheme="minorHAnsi" w:cs="Helvetica"/>
          <w:i/>
          <w:iCs/>
          <w:color w:val="000000"/>
          <w:sz w:val="24"/>
          <w:szCs w:val="24"/>
          <w:lang w:val="en-US"/>
        </w:rPr>
        <w:t xml:space="preserve">Future research should delve deeper into the nuances of the differences between disciplines.  By meeting academics within their disciplinary worldviews, the importance and application of </w:t>
      </w:r>
      <w:proofErr w:type="spellStart"/>
      <w:r w:rsidRPr="00846D06">
        <w:rPr>
          <w:rFonts w:asciiTheme="minorHAnsi" w:hAnsiTheme="minorHAnsi" w:cs="Helvetica"/>
          <w:i/>
          <w:iCs/>
          <w:color w:val="000000"/>
          <w:sz w:val="24"/>
          <w:szCs w:val="24"/>
          <w:lang w:val="en-US"/>
        </w:rPr>
        <w:t>EfS</w:t>
      </w:r>
      <w:proofErr w:type="spellEnd"/>
      <w:r w:rsidRPr="00846D06">
        <w:rPr>
          <w:rFonts w:asciiTheme="minorHAnsi" w:hAnsiTheme="minorHAnsi" w:cs="Helvetica"/>
          <w:i/>
          <w:iCs/>
          <w:color w:val="000000"/>
          <w:sz w:val="24"/>
          <w:szCs w:val="24"/>
          <w:lang w:val="en-US"/>
        </w:rPr>
        <w:t xml:space="preserve"> to their teaching and learning can be further developed.</w:t>
      </w:r>
    </w:p>
    <w:p w14:paraId="17C797B5" w14:textId="77777777" w:rsidR="00846D06" w:rsidRPr="00846D06" w:rsidRDefault="00846D06" w:rsidP="00846D06">
      <w:pPr>
        <w:autoSpaceDE w:val="0"/>
        <w:autoSpaceDN w:val="0"/>
        <w:adjustRightInd w:val="0"/>
        <w:spacing w:after="266" w:line="480" w:lineRule="atLeast"/>
        <w:ind w:left="2880" w:hanging="2880"/>
        <w:jc w:val="righ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(Christie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2015)</w:t>
      </w:r>
    </w:p>
    <w:p w14:paraId="5F13ABFB" w14:textId="77777777" w:rsidR="00846D06" w:rsidRPr="00846D06" w:rsidRDefault="00846D06" w:rsidP="00846D06">
      <w:pPr>
        <w:autoSpaceDE w:val="0"/>
        <w:autoSpaceDN w:val="0"/>
        <w:adjustRightInd w:val="0"/>
        <w:spacing w:after="266" w:line="480" w:lineRule="atLeast"/>
        <w:jc w:val="both"/>
        <w:rPr>
          <w:rFonts w:asciiTheme="minorHAnsi" w:hAnsiTheme="minorHAnsi" w:cs="Helvetica"/>
          <w:color w:val="000000"/>
          <w:sz w:val="24"/>
          <w:szCs w:val="24"/>
          <w:lang w:val="en-US"/>
        </w:rPr>
      </w:pPr>
      <w:proofErr w:type="gramStart"/>
      <w:r w:rsidRPr="00846D06">
        <w:rPr>
          <w:rFonts w:asciiTheme="minorHAnsi" w:hAnsiTheme="minorHAnsi" w:cs="Helvetica"/>
          <w:color w:val="000000"/>
          <w:sz w:val="24"/>
          <w:szCs w:val="24"/>
          <w:lang w:val="en-US"/>
        </w:rPr>
        <w:t>With regard to</w:t>
      </w:r>
      <w:proofErr w:type="gramEnd"/>
      <w:r w:rsidRPr="00846D06">
        <w:rPr>
          <w:rFonts w:asciiTheme="minorHAnsi" w:hAnsiTheme="minorHAnsi" w:cs="Helvetica"/>
          <w:color w:val="000000"/>
          <w:sz w:val="24"/>
          <w:szCs w:val="24"/>
          <w:lang w:val="en-US"/>
        </w:rPr>
        <w:t xml:space="preserve"> disciplinary differences, there is an overall paucity of research into the attitudes towards, and perceptions of sustainability education.  Kemper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(2020) investigated marketing lecturers’ attitudes, and Lazzarini and Pérez-</w:t>
      </w:r>
      <w:proofErr w:type="spellStart"/>
      <w:r w:rsidRPr="00846D06">
        <w:rPr>
          <w:rFonts w:asciiTheme="minorHAnsi" w:hAnsiTheme="minorHAnsi" w:cs="Helvetica"/>
          <w:color w:val="000000"/>
          <w:sz w:val="24"/>
          <w:szCs w:val="24"/>
          <w:lang w:val="en-US"/>
        </w:rPr>
        <w:t>Foguet</w:t>
      </w:r>
      <w:proofErr w:type="spellEnd"/>
      <w:r w:rsidRPr="00846D06">
        <w:rPr>
          <w:rFonts w:asciiTheme="minorHAnsi" w:hAnsiTheme="minorHAnsi" w:cs="Helvetica"/>
          <w:color w:val="000000"/>
          <w:sz w:val="24"/>
          <w:szCs w:val="24"/>
          <w:lang w:val="en-US"/>
        </w:rPr>
        <w:t xml:space="preserve"> (2008) looked at engineers, while there have been </w:t>
      </w:r>
      <w:proofErr w:type="gramStart"/>
      <w:r w:rsidRPr="00846D06">
        <w:rPr>
          <w:rFonts w:asciiTheme="minorHAnsi" w:hAnsiTheme="minorHAnsi" w:cs="Helvetica"/>
          <w:color w:val="000000"/>
          <w:sz w:val="24"/>
          <w:szCs w:val="24"/>
          <w:lang w:val="en-US"/>
        </w:rPr>
        <w:t>a number of</w:t>
      </w:r>
      <w:proofErr w:type="gramEnd"/>
      <w:r w:rsidRPr="00846D06">
        <w:rPr>
          <w:rFonts w:asciiTheme="minorHAnsi" w:hAnsiTheme="minorHAnsi" w:cs="Helvetica"/>
          <w:color w:val="000000"/>
          <w:sz w:val="24"/>
          <w:szCs w:val="24"/>
          <w:lang w:val="en-US"/>
        </w:rPr>
        <w:t xml:space="preserve"> studies into teacher educators (</w:t>
      </w:r>
      <w:proofErr w:type="spellStart"/>
      <w:r w:rsidRPr="00846D06">
        <w:rPr>
          <w:rFonts w:asciiTheme="minorHAnsi" w:hAnsiTheme="minorHAnsi" w:cs="Helvetica"/>
          <w:color w:val="000000"/>
          <w:sz w:val="24"/>
          <w:szCs w:val="24"/>
          <w:lang w:val="en-US"/>
        </w:rPr>
        <w:t>Sinakou</w:t>
      </w:r>
      <w:proofErr w:type="spellEnd"/>
      <w:r w:rsidRPr="00846D06">
        <w:rPr>
          <w:rFonts w:asciiTheme="minorHAnsi" w:hAnsiTheme="minorHAnsi" w:cs="Helvetica"/>
          <w:color w:val="000000"/>
          <w:sz w:val="24"/>
          <w:szCs w:val="24"/>
          <w:lang w:val="en-US"/>
        </w:rPr>
        <w:t xml:space="preserve">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2018; Corres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2020; Goller and Rieckmann, 2022).  However, the field for further research into the stance of academics from all subject groups towards ESD is certainly wide open.</w:t>
      </w:r>
    </w:p>
    <w:p w14:paraId="10B9A2FD" w14:textId="77777777" w:rsid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One further study to note for its methodological approach is that of Shephard and Furnari (2013), who employed Q-Methodology, a research technique used to study participants’ subjectivity, involving the ranking and sorting of a series of statements (Sandling, n.d.).  The results of their study are fascinating for their readability, being presented as five narratives, allowing participants to speak in their own voices regarding their attitudes towards and perceptions of </w:t>
      </w:r>
      <w:proofErr w:type="spellStart"/>
      <w:r w:rsidRPr="00846D06">
        <w:rPr>
          <w:rFonts w:asciiTheme="minorHAnsi" w:hAnsiTheme="minorHAnsi" w:cs="Helvetica"/>
          <w:color w:val="000000"/>
          <w:sz w:val="24"/>
          <w:szCs w:val="24"/>
          <w:lang w:val="en-US"/>
        </w:rPr>
        <w:t>EfS</w:t>
      </w:r>
      <w:proofErr w:type="spellEnd"/>
      <w:r w:rsidRPr="00846D06">
        <w:rPr>
          <w:rFonts w:asciiTheme="minorHAnsi" w:hAnsiTheme="minorHAnsi" w:cs="Helvetica"/>
          <w:color w:val="000000"/>
          <w:sz w:val="24"/>
          <w:szCs w:val="24"/>
          <w:lang w:val="en-US"/>
        </w:rPr>
        <w:t xml:space="preserve">.  The conclusions suggested widespread support for the principles underlying </w:t>
      </w:r>
      <w:proofErr w:type="spellStart"/>
      <w:r w:rsidRPr="00846D06">
        <w:rPr>
          <w:rFonts w:asciiTheme="minorHAnsi" w:hAnsiTheme="minorHAnsi" w:cs="Helvetica"/>
          <w:color w:val="000000"/>
          <w:sz w:val="24"/>
          <w:szCs w:val="24"/>
          <w:lang w:val="en-US"/>
        </w:rPr>
        <w:t>EfS</w:t>
      </w:r>
      <w:proofErr w:type="spellEnd"/>
      <w:r w:rsidRPr="00846D06">
        <w:rPr>
          <w:rFonts w:asciiTheme="minorHAnsi" w:hAnsiTheme="minorHAnsi" w:cs="Helvetica"/>
          <w:color w:val="000000"/>
          <w:sz w:val="24"/>
          <w:szCs w:val="24"/>
          <w:lang w:val="en-US"/>
        </w:rPr>
        <w:t>:</w:t>
      </w:r>
    </w:p>
    <w:p w14:paraId="55A35238" w14:textId="1F61E8B8" w:rsidR="00846D06" w:rsidRPr="00846D06" w:rsidRDefault="00846D06" w:rsidP="00846D06">
      <w:pPr>
        <w:autoSpaceDE w:val="0"/>
        <w:autoSpaceDN w:val="0"/>
        <w:adjustRightInd w:val="0"/>
        <w:spacing w:after="266" w:line="480" w:lineRule="atLeast"/>
        <w:ind w:left="720"/>
        <w:rPr>
          <w:rFonts w:asciiTheme="minorHAnsi" w:hAnsiTheme="minorHAnsi" w:cs="Helvetica"/>
          <w:i/>
          <w:iCs/>
          <w:color w:val="000000"/>
          <w:sz w:val="24"/>
          <w:szCs w:val="24"/>
          <w:lang w:val="en-US"/>
        </w:rPr>
      </w:pPr>
      <w:r w:rsidRPr="00846D06">
        <w:rPr>
          <w:rFonts w:asciiTheme="minorHAnsi" w:hAnsiTheme="minorHAnsi" w:cs="Helvetica"/>
          <w:i/>
          <w:iCs/>
          <w:color w:val="000000"/>
          <w:sz w:val="24"/>
          <w:szCs w:val="24"/>
          <w:lang w:val="en-US"/>
        </w:rPr>
        <w:lastRenderedPageBreak/>
        <w:t>We all regard university education as a transformative experience that develops professionals who are also contributing members of society and we all think that academic staff in higher education have a unique role to fulfil in preparing educated citizens who can find solutions to the pressing problems of the day.</w:t>
      </w:r>
    </w:p>
    <w:p w14:paraId="0D5D54AC" w14:textId="4220D0A1" w:rsidR="00846D06" w:rsidRPr="00846D06" w:rsidRDefault="00846D06" w:rsidP="00846D06">
      <w:pPr>
        <w:autoSpaceDE w:val="0"/>
        <w:autoSpaceDN w:val="0"/>
        <w:adjustRightInd w:val="0"/>
        <w:spacing w:after="266" w:line="480" w:lineRule="atLeast"/>
        <w:ind w:left="960" w:right="120" w:hanging="960"/>
        <w:jc w:val="right"/>
        <w:rPr>
          <w:rFonts w:asciiTheme="minorHAnsi" w:hAnsiTheme="minorHAnsi" w:cs="Helvetica"/>
          <w:color w:val="000000"/>
          <w:sz w:val="24"/>
          <w:szCs w:val="24"/>
          <w:lang w:val="en-US"/>
        </w:rPr>
      </w:pPr>
      <w:r>
        <w:rPr>
          <w:rFonts w:asciiTheme="minorHAnsi" w:hAnsiTheme="minorHAnsi" w:cs="Helvetica"/>
          <w:i/>
          <w:iCs/>
          <w:color w:val="000000"/>
          <w:sz w:val="24"/>
          <w:szCs w:val="24"/>
          <w:lang w:val="en-US"/>
        </w:rPr>
        <w:t xml:space="preserve">  </w:t>
      </w:r>
      <w:r>
        <w:rPr>
          <w:rFonts w:asciiTheme="minorHAnsi" w:hAnsiTheme="minorHAnsi" w:cs="Helvetica"/>
          <w:i/>
          <w:iCs/>
          <w:color w:val="000000"/>
          <w:sz w:val="24"/>
          <w:szCs w:val="24"/>
          <w:lang w:val="en-US"/>
        </w:rPr>
        <w:tab/>
      </w:r>
      <w:r w:rsidRPr="00846D06">
        <w:rPr>
          <w:rFonts w:asciiTheme="minorHAnsi" w:hAnsiTheme="minorHAnsi" w:cs="Helvetica"/>
          <w:color w:val="000000"/>
          <w:sz w:val="24"/>
          <w:szCs w:val="24"/>
          <w:lang w:val="en-US"/>
        </w:rPr>
        <w:t>(Shephard and Furnari, 2013, p.1581)</w:t>
      </w:r>
    </w:p>
    <w:p w14:paraId="50860CCC" w14:textId="77777777" w:rsidR="00846D06" w:rsidRPr="00846D06" w:rsidRDefault="00846D06" w:rsidP="00846D06">
      <w:pPr>
        <w:autoSpaceDE w:val="0"/>
        <w:autoSpaceDN w:val="0"/>
        <w:adjustRightInd w:val="0"/>
        <w:spacing w:after="266" w:line="480" w:lineRule="atLeast"/>
        <w:ind w:left="960" w:hanging="960"/>
        <w:jc w:val="righ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41A5BE6F" w14:textId="77777777" w:rsidR="00846D06" w:rsidRPr="00846D06" w:rsidRDefault="00846D06" w:rsidP="00846D06">
      <w:pPr>
        <w:pStyle w:val="Heading3"/>
        <w:rPr>
          <w:lang w:val="en-US"/>
        </w:rPr>
      </w:pPr>
      <w:bookmarkStart w:id="7" w:name="_Toc229750435"/>
      <w:r w:rsidRPr="00846D06">
        <w:rPr>
          <w:lang w:val="en-US"/>
        </w:rPr>
        <w:t>2.5 EVOLVING APPROACHES TO HISTORY TEACHING IN HIGHER EDUCATION</w:t>
      </w:r>
      <w:bookmarkEnd w:id="7"/>
    </w:p>
    <w:p w14:paraId="0E877760" w14:textId="77777777" w:rsidR="00846D06" w:rsidRPr="00846D06" w:rsidRDefault="00846D06" w:rsidP="00846D06">
      <w:pPr>
        <w:autoSpaceDE w:val="0"/>
        <w:autoSpaceDN w:val="0"/>
        <w:adjustRightInd w:val="0"/>
        <w:spacing w:after="266" w:line="308"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7DFB698D"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proofErr w:type="gramStart"/>
      <w:r w:rsidRPr="00846D06">
        <w:rPr>
          <w:rFonts w:asciiTheme="minorHAnsi" w:hAnsiTheme="minorHAnsi" w:cs="Helvetica"/>
          <w:color w:val="000000"/>
          <w:sz w:val="24"/>
          <w:szCs w:val="24"/>
          <w:lang w:val="en-US"/>
        </w:rPr>
        <w:t>With regard to</w:t>
      </w:r>
      <w:proofErr w:type="gramEnd"/>
      <w:r w:rsidRPr="00846D06">
        <w:rPr>
          <w:rFonts w:asciiTheme="minorHAnsi" w:hAnsiTheme="minorHAnsi" w:cs="Helvetica"/>
          <w:color w:val="000000"/>
          <w:sz w:val="24"/>
          <w:szCs w:val="24"/>
          <w:lang w:val="en-US"/>
        </w:rPr>
        <w:t xml:space="preserve"> the teaching and assessment of History in higher education, there does not appear to have been a wealth of peer-reviewed scholarship and debate (Booth and Nicholls, 2005).  This scarcity is itself relevant: it suggests that the discipline’s pedagogical evolution has been under-examined in formal research terms, reinforcing the case for the present study.</w:t>
      </w:r>
    </w:p>
    <w:p w14:paraId="310D3199"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What scholarship does exist points to significant change.  Booth (2008), focusing on the evolution of teaching on undergraduate History degree </w:t>
      </w:r>
      <w:proofErr w:type="spellStart"/>
      <w:r w:rsidRPr="00846D06">
        <w:rPr>
          <w:rFonts w:asciiTheme="minorHAnsi" w:hAnsiTheme="minorHAnsi" w:cs="Helvetica"/>
          <w:color w:val="000000"/>
          <w:sz w:val="24"/>
          <w:szCs w:val="24"/>
          <w:lang w:val="en-US"/>
        </w:rPr>
        <w:t>programmes</w:t>
      </w:r>
      <w:proofErr w:type="spellEnd"/>
      <w:r w:rsidRPr="00846D06">
        <w:rPr>
          <w:rFonts w:asciiTheme="minorHAnsi" w:hAnsiTheme="minorHAnsi" w:cs="Helvetica"/>
          <w:color w:val="000000"/>
          <w:sz w:val="24"/>
          <w:szCs w:val="24"/>
          <w:lang w:val="en-US"/>
        </w:rPr>
        <w:t xml:space="preserve"> in the U.K. context, documents an increased focus from the end of the twentieth century on cultural history, meaning, identity, representation, literature and linguistics, accompanied by greater use of group work, projects, portfolios and presentations in assessment. For Booth, this represents a move away from ‘large-scale narratives of growth and progress’ and a ‘rethinking of historical epistemologies and methodologies’ (ibid.).  The shift is significant for this study because it suggests that the pedagogical trajectory of History in higher education has, over several decades, been moving towards precisely the kind of complex, multi-perspectival, constructivist approaches that ESD advocates – a movement that </w:t>
      </w:r>
      <w:r w:rsidRPr="00846D06">
        <w:rPr>
          <w:rFonts w:asciiTheme="minorHAnsi" w:hAnsiTheme="minorHAnsi" w:cs="Helvetica"/>
          <w:color w:val="000000"/>
          <w:sz w:val="24"/>
          <w:szCs w:val="24"/>
          <w:lang w:val="en-US"/>
        </w:rPr>
        <w:lastRenderedPageBreak/>
        <w:t>predates and is largely independent of the ESD policy framework discussed in section 2.4 above.</w:t>
      </w:r>
    </w:p>
    <w:p w14:paraId="6234794C"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121E33BA"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2BB31541" w14:textId="77777777" w:rsidR="00846D06" w:rsidRPr="00846D06" w:rsidRDefault="00846D06" w:rsidP="00846D06">
      <w:pPr>
        <w:pStyle w:val="Heading3"/>
        <w:rPr>
          <w:lang w:val="en-US"/>
        </w:rPr>
      </w:pPr>
      <w:bookmarkStart w:id="8" w:name="_Toc229750436"/>
      <w:r w:rsidRPr="00846D06">
        <w:rPr>
          <w:lang w:val="en-US"/>
        </w:rPr>
        <w:t>2.6 ESD AND HISTORY: THE STATE OF THE FIELD</w:t>
      </w:r>
      <w:bookmarkEnd w:id="8"/>
    </w:p>
    <w:p w14:paraId="10431850" w14:textId="77777777" w:rsidR="00846D06" w:rsidRPr="00846D06" w:rsidRDefault="00846D06" w:rsidP="00846D06">
      <w:pPr>
        <w:autoSpaceDE w:val="0"/>
        <w:autoSpaceDN w:val="0"/>
        <w:adjustRightInd w:val="0"/>
        <w:spacing w:after="266" w:line="308"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7908634A"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As established at the outset of this review, there is a compelling alignment between the epistemology of History and the intellectual demands of sustainability, an alignment </w:t>
      </w:r>
      <w:proofErr w:type="spellStart"/>
      <w:r w:rsidRPr="00846D06">
        <w:rPr>
          <w:rFonts w:asciiTheme="minorHAnsi" w:hAnsiTheme="minorHAnsi" w:cs="Helvetica"/>
          <w:color w:val="000000"/>
          <w:sz w:val="24"/>
          <w:szCs w:val="24"/>
          <w:lang w:val="en-US"/>
        </w:rPr>
        <w:t>recognised</w:t>
      </w:r>
      <w:proofErr w:type="spellEnd"/>
      <w:r w:rsidRPr="00846D06">
        <w:rPr>
          <w:rFonts w:asciiTheme="minorHAnsi" w:hAnsiTheme="minorHAnsi" w:cs="Helvetica"/>
          <w:color w:val="000000"/>
          <w:sz w:val="24"/>
          <w:szCs w:val="24"/>
          <w:lang w:val="en-US"/>
        </w:rPr>
        <w:t xml:space="preserve"> in both the QAA </w:t>
      </w:r>
      <w:r w:rsidRPr="00846D06">
        <w:rPr>
          <w:rFonts w:asciiTheme="minorHAnsi" w:hAnsiTheme="minorHAnsi" w:cs="Helvetica"/>
          <w:i/>
          <w:iCs/>
          <w:color w:val="000000"/>
          <w:sz w:val="24"/>
          <w:szCs w:val="24"/>
          <w:lang w:val="en-US"/>
        </w:rPr>
        <w:t>Subject Benchmark Statement for History</w:t>
      </w:r>
      <w:r w:rsidRPr="00846D06">
        <w:rPr>
          <w:rFonts w:asciiTheme="minorHAnsi" w:hAnsiTheme="minorHAnsi" w:cs="Helvetica"/>
          <w:color w:val="000000"/>
          <w:sz w:val="24"/>
          <w:szCs w:val="24"/>
          <w:lang w:val="en-US"/>
        </w:rPr>
        <w:t xml:space="preserve"> (QAA, 2022) and the 2006 HEA Subject Centre report (Brooks and Ryan, 2006).  However, the extent to which this alignment has translated into deliberate, sustained engagement with ESD within History degree </w:t>
      </w:r>
      <w:proofErr w:type="spellStart"/>
      <w:r w:rsidRPr="00846D06">
        <w:rPr>
          <w:rFonts w:asciiTheme="minorHAnsi" w:hAnsiTheme="minorHAnsi" w:cs="Helvetica"/>
          <w:color w:val="000000"/>
          <w:sz w:val="24"/>
          <w:szCs w:val="24"/>
          <w:lang w:val="en-US"/>
        </w:rPr>
        <w:t>programmes</w:t>
      </w:r>
      <w:proofErr w:type="spellEnd"/>
      <w:r w:rsidRPr="00846D06">
        <w:rPr>
          <w:rFonts w:asciiTheme="minorHAnsi" w:hAnsiTheme="minorHAnsi" w:cs="Helvetica"/>
          <w:color w:val="000000"/>
          <w:sz w:val="24"/>
          <w:szCs w:val="24"/>
          <w:lang w:val="en-US"/>
        </w:rPr>
        <w:t xml:space="preserve"> remains an open question – and the evidence is thin.</w:t>
      </w:r>
    </w:p>
    <w:p w14:paraId="51D610DB"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The Brooks and Ryan (2006) report, though significant in its findings, is limited both by its age and by its sample: only six historians participated, and these were selected because of their pre-existing research expertise and relevant course or module leadership.  It cannot, therefore, be taken as representative of the discipline more broadly.  The more recent examples identified through the Advance HE systematic literature review (Vogel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2023) – Jones (2020), who positions History in the broad context of institutional priorities as a ‘conservation and heritage management tool’ (p.58), and the interdisciplinary and pilot studies noted in section 2.3 above – remain isolated cases rather than evidence of a disciplinary trend.</w:t>
      </w:r>
    </w:p>
    <w:p w14:paraId="7FE32819" w14:textId="4C04B51A" w:rsidR="00846D06" w:rsidRPr="00846D06" w:rsidRDefault="00846D06" w:rsidP="00FA0A77">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Despite the apparent lack of an embedded approach to ESD within university History </w:t>
      </w:r>
      <w:proofErr w:type="spellStart"/>
      <w:r w:rsidRPr="00846D06">
        <w:rPr>
          <w:rFonts w:asciiTheme="minorHAnsi" w:hAnsiTheme="minorHAnsi" w:cs="Helvetica"/>
          <w:color w:val="000000"/>
          <w:sz w:val="24"/>
          <w:szCs w:val="24"/>
          <w:lang w:val="en-US"/>
        </w:rPr>
        <w:t>programmes</w:t>
      </w:r>
      <w:proofErr w:type="spellEnd"/>
      <w:r w:rsidRPr="00846D06">
        <w:rPr>
          <w:rFonts w:asciiTheme="minorHAnsi" w:hAnsiTheme="minorHAnsi" w:cs="Helvetica"/>
          <w:color w:val="000000"/>
          <w:sz w:val="24"/>
          <w:szCs w:val="24"/>
          <w:lang w:val="en-US"/>
        </w:rPr>
        <w:t xml:space="preserve">, it is possible to observe a move in the sustainability direction in the broader </w:t>
      </w:r>
      <w:r w:rsidRPr="00846D06">
        <w:rPr>
          <w:rFonts w:asciiTheme="minorHAnsi" w:hAnsiTheme="minorHAnsi" w:cs="Helvetica"/>
          <w:color w:val="000000"/>
          <w:sz w:val="24"/>
          <w:szCs w:val="24"/>
          <w:lang w:val="en-US"/>
        </w:rPr>
        <w:lastRenderedPageBreak/>
        <w:t xml:space="preserve">context of historical studies outside of higher education.  For example, the social philosopher Roman </w:t>
      </w:r>
      <w:proofErr w:type="spellStart"/>
      <w:r w:rsidRPr="00846D06">
        <w:rPr>
          <w:rFonts w:asciiTheme="minorHAnsi" w:hAnsiTheme="minorHAnsi" w:cs="Helvetica"/>
          <w:color w:val="000000"/>
          <w:sz w:val="24"/>
          <w:szCs w:val="24"/>
          <w:lang w:val="en-US"/>
        </w:rPr>
        <w:t>Krznaric</w:t>
      </w:r>
      <w:proofErr w:type="spellEnd"/>
      <w:r w:rsidRPr="00846D06">
        <w:rPr>
          <w:rFonts w:asciiTheme="minorHAnsi" w:hAnsiTheme="minorHAnsi" w:cs="Helvetica"/>
          <w:color w:val="000000"/>
          <w:sz w:val="24"/>
          <w:szCs w:val="24"/>
          <w:lang w:val="en-US"/>
        </w:rPr>
        <w:t xml:space="preserve">, in </w:t>
      </w:r>
      <w:r w:rsidRPr="00846D06">
        <w:rPr>
          <w:rFonts w:asciiTheme="minorHAnsi" w:hAnsiTheme="minorHAnsi" w:cs="Helvetica"/>
          <w:i/>
          <w:iCs/>
          <w:color w:val="000000"/>
          <w:sz w:val="24"/>
          <w:szCs w:val="24"/>
          <w:lang w:val="en-US"/>
        </w:rPr>
        <w:t>History for Tomorrow: Inspiration from the Past for the Future of Humanity</w:t>
      </w:r>
      <w:r w:rsidRPr="00846D06">
        <w:rPr>
          <w:rFonts w:asciiTheme="minorHAnsi" w:hAnsiTheme="minorHAnsi" w:cs="Helvetica"/>
          <w:color w:val="000000"/>
          <w:sz w:val="24"/>
          <w:szCs w:val="24"/>
          <w:lang w:val="en-US"/>
        </w:rPr>
        <w:t xml:space="preserve"> (</w:t>
      </w:r>
      <w:proofErr w:type="spellStart"/>
      <w:r w:rsidRPr="00846D06">
        <w:rPr>
          <w:rFonts w:asciiTheme="minorHAnsi" w:hAnsiTheme="minorHAnsi" w:cs="Helvetica"/>
          <w:color w:val="000000"/>
          <w:sz w:val="24"/>
          <w:szCs w:val="24"/>
          <w:lang w:val="en-US"/>
        </w:rPr>
        <w:t>Krznaric</w:t>
      </w:r>
      <w:proofErr w:type="spellEnd"/>
      <w:r w:rsidRPr="00846D06">
        <w:rPr>
          <w:rFonts w:asciiTheme="minorHAnsi" w:hAnsiTheme="minorHAnsi" w:cs="Helvetica"/>
          <w:color w:val="000000"/>
          <w:sz w:val="24"/>
          <w:szCs w:val="24"/>
          <w:lang w:val="en-US"/>
        </w:rPr>
        <w:t xml:space="preserve">, 2024), posits that the precautionary principle is only the tip of the iceberg when it comes to the lessons that can be learnt from the past.  In viewing history as a source of hope, </w:t>
      </w:r>
      <w:proofErr w:type="spellStart"/>
      <w:r w:rsidRPr="00846D06">
        <w:rPr>
          <w:rFonts w:asciiTheme="minorHAnsi" w:hAnsiTheme="minorHAnsi" w:cs="Helvetica"/>
          <w:color w:val="000000"/>
          <w:sz w:val="24"/>
          <w:szCs w:val="24"/>
          <w:lang w:val="en-US"/>
        </w:rPr>
        <w:t>Krznaric</w:t>
      </w:r>
      <w:proofErr w:type="spellEnd"/>
      <w:r w:rsidRPr="00846D06">
        <w:rPr>
          <w:rFonts w:asciiTheme="minorHAnsi" w:hAnsiTheme="minorHAnsi" w:cs="Helvetica"/>
          <w:color w:val="000000"/>
          <w:sz w:val="24"/>
          <w:szCs w:val="24"/>
          <w:lang w:val="en-US"/>
        </w:rPr>
        <w:t xml:space="preserve"> uncovers alternative, more viable models of democracy, the circular economy and conflict resolution, as well as precedents for disruptive technologies and ways of handling them.  Similarly, in </w:t>
      </w:r>
      <w:r w:rsidRPr="00846D06">
        <w:rPr>
          <w:rFonts w:asciiTheme="minorHAnsi" w:hAnsiTheme="minorHAnsi" w:cs="Helvetica"/>
          <w:i/>
          <w:iCs/>
          <w:color w:val="000000"/>
          <w:sz w:val="24"/>
          <w:szCs w:val="24"/>
          <w:lang w:val="en-US"/>
        </w:rPr>
        <w:t>The Green Ages</w:t>
      </w:r>
      <w:r w:rsidRPr="00846D06">
        <w:rPr>
          <w:rFonts w:asciiTheme="minorHAnsi" w:hAnsiTheme="minorHAnsi" w:cs="Helvetica"/>
          <w:color w:val="000000"/>
          <w:sz w:val="24"/>
          <w:szCs w:val="24"/>
          <w:lang w:val="en-US"/>
        </w:rPr>
        <w:t xml:space="preserve">, </w:t>
      </w:r>
      <w:proofErr w:type="spellStart"/>
      <w:r w:rsidRPr="00846D06">
        <w:rPr>
          <w:rFonts w:asciiTheme="minorHAnsi" w:hAnsiTheme="minorHAnsi" w:cs="Helvetica"/>
          <w:color w:val="000000"/>
          <w:sz w:val="24"/>
          <w:szCs w:val="24"/>
          <w:lang w:val="en-US"/>
        </w:rPr>
        <w:t>Kehnel</w:t>
      </w:r>
      <w:proofErr w:type="spellEnd"/>
      <w:r w:rsidRPr="00846D06">
        <w:rPr>
          <w:rFonts w:asciiTheme="minorHAnsi" w:hAnsiTheme="minorHAnsi" w:cs="Helvetica"/>
          <w:color w:val="000000"/>
          <w:sz w:val="24"/>
          <w:szCs w:val="24"/>
          <w:lang w:val="en-US"/>
        </w:rPr>
        <w:t xml:space="preserve"> (2024) finds sustainable practices across the European medieval </w:t>
      </w:r>
      <w:proofErr w:type="gramStart"/>
      <w:r w:rsidRPr="00846D06">
        <w:rPr>
          <w:rFonts w:asciiTheme="minorHAnsi" w:hAnsiTheme="minorHAnsi" w:cs="Helvetica"/>
          <w:color w:val="000000"/>
          <w:sz w:val="24"/>
          <w:szCs w:val="24"/>
          <w:lang w:val="en-US"/>
        </w:rPr>
        <w:t>period, and</w:t>
      </w:r>
      <w:proofErr w:type="gramEnd"/>
      <w:r w:rsidRPr="00846D06">
        <w:rPr>
          <w:rFonts w:asciiTheme="minorHAnsi" w:hAnsiTheme="minorHAnsi" w:cs="Helvetica"/>
          <w:color w:val="000000"/>
          <w:sz w:val="24"/>
          <w:szCs w:val="24"/>
          <w:lang w:val="en-US"/>
        </w:rPr>
        <w:t xml:space="preserve"> argues that the problems of the modern world can be addressed by looking to the past.  Whether such authors are inspiring the design of History degree </w:t>
      </w:r>
      <w:proofErr w:type="spellStart"/>
      <w:r w:rsidRPr="00846D06">
        <w:rPr>
          <w:rFonts w:asciiTheme="minorHAnsi" w:hAnsiTheme="minorHAnsi" w:cs="Helvetica"/>
          <w:color w:val="000000"/>
          <w:sz w:val="24"/>
          <w:szCs w:val="24"/>
          <w:lang w:val="en-US"/>
        </w:rPr>
        <w:t>programmes</w:t>
      </w:r>
      <w:proofErr w:type="spellEnd"/>
      <w:r w:rsidRPr="00846D06">
        <w:rPr>
          <w:rFonts w:asciiTheme="minorHAnsi" w:hAnsiTheme="minorHAnsi" w:cs="Helvetica"/>
          <w:color w:val="000000"/>
          <w:sz w:val="24"/>
          <w:szCs w:val="24"/>
          <w:lang w:val="en-US"/>
        </w:rPr>
        <w:t xml:space="preserve"> in the U.K. remains to be discovered – and is precisely the kind of question this research is positioned to explore.</w:t>
      </w:r>
    </w:p>
    <w:p w14:paraId="48864988"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62BFC962" w14:textId="77777777" w:rsidR="00846D06" w:rsidRPr="00846D06" w:rsidRDefault="00846D06" w:rsidP="00846D06">
      <w:pPr>
        <w:pStyle w:val="Heading3"/>
        <w:rPr>
          <w:lang w:val="en-US"/>
        </w:rPr>
      </w:pPr>
      <w:bookmarkStart w:id="9" w:name="_Toc229750437"/>
      <w:r w:rsidRPr="00846D06">
        <w:rPr>
          <w:lang w:val="en-US"/>
        </w:rPr>
        <w:t>2.7 SUMMARY: THE GAP IN THE LITERATURE</w:t>
      </w:r>
      <w:bookmarkEnd w:id="9"/>
    </w:p>
    <w:p w14:paraId="729DB2C7"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26E07800"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The primary observation from this review of the literature on academics’ perceptions of ESD is that what is missing is a </w:t>
      </w:r>
      <w:r w:rsidRPr="00846D06">
        <w:rPr>
          <w:rFonts w:asciiTheme="minorHAnsi" w:hAnsiTheme="minorHAnsi" w:cs="Helvetica"/>
          <w:i/>
          <w:iCs/>
          <w:color w:val="000000"/>
          <w:sz w:val="24"/>
          <w:szCs w:val="24"/>
          <w:lang w:val="en-US"/>
        </w:rPr>
        <w:t>cross-institutional mono-disciplinary study</w:t>
      </w:r>
      <w:r w:rsidRPr="00846D06">
        <w:rPr>
          <w:rFonts w:asciiTheme="minorHAnsi" w:hAnsiTheme="minorHAnsi" w:cs="Helvetica"/>
          <w:color w:val="000000"/>
          <w:sz w:val="24"/>
          <w:szCs w:val="24"/>
          <w:lang w:val="en-US"/>
        </w:rPr>
        <w:t>.  This research will address this gap.  Additionally, three further omissions have been identified: a general scarcity of peer-reviewed scholarship; a tendency towards speculation and assertion; and a neglect of approaches that differ from standard surveys, interviews and reviews of validated course content.</w:t>
      </w:r>
    </w:p>
    <w:p w14:paraId="0C686DA6"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Firstly, prominent U.K.-specific literature generally consists of commissioned reports (see, for example, Dawe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2005; Brooks and Ryan, 2006; Tilbury, 2011; </w:t>
      </w:r>
      <w:proofErr w:type="spellStart"/>
      <w:r w:rsidRPr="00846D06">
        <w:rPr>
          <w:rFonts w:asciiTheme="minorHAnsi" w:hAnsiTheme="minorHAnsi" w:cs="Helvetica"/>
          <w:color w:val="000000"/>
          <w:sz w:val="24"/>
          <w:szCs w:val="24"/>
          <w:lang w:val="en-US"/>
        </w:rPr>
        <w:t>Fiselier</w:t>
      </w:r>
      <w:proofErr w:type="spellEnd"/>
      <w:r w:rsidRPr="00846D06">
        <w:rPr>
          <w:rFonts w:asciiTheme="minorHAnsi" w:hAnsiTheme="minorHAnsi" w:cs="Helvetica"/>
          <w:color w:val="000000"/>
          <w:sz w:val="24"/>
          <w:szCs w:val="24"/>
          <w:lang w:val="en-US"/>
        </w:rPr>
        <w:t xml:space="preserve">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2017; Zhou, 2024).  Moreover, </w:t>
      </w:r>
      <w:proofErr w:type="gramStart"/>
      <w:r w:rsidRPr="00846D06">
        <w:rPr>
          <w:rFonts w:asciiTheme="minorHAnsi" w:hAnsiTheme="minorHAnsi" w:cs="Helvetica"/>
          <w:color w:val="000000"/>
          <w:sz w:val="24"/>
          <w:szCs w:val="24"/>
          <w:lang w:val="en-US"/>
        </w:rPr>
        <w:t>a number of</w:t>
      </w:r>
      <w:proofErr w:type="gramEnd"/>
      <w:r w:rsidRPr="00846D06">
        <w:rPr>
          <w:rFonts w:asciiTheme="minorHAnsi" w:hAnsiTheme="minorHAnsi" w:cs="Helvetica"/>
          <w:color w:val="000000"/>
          <w:sz w:val="24"/>
          <w:szCs w:val="24"/>
          <w:lang w:val="en-US"/>
        </w:rPr>
        <w:t xml:space="preserve"> opinion-pieces </w:t>
      </w:r>
      <w:r w:rsidRPr="00846D06">
        <w:rPr>
          <w:rFonts w:asciiTheme="minorHAnsi" w:hAnsiTheme="minorHAnsi" w:cs="Helvetica"/>
          <w:i/>
          <w:iCs/>
          <w:color w:val="000000"/>
          <w:sz w:val="24"/>
          <w:szCs w:val="24"/>
          <w:lang w:val="en-US"/>
        </w:rPr>
        <w:t>urge action</w:t>
      </w:r>
      <w:r w:rsidRPr="00846D06">
        <w:rPr>
          <w:rFonts w:asciiTheme="minorHAnsi" w:hAnsiTheme="minorHAnsi" w:cs="Helvetica"/>
          <w:color w:val="000000"/>
          <w:sz w:val="24"/>
          <w:szCs w:val="24"/>
          <w:lang w:val="en-US"/>
        </w:rPr>
        <w:t xml:space="preserve">, as opposed to generating insights based on empirical research data (see, for example, Mair and Druckman, 2022; </w:t>
      </w:r>
      <w:r w:rsidRPr="00846D06">
        <w:rPr>
          <w:rFonts w:asciiTheme="minorHAnsi" w:hAnsiTheme="minorHAnsi" w:cs="Helvetica"/>
          <w:color w:val="000000"/>
          <w:sz w:val="24"/>
          <w:szCs w:val="24"/>
          <w:lang w:val="en-US"/>
        </w:rPr>
        <w:lastRenderedPageBreak/>
        <w:t xml:space="preserve">Ryan and Tilbury, 2013).  In addition, the chronological gap in publication since the end of the DESD (2005-2015) and the closure of the HEA Subject </w:t>
      </w:r>
      <w:proofErr w:type="spellStart"/>
      <w:r w:rsidRPr="00846D06">
        <w:rPr>
          <w:rFonts w:asciiTheme="minorHAnsi" w:hAnsiTheme="minorHAnsi" w:cs="Helvetica"/>
          <w:color w:val="000000"/>
          <w:sz w:val="24"/>
          <w:szCs w:val="24"/>
          <w:lang w:val="en-US"/>
        </w:rPr>
        <w:t>Centres</w:t>
      </w:r>
      <w:proofErr w:type="spellEnd"/>
      <w:r w:rsidRPr="00846D06">
        <w:rPr>
          <w:rFonts w:asciiTheme="minorHAnsi" w:hAnsiTheme="minorHAnsi" w:cs="Helvetica"/>
          <w:color w:val="000000"/>
          <w:sz w:val="24"/>
          <w:szCs w:val="24"/>
          <w:lang w:val="en-US"/>
        </w:rPr>
        <w:t xml:space="preserve"> (Chalkley and Sterling, 2011) is notable.</w:t>
      </w:r>
    </w:p>
    <w:p w14:paraId="1D431E06"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Secondly, while fascinating theories have been raised about possible connections between disciplinary epistemologies and approaches to ESD, these have been based more on speculation than on findings.  Connections between historians’ traditional focus on progress, nature and human-environment interactions and their attitudes towards ESD require exploration through rigorously designed research instruments.</w:t>
      </w:r>
    </w:p>
    <w:p w14:paraId="32E37FCE"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Thirdly, there has been an overreliance on surveys and interviews, to the neglect of observational research, or mixed methods approaches, </w:t>
      </w:r>
      <w:proofErr w:type="gramStart"/>
      <w:r w:rsidRPr="00846D06">
        <w:rPr>
          <w:rFonts w:asciiTheme="minorHAnsi" w:hAnsiTheme="minorHAnsi" w:cs="Helvetica"/>
          <w:color w:val="000000"/>
          <w:sz w:val="24"/>
          <w:szCs w:val="24"/>
          <w:lang w:val="en-US"/>
        </w:rPr>
        <w:t>with the exception of</w:t>
      </w:r>
      <w:proofErr w:type="gramEnd"/>
      <w:r w:rsidRPr="00846D06">
        <w:rPr>
          <w:rFonts w:asciiTheme="minorHAnsi" w:hAnsiTheme="minorHAnsi" w:cs="Helvetica"/>
          <w:color w:val="000000"/>
          <w:sz w:val="24"/>
          <w:szCs w:val="24"/>
          <w:lang w:val="en-US"/>
        </w:rPr>
        <w:t xml:space="preserve"> Shephard and Furnari’s (2013) Q-methodological approach.  This study, therefore, aims to provide empirical data on the attitudes of academics working at multiple institutions towards ESD and its connection to History, taking inspiration from Shephard and Furnari, and using Q-Methodology to capture nuanced subjectivity.</w:t>
      </w:r>
    </w:p>
    <w:p w14:paraId="5CAAE171" w14:textId="77777777" w:rsidR="00846D06" w:rsidRPr="00846D06" w:rsidRDefault="00846D06" w:rsidP="00846D06">
      <w:pPr>
        <w:autoSpaceDE w:val="0"/>
        <w:autoSpaceDN w:val="0"/>
        <w:adjustRightInd w:val="0"/>
        <w:spacing w:after="266" w:line="240" w:lineRule="auto"/>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2297A390" w14:textId="77777777" w:rsidR="00846D06" w:rsidRPr="00846D06" w:rsidRDefault="00846D06" w:rsidP="00846D06">
      <w:pPr>
        <w:autoSpaceDE w:val="0"/>
        <w:autoSpaceDN w:val="0"/>
        <w:adjustRightInd w:val="0"/>
        <w:spacing w:after="266" w:line="240" w:lineRule="auto"/>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2E6A9A4A" w14:textId="77777777" w:rsidR="00846D06" w:rsidRPr="00846D06" w:rsidRDefault="00846D06" w:rsidP="00846D06">
      <w:pPr>
        <w:pStyle w:val="Heading2"/>
        <w:rPr>
          <w:lang w:val="en-US"/>
        </w:rPr>
      </w:pPr>
      <w:bookmarkStart w:id="10" w:name="_Toc229750438"/>
      <w:r w:rsidRPr="00846D06">
        <w:rPr>
          <w:lang w:val="en-US"/>
        </w:rPr>
        <w:t>3. METHODOLOGY</w:t>
      </w:r>
      <w:bookmarkEnd w:id="10"/>
    </w:p>
    <w:p w14:paraId="4AADCD97" w14:textId="77777777" w:rsidR="00846D06" w:rsidRPr="00846D06" w:rsidRDefault="00846D06" w:rsidP="00846D06">
      <w:pPr>
        <w:autoSpaceDE w:val="0"/>
        <w:autoSpaceDN w:val="0"/>
        <w:adjustRightInd w:val="0"/>
        <w:spacing w:after="266" w:line="240" w:lineRule="auto"/>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08B5095A" w14:textId="77777777" w:rsidR="00846D06" w:rsidRPr="00846D06" w:rsidRDefault="00846D06" w:rsidP="00846D06">
      <w:pPr>
        <w:pStyle w:val="Heading3"/>
        <w:rPr>
          <w:lang w:val="en-US"/>
        </w:rPr>
      </w:pPr>
      <w:bookmarkStart w:id="11" w:name="_Toc229750439"/>
      <w:r w:rsidRPr="00846D06">
        <w:rPr>
          <w:lang w:val="en-US"/>
        </w:rPr>
        <w:t>3.1 RESEARCH CONTEXT</w:t>
      </w:r>
      <w:bookmarkEnd w:id="11"/>
    </w:p>
    <w:p w14:paraId="24347FF6" w14:textId="77777777" w:rsidR="00846D06" w:rsidRPr="00846D06" w:rsidRDefault="00846D06" w:rsidP="00846D06">
      <w:pPr>
        <w:pStyle w:val="Heading4"/>
        <w:rPr>
          <w:lang w:val="en-US"/>
        </w:rPr>
      </w:pPr>
      <w:r w:rsidRPr="00846D06">
        <w:rPr>
          <w:lang w:val="en-US"/>
        </w:rPr>
        <w:t>3.1.1 RESEARCH AIMS</w:t>
      </w:r>
    </w:p>
    <w:p w14:paraId="0D1DD809"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4CF598AD"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This research aims to investigate the perceptions of History lecturers regarding the integration of ESD within History degree </w:t>
      </w:r>
      <w:proofErr w:type="spellStart"/>
      <w:r w:rsidRPr="00846D06">
        <w:rPr>
          <w:rFonts w:asciiTheme="minorHAnsi" w:hAnsiTheme="minorHAnsi" w:cs="Helvetica"/>
          <w:color w:val="000000"/>
          <w:sz w:val="24"/>
          <w:szCs w:val="24"/>
          <w:lang w:val="en-US"/>
        </w:rPr>
        <w:t>programmes</w:t>
      </w:r>
      <w:proofErr w:type="spellEnd"/>
      <w:r w:rsidRPr="00846D06">
        <w:rPr>
          <w:rFonts w:asciiTheme="minorHAnsi" w:hAnsiTheme="minorHAnsi" w:cs="Helvetica"/>
          <w:color w:val="000000"/>
          <w:sz w:val="24"/>
          <w:szCs w:val="24"/>
          <w:lang w:val="en-US"/>
        </w:rPr>
        <w:t xml:space="preserve"> at four universities. Specifically, it </w:t>
      </w:r>
      <w:r w:rsidRPr="00846D06">
        <w:rPr>
          <w:rFonts w:asciiTheme="minorHAnsi" w:hAnsiTheme="minorHAnsi" w:cs="Helvetica"/>
          <w:color w:val="000000"/>
          <w:sz w:val="24"/>
          <w:szCs w:val="24"/>
          <w:lang w:val="en-US"/>
        </w:rPr>
        <w:lastRenderedPageBreak/>
        <w:t xml:space="preserve">seeks to determine both attitudes towards ESD and its compatibility with the discipline, and the extent to which ESD has been incorporated, or is perceived to have been incorporated, into the </w:t>
      </w:r>
      <w:proofErr w:type="spellStart"/>
      <w:r w:rsidRPr="00846D06">
        <w:rPr>
          <w:rFonts w:asciiTheme="minorHAnsi" w:hAnsiTheme="minorHAnsi" w:cs="Helvetica"/>
          <w:color w:val="000000"/>
          <w:sz w:val="24"/>
          <w:szCs w:val="24"/>
          <w:lang w:val="en-US"/>
        </w:rPr>
        <w:t>programmes</w:t>
      </w:r>
      <w:proofErr w:type="spellEnd"/>
      <w:r w:rsidRPr="00846D06">
        <w:rPr>
          <w:rFonts w:asciiTheme="minorHAnsi" w:hAnsiTheme="minorHAnsi" w:cs="Helvetica"/>
          <w:color w:val="000000"/>
          <w:sz w:val="24"/>
          <w:szCs w:val="24"/>
          <w:lang w:val="en-US"/>
        </w:rPr>
        <w:t xml:space="preserve"> on offer. Moreover, the research addresses the question of whether the incorporation of ESD </w:t>
      </w:r>
      <w:proofErr w:type="gramStart"/>
      <w:r w:rsidRPr="00846D06">
        <w:rPr>
          <w:rFonts w:asciiTheme="minorHAnsi" w:hAnsiTheme="minorHAnsi" w:cs="Helvetica"/>
          <w:color w:val="000000"/>
          <w:sz w:val="24"/>
          <w:szCs w:val="24"/>
          <w:lang w:val="en-US"/>
        </w:rPr>
        <w:t>is a result of strategy and policy drivers</w:t>
      </w:r>
      <w:proofErr w:type="gramEnd"/>
      <w:r w:rsidRPr="00846D06">
        <w:rPr>
          <w:rFonts w:asciiTheme="minorHAnsi" w:hAnsiTheme="minorHAnsi" w:cs="Helvetica"/>
          <w:color w:val="000000"/>
          <w:sz w:val="24"/>
          <w:szCs w:val="24"/>
          <w:lang w:val="en-US"/>
        </w:rPr>
        <w:t>, or if it has been embedded incidentally through other trends in higher education teaching and learning, including trends in the teaching of History.</w:t>
      </w:r>
    </w:p>
    <w:p w14:paraId="04EF02A9"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In brief, this research aims to investigate the perceptions of History lecturers at four U.K. universities concerning the broad role of Education for Sustainable Development (ESD) and its compatibility with the discipline.</w:t>
      </w:r>
    </w:p>
    <w:p w14:paraId="6045D0C1" w14:textId="77777777" w:rsidR="00846D06" w:rsidRPr="00846D06" w:rsidRDefault="00846D06" w:rsidP="00846D06">
      <w:pPr>
        <w:autoSpaceDE w:val="0"/>
        <w:autoSpaceDN w:val="0"/>
        <w:adjustRightInd w:val="0"/>
        <w:spacing w:after="266" w:line="480" w:lineRule="atLeast"/>
        <w:ind w:left="960" w:hanging="960"/>
        <w:rPr>
          <w:rFonts w:asciiTheme="minorHAnsi" w:hAnsiTheme="minorHAnsi" w:cs="Helvetica"/>
          <w:color w:val="000000"/>
          <w:sz w:val="24"/>
          <w:szCs w:val="24"/>
          <w:lang w:val="en-US"/>
        </w:rPr>
      </w:pPr>
      <w:r w:rsidRPr="00846D06">
        <w:rPr>
          <w:rFonts w:asciiTheme="minorHAnsi" w:hAnsiTheme="minorHAnsi" w:cs="Helvetica"/>
          <w:i/>
          <w:iCs/>
          <w:color w:val="000000"/>
          <w:sz w:val="24"/>
          <w:szCs w:val="24"/>
          <w:lang w:val="en-US"/>
        </w:rPr>
        <w:t> </w:t>
      </w:r>
    </w:p>
    <w:p w14:paraId="71666144" w14:textId="77777777" w:rsidR="00846D06" w:rsidRPr="00846D06" w:rsidRDefault="00846D06" w:rsidP="00846D06">
      <w:pPr>
        <w:pStyle w:val="Heading4"/>
        <w:rPr>
          <w:lang w:val="en-US"/>
        </w:rPr>
      </w:pPr>
      <w:r w:rsidRPr="00846D06">
        <w:rPr>
          <w:lang w:val="en-US"/>
        </w:rPr>
        <w:t>3.1.2. RESEARCH QUESTION</w:t>
      </w:r>
    </w:p>
    <w:p w14:paraId="7FAE4FC8"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191617"/>
          <w:sz w:val="24"/>
          <w:szCs w:val="24"/>
          <w:lang w:val="en-US"/>
        </w:rPr>
        <w:t> </w:t>
      </w:r>
    </w:p>
    <w:p w14:paraId="5D37A304"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191617"/>
          <w:sz w:val="24"/>
          <w:szCs w:val="24"/>
          <w:lang w:val="en-US"/>
        </w:rPr>
        <w:t>In seeking to investigate the subjective worldviews and opinions of participants in the study, the following research question has been posed:</w:t>
      </w:r>
    </w:p>
    <w:p w14:paraId="3A75B7EE" w14:textId="77777777" w:rsidR="00846D06" w:rsidRPr="00846D06" w:rsidRDefault="00846D06" w:rsidP="00846D06">
      <w:pPr>
        <w:autoSpaceDE w:val="0"/>
        <w:autoSpaceDN w:val="0"/>
        <w:adjustRightInd w:val="0"/>
        <w:spacing w:after="266" w:line="480" w:lineRule="atLeast"/>
        <w:ind w:left="960" w:hanging="960"/>
        <w:rPr>
          <w:rFonts w:asciiTheme="minorHAnsi" w:hAnsiTheme="minorHAnsi" w:cs="Helvetica"/>
          <w:color w:val="000000"/>
          <w:sz w:val="24"/>
          <w:szCs w:val="24"/>
          <w:lang w:val="en-US"/>
        </w:rPr>
      </w:pPr>
      <w:r w:rsidRPr="00846D06">
        <w:rPr>
          <w:rFonts w:asciiTheme="minorHAnsi" w:hAnsiTheme="minorHAnsi" w:cs="Helvetica"/>
          <w:i/>
          <w:iCs/>
          <w:color w:val="000000"/>
          <w:sz w:val="24"/>
          <w:szCs w:val="24"/>
          <w:lang w:val="en-US"/>
        </w:rPr>
        <w:t xml:space="preserve">How do History lecturers at four United Kingdom (U.K.) universities perceive Education for Sustainable Development and its role within a </w:t>
      </w:r>
      <w:proofErr w:type="gramStart"/>
      <w:r w:rsidRPr="00846D06">
        <w:rPr>
          <w:rFonts w:asciiTheme="minorHAnsi" w:hAnsiTheme="minorHAnsi" w:cs="Helvetica"/>
          <w:i/>
          <w:iCs/>
          <w:color w:val="000000"/>
          <w:sz w:val="24"/>
          <w:szCs w:val="24"/>
          <w:lang w:val="en-US"/>
        </w:rPr>
        <w:t>History</w:t>
      </w:r>
      <w:proofErr w:type="gramEnd"/>
      <w:r w:rsidRPr="00846D06">
        <w:rPr>
          <w:rFonts w:asciiTheme="minorHAnsi" w:hAnsiTheme="minorHAnsi" w:cs="Helvetica"/>
          <w:i/>
          <w:iCs/>
          <w:color w:val="000000"/>
          <w:sz w:val="24"/>
          <w:szCs w:val="24"/>
          <w:lang w:val="en-US"/>
        </w:rPr>
        <w:t xml:space="preserve"> degree </w:t>
      </w:r>
      <w:proofErr w:type="spellStart"/>
      <w:r w:rsidRPr="00846D06">
        <w:rPr>
          <w:rFonts w:asciiTheme="minorHAnsi" w:hAnsiTheme="minorHAnsi" w:cs="Helvetica"/>
          <w:i/>
          <w:iCs/>
          <w:color w:val="000000"/>
          <w:sz w:val="24"/>
          <w:szCs w:val="24"/>
          <w:lang w:val="en-US"/>
        </w:rPr>
        <w:t>programme</w:t>
      </w:r>
      <w:proofErr w:type="spellEnd"/>
      <w:r w:rsidRPr="00846D06">
        <w:rPr>
          <w:rFonts w:asciiTheme="minorHAnsi" w:hAnsiTheme="minorHAnsi" w:cs="Helvetica"/>
          <w:i/>
          <w:iCs/>
          <w:color w:val="000000"/>
          <w:sz w:val="24"/>
          <w:szCs w:val="24"/>
          <w:lang w:val="en-US"/>
        </w:rPr>
        <w:t>?</w:t>
      </w:r>
    </w:p>
    <w:p w14:paraId="511DF961"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05F4E8DD" w14:textId="77777777" w:rsidR="00846D06" w:rsidRPr="00846D06" w:rsidRDefault="00846D06" w:rsidP="00846D06">
      <w:pPr>
        <w:pStyle w:val="Heading4"/>
        <w:rPr>
          <w:lang w:val="en-US"/>
        </w:rPr>
      </w:pPr>
      <w:r w:rsidRPr="00846D06">
        <w:rPr>
          <w:lang w:val="en-US"/>
        </w:rPr>
        <w:t>3.1.3 OBJECTIVES</w:t>
      </w:r>
    </w:p>
    <w:p w14:paraId="1F962BF9" w14:textId="77777777" w:rsidR="00846D06" w:rsidRPr="00846D06" w:rsidRDefault="00846D06" w:rsidP="00846D06">
      <w:pPr>
        <w:autoSpaceDE w:val="0"/>
        <w:autoSpaceDN w:val="0"/>
        <w:adjustRightInd w:val="0"/>
        <w:spacing w:after="266" w:line="336"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5F21A015" w14:textId="77777777" w:rsidR="00846D06" w:rsidRPr="00846D06" w:rsidRDefault="00846D06" w:rsidP="00846D06">
      <w:pPr>
        <w:autoSpaceDE w:val="0"/>
        <w:autoSpaceDN w:val="0"/>
        <w:adjustRightInd w:val="0"/>
        <w:spacing w:after="266" w:line="336"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The research is approached with the following objectives:</w:t>
      </w:r>
    </w:p>
    <w:p w14:paraId="2807416A" w14:textId="77777777" w:rsidR="00846D06" w:rsidRPr="00846D06" w:rsidRDefault="00846D06" w:rsidP="00846D06">
      <w:pPr>
        <w:autoSpaceDE w:val="0"/>
        <w:autoSpaceDN w:val="0"/>
        <w:adjustRightInd w:val="0"/>
        <w:spacing w:after="320" w:line="480" w:lineRule="atLeast"/>
        <w:ind w:left="960" w:hanging="480"/>
        <w:rPr>
          <w:rFonts w:asciiTheme="minorHAnsi" w:hAnsiTheme="minorHAnsi" w:cs="Helvetica"/>
          <w:color w:val="000000"/>
          <w:sz w:val="24"/>
          <w:szCs w:val="24"/>
          <w:lang w:val="en-US"/>
        </w:rPr>
      </w:pPr>
      <w:r w:rsidRPr="00846D06">
        <w:rPr>
          <w:rFonts w:asciiTheme="minorHAnsi" w:hAnsiTheme="minorHAnsi" w:cs="Helvetica"/>
          <w:i/>
          <w:iCs/>
          <w:color w:val="000000"/>
          <w:sz w:val="24"/>
          <w:szCs w:val="24"/>
          <w:lang w:val="en-US"/>
        </w:rPr>
        <w:t>1.</w:t>
      </w:r>
      <w:r w:rsidRPr="00846D06">
        <w:rPr>
          <w:rFonts w:asciiTheme="minorHAnsi" w:hAnsiTheme="minorHAnsi" w:cs="Times New Roman"/>
          <w:color w:val="000000"/>
          <w:sz w:val="24"/>
          <w:szCs w:val="24"/>
          <w:lang w:val="en-US"/>
        </w:rPr>
        <w:t xml:space="preserve">        </w:t>
      </w:r>
      <w:r w:rsidRPr="00846D06">
        <w:rPr>
          <w:rFonts w:asciiTheme="minorHAnsi" w:hAnsiTheme="minorHAnsi" w:cs="Helvetica"/>
          <w:i/>
          <w:iCs/>
          <w:color w:val="000000"/>
          <w:sz w:val="24"/>
          <w:szCs w:val="24"/>
          <w:lang w:val="en-US"/>
        </w:rPr>
        <w:t xml:space="preserve">To explore the perceptions of History lecturers at four U.K. universities regarding Education for Sustainable Development (ESD) and its compatibility with the </w:t>
      </w:r>
      <w:r w:rsidRPr="00846D06">
        <w:rPr>
          <w:rFonts w:asciiTheme="minorHAnsi" w:hAnsiTheme="minorHAnsi" w:cs="Helvetica"/>
          <w:i/>
          <w:iCs/>
          <w:color w:val="000000"/>
          <w:sz w:val="24"/>
          <w:szCs w:val="24"/>
          <w:lang w:val="en-US"/>
        </w:rPr>
        <w:lastRenderedPageBreak/>
        <w:t>discipline, through a Q-Methodological approach using a Q-sort activity followed by semi-structured interviews.</w:t>
      </w:r>
    </w:p>
    <w:p w14:paraId="396535AF" w14:textId="77777777" w:rsidR="00846D06" w:rsidRDefault="00846D06" w:rsidP="00846D06">
      <w:pPr>
        <w:autoSpaceDE w:val="0"/>
        <w:autoSpaceDN w:val="0"/>
        <w:adjustRightInd w:val="0"/>
        <w:spacing w:after="320" w:line="480" w:lineRule="atLeast"/>
        <w:ind w:left="960" w:hanging="480"/>
        <w:rPr>
          <w:rFonts w:asciiTheme="minorHAnsi" w:hAnsiTheme="minorHAnsi" w:cs="Helvetica"/>
          <w:i/>
          <w:iCs/>
          <w:color w:val="000000"/>
          <w:sz w:val="24"/>
          <w:szCs w:val="24"/>
          <w:lang w:val="en-US"/>
        </w:rPr>
      </w:pPr>
      <w:r w:rsidRPr="00846D06">
        <w:rPr>
          <w:rFonts w:asciiTheme="minorHAnsi" w:hAnsiTheme="minorHAnsi" w:cs="Helvetica"/>
          <w:i/>
          <w:iCs/>
          <w:color w:val="000000"/>
          <w:sz w:val="24"/>
          <w:szCs w:val="24"/>
          <w:lang w:val="en-US"/>
        </w:rPr>
        <w:t>2.</w:t>
      </w:r>
      <w:r w:rsidRPr="00846D06">
        <w:rPr>
          <w:rFonts w:asciiTheme="minorHAnsi" w:hAnsiTheme="minorHAnsi" w:cs="Times New Roman"/>
          <w:color w:val="000000"/>
          <w:sz w:val="24"/>
          <w:szCs w:val="24"/>
          <w:lang w:val="en-US"/>
        </w:rPr>
        <w:t xml:space="preserve">        </w:t>
      </w:r>
      <w:r w:rsidRPr="00846D06">
        <w:rPr>
          <w:rFonts w:asciiTheme="minorHAnsi" w:hAnsiTheme="minorHAnsi" w:cs="Helvetica"/>
          <w:i/>
          <w:iCs/>
          <w:color w:val="000000"/>
          <w:sz w:val="24"/>
          <w:szCs w:val="24"/>
          <w:lang w:val="en-US"/>
        </w:rPr>
        <w:t xml:space="preserve">To explore the perceptions of History lecturers on how explicit ESD needs to be </w:t>
      </w:r>
      <w:proofErr w:type="gramStart"/>
      <w:r w:rsidRPr="00846D06">
        <w:rPr>
          <w:rFonts w:asciiTheme="minorHAnsi" w:hAnsiTheme="minorHAnsi" w:cs="Helvetica"/>
          <w:i/>
          <w:iCs/>
          <w:color w:val="000000"/>
          <w:sz w:val="24"/>
          <w:szCs w:val="24"/>
          <w:lang w:val="en-US"/>
        </w:rPr>
        <w:t>in order to</w:t>
      </w:r>
      <w:proofErr w:type="gramEnd"/>
      <w:r w:rsidRPr="00846D06">
        <w:rPr>
          <w:rFonts w:asciiTheme="minorHAnsi" w:hAnsiTheme="minorHAnsi" w:cs="Helvetica"/>
          <w:i/>
          <w:iCs/>
          <w:color w:val="000000"/>
          <w:sz w:val="24"/>
          <w:szCs w:val="24"/>
          <w:lang w:val="en-US"/>
        </w:rPr>
        <w:t xml:space="preserve"> impact student outcomes, through a Q-Methodological approach using a Q-sort activity followed by semi-structured interviews.</w:t>
      </w:r>
    </w:p>
    <w:p w14:paraId="43C67E74" w14:textId="77777777" w:rsidR="00846D06" w:rsidRPr="00846D06" w:rsidRDefault="00846D06" w:rsidP="00846D06">
      <w:pPr>
        <w:autoSpaceDE w:val="0"/>
        <w:autoSpaceDN w:val="0"/>
        <w:adjustRightInd w:val="0"/>
        <w:spacing w:after="320" w:line="480" w:lineRule="atLeast"/>
        <w:ind w:left="960" w:hanging="480"/>
        <w:rPr>
          <w:rFonts w:asciiTheme="minorHAnsi" w:hAnsiTheme="minorHAnsi" w:cs="Helvetica"/>
          <w:color w:val="000000"/>
          <w:sz w:val="24"/>
          <w:szCs w:val="24"/>
          <w:lang w:val="en-US"/>
        </w:rPr>
      </w:pPr>
    </w:p>
    <w:p w14:paraId="7AC93A8F" w14:textId="77777777" w:rsidR="00846D06" w:rsidRPr="00846D06" w:rsidRDefault="00846D06" w:rsidP="00846D06">
      <w:pPr>
        <w:pStyle w:val="Heading4"/>
        <w:rPr>
          <w:lang w:val="en-US"/>
        </w:rPr>
      </w:pPr>
      <w:r w:rsidRPr="00846D06">
        <w:rPr>
          <w:lang w:val="en-US"/>
        </w:rPr>
        <w:t>3.1.4 POSITIONALITY</w:t>
      </w:r>
    </w:p>
    <w:p w14:paraId="14D884CD"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516B61E5"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To situate this study in its context, my own positionality is crucial.  Ontologically, I hold a broadly relativist position: I understand individual realities as constructed through personal experience, context, and interpretation rather than as reflections of a single objective truth.  This is consistent with the social constructivist paradigm adopted for this study (see section 3.2.1).  However, my position is not one of unconstrained relativism.   I also hold the view that subjective experience, while individually constructed can – under the right conditions – be rendered observable and amenable to systematic comparison.  This epistemological conviction is what drew me to Q Methodology, originally conceived by William Stepehenson (1935) as a means of studying subjectivity empirically.  My philosophical stance, therefore, is that while there is no single reality to be uncovered in how historians perceive ESD, the </w:t>
      </w:r>
      <w:r w:rsidRPr="00846D06">
        <w:rPr>
          <w:rFonts w:asciiTheme="minorHAnsi" w:hAnsiTheme="minorHAnsi" w:cs="Helvetica"/>
          <w:i/>
          <w:iCs/>
          <w:color w:val="000000"/>
          <w:sz w:val="24"/>
          <w:szCs w:val="24"/>
          <w:lang w:val="en-US"/>
        </w:rPr>
        <w:t>structure</w:t>
      </w:r>
      <w:r w:rsidRPr="00846D06">
        <w:rPr>
          <w:rFonts w:asciiTheme="minorHAnsi" w:hAnsiTheme="minorHAnsi" w:cs="Helvetica"/>
          <w:color w:val="000000"/>
          <w:sz w:val="24"/>
          <w:szCs w:val="24"/>
          <w:lang w:val="en-US"/>
        </w:rPr>
        <w:t xml:space="preserve"> of their perspectives can be made visible through a carefully designed instrument – and that the patterns which emerge carry a form of validity that goes beyond anecdote or assertion.</w:t>
      </w:r>
    </w:p>
    <w:p w14:paraId="1F977B97"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I work as a Curriculum Development Specialist at a university with a strong institutional reputation for sustainability education, where my role involves providing resources and </w:t>
      </w:r>
      <w:r w:rsidRPr="00846D06">
        <w:rPr>
          <w:rFonts w:asciiTheme="minorHAnsi" w:hAnsiTheme="minorHAnsi" w:cs="Helvetica"/>
          <w:color w:val="000000"/>
          <w:sz w:val="24"/>
          <w:szCs w:val="24"/>
          <w:lang w:val="en-US"/>
        </w:rPr>
        <w:lastRenderedPageBreak/>
        <w:t xml:space="preserve">guidance for course teams undergoing revalidation.  A significant part of this work involves support for academics in identifying and articulating the connections between their disciplines and ESD.  I approach this research, therefore, with a professional conviction that there is a meaningful connection between ESD and all disciplines – including those, like History, where that connection may not be immediately obvious to practitioners.  This conviction is itself a potential source of bias, and it will be important throughout the research process to ‘make the familiar strange’ (Delamont and Atkinson, 2021, p.9), remaining open to the possibility that participants may not share this view, and that the data may challenge rather than confirm my assumptions.  It is hoped that the </w:t>
      </w:r>
      <w:proofErr w:type="gramStart"/>
      <w:r w:rsidRPr="00846D06">
        <w:rPr>
          <w:rFonts w:asciiTheme="minorHAnsi" w:hAnsiTheme="minorHAnsi" w:cs="Helvetica"/>
          <w:color w:val="000000"/>
          <w:sz w:val="24"/>
          <w:szCs w:val="24"/>
          <w:lang w:val="en-US"/>
        </w:rPr>
        <w:t>particular research</w:t>
      </w:r>
      <w:proofErr w:type="gramEnd"/>
      <w:r w:rsidRPr="00846D06">
        <w:rPr>
          <w:rFonts w:asciiTheme="minorHAnsi" w:hAnsiTheme="minorHAnsi" w:cs="Helvetica"/>
          <w:color w:val="000000"/>
          <w:sz w:val="24"/>
          <w:szCs w:val="24"/>
          <w:lang w:val="en-US"/>
        </w:rPr>
        <w:t xml:space="preserve"> approach and methods chosen – and </w:t>
      </w:r>
      <w:proofErr w:type="gramStart"/>
      <w:r w:rsidRPr="00846D06">
        <w:rPr>
          <w:rFonts w:asciiTheme="minorHAnsi" w:hAnsiTheme="minorHAnsi" w:cs="Helvetica"/>
          <w:color w:val="000000"/>
          <w:sz w:val="24"/>
          <w:szCs w:val="24"/>
          <w:lang w:val="en-US"/>
        </w:rPr>
        <w:t>in particular the</w:t>
      </w:r>
      <w:proofErr w:type="gramEnd"/>
      <w:r w:rsidRPr="00846D06">
        <w:rPr>
          <w:rFonts w:asciiTheme="minorHAnsi" w:hAnsiTheme="minorHAnsi" w:cs="Helvetica"/>
          <w:color w:val="000000"/>
          <w:sz w:val="24"/>
          <w:szCs w:val="24"/>
          <w:lang w:val="en-US"/>
        </w:rPr>
        <w:t xml:space="preserve"> systematic, empirical character of Q Methodology – will bring a necessary element of objectivity to a study conducted by a researcher who is not a disinterested observer.</w:t>
      </w:r>
    </w:p>
    <w:p w14:paraId="116D0AD4"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1F45189F" w14:textId="77777777" w:rsidR="00846D06" w:rsidRPr="00846D06" w:rsidRDefault="00846D06" w:rsidP="00846D06">
      <w:pPr>
        <w:pStyle w:val="Heading4"/>
        <w:rPr>
          <w:lang w:val="en-US"/>
        </w:rPr>
      </w:pPr>
      <w:r w:rsidRPr="00846D06">
        <w:rPr>
          <w:lang w:val="en-US"/>
        </w:rPr>
        <w:t>3.1.5 IMPLICATIONS FOR PRACTICE</w:t>
      </w:r>
    </w:p>
    <w:p w14:paraId="38CE48AE" w14:textId="77777777" w:rsidR="00846D06" w:rsidRPr="00846D06" w:rsidRDefault="00846D06" w:rsidP="00846D06">
      <w:pPr>
        <w:autoSpaceDE w:val="0"/>
        <w:autoSpaceDN w:val="0"/>
        <w:adjustRightInd w:val="0"/>
        <w:spacing w:after="266" w:line="336"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5CC70889"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This research has direct implications for professional practice.  The effectiveness of any support to academics around embedding ESD depends on a clear understanding of how academics within specific disciplines perceive it – whether they see ESD as relevant, whether they </w:t>
      </w:r>
      <w:proofErr w:type="spellStart"/>
      <w:r w:rsidRPr="00846D06">
        <w:rPr>
          <w:rFonts w:asciiTheme="minorHAnsi" w:hAnsiTheme="minorHAnsi" w:cs="Helvetica"/>
          <w:color w:val="000000"/>
          <w:sz w:val="24"/>
          <w:szCs w:val="24"/>
          <w:lang w:val="en-US"/>
        </w:rPr>
        <w:t>recognise</w:t>
      </w:r>
      <w:proofErr w:type="spellEnd"/>
      <w:r w:rsidRPr="00846D06">
        <w:rPr>
          <w:rFonts w:asciiTheme="minorHAnsi" w:hAnsiTheme="minorHAnsi" w:cs="Helvetica"/>
          <w:color w:val="000000"/>
          <w:sz w:val="24"/>
          <w:szCs w:val="24"/>
          <w:lang w:val="en-US"/>
        </w:rPr>
        <w:t xml:space="preserve"> existing connections, and whether they experience policy-driven ESD requirements as congruent with or disruptive to their disciplinary values and pedagogical traditions.  The findings of this study are intended to inform the design of resources and development of opportunities for History course </w:t>
      </w:r>
      <w:proofErr w:type="gramStart"/>
      <w:r w:rsidRPr="00846D06">
        <w:rPr>
          <w:rFonts w:asciiTheme="minorHAnsi" w:hAnsiTheme="minorHAnsi" w:cs="Helvetica"/>
          <w:color w:val="000000"/>
          <w:sz w:val="24"/>
          <w:szCs w:val="24"/>
          <w:lang w:val="en-US"/>
        </w:rPr>
        <w:t>teams, and</w:t>
      </w:r>
      <w:proofErr w:type="gramEnd"/>
      <w:r w:rsidRPr="00846D06">
        <w:rPr>
          <w:rFonts w:asciiTheme="minorHAnsi" w:hAnsiTheme="minorHAnsi" w:cs="Helvetica"/>
          <w:color w:val="000000"/>
          <w:sz w:val="24"/>
          <w:szCs w:val="24"/>
          <w:lang w:val="en-US"/>
        </w:rPr>
        <w:t xml:space="preserve"> may also offer transferable insights into how ESD support can be tailored to the epistemological and pedagogical character of other disciplines.</w:t>
      </w:r>
    </w:p>
    <w:p w14:paraId="5A9F5AFE"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2E729957" w14:textId="77777777" w:rsidR="00846D06" w:rsidRPr="00846D06" w:rsidRDefault="00846D06" w:rsidP="00846D06">
      <w:pPr>
        <w:pStyle w:val="Heading3"/>
        <w:rPr>
          <w:lang w:val="en-US"/>
        </w:rPr>
      </w:pPr>
      <w:bookmarkStart w:id="12" w:name="_Toc229750440"/>
      <w:r w:rsidRPr="00846D06">
        <w:rPr>
          <w:lang w:val="en-US"/>
        </w:rPr>
        <w:lastRenderedPageBreak/>
        <w:t>3.2 METHODOLOGY</w:t>
      </w:r>
      <w:bookmarkEnd w:id="12"/>
    </w:p>
    <w:p w14:paraId="7D717AFD" w14:textId="77777777" w:rsidR="00846D06" w:rsidRPr="00846D06" w:rsidRDefault="00846D06" w:rsidP="00846D06">
      <w:pPr>
        <w:pStyle w:val="Heading4"/>
        <w:rPr>
          <w:lang w:val="en-US"/>
        </w:rPr>
      </w:pPr>
      <w:r w:rsidRPr="00846D06">
        <w:rPr>
          <w:lang w:val="en-US"/>
        </w:rPr>
        <w:t>3.2.1 SOCIAL CONSTRUCTIVISM AND THE STUDY OF SUBJECTIVITY</w:t>
      </w:r>
    </w:p>
    <w:p w14:paraId="05883AB1"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564058AA"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In approaching this research from an interpretivist-constructivist stance, I am seeking to explore meanings and realities as they are constructed by individuals from personal, lived experiences (Punch and Oancea, 2014; Creswell and Poth, 2023).  The acknowledgement that meanings and realities defy simple </w:t>
      </w:r>
      <w:proofErr w:type="spellStart"/>
      <w:r w:rsidRPr="00846D06">
        <w:rPr>
          <w:rFonts w:asciiTheme="minorHAnsi" w:hAnsiTheme="minorHAnsi" w:cs="Helvetica"/>
          <w:color w:val="000000"/>
          <w:sz w:val="24"/>
          <w:szCs w:val="24"/>
          <w:lang w:val="en-US"/>
        </w:rPr>
        <w:t>categorisation</w:t>
      </w:r>
      <w:proofErr w:type="spellEnd"/>
      <w:r w:rsidRPr="00846D06">
        <w:rPr>
          <w:rFonts w:asciiTheme="minorHAnsi" w:hAnsiTheme="minorHAnsi" w:cs="Helvetica"/>
          <w:color w:val="000000"/>
          <w:sz w:val="24"/>
          <w:szCs w:val="24"/>
          <w:lang w:val="en-US"/>
        </w:rPr>
        <w:t>, and are multiple, informs the social constructivist approach of seeking out a ‘complexity of views’ (Creswell and Poth, 2023, p.23).  While literature on the engagement and perceptions of historians regarding ESD has been sparse, it is the purpose of this study to explore those perceptions in full.  The social constructivist paradigm, therefore, achieves ‘compatibility and integrity’ (Punch and Oancea, 2014, p.18) between the research question and the methodological approach.</w:t>
      </w:r>
    </w:p>
    <w:p w14:paraId="7D964CB8"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0A0A1C51"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40ED1170" w14:textId="77777777" w:rsidR="00846D06" w:rsidRPr="00846D06" w:rsidRDefault="00846D06" w:rsidP="00846D06">
      <w:pPr>
        <w:pStyle w:val="Heading4"/>
        <w:rPr>
          <w:lang w:val="en-US"/>
        </w:rPr>
      </w:pPr>
      <w:r w:rsidRPr="00846D06">
        <w:rPr>
          <w:lang w:val="en-US"/>
        </w:rPr>
        <w:t>3.2.2 Q METHODOLOGY: THE SCIENTIFIC STUDY OF SUBJECTIVITY</w:t>
      </w:r>
    </w:p>
    <w:p w14:paraId="61C2D080"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09C59E0A"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Q Methodology involves the sorting and ranking of a fixed number of statements that are supposed to represent the full range of possible subjective viewpoints on the topic being researched.  Conceived by Stephenson as an ‘objective (unbiased, empirically verifiable and repeatable) method for the study of subjectivity’ (Robbins and Krueger, 2000, p.637), there is widespread agreement that Q Methodology represents the scientific study of subjectivity (Brown, 1993; Watts, 2009; Davis, 2011; Coogan and Herrington, 2011; </w:t>
      </w:r>
      <w:proofErr w:type="spellStart"/>
      <w:r w:rsidRPr="00846D06">
        <w:rPr>
          <w:rFonts w:asciiTheme="minorHAnsi" w:hAnsiTheme="minorHAnsi" w:cs="Helvetica"/>
          <w:color w:val="000000"/>
          <w:sz w:val="24"/>
          <w:szCs w:val="24"/>
          <w:lang w:val="en-US"/>
        </w:rPr>
        <w:t>Bashatah</w:t>
      </w:r>
      <w:proofErr w:type="spellEnd"/>
      <w:r w:rsidRPr="00846D06">
        <w:rPr>
          <w:rFonts w:asciiTheme="minorHAnsi" w:hAnsiTheme="minorHAnsi" w:cs="Helvetica"/>
          <w:color w:val="000000"/>
          <w:sz w:val="24"/>
          <w:szCs w:val="24"/>
          <w:lang w:val="en-US"/>
        </w:rPr>
        <w:t xml:space="preserve">, 2016).  In </w:t>
      </w:r>
      <w:proofErr w:type="spellStart"/>
      <w:r w:rsidRPr="00846D06">
        <w:rPr>
          <w:rFonts w:asciiTheme="minorHAnsi" w:hAnsiTheme="minorHAnsi" w:cs="Helvetica"/>
          <w:color w:val="000000"/>
          <w:sz w:val="24"/>
          <w:szCs w:val="24"/>
          <w:lang w:val="en-US"/>
        </w:rPr>
        <w:t>summarising</w:t>
      </w:r>
      <w:proofErr w:type="spellEnd"/>
      <w:r w:rsidRPr="00846D06">
        <w:rPr>
          <w:rFonts w:asciiTheme="minorHAnsi" w:hAnsiTheme="minorHAnsi" w:cs="Helvetica"/>
          <w:color w:val="000000"/>
          <w:sz w:val="24"/>
          <w:szCs w:val="24"/>
          <w:lang w:val="en-US"/>
        </w:rPr>
        <w:t xml:space="preserve"> this position, Watts (2009) argues that Q Methodology </w:t>
      </w:r>
      <w:r w:rsidRPr="00846D06">
        <w:rPr>
          <w:rFonts w:asciiTheme="minorHAnsi" w:hAnsiTheme="minorHAnsi" w:cs="Helvetica"/>
          <w:color w:val="000000"/>
          <w:sz w:val="24"/>
          <w:szCs w:val="24"/>
          <w:lang w:val="en-US"/>
        </w:rPr>
        <w:lastRenderedPageBreak/>
        <w:t>locates ‘bodies-of-knowledge’ (p.43), rendering their structure observable and representing the ‘objective part of the subjective world’ (p.43).</w:t>
      </w:r>
    </w:p>
    <w:p w14:paraId="7D4C8972"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Stenner (2022) explicitly connects Q Methodology to constructivism in a discussion of the potential for an objective study of subjectivity: rather than relying on pre-existing frameworks, Q Methodology is about understanding how people actively create their own understanding of the world.  Similarly, Ramlo and Newman (2011), argue that the act of arranging statements in the Q sort process allows each participant to construct their own reality.  For </w:t>
      </w:r>
      <w:proofErr w:type="spellStart"/>
      <w:r w:rsidRPr="00846D06">
        <w:rPr>
          <w:rFonts w:asciiTheme="minorHAnsi" w:hAnsiTheme="minorHAnsi" w:cs="Helvetica"/>
          <w:color w:val="000000"/>
          <w:sz w:val="24"/>
          <w:szCs w:val="24"/>
          <w:lang w:val="en-US"/>
        </w:rPr>
        <w:t>Bashatah</w:t>
      </w:r>
      <w:proofErr w:type="spellEnd"/>
      <w:r w:rsidRPr="00846D06">
        <w:rPr>
          <w:rFonts w:asciiTheme="minorHAnsi" w:hAnsiTheme="minorHAnsi" w:cs="Helvetica"/>
          <w:color w:val="000000"/>
          <w:sz w:val="24"/>
          <w:szCs w:val="24"/>
          <w:lang w:val="en-US"/>
        </w:rPr>
        <w:t xml:space="preserve"> (2016), predefined operational definitions are not imposed on the statements in the Q set (the statements to be sorted).  Rather, statements are interpreted based on the participants’ own frames of reference.</w:t>
      </w:r>
    </w:p>
    <w:p w14:paraId="7C41D3DF"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Shaw (2023) coins the phrase ‘</w:t>
      </w:r>
      <w:proofErr w:type="spellStart"/>
      <w:r w:rsidRPr="00846D06">
        <w:rPr>
          <w:rFonts w:asciiTheme="minorHAnsi" w:hAnsiTheme="minorHAnsi" w:cs="Helvetica"/>
          <w:color w:val="000000"/>
          <w:sz w:val="24"/>
          <w:szCs w:val="24"/>
          <w:lang w:val="en-US"/>
        </w:rPr>
        <w:t>qualiquantilogical</w:t>
      </w:r>
      <w:proofErr w:type="spellEnd"/>
      <w:r w:rsidRPr="00846D06">
        <w:rPr>
          <w:rFonts w:asciiTheme="minorHAnsi" w:hAnsiTheme="minorHAnsi" w:cs="Helvetica"/>
          <w:color w:val="000000"/>
          <w:sz w:val="24"/>
          <w:szCs w:val="24"/>
          <w:lang w:val="en-US"/>
        </w:rPr>
        <w:t xml:space="preserve">’ (p.4) to describe the way in which Q Methodology uniquely blends rich qualitative data with rigorous statistical analysis.  Likewise, Walker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(2018) refer to the combination of the ‘rigor of statistical analysis with qualitative constructivist meaning making’ (p.452) in pointing out the way in which Q Methodology can relate to different epistemologies, though chiefly constructivism through its unique interplay of qualitative and quantitative elements.  A connection is made, therefore, to both qualitative and quantitative methods when discussing Q Methodology, and it is frequently classified as a combination of both (Brown, 1993; Coogan and Herrington, 2011; </w:t>
      </w:r>
      <w:proofErr w:type="spellStart"/>
      <w:r w:rsidRPr="00846D06">
        <w:rPr>
          <w:rFonts w:asciiTheme="minorHAnsi" w:hAnsiTheme="minorHAnsi" w:cs="Helvetica"/>
          <w:color w:val="000000"/>
          <w:sz w:val="24"/>
          <w:szCs w:val="24"/>
          <w:lang w:val="en-US"/>
        </w:rPr>
        <w:t>Bashatah</w:t>
      </w:r>
      <w:proofErr w:type="spellEnd"/>
      <w:r w:rsidRPr="00846D06">
        <w:rPr>
          <w:rFonts w:asciiTheme="minorHAnsi" w:hAnsiTheme="minorHAnsi" w:cs="Helvetica"/>
          <w:color w:val="000000"/>
          <w:sz w:val="24"/>
          <w:szCs w:val="24"/>
          <w:lang w:val="en-US"/>
        </w:rPr>
        <w:t xml:space="preserve">, 2016; Walker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2018; Shaw, 2023).</w:t>
      </w:r>
    </w:p>
    <w:p w14:paraId="0469FCCA"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71137EB6" w14:textId="77777777" w:rsidR="00846D06" w:rsidRPr="00846D06" w:rsidRDefault="00846D06" w:rsidP="00846D06">
      <w:pPr>
        <w:pStyle w:val="Heading4"/>
        <w:rPr>
          <w:lang w:val="en-US"/>
        </w:rPr>
      </w:pPr>
      <w:r w:rsidRPr="00846D06">
        <w:rPr>
          <w:lang w:val="en-US"/>
        </w:rPr>
        <w:t>3.2.3 Q METHODOLOGY: A WHOLE METHODOLOGY</w:t>
      </w:r>
    </w:p>
    <w:p w14:paraId="13F10834"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20D45E93"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The concept of </w:t>
      </w:r>
      <w:r w:rsidRPr="00846D06">
        <w:rPr>
          <w:rFonts w:asciiTheme="minorHAnsi" w:hAnsiTheme="minorHAnsi" w:cs="Helvetica"/>
          <w:i/>
          <w:iCs/>
          <w:color w:val="000000"/>
          <w:sz w:val="24"/>
          <w:szCs w:val="24"/>
          <w:lang w:val="en-US"/>
        </w:rPr>
        <w:t>operant subjectivity</w:t>
      </w:r>
      <w:r w:rsidRPr="00846D06">
        <w:rPr>
          <w:rFonts w:asciiTheme="minorHAnsi" w:hAnsiTheme="minorHAnsi" w:cs="Helvetica"/>
          <w:color w:val="000000"/>
          <w:sz w:val="24"/>
          <w:szCs w:val="24"/>
          <w:lang w:val="en-US"/>
        </w:rPr>
        <w:t xml:space="preserve"> – subjectivity that can be communicated or expressed operantly – lies at the heart of Q Methodology, and it is this concept that gives it its crucial </w:t>
      </w:r>
      <w:r w:rsidRPr="00846D06">
        <w:rPr>
          <w:rFonts w:asciiTheme="minorHAnsi" w:hAnsiTheme="minorHAnsi" w:cs="Helvetica"/>
          <w:color w:val="000000"/>
          <w:sz w:val="24"/>
          <w:szCs w:val="24"/>
          <w:lang w:val="en-US"/>
        </w:rPr>
        <w:lastRenderedPageBreak/>
        <w:t xml:space="preserve">distinctiveness from more traditional approaches to gathering data, such as questionnaires and surveys (Stephenson, 1953; van </w:t>
      </w:r>
      <w:proofErr w:type="spellStart"/>
      <w:r w:rsidRPr="00846D06">
        <w:rPr>
          <w:rFonts w:asciiTheme="minorHAnsi" w:hAnsiTheme="minorHAnsi" w:cs="Helvetica"/>
          <w:color w:val="000000"/>
          <w:sz w:val="24"/>
          <w:szCs w:val="24"/>
          <w:lang w:val="en-US"/>
        </w:rPr>
        <w:t>Exel</w:t>
      </w:r>
      <w:proofErr w:type="spellEnd"/>
      <w:r w:rsidRPr="00846D06">
        <w:rPr>
          <w:rFonts w:asciiTheme="minorHAnsi" w:hAnsiTheme="minorHAnsi" w:cs="Helvetica"/>
          <w:color w:val="000000"/>
          <w:sz w:val="24"/>
          <w:szCs w:val="24"/>
          <w:lang w:val="en-US"/>
        </w:rPr>
        <w:t xml:space="preserve"> and de Graaf, 2005).  The notion of </w:t>
      </w:r>
      <w:r w:rsidRPr="00846D06">
        <w:rPr>
          <w:rFonts w:asciiTheme="minorHAnsi" w:hAnsiTheme="minorHAnsi" w:cs="Helvetica"/>
          <w:i/>
          <w:iCs/>
          <w:color w:val="000000"/>
          <w:sz w:val="24"/>
          <w:szCs w:val="24"/>
          <w:lang w:val="en-US"/>
        </w:rPr>
        <w:t xml:space="preserve">operant subjectivity </w:t>
      </w:r>
      <w:r w:rsidRPr="00846D06">
        <w:rPr>
          <w:rFonts w:asciiTheme="minorHAnsi" w:hAnsiTheme="minorHAnsi" w:cs="Helvetica"/>
          <w:color w:val="000000"/>
          <w:sz w:val="24"/>
          <w:szCs w:val="24"/>
          <w:lang w:val="en-US"/>
        </w:rPr>
        <w:t xml:space="preserve">underpins the consensus in the literature that Q Methodology is a whole methodology with its own distinct way of exploring human perspectives (Capdevila and Lazard, 2008), encompassing a broad theoretical framework, as opposed to representing a method or tool (Davis, </w:t>
      </w:r>
      <w:proofErr w:type="gramStart"/>
      <w:r w:rsidRPr="00846D06">
        <w:rPr>
          <w:rFonts w:asciiTheme="minorHAnsi" w:hAnsiTheme="minorHAnsi" w:cs="Helvetica"/>
          <w:color w:val="000000"/>
          <w:sz w:val="24"/>
          <w:szCs w:val="24"/>
          <w:lang w:val="en-US"/>
        </w:rPr>
        <w:t>2011;</w:t>
      </w:r>
      <w:proofErr w:type="gramEnd"/>
      <w:r w:rsidRPr="00846D06">
        <w:rPr>
          <w:rFonts w:asciiTheme="minorHAnsi" w:hAnsiTheme="minorHAnsi" w:cs="Helvetica"/>
          <w:color w:val="000000"/>
          <w:sz w:val="24"/>
          <w:szCs w:val="24"/>
          <w:lang w:val="en-US"/>
        </w:rPr>
        <w:t xml:space="preserve"> Brown. 1993; Capdevila and Lazard, 2008; </w:t>
      </w:r>
      <w:proofErr w:type="spellStart"/>
      <w:r w:rsidRPr="00846D06">
        <w:rPr>
          <w:rFonts w:asciiTheme="minorHAnsi" w:hAnsiTheme="minorHAnsi" w:cs="Helvetica"/>
          <w:color w:val="000000"/>
          <w:sz w:val="24"/>
          <w:szCs w:val="24"/>
          <w:lang w:val="en-US"/>
        </w:rPr>
        <w:t>Bashatah</w:t>
      </w:r>
      <w:proofErr w:type="spellEnd"/>
      <w:r w:rsidRPr="00846D06">
        <w:rPr>
          <w:rFonts w:asciiTheme="minorHAnsi" w:hAnsiTheme="minorHAnsi" w:cs="Helvetica"/>
          <w:color w:val="000000"/>
          <w:sz w:val="24"/>
          <w:szCs w:val="24"/>
          <w:lang w:val="en-US"/>
        </w:rPr>
        <w:t>, 2016; Ramlo, 2023).</w:t>
      </w:r>
    </w:p>
    <w:p w14:paraId="0E3D0346"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The distinctive core of Q Methodology being the scientific study of subjectivity (</w:t>
      </w:r>
      <w:proofErr w:type="spellStart"/>
      <w:r w:rsidRPr="00846D06">
        <w:rPr>
          <w:rFonts w:asciiTheme="minorHAnsi" w:hAnsiTheme="minorHAnsi" w:cs="Helvetica"/>
          <w:color w:val="000000"/>
          <w:sz w:val="24"/>
          <w:szCs w:val="24"/>
          <w:lang w:val="en-US"/>
        </w:rPr>
        <w:t>Bashatah</w:t>
      </w:r>
      <w:proofErr w:type="spellEnd"/>
      <w:r w:rsidRPr="00846D06">
        <w:rPr>
          <w:rFonts w:asciiTheme="minorHAnsi" w:hAnsiTheme="minorHAnsi" w:cs="Helvetica"/>
          <w:color w:val="000000"/>
          <w:sz w:val="24"/>
          <w:szCs w:val="24"/>
          <w:lang w:val="en-US"/>
        </w:rPr>
        <w:t xml:space="preserve">, 2016), it allows a </w:t>
      </w:r>
      <w:proofErr w:type="spellStart"/>
      <w:r w:rsidRPr="00846D06">
        <w:rPr>
          <w:rFonts w:asciiTheme="minorHAnsi" w:hAnsiTheme="minorHAnsi" w:cs="Helvetica"/>
          <w:color w:val="000000"/>
          <w:sz w:val="24"/>
          <w:szCs w:val="24"/>
          <w:lang w:val="en-US"/>
        </w:rPr>
        <w:t>democratised</w:t>
      </w:r>
      <w:proofErr w:type="spellEnd"/>
      <w:r w:rsidRPr="00846D06">
        <w:rPr>
          <w:rFonts w:asciiTheme="minorHAnsi" w:hAnsiTheme="minorHAnsi" w:cs="Helvetica"/>
          <w:color w:val="000000"/>
          <w:sz w:val="24"/>
          <w:szCs w:val="24"/>
          <w:lang w:val="en-US"/>
        </w:rPr>
        <w:t xml:space="preserve"> approach, with a shift in the researcher-researched power dynamic (Robbins and Krueger, 2000), that brings forwards </w:t>
      </w:r>
      <w:proofErr w:type="spellStart"/>
      <w:r w:rsidRPr="00846D06">
        <w:rPr>
          <w:rFonts w:asciiTheme="minorHAnsi" w:hAnsiTheme="minorHAnsi" w:cs="Helvetica"/>
          <w:color w:val="000000"/>
          <w:sz w:val="24"/>
          <w:szCs w:val="24"/>
          <w:lang w:val="en-US"/>
        </w:rPr>
        <w:t>marginalised</w:t>
      </w:r>
      <w:proofErr w:type="spellEnd"/>
      <w:r w:rsidRPr="00846D06">
        <w:rPr>
          <w:rFonts w:asciiTheme="minorHAnsi" w:hAnsiTheme="minorHAnsi" w:cs="Helvetica"/>
          <w:color w:val="000000"/>
          <w:sz w:val="24"/>
          <w:szCs w:val="24"/>
          <w:lang w:val="en-US"/>
        </w:rPr>
        <w:t xml:space="preserve"> voices (Capdevila and Lazard, 2008).  Harris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(2019) and Watts and Stenner (2012) </w:t>
      </w:r>
      <w:proofErr w:type="spellStart"/>
      <w:r w:rsidRPr="00846D06">
        <w:rPr>
          <w:rFonts w:asciiTheme="minorHAnsi" w:hAnsiTheme="minorHAnsi" w:cs="Helvetica"/>
          <w:color w:val="000000"/>
          <w:sz w:val="24"/>
          <w:szCs w:val="24"/>
          <w:lang w:val="en-US"/>
        </w:rPr>
        <w:t>emphasise</w:t>
      </w:r>
      <w:proofErr w:type="spellEnd"/>
      <w:r w:rsidRPr="00846D06">
        <w:rPr>
          <w:rFonts w:asciiTheme="minorHAnsi" w:hAnsiTheme="minorHAnsi" w:cs="Helvetica"/>
          <w:color w:val="000000"/>
          <w:sz w:val="24"/>
          <w:szCs w:val="24"/>
          <w:lang w:val="en-US"/>
        </w:rPr>
        <w:t xml:space="preserve"> the discovery and theory building role of Q Methodology, which is linked to the idea of uncovering distinct viewpoints and the abductive approach of forming explanations (Davis, 2011).  </w:t>
      </w:r>
    </w:p>
    <w:p w14:paraId="55B34E0C" w14:textId="1D070A0B"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An abductive approach, therefore, involves approaching the data with an awareness of existing theoretical explanations while remaining open to new or unexpected patterns that may demand novel interpretation</w:t>
      </w:r>
      <w:r w:rsidR="006B0708">
        <w:rPr>
          <w:rFonts w:asciiTheme="minorHAnsi" w:hAnsiTheme="minorHAnsi" w:cs="Helvetica"/>
          <w:color w:val="000000"/>
          <w:sz w:val="24"/>
          <w:szCs w:val="24"/>
          <w:lang w:val="en-US"/>
        </w:rPr>
        <w:t xml:space="preserve"> (</w:t>
      </w:r>
      <w:proofErr w:type="spellStart"/>
      <w:r w:rsidR="006B0708">
        <w:rPr>
          <w:rFonts w:asciiTheme="minorHAnsi" w:hAnsiTheme="minorHAnsi" w:cs="Helvetica"/>
          <w:color w:val="000000"/>
          <w:sz w:val="24"/>
          <w:szCs w:val="24"/>
          <w:lang w:val="en-US"/>
        </w:rPr>
        <w:t>Tavory</w:t>
      </w:r>
      <w:proofErr w:type="spellEnd"/>
      <w:r w:rsidR="006B0708">
        <w:rPr>
          <w:rFonts w:asciiTheme="minorHAnsi" w:hAnsiTheme="minorHAnsi" w:cs="Helvetica"/>
          <w:color w:val="000000"/>
          <w:sz w:val="24"/>
          <w:szCs w:val="24"/>
          <w:lang w:val="en-US"/>
        </w:rPr>
        <w:t xml:space="preserve"> and Timmermans, 2014)</w:t>
      </w:r>
      <w:r w:rsidRPr="00846D06">
        <w:rPr>
          <w:rFonts w:asciiTheme="minorHAnsi" w:hAnsiTheme="minorHAnsi" w:cs="Helvetica"/>
          <w:color w:val="000000"/>
          <w:sz w:val="24"/>
          <w:szCs w:val="24"/>
          <w:lang w:val="en-US"/>
        </w:rPr>
        <w:t xml:space="preserve">.  In this study, the literature has uncovered a number of theories: </w:t>
      </w:r>
      <w:proofErr w:type="spellStart"/>
      <w:r w:rsidRPr="00846D06">
        <w:rPr>
          <w:rFonts w:asciiTheme="minorHAnsi" w:hAnsiTheme="minorHAnsi" w:cs="Helvetica"/>
          <w:color w:val="000000"/>
          <w:sz w:val="24"/>
          <w:szCs w:val="24"/>
          <w:lang w:val="en-US"/>
        </w:rPr>
        <w:t>i</w:t>
      </w:r>
      <w:proofErr w:type="spellEnd"/>
      <w:r w:rsidRPr="00846D06">
        <w:rPr>
          <w:rFonts w:asciiTheme="minorHAnsi" w:hAnsiTheme="minorHAnsi" w:cs="Helvetica"/>
          <w:color w:val="000000"/>
          <w:sz w:val="24"/>
          <w:szCs w:val="24"/>
          <w:lang w:val="en-US"/>
        </w:rPr>
        <w:t>) that there is a fundamental compatibility between ESD and History, in areas such as the focus inherent to both on criticality and systems thinking; ii) further areas of compatibility include Environmental History, culture and heritage, and approaches to teaching and learning connected to these, such as Oral and Public History.  An abductive approach was therefore applied to this study, keeping these theories in mind, but expecting the generation of new understandings representative of the shared viewpoints of the participants.</w:t>
      </w:r>
    </w:p>
    <w:p w14:paraId="5AC61659"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7C543510"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lastRenderedPageBreak/>
        <w:t>The remainder of this section explains how the tools and techniques of Q methodology were applied in the context of this study into the perceptions of historians in higher education regarding ESD.</w:t>
      </w:r>
    </w:p>
    <w:p w14:paraId="458493C2"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0A25575E" w14:textId="77777777" w:rsidR="00846D06" w:rsidRPr="00846D06" w:rsidRDefault="00846D06" w:rsidP="00846D06">
      <w:pPr>
        <w:pStyle w:val="Heading3"/>
        <w:rPr>
          <w:lang w:val="en-US"/>
        </w:rPr>
      </w:pPr>
      <w:bookmarkStart w:id="13" w:name="_Toc229750441"/>
      <w:r w:rsidRPr="00846D06">
        <w:rPr>
          <w:lang w:val="en-US"/>
        </w:rPr>
        <w:t>3.3 RESEARCH METHODS</w:t>
      </w:r>
      <w:bookmarkEnd w:id="13"/>
    </w:p>
    <w:p w14:paraId="5595551D"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5CEF1A91" w14:textId="301569E1" w:rsidR="00846D06" w:rsidRPr="00846D06" w:rsidRDefault="00846D06" w:rsidP="00846D06">
      <w:pPr>
        <w:autoSpaceDE w:val="0"/>
        <w:autoSpaceDN w:val="0"/>
        <w:adjustRightInd w:val="0"/>
        <w:spacing w:after="266" w:line="308" w:lineRule="atLeast"/>
        <w:rPr>
          <w:rFonts w:asciiTheme="minorHAnsi" w:hAnsiTheme="minorHAnsi" w:cs="Helvetica"/>
          <w:color w:val="000000"/>
          <w:sz w:val="24"/>
          <w:szCs w:val="24"/>
          <w:lang w:val="en-US"/>
        </w:rPr>
      </w:pPr>
      <w:r w:rsidRPr="00846D06">
        <w:rPr>
          <w:rFonts w:asciiTheme="minorHAnsi" w:hAnsiTheme="minorHAnsi" w:cs="Helvetica"/>
          <w:noProof/>
          <w:color w:val="000000"/>
          <w:sz w:val="24"/>
          <w:szCs w:val="24"/>
          <w:lang w:val="en-US"/>
        </w:rPr>
        <w:drawing>
          <wp:inline distT="0" distB="0" distL="0" distR="0" wp14:anchorId="1074B1AB" wp14:editId="6E9DEC07">
            <wp:extent cx="5943600" cy="3127375"/>
            <wp:effectExtent l="0" t="0" r="0" b="0"/>
            <wp:docPr id="574509806" name="Picture 3" descr="A diagram of a data analysis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509806" name="Picture 3" descr="A diagram of a data analysis proces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127375"/>
                    </a:xfrm>
                    <a:prstGeom prst="rect">
                      <a:avLst/>
                    </a:prstGeom>
                    <a:noFill/>
                    <a:ln>
                      <a:noFill/>
                    </a:ln>
                  </pic:spPr>
                </pic:pic>
              </a:graphicData>
            </a:graphic>
          </wp:inline>
        </w:drawing>
      </w:r>
    </w:p>
    <w:p w14:paraId="5BDB0F21" w14:textId="67EE2747" w:rsidR="00846D06" w:rsidRPr="00846D06" w:rsidRDefault="00693900" w:rsidP="00693900">
      <w:pPr>
        <w:pStyle w:val="Caption"/>
        <w:rPr>
          <w:rFonts w:asciiTheme="minorHAnsi" w:hAnsiTheme="minorHAnsi" w:cs="Helvetica"/>
          <w:color w:val="000000"/>
          <w:sz w:val="24"/>
          <w:szCs w:val="24"/>
          <w:lang w:val="en-US"/>
        </w:rPr>
      </w:pPr>
      <w:bookmarkStart w:id="14" w:name="_Toc229750649"/>
      <w:r>
        <w:t xml:space="preserve">Figure </w:t>
      </w:r>
      <w:r>
        <w:fldChar w:fldCharType="begin"/>
      </w:r>
      <w:r>
        <w:instrText xml:space="preserve"> SEQ Figure \* ARABIC </w:instrText>
      </w:r>
      <w:r>
        <w:fldChar w:fldCharType="separate"/>
      </w:r>
      <w:r>
        <w:rPr>
          <w:noProof/>
        </w:rPr>
        <w:t>1</w:t>
      </w:r>
      <w:r>
        <w:fldChar w:fldCharType="end"/>
      </w:r>
      <w:r>
        <w:t xml:space="preserve">: </w:t>
      </w:r>
      <w:r w:rsidRPr="005C2DD5">
        <w:t>FLOWCHART TO DEMONSTRATE Q METHODOLOGY</w:t>
      </w:r>
      <w:bookmarkEnd w:id="14"/>
    </w:p>
    <w:p w14:paraId="7DE058C0" w14:textId="77777777" w:rsidR="00846D06" w:rsidRPr="00846D06" w:rsidRDefault="00846D06" w:rsidP="00846D06">
      <w:pPr>
        <w:autoSpaceDE w:val="0"/>
        <w:autoSpaceDN w:val="0"/>
        <w:adjustRightInd w:val="0"/>
        <w:spacing w:after="266" w:line="308"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22B9AFF1" w14:textId="77777777" w:rsidR="00846D06" w:rsidRPr="00846D06" w:rsidRDefault="00846D06" w:rsidP="00846D06">
      <w:pPr>
        <w:autoSpaceDE w:val="0"/>
        <w:autoSpaceDN w:val="0"/>
        <w:adjustRightInd w:val="0"/>
        <w:spacing w:after="266" w:line="308"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489F837F" w14:textId="77777777" w:rsidR="00846D06" w:rsidRPr="00846D06" w:rsidRDefault="00846D06" w:rsidP="00846D06">
      <w:pPr>
        <w:pStyle w:val="Heading4"/>
        <w:rPr>
          <w:lang w:val="en-US"/>
        </w:rPr>
      </w:pPr>
      <w:r w:rsidRPr="00846D06">
        <w:rPr>
          <w:lang w:val="en-US"/>
        </w:rPr>
        <w:t>3.3.1 DEFINING THE CONCOURSE: HARNESSING EMERGENT TECHNOLOGY</w:t>
      </w:r>
    </w:p>
    <w:p w14:paraId="2A847BE6"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3791FB73"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The first step in preparation for a Q Methodological study, according to van </w:t>
      </w:r>
      <w:proofErr w:type="spellStart"/>
      <w:r w:rsidRPr="00846D06">
        <w:rPr>
          <w:rFonts w:asciiTheme="minorHAnsi" w:hAnsiTheme="minorHAnsi" w:cs="Helvetica"/>
          <w:color w:val="000000"/>
          <w:sz w:val="24"/>
          <w:szCs w:val="24"/>
          <w:lang w:val="en-US"/>
        </w:rPr>
        <w:t>Exel</w:t>
      </w:r>
      <w:proofErr w:type="spellEnd"/>
      <w:r w:rsidRPr="00846D06">
        <w:rPr>
          <w:rFonts w:asciiTheme="minorHAnsi" w:hAnsiTheme="minorHAnsi" w:cs="Helvetica"/>
          <w:color w:val="000000"/>
          <w:sz w:val="24"/>
          <w:szCs w:val="24"/>
          <w:lang w:val="en-US"/>
        </w:rPr>
        <w:t xml:space="preserve"> and de Graaf (2005) in their excellent overview of the process, is known as ‘Definition of the </w:t>
      </w:r>
      <w:r w:rsidRPr="00846D06">
        <w:rPr>
          <w:rFonts w:asciiTheme="minorHAnsi" w:hAnsiTheme="minorHAnsi" w:cs="Helvetica"/>
          <w:color w:val="000000"/>
          <w:sz w:val="24"/>
          <w:szCs w:val="24"/>
          <w:lang w:val="en-US"/>
        </w:rPr>
        <w:lastRenderedPageBreak/>
        <w:t xml:space="preserve">concourse’ (p.4).  The concourse is as comprehensive as possible a series of statements (Capdevila and Lazard, 2008) relating to the research question(s) and representing the potential opinions, thoughts and feelings of the research participants.  The concourse should include anything that could be said or thought about the ‘domain of subjectivity’ (Robbins and Krueger, 2000, p.638).  A sample of these statements is then selected to become the Q-set: those statements that will be used in the sorting stage when data is collected from participants.  Suitable material to mine for concourse statements include scholarly articles, interviews, focus groups and popular media (Brown, 1993; Coogan and Herrington, 2011; Shaw, 2023; </w:t>
      </w:r>
      <w:proofErr w:type="spellStart"/>
      <w:r w:rsidRPr="00846D06">
        <w:rPr>
          <w:rFonts w:asciiTheme="minorHAnsi" w:hAnsiTheme="minorHAnsi" w:cs="Helvetica"/>
          <w:color w:val="000000"/>
          <w:sz w:val="24"/>
          <w:szCs w:val="24"/>
          <w:lang w:val="en-US"/>
        </w:rPr>
        <w:t>Espartinez</w:t>
      </w:r>
      <w:proofErr w:type="spellEnd"/>
      <w:r w:rsidRPr="00846D06">
        <w:rPr>
          <w:rFonts w:asciiTheme="minorHAnsi" w:hAnsiTheme="minorHAnsi" w:cs="Helvetica"/>
          <w:color w:val="000000"/>
          <w:sz w:val="24"/>
          <w:szCs w:val="24"/>
          <w:lang w:val="en-US"/>
        </w:rPr>
        <w:t xml:space="preserve">, 2024).  </w:t>
      </w:r>
    </w:p>
    <w:p w14:paraId="76683CE5" w14:textId="62148C3B"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However, there have been criticisms of the typical approach to concourse definition.  Watts and Stenner (2012), for example, call Stephenson’s descriptions of the process as ‘rather vague’ (p.57).  Stephenson describes, for example, the extraction of 100 statements from a single article as ‘a straightforward matter’ (Stephenson, 1987, p.531, in Watts and Stenner, 2012, p.57) without further elaboration</w:t>
      </w:r>
      <w:r w:rsidR="006F15E1">
        <w:rPr>
          <w:rFonts w:asciiTheme="minorHAnsi" w:hAnsiTheme="minorHAnsi" w:cs="Helvetica"/>
          <w:color w:val="000000"/>
          <w:sz w:val="24"/>
          <w:szCs w:val="24"/>
          <w:lang w:val="en-US"/>
        </w:rPr>
        <w:t xml:space="preserve"> of his process</w:t>
      </w:r>
      <w:r w:rsidRPr="00846D06">
        <w:rPr>
          <w:rFonts w:asciiTheme="minorHAnsi" w:hAnsiTheme="minorHAnsi" w:cs="Helvetica"/>
          <w:color w:val="000000"/>
          <w:sz w:val="24"/>
          <w:szCs w:val="24"/>
          <w:lang w:val="en-US"/>
        </w:rPr>
        <w:t xml:space="preserve">.  Watts and Stenner (2012) suggest that, on the contrary, definition of the concourse may be the most time-consuming element of the research process requiring considerable care.  Other authors on Q Methodology similarly view development of the concourse as </w:t>
      </w:r>
      <w:r w:rsidR="006F15E1">
        <w:rPr>
          <w:rFonts w:asciiTheme="minorHAnsi" w:hAnsiTheme="minorHAnsi" w:cs="Helvetica"/>
          <w:color w:val="000000"/>
          <w:sz w:val="24"/>
          <w:szCs w:val="24"/>
          <w:lang w:val="en-US"/>
        </w:rPr>
        <w:t>a crucial step</w:t>
      </w:r>
      <w:r w:rsidRPr="00846D06">
        <w:rPr>
          <w:rFonts w:asciiTheme="minorHAnsi" w:hAnsiTheme="minorHAnsi" w:cs="Helvetica"/>
          <w:color w:val="000000"/>
          <w:sz w:val="24"/>
          <w:szCs w:val="24"/>
          <w:lang w:val="en-US"/>
        </w:rPr>
        <w:t xml:space="preserve"> in determining the validity and reliability of the research (Harris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2019; Shaw, 2023; Ramlo, 2023).</w:t>
      </w:r>
    </w:p>
    <w:p w14:paraId="17F52065" w14:textId="604FEF4B"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Ramlo (2023) describes the content of the concourse as potentially infinite, and </w:t>
      </w:r>
      <w:r w:rsidR="006F15E1">
        <w:rPr>
          <w:rFonts w:asciiTheme="minorHAnsi" w:hAnsiTheme="minorHAnsi" w:cs="Helvetica"/>
          <w:color w:val="000000"/>
          <w:sz w:val="24"/>
          <w:szCs w:val="24"/>
          <w:lang w:val="en-US"/>
        </w:rPr>
        <w:t xml:space="preserve">other </w:t>
      </w:r>
      <w:r w:rsidRPr="00846D06">
        <w:rPr>
          <w:rFonts w:asciiTheme="minorHAnsi" w:hAnsiTheme="minorHAnsi" w:cs="Helvetica"/>
          <w:color w:val="000000"/>
          <w:sz w:val="24"/>
          <w:szCs w:val="24"/>
          <w:lang w:val="en-US"/>
        </w:rPr>
        <w:t xml:space="preserve">studies include accounts of concourse development with up to 400 items (Robbins and Krueger 2000).  While Capdevila and Lazard (2008), on the other hand, introduce the idea of ‘finite diversity’ (p.73), this does suggest the importance of establishing a thoroughly comprehensive concourse covering all potential perspectives, including the </w:t>
      </w:r>
      <w:proofErr w:type="spellStart"/>
      <w:r w:rsidRPr="00846D06">
        <w:rPr>
          <w:rFonts w:asciiTheme="minorHAnsi" w:hAnsiTheme="minorHAnsi" w:cs="Helvetica"/>
          <w:color w:val="000000"/>
          <w:sz w:val="24"/>
          <w:szCs w:val="24"/>
          <w:lang w:val="en-US"/>
        </w:rPr>
        <w:t>marginalised</w:t>
      </w:r>
      <w:proofErr w:type="spellEnd"/>
      <w:r w:rsidRPr="00846D06">
        <w:rPr>
          <w:rFonts w:asciiTheme="minorHAnsi" w:hAnsiTheme="minorHAnsi" w:cs="Helvetica"/>
          <w:color w:val="000000"/>
          <w:sz w:val="24"/>
          <w:szCs w:val="24"/>
          <w:lang w:val="en-US"/>
        </w:rPr>
        <w:t xml:space="preserve">.  </w:t>
      </w:r>
      <w:proofErr w:type="gramStart"/>
      <w:r w:rsidRPr="00846D06">
        <w:rPr>
          <w:rFonts w:asciiTheme="minorHAnsi" w:hAnsiTheme="minorHAnsi" w:cs="Helvetica"/>
          <w:color w:val="000000"/>
          <w:sz w:val="24"/>
          <w:szCs w:val="24"/>
          <w:lang w:val="en-US"/>
        </w:rPr>
        <w:t>A number of</w:t>
      </w:r>
      <w:proofErr w:type="gramEnd"/>
      <w:r w:rsidRPr="00846D06">
        <w:rPr>
          <w:rFonts w:asciiTheme="minorHAnsi" w:hAnsiTheme="minorHAnsi" w:cs="Helvetica"/>
          <w:color w:val="000000"/>
          <w:sz w:val="24"/>
          <w:szCs w:val="24"/>
          <w:lang w:val="en-US"/>
        </w:rPr>
        <w:t xml:space="preserve"> researchers mention using practical approaches to gathering </w:t>
      </w:r>
      <w:r w:rsidRPr="00846D06">
        <w:rPr>
          <w:rFonts w:asciiTheme="minorHAnsi" w:hAnsiTheme="minorHAnsi" w:cs="Helvetica"/>
          <w:color w:val="000000"/>
          <w:sz w:val="24"/>
          <w:szCs w:val="24"/>
          <w:lang w:val="en-US"/>
        </w:rPr>
        <w:lastRenderedPageBreak/>
        <w:t xml:space="preserve">statements, including using inspirational books, articles and interviews (Stenner, 2022), popular media, such as newspapers and magazines (van </w:t>
      </w:r>
      <w:proofErr w:type="spellStart"/>
      <w:r w:rsidRPr="00846D06">
        <w:rPr>
          <w:rFonts w:asciiTheme="minorHAnsi" w:hAnsiTheme="minorHAnsi" w:cs="Helvetica"/>
          <w:color w:val="000000"/>
          <w:sz w:val="24"/>
          <w:szCs w:val="24"/>
          <w:lang w:val="en-US"/>
        </w:rPr>
        <w:t>Exel</w:t>
      </w:r>
      <w:proofErr w:type="spellEnd"/>
      <w:r w:rsidRPr="00846D06">
        <w:rPr>
          <w:rFonts w:asciiTheme="minorHAnsi" w:hAnsiTheme="minorHAnsi" w:cs="Helvetica"/>
          <w:color w:val="000000"/>
          <w:sz w:val="24"/>
          <w:szCs w:val="24"/>
          <w:lang w:val="en-US"/>
        </w:rPr>
        <w:t xml:space="preserve"> and de Graaf 2005), and requests for comments via email or in focus groups (Coogan and Herrington, 2011).</w:t>
      </w:r>
    </w:p>
    <w:p w14:paraId="31E87844" w14:textId="5C7B9C43"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Time</w:t>
      </w:r>
      <w:r w:rsidR="006F15E1">
        <w:rPr>
          <w:rFonts w:asciiTheme="minorHAnsi" w:hAnsiTheme="minorHAnsi" w:cs="Helvetica"/>
          <w:color w:val="000000"/>
          <w:sz w:val="24"/>
          <w:szCs w:val="24"/>
          <w:lang w:val="en-US"/>
        </w:rPr>
        <w:t xml:space="preserve"> </w:t>
      </w:r>
      <w:r w:rsidRPr="00846D06">
        <w:rPr>
          <w:rFonts w:asciiTheme="minorHAnsi" w:hAnsiTheme="minorHAnsi" w:cs="Helvetica"/>
          <w:color w:val="000000"/>
          <w:sz w:val="24"/>
          <w:szCs w:val="24"/>
          <w:lang w:val="en-US"/>
        </w:rPr>
        <w:t>constraints</w:t>
      </w:r>
      <w:r w:rsidR="006F15E1">
        <w:rPr>
          <w:rFonts w:asciiTheme="minorHAnsi" w:hAnsiTheme="minorHAnsi" w:cs="Helvetica"/>
          <w:color w:val="000000"/>
          <w:sz w:val="24"/>
          <w:szCs w:val="24"/>
          <w:lang w:val="en-US"/>
        </w:rPr>
        <w:t xml:space="preserve"> </w:t>
      </w:r>
      <w:r w:rsidRPr="00846D06">
        <w:rPr>
          <w:rFonts w:asciiTheme="minorHAnsi" w:hAnsiTheme="minorHAnsi" w:cs="Helvetica"/>
          <w:color w:val="000000"/>
          <w:sz w:val="24"/>
          <w:szCs w:val="24"/>
          <w:lang w:val="en-US"/>
        </w:rPr>
        <w:t xml:space="preserve">led me to explore the idea of using </w:t>
      </w:r>
      <w:r w:rsidR="006F15E1">
        <w:rPr>
          <w:rFonts w:asciiTheme="minorHAnsi" w:hAnsiTheme="minorHAnsi" w:cs="Helvetica"/>
          <w:color w:val="000000"/>
          <w:sz w:val="24"/>
          <w:szCs w:val="24"/>
          <w:lang w:val="en-US"/>
        </w:rPr>
        <w:t>g</w:t>
      </w:r>
      <w:r w:rsidRPr="00846D06">
        <w:rPr>
          <w:rFonts w:asciiTheme="minorHAnsi" w:hAnsiTheme="minorHAnsi" w:cs="Helvetica"/>
          <w:color w:val="000000"/>
          <w:sz w:val="24"/>
          <w:szCs w:val="24"/>
          <w:lang w:val="en-US"/>
        </w:rPr>
        <w:t>en</w:t>
      </w:r>
      <w:r w:rsidR="006F15E1">
        <w:rPr>
          <w:rFonts w:asciiTheme="minorHAnsi" w:hAnsiTheme="minorHAnsi" w:cs="Helvetica"/>
          <w:color w:val="000000"/>
          <w:sz w:val="24"/>
          <w:szCs w:val="24"/>
          <w:lang w:val="en-US"/>
        </w:rPr>
        <w:t>erative artificial intelligence (AI)</w:t>
      </w:r>
      <w:r w:rsidRPr="00846D06">
        <w:rPr>
          <w:rFonts w:asciiTheme="minorHAnsi" w:hAnsiTheme="minorHAnsi" w:cs="Helvetica"/>
          <w:color w:val="000000"/>
          <w:sz w:val="24"/>
          <w:szCs w:val="24"/>
          <w:lang w:val="en-US"/>
        </w:rPr>
        <w:t xml:space="preserve"> to develop </w:t>
      </w:r>
      <w:r w:rsidR="006F15E1">
        <w:rPr>
          <w:rFonts w:asciiTheme="minorHAnsi" w:hAnsiTheme="minorHAnsi" w:cs="Helvetica"/>
          <w:color w:val="000000"/>
          <w:sz w:val="24"/>
          <w:szCs w:val="24"/>
          <w:lang w:val="en-US"/>
        </w:rPr>
        <w:t>the concourse</w:t>
      </w:r>
      <w:r w:rsidRPr="00846D06">
        <w:rPr>
          <w:rFonts w:asciiTheme="minorHAnsi" w:hAnsiTheme="minorHAnsi" w:cs="Helvetica"/>
          <w:color w:val="000000"/>
          <w:sz w:val="24"/>
          <w:szCs w:val="24"/>
          <w:lang w:val="en-US"/>
        </w:rPr>
        <w:t xml:space="preserve"> for this study.  Recent papers suggest a legitimate role for </w:t>
      </w:r>
      <w:r w:rsidR="006F15E1">
        <w:rPr>
          <w:rFonts w:asciiTheme="minorHAnsi" w:hAnsiTheme="minorHAnsi" w:cs="Helvetica"/>
          <w:color w:val="000000"/>
          <w:sz w:val="24"/>
          <w:szCs w:val="24"/>
          <w:lang w:val="en-US"/>
        </w:rPr>
        <w:t>generative</w:t>
      </w:r>
      <w:r w:rsidRPr="00846D06">
        <w:rPr>
          <w:rFonts w:asciiTheme="minorHAnsi" w:hAnsiTheme="minorHAnsi" w:cs="Helvetica"/>
          <w:color w:val="000000"/>
          <w:sz w:val="24"/>
          <w:szCs w:val="24"/>
          <w:lang w:val="en-US"/>
        </w:rPr>
        <w:t xml:space="preserve"> AI in research beyond using it for writing literature reviews.  Potential applications include research design, data collection and data analysis (Kingsley, 2023; Berg, 2023; Salman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2025).  For example, Berg (2023) envisions ‘a lengthy dialogue’ (p.7) with Large Language Models (LLMs) which, with careful input, interactions and thoughtful navigation of the LLM’s responses, can lead to revised arguments and the exploration of nuanced alternatives.  The key is ‘taking advantage of the LLM’s vast informational resources and analytical capabilities’ (ibid. p.8).  </w:t>
      </w:r>
    </w:p>
    <w:p w14:paraId="3E5A9DAC" w14:textId="58EBA2AA" w:rsid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I therefore chose to employ a combination of Google Gemini and </w:t>
      </w:r>
      <w:proofErr w:type="spellStart"/>
      <w:r w:rsidRPr="00846D06">
        <w:rPr>
          <w:rFonts w:asciiTheme="minorHAnsi" w:hAnsiTheme="minorHAnsi" w:cs="Helvetica"/>
          <w:color w:val="000000"/>
          <w:sz w:val="24"/>
          <w:szCs w:val="24"/>
          <w:lang w:val="en-US"/>
        </w:rPr>
        <w:t>NotebookLM</w:t>
      </w:r>
      <w:proofErr w:type="spellEnd"/>
      <w:r w:rsidRPr="00846D06">
        <w:rPr>
          <w:rFonts w:asciiTheme="minorHAnsi" w:hAnsiTheme="minorHAnsi" w:cs="Helvetica"/>
          <w:color w:val="000000"/>
          <w:sz w:val="24"/>
          <w:szCs w:val="24"/>
          <w:lang w:val="en-US"/>
        </w:rPr>
        <w:t xml:space="preserve"> to assist in generating the concourse.  The two tools were used in deliberately different ways.  Google Gemini, operating as an open large language model with access to Google Search, was prompted to generate statements reflecting the range of possible opinions on the research topic through its ‘Deep Research’ function.  </w:t>
      </w:r>
      <w:proofErr w:type="spellStart"/>
      <w:r w:rsidRPr="00846D06">
        <w:rPr>
          <w:rFonts w:asciiTheme="minorHAnsi" w:hAnsiTheme="minorHAnsi" w:cs="Helvetica"/>
          <w:color w:val="000000"/>
          <w:sz w:val="24"/>
          <w:szCs w:val="24"/>
          <w:lang w:val="en-US"/>
        </w:rPr>
        <w:t>NotebookLM</w:t>
      </w:r>
      <w:proofErr w:type="spellEnd"/>
      <w:r w:rsidRPr="00846D06">
        <w:rPr>
          <w:rFonts w:asciiTheme="minorHAnsi" w:hAnsiTheme="minorHAnsi" w:cs="Helvetica"/>
          <w:color w:val="000000"/>
          <w:sz w:val="24"/>
          <w:szCs w:val="24"/>
          <w:lang w:val="en-US"/>
        </w:rPr>
        <w:t xml:space="preserve">, by contrast, was configured to operate on a closed corpus: the specific sources used in the literature review on approaches to teaching History in higher education and on historians’ engagement with ESD.  This distinction is methodologically significant.  Because </w:t>
      </w:r>
      <w:proofErr w:type="spellStart"/>
      <w:r w:rsidRPr="00846D06">
        <w:rPr>
          <w:rFonts w:asciiTheme="minorHAnsi" w:hAnsiTheme="minorHAnsi" w:cs="Helvetica"/>
          <w:color w:val="000000"/>
          <w:sz w:val="24"/>
          <w:szCs w:val="24"/>
          <w:lang w:val="en-US"/>
        </w:rPr>
        <w:t>NotebookLM’s</w:t>
      </w:r>
      <w:proofErr w:type="spellEnd"/>
      <w:r w:rsidRPr="00846D06">
        <w:rPr>
          <w:rFonts w:asciiTheme="minorHAnsi" w:hAnsiTheme="minorHAnsi" w:cs="Helvetica"/>
          <w:color w:val="000000"/>
          <w:sz w:val="24"/>
          <w:szCs w:val="24"/>
          <w:lang w:val="en-US"/>
        </w:rPr>
        <w:t xml:space="preserve"> outputs were grounded in a defined body of literature that had already been critically appraised as part of the review process, the statements it generated reflected opinions and perspectives encountered in the scholarly conversation surrounding the research question, rather than drawing on uncontrolled or unverifiable training data.  The use of two tools operating under different conditions – one open, one constrained – was intended to </w:t>
      </w:r>
      <w:proofErr w:type="spellStart"/>
      <w:r w:rsidRPr="00846D06">
        <w:rPr>
          <w:rFonts w:asciiTheme="minorHAnsi" w:hAnsiTheme="minorHAnsi" w:cs="Helvetica"/>
          <w:color w:val="000000"/>
          <w:sz w:val="24"/>
          <w:szCs w:val="24"/>
          <w:lang w:val="en-US"/>
        </w:rPr>
        <w:lastRenderedPageBreak/>
        <w:t>maximise</w:t>
      </w:r>
      <w:proofErr w:type="spellEnd"/>
      <w:r w:rsidRPr="00846D06">
        <w:rPr>
          <w:rFonts w:asciiTheme="minorHAnsi" w:hAnsiTheme="minorHAnsi" w:cs="Helvetica"/>
          <w:color w:val="000000"/>
          <w:sz w:val="24"/>
          <w:szCs w:val="24"/>
          <w:lang w:val="en-US"/>
        </w:rPr>
        <w:t xml:space="preserve"> the comprehensiveness of the concourse by capturing both perspectives represented in the existing literature and broader viewpoints that might not have been articulated in the sources reviewed.  An account of the process, including the prompts </w:t>
      </w:r>
      <w:r w:rsidR="001C0784">
        <w:rPr>
          <w:rFonts w:asciiTheme="minorHAnsi" w:hAnsiTheme="minorHAnsi" w:cs="Helvetica"/>
          <w:color w:val="000000"/>
          <w:sz w:val="24"/>
          <w:szCs w:val="24"/>
          <w:lang w:val="en-US"/>
        </w:rPr>
        <w:t xml:space="preserve">and process </w:t>
      </w:r>
      <w:r w:rsidRPr="00846D06">
        <w:rPr>
          <w:rFonts w:asciiTheme="minorHAnsi" w:hAnsiTheme="minorHAnsi" w:cs="Helvetica"/>
          <w:color w:val="000000"/>
          <w:sz w:val="24"/>
          <w:szCs w:val="24"/>
          <w:lang w:val="en-US"/>
        </w:rPr>
        <w:t xml:space="preserve">used and the nature of the outputs, can be found in Appendix 1.  Appendix 2 includes the concourse statements generated by Google Gemini ‘Deep Research’, Google Gemini ‘Canvas’ and </w:t>
      </w:r>
      <w:proofErr w:type="spellStart"/>
      <w:r w:rsidRPr="00846D06">
        <w:rPr>
          <w:rFonts w:asciiTheme="minorHAnsi" w:hAnsiTheme="minorHAnsi" w:cs="Helvetica"/>
          <w:color w:val="000000"/>
          <w:sz w:val="24"/>
          <w:szCs w:val="24"/>
          <w:lang w:val="en-US"/>
        </w:rPr>
        <w:t>NotebookLM</w:t>
      </w:r>
      <w:proofErr w:type="spellEnd"/>
      <w:r w:rsidRPr="00846D06">
        <w:rPr>
          <w:rFonts w:asciiTheme="minorHAnsi" w:hAnsiTheme="minorHAnsi" w:cs="Helvetica"/>
          <w:color w:val="000000"/>
          <w:sz w:val="24"/>
          <w:szCs w:val="24"/>
          <w:lang w:val="en-US"/>
        </w:rPr>
        <w:t>.</w:t>
      </w:r>
    </w:p>
    <w:p w14:paraId="6BD8B2F7" w14:textId="77777777" w:rsidR="00CF474E" w:rsidRDefault="00CF474E" w:rsidP="00846D06">
      <w:pPr>
        <w:autoSpaceDE w:val="0"/>
        <w:autoSpaceDN w:val="0"/>
        <w:adjustRightInd w:val="0"/>
        <w:spacing w:after="266" w:line="480" w:lineRule="atLeast"/>
        <w:rPr>
          <w:rFonts w:asciiTheme="minorHAnsi" w:hAnsiTheme="minorHAnsi" w:cs="Helvetica"/>
          <w:color w:val="000000"/>
          <w:sz w:val="24"/>
          <w:szCs w:val="24"/>
          <w:lang w:val="en-US"/>
        </w:rPr>
      </w:pPr>
    </w:p>
    <w:p w14:paraId="40DE9D88" w14:textId="77777777" w:rsidR="00CF474E" w:rsidRPr="00846D06" w:rsidRDefault="00CF474E" w:rsidP="00CF474E">
      <w:pPr>
        <w:autoSpaceDE w:val="0"/>
        <w:autoSpaceDN w:val="0"/>
        <w:adjustRightInd w:val="0"/>
        <w:spacing w:after="0"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374E44C5" w14:textId="5F361D2D" w:rsidR="00CF474E" w:rsidRPr="00846D06" w:rsidRDefault="00CF474E" w:rsidP="00CF474E">
      <w:pPr>
        <w:pStyle w:val="Heading4"/>
        <w:rPr>
          <w:lang w:val="en-US"/>
        </w:rPr>
      </w:pPr>
      <w:r w:rsidRPr="00846D06">
        <w:rPr>
          <w:lang w:val="en-US"/>
        </w:rPr>
        <w:t>3.3.</w:t>
      </w:r>
      <w:r>
        <w:rPr>
          <w:lang w:val="en-US"/>
        </w:rPr>
        <w:t>2</w:t>
      </w:r>
      <w:r w:rsidRPr="00846D06">
        <w:rPr>
          <w:lang w:val="en-US"/>
        </w:rPr>
        <w:t xml:space="preserve"> DEVELOPING THE Q-SET</w:t>
      </w:r>
    </w:p>
    <w:p w14:paraId="50B115A7" w14:textId="77777777" w:rsidR="00CF474E" w:rsidRPr="00846D06" w:rsidRDefault="00CF474E" w:rsidP="00CF474E">
      <w:pPr>
        <w:autoSpaceDE w:val="0"/>
        <w:autoSpaceDN w:val="0"/>
        <w:adjustRightInd w:val="0"/>
        <w:spacing w:after="0"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34988A93" w14:textId="77777777" w:rsidR="00CF474E" w:rsidRPr="00846D06" w:rsidRDefault="00CF474E" w:rsidP="00CF474E">
      <w:pPr>
        <w:autoSpaceDE w:val="0"/>
        <w:autoSpaceDN w:val="0"/>
        <w:adjustRightInd w:val="0"/>
        <w:spacing w:after="0"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The next step towards data collection involves reducing the number of statements in the concourse into a manageable number, which will be known as the Q-set and used by participants in the Q-sort (van </w:t>
      </w:r>
      <w:proofErr w:type="spellStart"/>
      <w:r w:rsidRPr="00846D06">
        <w:rPr>
          <w:rFonts w:asciiTheme="minorHAnsi" w:hAnsiTheme="minorHAnsi" w:cs="Helvetica"/>
          <w:color w:val="000000"/>
          <w:sz w:val="24"/>
          <w:szCs w:val="24"/>
          <w:lang w:val="en-US"/>
        </w:rPr>
        <w:t>Exel</w:t>
      </w:r>
      <w:proofErr w:type="spellEnd"/>
      <w:r w:rsidRPr="00846D06">
        <w:rPr>
          <w:rFonts w:asciiTheme="minorHAnsi" w:hAnsiTheme="minorHAnsi" w:cs="Helvetica"/>
          <w:color w:val="000000"/>
          <w:sz w:val="24"/>
          <w:szCs w:val="24"/>
          <w:lang w:val="en-US"/>
        </w:rPr>
        <w:t xml:space="preserve"> and de Graaf, 2005; Watts and Stenner, 2012).  The typical number of statements used in a Q-set is noted to range from </w:t>
      </w:r>
      <w:proofErr w:type="gramStart"/>
      <w:r w:rsidRPr="00846D06">
        <w:rPr>
          <w:rFonts w:asciiTheme="minorHAnsi" w:hAnsiTheme="minorHAnsi" w:cs="Helvetica"/>
          <w:color w:val="000000"/>
          <w:sz w:val="24"/>
          <w:szCs w:val="24"/>
          <w:lang w:val="en-US"/>
        </w:rPr>
        <w:t>40-50, but</w:t>
      </w:r>
      <w:proofErr w:type="gramEnd"/>
      <w:r w:rsidRPr="00846D06">
        <w:rPr>
          <w:rFonts w:asciiTheme="minorHAnsi" w:hAnsiTheme="minorHAnsi" w:cs="Helvetica"/>
          <w:color w:val="000000"/>
          <w:sz w:val="24"/>
          <w:szCs w:val="24"/>
          <w:lang w:val="en-US"/>
        </w:rPr>
        <w:t xml:space="preserve"> can be anything from 10 to 100 (van </w:t>
      </w:r>
      <w:proofErr w:type="spellStart"/>
      <w:r w:rsidRPr="00846D06">
        <w:rPr>
          <w:rFonts w:asciiTheme="minorHAnsi" w:hAnsiTheme="minorHAnsi" w:cs="Helvetica"/>
          <w:color w:val="000000"/>
          <w:sz w:val="24"/>
          <w:szCs w:val="24"/>
          <w:lang w:val="en-US"/>
        </w:rPr>
        <w:t>Exel</w:t>
      </w:r>
      <w:proofErr w:type="spellEnd"/>
      <w:r w:rsidRPr="00846D06">
        <w:rPr>
          <w:rFonts w:asciiTheme="minorHAnsi" w:hAnsiTheme="minorHAnsi" w:cs="Helvetica"/>
          <w:color w:val="000000"/>
          <w:sz w:val="24"/>
          <w:szCs w:val="24"/>
          <w:lang w:val="en-US"/>
        </w:rPr>
        <w:t xml:space="preserve"> and de Graaf, 2005).</w:t>
      </w:r>
    </w:p>
    <w:p w14:paraId="5B08FA40" w14:textId="77777777" w:rsidR="00CF474E" w:rsidRDefault="00CF474E" w:rsidP="00CF474E">
      <w:pPr>
        <w:autoSpaceDE w:val="0"/>
        <w:autoSpaceDN w:val="0"/>
        <w:adjustRightInd w:val="0"/>
        <w:spacing w:after="0" w:line="480" w:lineRule="atLeast"/>
        <w:rPr>
          <w:rFonts w:asciiTheme="minorHAnsi" w:hAnsiTheme="minorHAnsi" w:cs="Helvetica"/>
          <w:color w:val="000000"/>
          <w:sz w:val="24"/>
          <w:szCs w:val="24"/>
          <w:lang w:val="en-US"/>
        </w:rPr>
      </w:pPr>
    </w:p>
    <w:p w14:paraId="027542B8" w14:textId="45D52F3F" w:rsidR="00CF474E" w:rsidRPr="00846D06" w:rsidRDefault="00CF474E" w:rsidP="00CF474E">
      <w:pPr>
        <w:autoSpaceDE w:val="0"/>
        <w:autoSpaceDN w:val="0"/>
        <w:adjustRightInd w:val="0"/>
        <w:spacing w:after="0"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The Q-set to be used for the sort was </w:t>
      </w:r>
      <w:r>
        <w:rPr>
          <w:rFonts w:asciiTheme="minorHAnsi" w:hAnsiTheme="minorHAnsi" w:cs="Helvetica"/>
          <w:color w:val="000000"/>
          <w:sz w:val="24"/>
          <w:szCs w:val="24"/>
          <w:lang w:val="en-US"/>
        </w:rPr>
        <w:t xml:space="preserve">therefore </w:t>
      </w:r>
      <w:r w:rsidRPr="00846D06">
        <w:rPr>
          <w:rFonts w:asciiTheme="minorHAnsi" w:hAnsiTheme="minorHAnsi" w:cs="Helvetica"/>
          <w:color w:val="000000"/>
          <w:sz w:val="24"/>
          <w:szCs w:val="24"/>
          <w:lang w:val="en-US"/>
        </w:rPr>
        <w:t xml:space="preserve">developed from the concourse through a process of critical selection and editing.  The primary criteria applied were coverage and non-redundancy.  Coverage required that the selected statements should span the domain of subjectivity (Watts and Stenner, 2012) – that is, the full range of potential viewpoints on the research topic, including perspectives on the purpose of higher education, the role of History as a discipline, the nature and relevance of ESD, and the connections (or perceived disconnections) between History and sustainability.  Non-redundancy required that each statement in the Q-set should express a meaningfully distinct viewpoint: where the </w:t>
      </w:r>
      <w:r w:rsidRPr="00846D06">
        <w:rPr>
          <w:rFonts w:asciiTheme="minorHAnsi" w:hAnsiTheme="minorHAnsi" w:cs="Helvetica"/>
          <w:color w:val="000000"/>
          <w:sz w:val="24"/>
          <w:szCs w:val="24"/>
          <w:lang w:val="en-US"/>
        </w:rPr>
        <w:lastRenderedPageBreak/>
        <w:t>concourse contained multiple statements with overlapping meaning, a single version was selected or edited to most clearly articulate the underlying subjective position.</w:t>
      </w:r>
    </w:p>
    <w:p w14:paraId="678D3BAC" w14:textId="77777777" w:rsidR="00CF474E" w:rsidRPr="00846D06" w:rsidRDefault="00CF474E" w:rsidP="00CF474E">
      <w:pPr>
        <w:autoSpaceDE w:val="0"/>
        <w:autoSpaceDN w:val="0"/>
        <w:adjustRightInd w:val="0"/>
        <w:spacing w:after="0"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3037237C" w14:textId="77777777" w:rsidR="00CF474E" w:rsidRPr="00846D06" w:rsidRDefault="00CF474E" w:rsidP="00CF474E">
      <w:pPr>
        <w:autoSpaceDE w:val="0"/>
        <w:autoSpaceDN w:val="0"/>
        <w:adjustRightInd w:val="0"/>
        <w:spacing w:after="0"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In practice, this involved reading carefully through each of the statements generated by Google Gemini and </w:t>
      </w:r>
      <w:proofErr w:type="spellStart"/>
      <w:r w:rsidRPr="00846D06">
        <w:rPr>
          <w:rFonts w:asciiTheme="minorHAnsi" w:hAnsiTheme="minorHAnsi" w:cs="Helvetica"/>
          <w:color w:val="000000"/>
          <w:sz w:val="24"/>
          <w:szCs w:val="24"/>
          <w:lang w:val="en-US"/>
        </w:rPr>
        <w:t>NotebookLM</w:t>
      </w:r>
      <w:proofErr w:type="spellEnd"/>
      <w:r w:rsidRPr="00846D06">
        <w:rPr>
          <w:rFonts w:asciiTheme="minorHAnsi" w:hAnsiTheme="minorHAnsi" w:cs="Helvetica"/>
          <w:color w:val="000000"/>
          <w:sz w:val="24"/>
          <w:szCs w:val="24"/>
          <w:lang w:val="en-US"/>
        </w:rPr>
        <w:t xml:space="preserve">, deleting those where I considered there to be substantial overlap in meaning, and retaining or editing a version that I considered to most clearly express a subjective viewpoint amenable to sorting.  </w:t>
      </w:r>
      <w:proofErr w:type="gramStart"/>
      <w:r w:rsidRPr="00846D06">
        <w:rPr>
          <w:rFonts w:asciiTheme="minorHAnsi" w:hAnsiTheme="minorHAnsi" w:cs="Helvetica"/>
          <w:color w:val="000000"/>
          <w:sz w:val="24"/>
          <w:szCs w:val="24"/>
          <w:lang w:val="en-US"/>
        </w:rPr>
        <w:t>A number of</w:t>
      </w:r>
      <w:proofErr w:type="gramEnd"/>
      <w:r w:rsidRPr="00846D06">
        <w:rPr>
          <w:rFonts w:asciiTheme="minorHAnsi" w:hAnsiTheme="minorHAnsi" w:cs="Helvetica"/>
          <w:color w:val="000000"/>
          <w:sz w:val="24"/>
          <w:szCs w:val="24"/>
          <w:lang w:val="en-US"/>
        </w:rPr>
        <w:t xml:space="preserve"> statements were also removed where I judged them not to be closely enough connected to the core themes of the study.  Throughout this process, I was mindful that the Q-set needed to be comprehensive enough to allow participants to express a wide range of possible positions, while remaining manageable in size for the sorting activity.</w:t>
      </w:r>
    </w:p>
    <w:p w14:paraId="4E59090A" w14:textId="77777777" w:rsidR="00CF474E" w:rsidRPr="00846D06" w:rsidRDefault="00CF474E" w:rsidP="00CF474E">
      <w:pPr>
        <w:autoSpaceDE w:val="0"/>
        <w:autoSpaceDN w:val="0"/>
        <w:adjustRightInd w:val="0"/>
        <w:spacing w:after="0"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184241AF" w14:textId="695E0CCB" w:rsidR="00CF474E" w:rsidRPr="00846D06" w:rsidRDefault="00CF474E" w:rsidP="00CF474E">
      <w:pPr>
        <w:autoSpaceDE w:val="0"/>
        <w:autoSpaceDN w:val="0"/>
        <w:adjustRightInd w:val="0"/>
        <w:spacing w:after="0"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It should be acknowledged that this process was conducted under significant time pressure, as I was aiming to submit the Q-set alongside the ethics application </w:t>
      </w:r>
      <w:proofErr w:type="gramStart"/>
      <w:r w:rsidRPr="00846D06">
        <w:rPr>
          <w:rFonts w:asciiTheme="minorHAnsi" w:hAnsiTheme="minorHAnsi" w:cs="Helvetica"/>
          <w:color w:val="000000"/>
          <w:sz w:val="24"/>
          <w:szCs w:val="24"/>
          <w:lang w:val="en-US"/>
        </w:rPr>
        <w:t>in order to</w:t>
      </w:r>
      <w:proofErr w:type="gramEnd"/>
      <w:r w:rsidRPr="00846D06">
        <w:rPr>
          <w:rFonts w:asciiTheme="minorHAnsi" w:hAnsiTheme="minorHAnsi" w:cs="Helvetica"/>
          <w:color w:val="000000"/>
          <w:sz w:val="24"/>
          <w:szCs w:val="24"/>
          <w:lang w:val="en-US"/>
        </w:rPr>
        <w:t xml:space="preserve"> give the panel – who would be unfamiliar with Q Methodology – visibility of the research instrument.  As a consequence, while coverage and non-redundancy were applied as guiding principles, I did not at this stage systematically verify the balance of the Q-set – that is, whether positive and negative positions on each theme were equally represented – nor was there an opportunity to pilot the instrument with a test group to assess the </w:t>
      </w:r>
      <w:proofErr w:type="spellStart"/>
      <w:r w:rsidRPr="00846D06">
        <w:rPr>
          <w:rFonts w:asciiTheme="minorHAnsi" w:hAnsiTheme="minorHAnsi" w:cs="Helvetica"/>
          <w:color w:val="000000"/>
          <w:sz w:val="24"/>
          <w:szCs w:val="24"/>
          <w:lang w:val="en-US"/>
        </w:rPr>
        <w:t>sortability</w:t>
      </w:r>
      <w:proofErr w:type="spellEnd"/>
      <w:r w:rsidRPr="00846D06">
        <w:rPr>
          <w:rFonts w:asciiTheme="minorHAnsi" w:hAnsiTheme="minorHAnsi" w:cs="Helvetica"/>
          <w:color w:val="000000"/>
          <w:sz w:val="24"/>
          <w:szCs w:val="24"/>
          <w:lang w:val="en-US"/>
        </w:rPr>
        <w:t xml:space="preserve"> of individual statements.  The absence of a pilot study is a limitation that will be addressed in the discussion of findings.  The </w:t>
      </w:r>
      <w:proofErr w:type="spellStart"/>
      <w:r w:rsidRPr="00846D06">
        <w:rPr>
          <w:rFonts w:asciiTheme="minorHAnsi" w:hAnsiTheme="minorHAnsi" w:cs="Helvetica"/>
          <w:color w:val="000000"/>
          <w:sz w:val="24"/>
          <w:szCs w:val="24"/>
          <w:lang w:val="en-US"/>
        </w:rPr>
        <w:t>finalised</w:t>
      </w:r>
      <w:proofErr w:type="spellEnd"/>
      <w:r w:rsidRPr="00846D06">
        <w:rPr>
          <w:rFonts w:asciiTheme="minorHAnsi" w:hAnsiTheme="minorHAnsi" w:cs="Helvetica"/>
          <w:color w:val="000000"/>
          <w:sz w:val="24"/>
          <w:szCs w:val="24"/>
          <w:lang w:val="en-US"/>
        </w:rPr>
        <w:t xml:space="preserve"> Q-set is included in Appendix </w:t>
      </w:r>
      <w:r w:rsidR="005E001C">
        <w:rPr>
          <w:rFonts w:asciiTheme="minorHAnsi" w:hAnsiTheme="minorHAnsi" w:cs="Helvetica"/>
          <w:color w:val="000000"/>
          <w:sz w:val="24"/>
          <w:szCs w:val="24"/>
          <w:lang w:val="en-US"/>
        </w:rPr>
        <w:t>3</w:t>
      </w:r>
      <w:r w:rsidRPr="00846D06">
        <w:rPr>
          <w:rFonts w:asciiTheme="minorHAnsi" w:hAnsiTheme="minorHAnsi" w:cs="Helvetica"/>
          <w:color w:val="000000"/>
          <w:sz w:val="24"/>
          <w:szCs w:val="24"/>
          <w:lang w:val="en-US"/>
        </w:rPr>
        <w:t>.</w:t>
      </w:r>
    </w:p>
    <w:p w14:paraId="355FA893"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31D2E81E" w14:textId="0813941C" w:rsidR="00846D06" w:rsidRPr="00846D06" w:rsidRDefault="00846D06" w:rsidP="00846D06">
      <w:pPr>
        <w:pStyle w:val="Heading4"/>
        <w:rPr>
          <w:lang w:val="en-US"/>
        </w:rPr>
      </w:pPr>
      <w:r w:rsidRPr="00846D06">
        <w:rPr>
          <w:lang w:val="en-US"/>
        </w:rPr>
        <w:t>3.3.</w:t>
      </w:r>
      <w:r w:rsidR="00CF474E">
        <w:rPr>
          <w:lang w:val="en-US"/>
        </w:rPr>
        <w:t>3</w:t>
      </w:r>
      <w:r w:rsidRPr="00846D06">
        <w:rPr>
          <w:lang w:val="en-US"/>
        </w:rPr>
        <w:t xml:space="preserve"> DETERMINING THE Q-SORT MODE</w:t>
      </w:r>
    </w:p>
    <w:p w14:paraId="0A2586C7" w14:textId="12020346" w:rsidR="00846D06" w:rsidRPr="00846D06" w:rsidRDefault="00846D06" w:rsidP="00CF474E">
      <w:pPr>
        <w:autoSpaceDE w:val="0"/>
        <w:autoSpaceDN w:val="0"/>
        <w:adjustRightInd w:val="0"/>
        <w:spacing w:after="0"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5CB024C8" w14:textId="45A5BEF6" w:rsidR="00846D06" w:rsidRPr="00846D06" w:rsidRDefault="00846D06" w:rsidP="00846D06">
      <w:pPr>
        <w:autoSpaceDE w:val="0"/>
        <w:autoSpaceDN w:val="0"/>
        <w:adjustRightInd w:val="0"/>
        <w:spacing w:after="0"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Q-sorting requires participants to rank the Q-set statements on a bell-shaped grid (see Figure</w:t>
      </w:r>
      <w:r w:rsidR="006F15E1">
        <w:rPr>
          <w:rFonts w:asciiTheme="minorHAnsi" w:hAnsiTheme="minorHAnsi" w:cs="Helvetica"/>
          <w:color w:val="000000"/>
          <w:sz w:val="24"/>
          <w:szCs w:val="24"/>
          <w:lang w:val="en-US"/>
        </w:rPr>
        <w:t>s</w:t>
      </w:r>
      <w:r w:rsidRPr="00846D06">
        <w:rPr>
          <w:rFonts w:asciiTheme="minorHAnsi" w:hAnsiTheme="minorHAnsi" w:cs="Helvetica"/>
          <w:color w:val="000000"/>
          <w:sz w:val="24"/>
          <w:szCs w:val="24"/>
          <w:lang w:val="en-US"/>
        </w:rPr>
        <w:t xml:space="preserve"> 2 </w:t>
      </w:r>
      <w:r w:rsidR="006F15E1">
        <w:rPr>
          <w:rFonts w:asciiTheme="minorHAnsi" w:hAnsiTheme="minorHAnsi" w:cs="Helvetica"/>
          <w:color w:val="000000"/>
          <w:sz w:val="24"/>
          <w:szCs w:val="24"/>
          <w:lang w:val="en-US"/>
        </w:rPr>
        <w:t>and 3</w:t>
      </w:r>
      <w:r w:rsidRPr="00846D06">
        <w:rPr>
          <w:rFonts w:asciiTheme="minorHAnsi" w:hAnsiTheme="minorHAnsi" w:cs="Helvetica"/>
          <w:color w:val="000000"/>
          <w:sz w:val="24"/>
          <w:szCs w:val="24"/>
          <w:lang w:val="en-US"/>
        </w:rPr>
        <w:t xml:space="preserve">), with a set number of statements in each column – more towards the </w:t>
      </w:r>
      <w:r w:rsidRPr="00846D06">
        <w:rPr>
          <w:rFonts w:asciiTheme="minorHAnsi" w:hAnsiTheme="minorHAnsi" w:cs="Helvetica"/>
          <w:color w:val="000000"/>
          <w:sz w:val="24"/>
          <w:szCs w:val="24"/>
          <w:lang w:val="en-US"/>
        </w:rPr>
        <w:lastRenderedPageBreak/>
        <w:t xml:space="preserve">middle, representing a neutral stance, and fewer at the extremes, representing strong agreement or disagreement.  It is considered easier for participants to sort in this way than to perform a straight ranking (Woods, 2011).  The critical reflection necessary </w:t>
      </w:r>
      <w:proofErr w:type="gramStart"/>
      <w:r w:rsidRPr="00846D06">
        <w:rPr>
          <w:rFonts w:asciiTheme="minorHAnsi" w:hAnsiTheme="minorHAnsi" w:cs="Helvetica"/>
          <w:color w:val="000000"/>
          <w:sz w:val="24"/>
          <w:szCs w:val="24"/>
          <w:lang w:val="en-US"/>
        </w:rPr>
        <w:t>in order to</w:t>
      </w:r>
      <w:proofErr w:type="gramEnd"/>
      <w:r w:rsidRPr="00846D06">
        <w:rPr>
          <w:rFonts w:asciiTheme="minorHAnsi" w:hAnsiTheme="minorHAnsi" w:cs="Helvetica"/>
          <w:color w:val="000000"/>
          <w:sz w:val="24"/>
          <w:szCs w:val="24"/>
          <w:lang w:val="en-US"/>
        </w:rPr>
        <w:t xml:space="preserve"> </w:t>
      </w:r>
      <w:proofErr w:type="gramStart"/>
      <w:r w:rsidRPr="00846D06">
        <w:rPr>
          <w:rFonts w:asciiTheme="minorHAnsi" w:hAnsiTheme="minorHAnsi" w:cs="Helvetica"/>
          <w:color w:val="000000"/>
          <w:sz w:val="24"/>
          <w:szCs w:val="24"/>
          <w:lang w:val="en-US"/>
        </w:rPr>
        <w:t>make a decision</w:t>
      </w:r>
      <w:proofErr w:type="gramEnd"/>
      <w:r w:rsidRPr="00846D06">
        <w:rPr>
          <w:rFonts w:asciiTheme="minorHAnsi" w:hAnsiTheme="minorHAnsi" w:cs="Helvetica"/>
          <w:color w:val="000000"/>
          <w:sz w:val="24"/>
          <w:szCs w:val="24"/>
          <w:lang w:val="en-US"/>
        </w:rPr>
        <w:t xml:space="preserve"> about placing each statement in a column represents what Woods (2011) refers to as a ‘forced sort’ (p.324).  Statements are often sorted into three piles, representing neutral, agree, and disagree (van </w:t>
      </w:r>
      <w:proofErr w:type="spellStart"/>
      <w:r w:rsidRPr="00846D06">
        <w:rPr>
          <w:rFonts w:asciiTheme="minorHAnsi" w:hAnsiTheme="minorHAnsi" w:cs="Helvetica"/>
          <w:color w:val="000000"/>
          <w:sz w:val="24"/>
          <w:szCs w:val="24"/>
          <w:lang w:val="en-US"/>
        </w:rPr>
        <w:t>Exel</w:t>
      </w:r>
      <w:proofErr w:type="spellEnd"/>
      <w:r w:rsidRPr="00846D06">
        <w:rPr>
          <w:rFonts w:asciiTheme="minorHAnsi" w:hAnsiTheme="minorHAnsi" w:cs="Helvetica"/>
          <w:color w:val="000000"/>
          <w:sz w:val="24"/>
          <w:szCs w:val="24"/>
          <w:lang w:val="en-US"/>
        </w:rPr>
        <w:t xml:space="preserve"> and de Graaf, 2005) before they are placed on the grid.  The whole process represents something significantly different from ticking boxes to show strength of agreement on a Likert scale</w:t>
      </w:r>
      <w:r w:rsidR="00CF474E">
        <w:rPr>
          <w:rFonts w:asciiTheme="minorHAnsi" w:hAnsiTheme="minorHAnsi" w:cs="Helvetica"/>
          <w:color w:val="000000"/>
          <w:sz w:val="24"/>
          <w:szCs w:val="24"/>
          <w:lang w:val="en-US"/>
        </w:rPr>
        <w:t>, for example</w:t>
      </w:r>
      <w:r w:rsidRPr="00846D06">
        <w:rPr>
          <w:rFonts w:asciiTheme="minorHAnsi" w:hAnsiTheme="minorHAnsi" w:cs="Helvetica"/>
          <w:color w:val="000000"/>
          <w:sz w:val="24"/>
          <w:szCs w:val="24"/>
          <w:lang w:val="en-US"/>
        </w:rPr>
        <w:t xml:space="preserve">: participants </w:t>
      </w:r>
      <w:proofErr w:type="gramStart"/>
      <w:r w:rsidRPr="00846D06">
        <w:rPr>
          <w:rFonts w:asciiTheme="minorHAnsi" w:hAnsiTheme="minorHAnsi" w:cs="Helvetica"/>
          <w:color w:val="000000"/>
          <w:sz w:val="24"/>
          <w:szCs w:val="24"/>
          <w:lang w:val="en-US"/>
        </w:rPr>
        <w:t>have to</w:t>
      </w:r>
      <w:proofErr w:type="gramEnd"/>
      <w:r w:rsidRPr="00846D06">
        <w:rPr>
          <w:rFonts w:asciiTheme="minorHAnsi" w:hAnsiTheme="minorHAnsi" w:cs="Helvetica"/>
          <w:color w:val="000000"/>
          <w:sz w:val="24"/>
          <w:szCs w:val="24"/>
          <w:lang w:val="en-US"/>
        </w:rPr>
        <w:t xml:space="preserve"> make thoughtful decisions about which statements resonate most strongly with them, so revealing the underlying structure of their subjectivity.  Lundberg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(2020) sees the advantage of Q Methodology lying in the way in which participants are not required to produce language themselves to express their subjective viewpoints.  Rather, the interaction with the research instrument empowers participants to construct meaning (Shaw, 2023), and the Q-set provides support and expression where knowledge is tacit (Woods, 2011).</w:t>
      </w:r>
    </w:p>
    <w:p w14:paraId="6C7FF81A" w14:textId="77777777" w:rsidR="00846D06" w:rsidRPr="00846D06" w:rsidRDefault="00846D06" w:rsidP="00846D06">
      <w:pPr>
        <w:autoSpaceDE w:val="0"/>
        <w:autoSpaceDN w:val="0"/>
        <w:adjustRightInd w:val="0"/>
        <w:spacing w:after="0"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045DE96C" w14:textId="2E460B25" w:rsidR="00846D06" w:rsidRPr="00846D06" w:rsidRDefault="00846D06" w:rsidP="00846D06">
      <w:pPr>
        <w:autoSpaceDE w:val="0"/>
        <w:autoSpaceDN w:val="0"/>
        <w:adjustRightInd w:val="0"/>
        <w:spacing w:after="0"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While there is </w:t>
      </w:r>
      <w:proofErr w:type="gramStart"/>
      <w:r w:rsidRPr="00846D06">
        <w:rPr>
          <w:rFonts w:asciiTheme="minorHAnsi" w:hAnsiTheme="minorHAnsi" w:cs="Helvetica"/>
          <w:color w:val="000000"/>
          <w:sz w:val="24"/>
          <w:szCs w:val="24"/>
          <w:lang w:val="en-US"/>
        </w:rPr>
        <w:t>a general consensus</w:t>
      </w:r>
      <w:proofErr w:type="gramEnd"/>
      <w:r w:rsidRPr="00846D06">
        <w:rPr>
          <w:rFonts w:asciiTheme="minorHAnsi" w:hAnsiTheme="minorHAnsi" w:cs="Helvetica"/>
          <w:color w:val="000000"/>
          <w:sz w:val="24"/>
          <w:szCs w:val="24"/>
          <w:lang w:val="en-US"/>
        </w:rPr>
        <w:t xml:space="preserve"> in the literature that Q-sorting is </w:t>
      </w:r>
      <w:proofErr w:type="gramStart"/>
      <w:r w:rsidRPr="00846D06">
        <w:rPr>
          <w:rFonts w:asciiTheme="minorHAnsi" w:hAnsiTheme="minorHAnsi" w:cs="Helvetica"/>
          <w:color w:val="000000"/>
          <w:sz w:val="24"/>
          <w:szCs w:val="24"/>
          <w:lang w:val="en-US"/>
        </w:rPr>
        <w:t>most commonly conducted</w:t>
      </w:r>
      <w:proofErr w:type="gramEnd"/>
      <w:r w:rsidRPr="00846D06">
        <w:rPr>
          <w:rFonts w:asciiTheme="minorHAnsi" w:hAnsiTheme="minorHAnsi" w:cs="Helvetica"/>
          <w:color w:val="000000"/>
          <w:sz w:val="24"/>
          <w:szCs w:val="24"/>
          <w:lang w:val="en-US"/>
        </w:rPr>
        <w:t xml:space="preserve"> in face-to-face settings with the researcher (Watts and Stenner, 2012; Walker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2018), there is precedent for remote sorting, for example by post (van </w:t>
      </w:r>
      <w:proofErr w:type="spellStart"/>
      <w:r w:rsidRPr="00846D06">
        <w:rPr>
          <w:rFonts w:asciiTheme="minorHAnsi" w:hAnsiTheme="minorHAnsi" w:cs="Helvetica"/>
          <w:color w:val="000000"/>
          <w:sz w:val="24"/>
          <w:szCs w:val="24"/>
          <w:lang w:val="en-US"/>
        </w:rPr>
        <w:t>Exel</w:t>
      </w:r>
      <w:proofErr w:type="spellEnd"/>
      <w:r w:rsidRPr="00846D06">
        <w:rPr>
          <w:rFonts w:asciiTheme="minorHAnsi" w:hAnsiTheme="minorHAnsi" w:cs="Helvetica"/>
          <w:color w:val="000000"/>
          <w:sz w:val="24"/>
          <w:szCs w:val="24"/>
          <w:lang w:val="en-US"/>
        </w:rPr>
        <w:t xml:space="preserve"> and de Graaf, 2005) or online (</w:t>
      </w:r>
      <w:proofErr w:type="spellStart"/>
      <w:r w:rsidRPr="00846D06">
        <w:rPr>
          <w:rFonts w:asciiTheme="minorHAnsi" w:hAnsiTheme="minorHAnsi" w:cs="Helvetica"/>
          <w:color w:val="000000"/>
          <w:sz w:val="24"/>
          <w:szCs w:val="24"/>
          <w:lang w:val="en-US"/>
        </w:rPr>
        <w:t>Bashatah</w:t>
      </w:r>
      <w:proofErr w:type="spellEnd"/>
      <w:r w:rsidRPr="00846D06">
        <w:rPr>
          <w:rFonts w:asciiTheme="minorHAnsi" w:hAnsiTheme="minorHAnsi" w:cs="Helvetica"/>
          <w:color w:val="000000"/>
          <w:sz w:val="24"/>
          <w:szCs w:val="24"/>
          <w:lang w:val="en-US"/>
        </w:rPr>
        <w:t>, 2016; Davis, 2011).  Since this research is time-</w:t>
      </w:r>
      <w:proofErr w:type="gramStart"/>
      <w:r w:rsidRPr="00846D06">
        <w:rPr>
          <w:rFonts w:asciiTheme="minorHAnsi" w:hAnsiTheme="minorHAnsi" w:cs="Helvetica"/>
          <w:color w:val="000000"/>
          <w:sz w:val="24"/>
          <w:szCs w:val="24"/>
          <w:lang w:val="en-US"/>
        </w:rPr>
        <w:t>constrained, and</w:t>
      </w:r>
      <w:proofErr w:type="gramEnd"/>
      <w:r w:rsidRPr="00846D06">
        <w:rPr>
          <w:rFonts w:asciiTheme="minorHAnsi" w:hAnsiTheme="minorHAnsi" w:cs="Helvetica"/>
          <w:color w:val="000000"/>
          <w:sz w:val="24"/>
          <w:szCs w:val="24"/>
          <w:lang w:val="en-US"/>
        </w:rPr>
        <w:t xml:space="preserve"> being mindful of the physical resources necessary for face-to-face sorting, I attempted, and successfully produced, an interactive online tool that would allow remote sorting.  I used the Google Gemini ‘Canvas’ tool for this and was pleased with the result.  </w:t>
      </w:r>
      <w:proofErr w:type="gramStart"/>
      <w:r w:rsidRPr="00846D06">
        <w:rPr>
          <w:rFonts w:asciiTheme="minorHAnsi" w:hAnsiTheme="minorHAnsi" w:cs="Helvetica"/>
          <w:color w:val="000000"/>
          <w:sz w:val="24"/>
          <w:szCs w:val="24"/>
          <w:lang w:val="en-US"/>
        </w:rPr>
        <w:t>A number of</w:t>
      </w:r>
      <w:proofErr w:type="gramEnd"/>
      <w:r w:rsidRPr="00846D06">
        <w:rPr>
          <w:rFonts w:asciiTheme="minorHAnsi" w:hAnsiTheme="minorHAnsi" w:cs="Helvetica"/>
          <w:color w:val="000000"/>
          <w:sz w:val="24"/>
          <w:szCs w:val="24"/>
          <w:lang w:val="en-US"/>
        </w:rPr>
        <w:t xml:space="preserve"> prompts were required </w:t>
      </w:r>
      <w:proofErr w:type="gramStart"/>
      <w:r w:rsidRPr="00846D06">
        <w:rPr>
          <w:rFonts w:asciiTheme="minorHAnsi" w:hAnsiTheme="minorHAnsi" w:cs="Helvetica"/>
          <w:color w:val="000000"/>
          <w:sz w:val="24"/>
          <w:szCs w:val="24"/>
          <w:lang w:val="en-US"/>
        </w:rPr>
        <w:t>in order to</w:t>
      </w:r>
      <w:proofErr w:type="gramEnd"/>
      <w:r w:rsidRPr="00846D06">
        <w:rPr>
          <w:rFonts w:asciiTheme="minorHAnsi" w:hAnsiTheme="minorHAnsi" w:cs="Helvetica"/>
          <w:color w:val="000000"/>
          <w:sz w:val="24"/>
          <w:szCs w:val="24"/>
          <w:lang w:val="en-US"/>
        </w:rPr>
        <w:t xml:space="preserve"> achieve a tool that allows for two-stage sorting – first into agree, disagree, and neutral ‘piles’, and then onto a grid.  The tool and more details of how it was created can be found in Appendix </w:t>
      </w:r>
      <w:r w:rsidR="005E001C">
        <w:rPr>
          <w:rFonts w:asciiTheme="minorHAnsi" w:hAnsiTheme="minorHAnsi" w:cs="Helvetica"/>
          <w:color w:val="000000"/>
          <w:sz w:val="24"/>
          <w:szCs w:val="24"/>
          <w:lang w:val="en-US"/>
        </w:rPr>
        <w:t>4</w:t>
      </w:r>
      <w:r w:rsidRPr="00846D06">
        <w:rPr>
          <w:rFonts w:asciiTheme="minorHAnsi" w:hAnsiTheme="minorHAnsi" w:cs="Helvetica"/>
          <w:color w:val="000000"/>
          <w:sz w:val="24"/>
          <w:szCs w:val="24"/>
          <w:lang w:val="en-US"/>
        </w:rPr>
        <w:t>.</w:t>
      </w:r>
    </w:p>
    <w:p w14:paraId="21D07DF9" w14:textId="77777777" w:rsidR="00846D06" w:rsidRPr="00846D06" w:rsidRDefault="00846D06" w:rsidP="00846D06">
      <w:pPr>
        <w:autoSpaceDE w:val="0"/>
        <w:autoSpaceDN w:val="0"/>
        <w:adjustRightInd w:val="0"/>
        <w:spacing w:after="0"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567D739A" w14:textId="2B15732B" w:rsidR="00846D06" w:rsidRPr="00846D06" w:rsidRDefault="00846D06" w:rsidP="00846D06">
      <w:pPr>
        <w:pStyle w:val="Heading4"/>
        <w:rPr>
          <w:lang w:val="en-US"/>
        </w:rPr>
      </w:pPr>
      <w:r w:rsidRPr="00846D06">
        <w:rPr>
          <w:lang w:val="en-US"/>
        </w:rPr>
        <w:lastRenderedPageBreak/>
        <w:t>3.3.</w:t>
      </w:r>
      <w:r w:rsidR="00CF474E">
        <w:rPr>
          <w:lang w:val="en-US"/>
        </w:rPr>
        <w:t>4</w:t>
      </w:r>
      <w:r w:rsidRPr="00846D06">
        <w:rPr>
          <w:lang w:val="en-US"/>
        </w:rPr>
        <w:t xml:space="preserve"> POST-SORT DATA COLLECTION: WRITTEN REFLECTIONS AND INTERVIEWS</w:t>
      </w:r>
    </w:p>
    <w:p w14:paraId="25C8B2FD" w14:textId="77777777" w:rsidR="00846D06" w:rsidRPr="00846D06" w:rsidRDefault="00846D06" w:rsidP="00846D06">
      <w:pPr>
        <w:autoSpaceDE w:val="0"/>
        <w:autoSpaceDN w:val="0"/>
        <w:adjustRightInd w:val="0"/>
        <w:spacing w:after="0"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1F8757CC" w14:textId="480AACFF" w:rsidR="00846D06" w:rsidRPr="00846D06" w:rsidRDefault="00846D06" w:rsidP="00846D06">
      <w:pPr>
        <w:autoSpaceDE w:val="0"/>
        <w:autoSpaceDN w:val="0"/>
        <w:adjustRightInd w:val="0"/>
        <w:spacing w:after="0"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In addition to the Q-sort itself, I built in two further mechanisms for data collection.  First, at the end of the online sorting activity, participants were asked to provide brief written reasons for the two statements they placed at each extreme of the distribution (+4 and -4).  This captured participants’ immediate rationale for their strongest agreements and disagreements while the sorting decisions </w:t>
      </w:r>
      <w:r w:rsidR="00CF474E">
        <w:rPr>
          <w:rFonts w:asciiTheme="minorHAnsi" w:hAnsiTheme="minorHAnsi" w:cs="Helvetica"/>
          <w:color w:val="000000"/>
          <w:sz w:val="24"/>
          <w:szCs w:val="24"/>
          <w:lang w:val="en-US"/>
        </w:rPr>
        <w:t>we</w:t>
      </w:r>
      <w:r w:rsidRPr="00846D06">
        <w:rPr>
          <w:rFonts w:asciiTheme="minorHAnsi" w:hAnsiTheme="minorHAnsi" w:cs="Helvetica"/>
          <w:color w:val="000000"/>
          <w:sz w:val="24"/>
          <w:szCs w:val="24"/>
          <w:lang w:val="en-US"/>
        </w:rPr>
        <w:t xml:space="preserve">re still </w:t>
      </w:r>
      <w:proofErr w:type="gramStart"/>
      <w:r w:rsidRPr="00846D06">
        <w:rPr>
          <w:rFonts w:asciiTheme="minorHAnsi" w:hAnsiTheme="minorHAnsi" w:cs="Helvetica"/>
          <w:color w:val="000000"/>
          <w:sz w:val="24"/>
          <w:szCs w:val="24"/>
          <w:lang w:val="en-US"/>
        </w:rPr>
        <w:t>fresh, and</w:t>
      </w:r>
      <w:proofErr w:type="gramEnd"/>
      <w:r w:rsidRPr="00846D06">
        <w:rPr>
          <w:rFonts w:asciiTheme="minorHAnsi" w:hAnsiTheme="minorHAnsi" w:cs="Helvetica"/>
          <w:color w:val="000000"/>
          <w:sz w:val="24"/>
          <w:szCs w:val="24"/>
          <w:lang w:val="en-US"/>
        </w:rPr>
        <w:t xml:space="preserve"> provide</w:t>
      </w:r>
      <w:r w:rsidR="00CF474E">
        <w:rPr>
          <w:rFonts w:asciiTheme="minorHAnsi" w:hAnsiTheme="minorHAnsi" w:cs="Helvetica"/>
          <w:color w:val="000000"/>
          <w:sz w:val="24"/>
          <w:szCs w:val="24"/>
          <w:lang w:val="en-US"/>
        </w:rPr>
        <w:t>d</w:t>
      </w:r>
      <w:r w:rsidRPr="00846D06">
        <w:rPr>
          <w:rFonts w:asciiTheme="minorHAnsi" w:hAnsiTheme="minorHAnsi" w:cs="Helvetica"/>
          <w:color w:val="000000"/>
          <w:sz w:val="24"/>
          <w:szCs w:val="24"/>
          <w:lang w:val="en-US"/>
        </w:rPr>
        <w:t xml:space="preserve"> qualitative context that </w:t>
      </w:r>
      <w:r w:rsidR="00CF474E">
        <w:rPr>
          <w:rFonts w:asciiTheme="minorHAnsi" w:hAnsiTheme="minorHAnsi" w:cs="Helvetica"/>
          <w:color w:val="000000"/>
          <w:sz w:val="24"/>
          <w:szCs w:val="24"/>
          <w:lang w:val="en-US"/>
        </w:rPr>
        <w:t>to</w:t>
      </w:r>
      <w:r w:rsidRPr="00846D06">
        <w:rPr>
          <w:rFonts w:asciiTheme="minorHAnsi" w:hAnsiTheme="minorHAnsi" w:cs="Helvetica"/>
          <w:color w:val="000000"/>
          <w:sz w:val="24"/>
          <w:szCs w:val="24"/>
          <w:lang w:val="en-US"/>
        </w:rPr>
        <w:t xml:space="preserve"> support the interpretation of the factor arrays.</w:t>
      </w:r>
    </w:p>
    <w:p w14:paraId="263FF651" w14:textId="77777777" w:rsidR="00846D06" w:rsidRPr="00846D06" w:rsidRDefault="00846D06" w:rsidP="00846D06">
      <w:pPr>
        <w:autoSpaceDE w:val="0"/>
        <w:autoSpaceDN w:val="0"/>
        <w:adjustRightInd w:val="0"/>
        <w:spacing w:after="0"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7ED946A8" w14:textId="40EA2691" w:rsidR="00846D06" w:rsidRPr="00846D06" w:rsidRDefault="00846D06" w:rsidP="00846D06">
      <w:pPr>
        <w:autoSpaceDE w:val="0"/>
        <w:autoSpaceDN w:val="0"/>
        <w:adjustRightInd w:val="0"/>
        <w:spacing w:after="0"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Second, participants were given the option at the end of the Q-sort to indicate their willingness to take part in a follow-up semi-structured interview.  The purpose of the interviews was to explore the reasoning behind participants’ sorting decisions in greater depth.  In particular, the interviews invited participants to expand on their reasons for placing statements at the extremes of the distribution, and to reflect on the placement of statements in other positions – including, crucially, the neutral column.  As Watts and </w:t>
      </w:r>
      <w:proofErr w:type="spellStart"/>
      <w:r w:rsidRPr="00846D06">
        <w:rPr>
          <w:rFonts w:asciiTheme="minorHAnsi" w:hAnsiTheme="minorHAnsi" w:cs="Helvetica"/>
          <w:color w:val="000000"/>
          <w:sz w:val="24"/>
          <w:szCs w:val="24"/>
          <w:lang w:val="en-US"/>
        </w:rPr>
        <w:t>Stennner</w:t>
      </w:r>
      <w:proofErr w:type="spellEnd"/>
      <w:r w:rsidRPr="00846D06">
        <w:rPr>
          <w:rFonts w:asciiTheme="minorHAnsi" w:hAnsiTheme="minorHAnsi" w:cs="Helvetica"/>
          <w:color w:val="000000"/>
          <w:sz w:val="24"/>
          <w:szCs w:val="24"/>
          <w:lang w:val="en-US"/>
        </w:rPr>
        <w:t xml:space="preserve"> (2012) observe, a statement place</w:t>
      </w:r>
      <w:r w:rsidR="00CF474E">
        <w:rPr>
          <w:rFonts w:asciiTheme="minorHAnsi" w:hAnsiTheme="minorHAnsi" w:cs="Helvetica"/>
          <w:color w:val="000000"/>
          <w:sz w:val="24"/>
          <w:szCs w:val="24"/>
          <w:lang w:val="en-US"/>
        </w:rPr>
        <w:t>d</w:t>
      </w:r>
      <w:r w:rsidRPr="00846D06">
        <w:rPr>
          <w:rFonts w:asciiTheme="minorHAnsi" w:hAnsiTheme="minorHAnsi" w:cs="Helvetica"/>
          <w:color w:val="000000"/>
          <w:sz w:val="24"/>
          <w:szCs w:val="24"/>
          <w:lang w:val="en-US"/>
        </w:rPr>
        <w:t xml:space="preserve"> at the zero point of the distribution may reflect genuine indifference, but it may equally reflect conflicted or ambivalent feelings where competing considerations cancel one another out.  The interviews provided an opportunity to distinguish between possibilities, adding interpretive richness to the quantitative patterns identified through the factor analysis. </w:t>
      </w:r>
    </w:p>
    <w:p w14:paraId="707894F0" w14:textId="77777777" w:rsidR="00846D06" w:rsidRPr="00846D06" w:rsidRDefault="00846D06" w:rsidP="00846D06">
      <w:pPr>
        <w:autoSpaceDE w:val="0"/>
        <w:autoSpaceDN w:val="0"/>
        <w:adjustRightInd w:val="0"/>
        <w:spacing w:after="0"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490F3BC2" w14:textId="77777777" w:rsidR="00846D06" w:rsidRPr="00846D06" w:rsidRDefault="00846D06" w:rsidP="00846D06">
      <w:pPr>
        <w:autoSpaceDE w:val="0"/>
        <w:autoSpaceDN w:val="0"/>
        <w:adjustRightInd w:val="0"/>
        <w:spacing w:after="0"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68746833" w14:textId="77777777" w:rsidR="00846D06" w:rsidRPr="00846D06" w:rsidRDefault="00846D06" w:rsidP="00846D06">
      <w:pPr>
        <w:autoSpaceDE w:val="0"/>
        <w:autoSpaceDN w:val="0"/>
        <w:adjustRightInd w:val="0"/>
        <w:spacing w:after="0"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54CE6DDA" w14:textId="77777777" w:rsidR="00846D06" w:rsidRPr="00846D06" w:rsidRDefault="00846D06" w:rsidP="00846D06">
      <w:pPr>
        <w:pStyle w:val="Heading4"/>
        <w:rPr>
          <w:lang w:val="en-US"/>
        </w:rPr>
      </w:pPr>
      <w:r w:rsidRPr="00846D06">
        <w:rPr>
          <w:lang w:val="en-US"/>
        </w:rPr>
        <w:t>3.3.5 PARTICIPANT SAMPLE SELECTION</w:t>
      </w:r>
    </w:p>
    <w:p w14:paraId="0E5931AB" w14:textId="77777777" w:rsidR="00846D06" w:rsidRPr="00846D06" w:rsidRDefault="00846D06" w:rsidP="00846D06">
      <w:pPr>
        <w:autoSpaceDE w:val="0"/>
        <w:autoSpaceDN w:val="0"/>
        <w:adjustRightInd w:val="0"/>
        <w:spacing w:after="0" w:line="480" w:lineRule="atLeast"/>
        <w:rPr>
          <w:rFonts w:asciiTheme="minorHAnsi" w:hAnsiTheme="minorHAnsi" w:cs="Helvetica"/>
          <w:color w:val="000000"/>
          <w:sz w:val="24"/>
          <w:szCs w:val="24"/>
          <w:lang w:val="en-US"/>
        </w:rPr>
      </w:pPr>
      <w:r w:rsidRPr="00846D06">
        <w:rPr>
          <w:rFonts w:asciiTheme="minorHAnsi" w:hAnsiTheme="minorHAnsi" w:cs="Helvetica"/>
          <w:color w:val="151516"/>
          <w:sz w:val="24"/>
          <w:szCs w:val="24"/>
          <w:lang w:val="en-US"/>
        </w:rPr>
        <w:t> </w:t>
      </w:r>
    </w:p>
    <w:p w14:paraId="0ED32F10"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151516"/>
          <w:sz w:val="24"/>
          <w:szCs w:val="24"/>
          <w:lang w:val="en-US"/>
        </w:rPr>
        <w:t>One key distinction between Q Methodology and a purely quantitative study is that Q Methodology can be used for small-scale research to obtain ‘profound findings’ (</w:t>
      </w:r>
      <w:proofErr w:type="spellStart"/>
      <w:r w:rsidRPr="00846D06">
        <w:rPr>
          <w:rFonts w:asciiTheme="minorHAnsi" w:hAnsiTheme="minorHAnsi" w:cs="Helvetica"/>
          <w:color w:val="151516"/>
          <w:sz w:val="24"/>
          <w:szCs w:val="24"/>
          <w:lang w:val="en-US"/>
        </w:rPr>
        <w:t>Bashatah</w:t>
      </w:r>
      <w:proofErr w:type="spellEnd"/>
      <w:r w:rsidRPr="00846D06">
        <w:rPr>
          <w:rFonts w:asciiTheme="minorHAnsi" w:hAnsiTheme="minorHAnsi" w:cs="Helvetica"/>
          <w:color w:val="151516"/>
          <w:sz w:val="24"/>
          <w:szCs w:val="24"/>
          <w:lang w:val="en-US"/>
        </w:rPr>
        <w:t xml:space="preserve">, </w:t>
      </w:r>
      <w:r w:rsidRPr="00846D06">
        <w:rPr>
          <w:rFonts w:asciiTheme="minorHAnsi" w:hAnsiTheme="minorHAnsi" w:cs="Helvetica"/>
          <w:color w:val="151516"/>
          <w:sz w:val="24"/>
          <w:szCs w:val="24"/>
          <w:lang w:val="en-US"/>
        </w:rPr>
        <w:lastRenderedPageBreak/>
        <w:t>2016, p.39).  The richness of the findings, and the capturing of a diversity of perspectives from within a defined group of participants relevant to the research, is the primary goal (</w:t>
      </w:r>
      <w:proofErr w:type="spellStart"/>
      <w:r w:rsidRPr="00846D06">
        <w:rPr>
          <w:rFonts w:asciiTheme="minorHAnsi" w:hAnsiTheme="minorHAnsi" w:cs="Helvetica"/>
          <w:color w:val="151516"/>
          <w:sz w:val="24"/>
          <w:szCs w:val="24"/>
          <w:lang w:val="en-US"/>
        </w:rPr>
        <w:t>Bashatah</w:t>
      </w:r>
      <w:proofErr w:type="spellEnd"/>
      <w:r w:rsidRPr="00846D06">
        <w:rPr>
          <w:rFonts w:asciiTheme="minorHAnsi" w:hAnsiTheme="minorHAnsi" w:cs="Helvetica"/>
          <w:color w:val="151516"/>
          <w:sz w:val="24"/>
          <w:szCs w:val="24"/>
          <w:lang w:val="en-US"/>
        </w:rPr>
        <w:t xml:space="preserve">, 2016; Walker </w:t>
      </w:r>
      <w:r w:rsidRPr="00846D06">
        <w:rPr>
          <w:rFonts w:asciiTheme="minorHAnsi" w:hAnsiTheme="minorHAnsi" w:cs="Helvetica"/>
          <w:i/>
          <w:iCs/>
          <w:color w:val="151516"/>
          <w:sz w:val="24"/>
          <w:szCs w:val="24"/>
          <w:lang w:val="en-US"/>
        </w:rPr>
        <w:t>et al.</w:t>
      </w:r>
      <w:r w:rsidRPr="00846D06">
        <w:rPr>
          <w:rFonts w:asciiTheme="minorHAnsi" w:hAnsiTheme="minorHAnsi" w:cs="Helvetica"/>
          <w:color w:val="151516"/>
          <w:sz w:val="24"/>
          <w:szCs w:val="24"/>
          <w:lang w:val="en-US"/>
        </w:rPr>
        <w:t xml:space="preserve">, 2018) – as opposed to </w:t>
      </w:r>
      <w:proofErr w:type="spellStart"/>
      <w:r w:rsidRPr="00846D06">
        <w:rPr>
          <w:rFonts w:asciiTheme="minorHAnsi" w:hAnsiTheme="minorHAnsi" w:cs="Helvetica"/>
          <w:color w:val="151516"/>
          <w:sz w:val="24"/>
          <w:szCs w:val="24"/>
          <w:lang w:val="en-US"/>
        </w:rPr>
        <w:t>generalisable</w:t>
      </w:r>
      <w:proofErr w:type="spellEnd"/>
      <w:r w:rsidRPr="00846D06">
        <w:rPr>
          <w:rFonts w:asciiTheme="minorHAnsi" w:hAnsiTheme="minorHAnsi" w:cs="Helvetica"/>
          <w:color w:val="151516"/>
          <w:sz w:val="24"/>
          <w:szCs w:val="24"/>
          <w:lang w:val="en-US"/>
        </w:rPr>
        <w:t xml:space="preserve"> findings from a large random sample.  The number of participants must be adequate to establish comparable factors (van </w:t>
      </w:r>
      <w:proofErr w:type="spellStart"/>
      <w:r w:rsidRPr="00846D06">
        <w:rPr>
          <w:rFonts w:asciiTheme="minorHAnsi" w:hAnsiTheme="minorHAnsi" w:cs="Helvetica"/>
          <w:color w:val="151516"/>
          <w:sz w:val="24"/>
          <w:szCs w:val="24"/>
          <w:lang w:val="en-US"/>
        </w:rPr>
        <w:t>Exel</w:t>
      </w:r>
      <w:proofErr w:type="spellEnd"/>
      <w:r w:rsidRPr="00846D06">
        <w:rPr>
          <w:rFonts w:asciiTheme="minorHAnsi" w:hAnsiTheme="minorHAnsi" w:cs="Helvetica"/>
          <w:color w:val="151516"/>
          <w:sz w:val="24"/>
          <w:szCs w:val="24"/>
          <w:lang w:val="en-US"/>
        </w:rPr>
        <w:t xml:space="preserve"> and de Graaf, 2005), though Q Methodology fundamentally aims to understand subjectivity holistically at the level of the individual (Woods, 2011).</w:t>
      </w:r>
    </w:p>
    <w:p w14:paraId="56C1264B" w14:textId="4D6394A9"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151516"/>
          <w:sz w:val="24"/>
          <w:szCs w:val="24"/>
          <w:lang w:val="en-US"/>
        </w:rPr>
        <w:t xml:space="preserve">The sampling strategy for this study </w:t>
      </w:r>
      <w:r w:rsidR="00CF474E">
        <w:rPr>
          <w:rFonts w:asciiTheme="minorHAnsi" w:hAnsiTheme="minorHAnsi" w:cs="Helvetica"/>
          <w:color w:val="151516"/>
          <w:sz w:val="24"/>
          <w:szCs w:val="24"/>
          <w:lang w:val="en-US"/>
        </w:rPr>
        <w:t>wa</w:t>
      </w:r>
      <w:r w:rsidRPr="00846D06">
        <w:rPr>
          <w:rFonts w:asciiTheme="minorHAnsi" w:hAnsiTheme="minorHAnsi" w:cs="Helvetica"/>
          <w:color w:val="151516"/>
          <w:sz w:val="24"/>
          <w:szCs w:val="24"/>
          <w:lang w:val="en-US"/>
        </w:rPr>
        <w:t xml:space="preserve">s purposive.  The target population was defined as lecturers currently teaching on History degree </w:t>
      </w:r>
      <w:proofErr w:type="spellStart"/>
      <w:r w:rsidRPr="00846D06">
        <w:rPr>
          <w:rFonts w:asciiTheme="minorHAnsi" w:hAnsiTheme="minorHAnsi" w:cs="Helvetica"/>
          <w:color w:val="151516"/>
          <w:sz w:val="24"/>
          <w:szCs w:val="24"/>
          <w:lang w:val="en-US"/>
        </w:rPr>
        <w:t>programmes</w:t>
      </w:r>
      <w:proofErr w:type="spellEnd"/>
      <w:r w:rsidRPr="00846D06">
        <w:rPr>
          <w:rFonts w:asciiTheme="minorHAnsi" w:hAnsiTheme="minorHAnsi" w:cs="Helvetica"/>
          <w:color w:val="151516"/>
          <w:sz w:val="24"/>
          <w:szCs w:val="24"/>
          <w:lang w:val="en-US"/>
        </w:rPr>
        <w:t xml:space="preserve"> at U.K. universities: individuals whose professional practice and disciplinary identity position</w:t>
      </w:r>
      <w:r w:rsidR="00783F9B">
        <w:rPr>
          <w:rFonts w:asciiTheme="minorHAnsi" w:hAnsiTheme="minorHAnsi" w:cs="Helvetica"/>
          <w:color w:val="151516"/>
          <w:sz w:val="24"/>
          <w:szCs w:val="24"/>
          <w:lang w:val="en-US"/>
        </w:rPr>
        <w:t>s</w:t>
      </w:r>
      <w:r w:rsidRPr="00846D06">
        <w:rPr>
          <w:rFonts w:asciiTheme="minorHAnsi" w:hAnsiTheme="minorHAnsi" w:cs="Helvetica"/>
          <w:color w:val="151516"/>
          <w:sz w:val="24"/>
          <w:szCs w:val="24"/>
          <w:lang w:val="en-US"/>
        </w:rPr>
        <w:t xml:space="preserve"> them to hold informed and substantive views on the research topic.  Four institutions were selected within a relatively small geographical area, including the institution where I study and the institution where I work, alongside two institutions where I have previously worked.  The geographical clustering represents a practical </w:t>
      </w:r>
      <w:proofErr w:type="gramStart"/>
      <w:r w:rsidRPr="00846D06">
        <w:rPr>
          <w:rFonts w:asciiTheme="minorHAnsi" w:hAnsiTheme="minorHAnsi" w:cs="Helvetica"/>
          <w:color w:val="151516"/>
          <w:sz w:val="24"/>
          <w:szCs w:val="24"/>
          <w:lang w:val="en-US"/>
        </w:rPr>
        <w:t>constraint, but</w:t>
      </w:r>
      <w:proofErr w:type="gramEnd"/>
      <w:r w:rsidRPr="00846D06">
        <w:rPr>
          <w:rFonts w:asciiTheme="minorHAnsi" w:hAnsiTheme="minorHAnsi" w:cs="Helvetica"/>
          <w:color w:val="151516"/>
          <w:sz w:val="24"/>
          <w:szCs w:val="24"/>
          <w:lang w:val="en-US"/>
        </w:rPr>
        <w:t xml:space="preserve"> does not compromise the purposive logic of the design, since the defining criterion for inclusion is disciplinary – active engagement in the teaching of History at degree level – rather than institutional.</w:t>
      </w:r>
    </w:p>
    <w:p w14:paraId="4AE6EEE6"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151516"/>
          <w:sz w:val="24"/>
          <w:szCs w:val="24"/>
          <w:lang w:val="en-US"/>
        </w:rPr>
        <w:t xml:space="preserve">The decision to include four institutions, rather than conducting a single-site study, was taken for two reasons.  First, Q Methodology aims to capture a range of subjective viewpoints that exist within a defined population, and limiting the study to a single institution would risk conflating institutional culture with disciplinary perspective.  Historians working at a university with a strong sustainability profile, for example, may have had quite different experiences of ESD from those at institutions where sustainability is less prominent in institutional strategy.  Including four institutions increases the likelihood that the Q-sort will surface viewpoints shaped by different institutional contexts, while keeping the study focused on a single discipline.  Second, a cross-institutional design strengthens the potential transferability of the findings.  While Q </w:t>
      </w:r>
      <w:r w:rsidRPr="00846D06">
        <w:rPr>
          <w:rFonts w:asciiTheme="minorHAnsi" w:hAnsiTheme="minorHAnsi" w:cs="Helvetica"/>
          <w:color w:val="151516"/>
          <w:sz w:val="24"/>
          <w:szCs w:val="24"/>
          <w:lang w:val="en-US"/>
        </w:rPr>
        <w:lastRenderedPageBreak/>
        <w:t xml:space="preserve">Methodology does not claim </w:t>
      </w:r>
      <w:proofErr w:type="spellStart"/>
      <w:r w:rsidRPr="00846D06">
        <w:rPr>
          <w:rFonts w:asciiTheme="minorHAnsi" w:hAnsiTheme="minorHAnsi" w:cs="Helvetica"/>
          <w:color w:val="151516"/>
          <w:sz w:val="24"/>
          <w:szCs w:val="24"/>
          <w:lang w:val="en-US"/>
        </w:rPr>
        <w:t>generalisability</w:t>
      </w:r>
      <w:proofErr w:type="spellEnd"/>
      <w:r w:rsidRPr="00846D06">
        <w:rPr>
          <w:rFonts w:asciiTheme="minorHAnsi" w:hAnsiTheme="minorHAnsi" w:cs="Helvetica"/>
          <w:color w:val="151516"/>
          <w:sz w:val="24"/>
          <w:szCs w:val="24"/>
          <w:lang w:val="en-US"/>
        </w:rPr>
        <w:t xml:space="preserve"> in the statistical sense, findings that emerge consistently across multiple institutional settings carry greater weight than those drawn from a single context – and are more likely to be of practical value in informing approaches to staff development and curriculum support beyond the institutions studied.</w:t>
      </w:r>
    </w:p>
    <w:p w14:paraId="1867DDBA"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151516"/>
          <w:sz w:val="24"/>
          <w:szCs w:val="24"/>
          <w:lang w:val="en-US"/>
        </w:rPr>
        <w:t xml:space="preserve">Potential participants were identified from staff listings.  Two of the four universities publish departmental staff lists that are publicly accessible via their institutional websites.  For the remaining two institutions, full staff lists were obtained through a former colleague and through my doctoral tutor respectively.  All History lecturers identified on these lists were contacted directly with an invitation to participate, rather than a selection being made based on criteria such as seniority or length of experience.  This decision was taken because the numbers of History lecturers at each institution were relatively small, and contacting the full population </w:t>
      </w:r>
      <w:proofErr w:type="spellStart"/>
      <w:r w:rsidRPr="00846D06">
        <w:rPr>
          <w:rFonts w:asciiTheme="minorHAnsi" w:hAnsiTheme="minorHAnsi" w:cs="Helvetica"/>
          <w:color w:val="151516"/>
          <w:sz w:val="24"/>
          <w:szCs w:val="24"/>
          <w:lang w:val="en-US"/>
        </w:rPr>
        <w:t>maximised</w:t>
      </w:r>
      <w:proofErr w:type="spellEnd"/>
      <w:r w:rsidRPr="00846D06">
        <w:rPr>
          <w:rFonts w:asciiTheme="minorHAnsi" w:hAnsiTheme="minorHAnsi" w:cs="Helvetica"/>
          <w:color w:val="151516"/>
          <w:sz w:val="24"/>
          <w:szCs w:val="24"/>
          <w:lang w:val="en-US"/>
        </w:rPr>
        <w:t xml:space="preserve"> the opportunity to capture the widest possible range of subjective viewpoints – a priority consistent with the aims of Q Methodology (Watts and Stenner, 2012).</w:t>
      </w:r>
    </w:p>
    <w:p w14:paraId="63B1D8D3"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151516"/>
          <w:sz w:val="24"/>
          <w:szCs w:val="24"/>
          <w:lang w:val="en-US"/>
        </w:rPr>
        <w:t xml:space="preserve">It should be noted that this approach to recruitment represents a deliberate departure from snowball or network-based sampling.  Rather than relying on introductions from personal contacts or former colleagues – an approach that carries a risk of gatekeeper bias, whereby the researcher’s existing networks may unconsciously filter the range of perspectives accessed – participants were approached systematically from institutional listings.  </w:t>
      </w:r>
    </w:p>
    <w:p w14:paraId="38D7EF98"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4F0F64FF" w14:textId="77777777" w:rsidR="00846D06" w:rsidRPr="00846D06" w:rsidRDefault="00846D06" w:rsidP="00846D06">
      <w:pPr>
        <w:pStyle w:val="Heading3"/>
        <w:rPr>
          <w:lang w:val="en-US"/>
        </w:rPr>
      </w:pPr>
      <w:r w:rsidRPr="00846D06">
        <w:rPr>
          <w:lang w:val="en-US"/>
        </w:rPr>
        <w:t> </w:t>
      </w:r>
      <w:bookmarkStart w:id="15" w:name="_Toc229750442"/>
      <w:r w:rsidRPr="00846D06">
        <w:rPr>
          <w:lang w:val="en-US"/>
        </w:rPr>
        <w:t>3.4 DATA ANALYSIS AND PRESENTATION OF FINDINGS</w:t>
      </w:r>
      <w:bookmarkEnd w:id="15"/>
    </w:p>
    <w:p w14:paraId="1E8D9BA1" w14:textId="004AF3EF" w:rsidR="00846D06" w:rsidRPr="00846D06" w:rsidRDefault="00846D06" w:rsidP="00783F9B">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b/>
          <w:bCs/>
          <w:color w:val="000000"/>
          <w:sz w:val="24"/>
          <w:szCs w:val="24"/>
          <w:lang w:val="en-US"/>
        </w:rPr>
        <w:t> </w:t>
      </w:r>
      <w:r w:rsidRPr="00846D06">
        <w:rPr>
          <w:rFonts w:asciiTheme="minorHAnsi" w:hAnsiTheme="minorHAnsi" w:cs="Helvetica"/>
          <w:color w:val="000000"/>
          <w:sz w:val="24"/>
          <w:szCs w:val="24"/>
          <w:lang w:val="en-US"/>
        </w:rPr>
        <w:t xml:space="preserve">Q Methodology does not seek to correlate variables across people.  Rather, it correlates people across a set of variables (the statements in the Q set).  </w:t>
      </w:r>
      <w:proofErr w:type="gramStart"/>
      <w:r w:rsidRPr="00846D06">
        <w:rPr>
          <w:rFonts w:asciiTheme="minorHAnsi" w:hAnsiTheme="minorHAnsi" w:cs="Helvetica"/>
          <w:color w:val="000000"/>
          <w:sz w:val="24"/>
          <w:szCs w:val="24"/>
          <w:lang w:val="en-US"/>
        </w:rPr>
        <w:t>A number of</w:t>
      </w:r>
      <w:proofErr w:type="gramEnd"/>
      <w:r w:rsidRPr="00846D06">
        <w:rPr>
          <w:rFonts w:asciiTheme="minorHAnsi" w:hAnsiTheme="minorHAnsi" w:cs="Helvetica"/>
          <w:color w:val="000000"/>
          <w:sz w:val="24"/>
          <w:szCs w:val="24"/>
          <w:lang w:val="en-US"/>
        </w:rPr>
        <w:t xml:space="preserve"> factors are </w:t>
      </w:r>
      <w:r w:rsidRPr="00846D06">
        <w:rPr>
          <w:rFonts w:asciiTheme="minorHAnsi" w:hAnsiTheme="minorHAnsi" w:cs="Helvetica"/>
          <w:color w:val="000000"/>
          <w:sz w:val="24"/>
          <w:szCs w:val="24"/>
          <w:lang w:val="en-US"/>
        </w:rPr>
        <w:lastRenderedPageBreak/>
        <w:t xml:space="preserve">developed, representing distinct patterns of how participants perceive the topic of the research (Stenner, 2022), with ‘factor loadings’ (van </w:t>
      </w:r>
      <w:proofErr w:type="spellStart"/>
      <w:r w:rsidRPr="00846D06">
        <w:rPr>
          <w:rFonts w:asciiTheme="minorHAnsi" w:hAnsiTheme="minorHAnsi" w:cs="Helvetica"/>
          <w:color w:val="000000"/>
          <w:sz w:val="24"/>
          <w:szCs w:val="24"/>
          <w:lang w:val="en-US"/>
        </w:rPr>
        <w:t>Exel</w:t>
      </w:r>
      <w:proofErr w:type="spellEnd"/>
      <w:r w:rsidRPr="00846D06">
        <w:rPr>
          <w:rFonts w:asciiTheme="minorHAnsi" w:hAnsiTheme="minorHAnsi" w:cs="Helvetica"/>
          <w:color w:val="000000"/>
          <w:sz w:val="24"/>
          <w:szCs w:val="24"/>
          <w:lang w:val="en-US"/>
        </w:rPr>
        <w:t xml:space="preserve"> and de Graaf, 2005, p.8) indicating the strength of each participant’s match to each factor.  Those with the highest loadings are the defining variants for each factor (ibid.).  Brown (1993) described the ‘composite Q-sort’ (p.118), also known as a factor array (McKeown and Thomas, 2011; Chaaban et al., 2023):  a model representing the overall perspective of the group, or an ordering of the statements by a hypothetical respondent loading in perfect alignment with a particular factor (van </w:t>
      </w:r>
      <w:proofErr w:type="spellStart"/>
      <w:r w:rsidRPr="00846D06">
        <w:rPr>
          <w:rFonts w:asciiTheme="minorHAnsi" w:hAnsiTheme="minorHAnsi" w:cs="Helvetica"/>
          <w:color w:val="000000"/>
          <w:sz w:val="24"/>
          <w:szCs w:val="24"/>
          <w:lang w:val="en-US"/>
        </w:rPr>
        <w:t>Exel</w:t>
      </w:r>
      <w:proofErr w:type="spellEnd"/>
      <w:r w:rsidRPr="00846D06">
        <w:rPr>
          <w:rFonts w:asciiTheme="minorHAnsi" w:hAnsiTheme="minorHAnsi" w:cs="Helvetica"/>
          <w:color w:val="000000"/>
          <w:sz w:val="24"/>
          <w:szCs w:val="24"/>
          <w:lang w:val="en-US"/>
        </w:rPr>
        <w:t xml:space="preserve"> and de Graaf, 2005).</w:t>
      </w:r>
    </w:p>
    <w:p w14:paraId="39983F23"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In addition to defining factors, Q-sort analysis looks to identify both distinguishing and consensus statements (Coogan and Herrington, 2011; Ramlo, 2012).  The distinguishing statements – those ranked very differently by a factor compared to other factors, are those which define the uniqueness of a viewpoint.  Consensus statements, on the other hand, are ranked similarly by all factors.  In </w:t>
      </w:r>
      <w:proofErr w:type="spellStart"/>
      <w:r w:rsidRPr="00846D06">
        <w:rPr>
          <w:rFonts w:asciiTheme="minorHAnsi" w:hAnsiTheme="minorHAnsi" w:cs="Helvetica"/>
          <w:color w:val="000000"/>
          <w:sz w:val="24"/>
          <w:szCs w:val="24"/>
          <w:lang w:val="en-US"/>
        </w:rPr>
        <w:t>analysing</w:t>
      </w:r>
      <w:proofErr w:type="spellEnd"/>
      <w:r w:rsidRPr="00846D06">
        <w:rPr>
          <w:rFonts w:asciiTheme="minorHAnsi" w:hAnsiTheme="minorHAnsi" w:cs="Helvetica"/>
          <w:color w:val="000000"/>
          <w:sz w:val="24"/>
          <w:szCs w:val="24"/>
          <w:lang w:val="en-US"/>
        </w:rPr>
        <w:t xml:space="preserve"> the findings of this research, I sought both distinguishing and consensus statements </w:t>
      </w:r>
      <w:proofErr w:type="gramStart"/>
      <w:r w:rsidRPr="00846D06">
        <w:rPr>
          <w:rFonts w:asciiTheme="minorHAnsi" w:hAnsiTheme="minorHAnsi" w:cs="Helvetica"/>
          <w:color w:val="000000"/>
          <w:sz w:val="24"/>
          <w:szCs w:val="24"/>
          <w:lang w:val="en-US"/>
        </w:rPr>
        <w:t>in order to</w:t>
      </w:r>
      <w:proofErr w:type="gramEnd"/>
      <w:r w:rsidRPr="00846D06">
        <w:rPr>
          <w:rFonts w:asciiTheme="minorHAnsi" w:hAnsiTheme="minorHAnsi" w:cs="Helvetica"/>
          <w:color w:val="000000"/>
          <w:sz w:val="24"/>
          <w:szCs w:val="24"/>
          <w:lang w:val="en-US"/>
        </w:rPr>
        <w:t xml:space="preserve"> identify both distinct groups and an overall perspective of historians regarding ESD.</w:t>
      </w:r>
    </w:p>
    <w:p w14:paraId="20BAFEC7"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There are </w:t>
      </w:r>
      <w:proofErr w:type="gramStart"/>
      <w:r w:rsidRPr="00846D06">
        <w:rPr>
          <w:rFonts w:asciiTheme="minorHAnsi" w:hAnsiTheme="minorHAnsi" w:cs="Helvetica"/>
          <w:color w:val="000000"/>
          <w:sz w:val="24"/>
          <w:szCs w:val="24"/>
          <w:lang w:val="en-US"/>
        </w:rPr>
        <w:t>a number of</w:t>
      </w:r>
      <w:proofErr w:type="gramEnd"/>
      <w:r w:rsidRPr="00846D06">
        <w:rPr>
          <w:rFonts w:asciiTheme="minorHAnsi" w:hAnsiTheme="minorHAnsi" w:cs="Helvetica"/>
          <w:color w:val="000000"/>
          <w:sz w:val="24"/>
          <w:szCs w:val="24"/>
          <w:lang w:val="en-US"/>
        </w:rPr>
        <w:t xml:space="preserve"> online tools that can be used to assist with data analysis in a Q Methodological study (</w:t>
      </w:r>
      <w:proofErr w:type="spellStart"/>
      <w:r w:rsidRPr="00846D06">
        <w:rPr>
          <w:rFonts w:asciiTheme="minorHAnsi" w:hAnsiTheme="minorHAnsi" w:cs="Helvetica"/>
          <w:color w:val="000000"/>
          <w:sz w:val="24"/>
          <w:szCs w:val="24"/>
          <w:lang w:val="en-US"/>
        </w:rPr>
        <w:t>Lutfallah</w:t>
      </w:r>
      <w:proofErr w:type="spellEnd"/>
      <w:r w:rsidRPr="00846D06">
        <w:rPr>
          <w:rFonts w:asciiTheme="minorHAnsi" w:hAnsiTheme="minorHAnsi" w:cs="Helvetica"/>
          <w:color w:val="000000"/>
          <w:sz w:val="24"/>
          <w:szCs w:val="24"/>
          <w:lang w:val="en-US"/>
        </w:rPr>
        <w:t xml:space="preserve"> and Buchanan, n.d.; Q-Assessor, n.d.; </w:t>
      </w:r>
      <w:proofErr w:type="spellStart"/>
      <w:r w:rsidRPr="00846D06">
        <w:rPr>
          <w:rFonts w:asciiTheme="minorHAnsi" w:hAnsiTheme="minorHAnsi" w:cs="Helvetica"/>
          <w:color w:val="000000"/>
          <w:sz w:val="24"/>
          <w:szCs w:val="24"/>
          <w:lang w:val="en-US"/>
        </w:rPr>
        <w:t>Schmolck</w:t>
      </w:r>
      <w:proofErr w:type="spellEnd"/>
      <w:r w:rsidRPr="00846D06">
        <w:rPr>
          <w:rFonts w:asciiTheme="minorHAnsi" w:hAnsiTheme="minorHAnsi" w:cs="Helvetica"/>
          <w:color w:val="000000"/>
          <w:sz w:val="24"/>
          <w:szCs w:val="24"/>
          <w:lang w:val="en-US"/>
        </w:rPr>
        <w:t xml:space="preserve">, 2014; </w:t>
      </w:r>
      <w:proofErr w:type="spellStart"/>
      <w:r w:rsidRPr="00846D06">
        <w:rPr>
          <w:rFonts w:asciiTheme="minorHAnsi" w:hAnsiTheme="minorHAnsi" w:cs="Helvetica"/>
          <w:color w:val="000000"/>
          <w:sz w:val="24"/>
          <w:szCs w:val="24"/>
          <w:lang w:val="en-US"/>
        </w:rPr>
        <w:t>Banasick</w:t>
      </w:r>
      <w:proofErr w:type="spellEnd"/>
      <w:r w:rsidRPr="00846D06">
        <w:rPr>
          <w:rFonts w:asciiTheme="minorHAnsi" w:hAnsiTheme="minorHAnsi" w:cs="Helvetica"/>
          <w:color w:val="000000"/>
          <w:sz w:val="24"/>
          <w:szCs w:val="24"/>
          <w:lang w:val="en-US"/>
        </w:rPr>
        <w:t>, 2019).</w:t>
      </w:r>
      <w:r w:rsidRPr="00846D06">
        <w:rPr>
          <w:rFonts w:asciiTheme="minorHAnsi" w:hAnsiTheme="minorHAnsi" w:cs="Helvetica"/>
          <w:color w:val="E60006"/>
          <w:sz w:val="24"/>
          <w:szCs w:val="24"/>
          <w:lang w:val="en-US"/>
        </w:rPr>
        <w:t xml:space="preserve">  </w:t>
      </w:r>
      <w:r w:rsidRPr="00846D06">
        <w:rPr>
          <w:rFonts w:asciiTheme="minorHAnsi" w:hAnsiTheme="minorHAnsi" w:cs="Helvetica"/>
          <w:color w:val="000000"/>
          <w:sz w:val="24"/>
          <w:szCs w:val="24"/>
          <w:lang w:val="en-US"/>
        </w:rPr>
        <w:t xml:space="preserve">Having investigated these, I chose to use </w:t>
      </w:r>
      <w:hyperlink r:id="rId12" w:history="1">
        <w:r w:rsidRPr="00846D06">
          <w:rPr>
            <w:rFonts w:asciiTheme="minorHAnsi" w:hAnsiTheme="minorHAnsi" w:cs="Helvetica"/>
            <w:color w:val="386573"/>
            <w:sz w:val="24"/>
            <w:szCs w:val="24"/>
            <w:u w:val="single" w:color="386573"/>
            <w:lang w:val="en-US"/>
          </w:rPr>
          <w:t>Ken-Q Analysis</w:t>
        </w:r>
      </w:hyperlink>
      <w:r w:rsidRPr="00846D06">
        <w:rPr>
          <w:rFonts w:asciiTheme="minorHAnsi" w:hAnsiTheme="minorHAnsi" w:cs="Helvetica"/>
          <w:color w:val="000000"/>
          <w:sz w:val="24"/>
          <w:szCs w:val="24"/>
          <w:lang w:val="en-US"/>
        </w:rPr>
        <w:t xml:space="preserve"> (</w:t>
      </w:r>
      <w:proofErr w:type="spellStart"/>
      <w:r w:rsidRPr="00846D06">
        <w:rPr>
          <w:rFonts w:asciiTheme="minorHAnsi" w:hAnsiTheme="minorHAnsi" w:cs="Helvetica"/>
          <w:color w:val="000000"/>
          <w:sz w:val="24"/>
          <w:szCs w:val="24"/>
          <w:lang w:val="en-US"/>
        </w:rPr>
        <w:t>Banasick</w:t>
      </w:r>
      <w:proofErr w:type="spellEnd"/>
      <w:r w:rsidRPr="00846D06">
        <w:rPr>
          <w:rFonts w:asciiTheme="minorHAnsi" w:hAnsiTheme="minorHAnsi" w:cs="Helvetica"/>
          <w:color w:val="000000"/>
          <w:sz w:val="24"/>
          <w:szCs w:val="24"/>
          <w:lang w:val="en-US"/>
        </w:rPr>
        <w:t xml:space="preserve">, 2019), since it operates as a client-side web application, ensuring participant data is processed locally within the browser and not uploaded to external servers.  In addition, Ken-Q Analysis replicates the standard algorithms of the traditional </w:t>
      </w:r>
      <w:proofErr w:type="spellStart"/>
      <w:r w:rsidRPr="00846D06">
        <w:rPr>
          <w:rFonts w:asciiTheme="minorHAnsi" w:hAnsiTheme="minorHAnsi" w:cs="Helvetica"/>
          <w:i/>
          <w:iCs/>
          <w:color w:val="000000"/>
          <w:sz w:val="24"/>
          <w:szCs w:val="24"/>
          <w:lang w:val="en-US"/>
        </w:rPr>
        <w:t>PQMethod</w:t>
      </w:r>
      <w:proofErr w:type="spellEnd"/>
      <w:r w:rsidRPr="00846D06">
        <w:rPr>
          <w:rFonts w:asciiTheme="minorHAnsi" w:hAnsiTheme="minorHAnsi" w:cs="Helvetica"/>
          <w:color w:val="000000"/>
          <w:sz w:val="24"/>
          <w:szCs w:val="24"/>
          <w:lang w:val="en-US"/>
        </w:rPr>
        <w:t xml:space="preserve"> software (</w:t>
      </w:r>
      <w:proofErr w:type="spellStart"/>
      <w:r w:rsidRPr="00846D06">
        <w:rPr>
          <w:rFonts w:asciiTheme="minorHAnsi" w:hAnsiTheme="minorHAnsi" w:cs="Helvetica"/>
          <w:color w:val="000000"/>
          <w:sz w:val="24"/>
          <w:szCs w:val="24"/>
          <w:lang w:val="en-US"/>
        </w:rPr>
        <w:t>Schmolck</w:t>
      </w:r>
      <w:proofErr w:type="spellEnd"/>
      <w:r w:rsidRPr="00846D06">
        <w:rPr>
          <w:rFonts w:asciiTheme="minorHAnsi" w:hAnsiTheme="minorHAnsi" w:cs="Helvetica"/>
          <w:color w:val="000000"/>
          <w:sz w:val="24"/>
          <w:szCs w:val="24"/>
          <w:lang w:val="en-US"/>
        </w:rPr>
        <w:t xml:space="preserve">, 2014), ensuring consistency with established Q methodological </w:t>
      </w:r>
      <w:proofErr w:type="spellStart"/>
      <w:r w:rsidRPr="00846D06">
        <w:rPr>
          <w:rFonts w:asciiTheme="minorHAnsi" w:hAnsiTheme="minorHAnsi" w:cs="Helvetica"/>
          <w:color w:val="000000"/>
          <w:sz w:val="24"/>
          <w:szCs w:val="24"/>
          <w:lang w:val="en-US"/>
        </w:rPr>
        <w:t>rigour</w:t>
      </w:r>
      <w:proofErr w:type="spellEnd"/>
      <w:r w:rsidRPr="00846D06">
        <w:rPr>
          <w:rFonts w:asciiTheme="minorHAnsi" w:hAnsiTheme="minorHAnsi" w:cs="Helvetica"/>
          <w:color w:val="000000"/>
          <w:sz w:val="24"/>
          <w:szCs w:val="24"/>
          <w:lang w:val="en-US"/>
        </w:rPr>
        <w:t>.</w:t>
      </w:r>
    </w:p>
    <w:p w14:paraId="40CCE2B2" w14:textId="77777777" w:rsid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0E70250D" w14:textId="77777777" w:rsidR="00783F9B" w:rsidRPr="00846D06" w:rsidRDefault="00783F9B" w:rsidP="00846D06">
      <w:pPr>
        <w:autoSpaceDE w:val="0"/>
        <w:autoSpaceDN w:val="0"/>
        <w:adjustRightInd w:val="0"/>
        <w:spacing w:after="266" w:line="480" w:lineRule="atLeast"/>
        <w:rPr>
          <w:rFonts w:asciiTheme="minorHAnsi" w:hAnsiTheme="minorHAnsi" w:cs="Helvetica"/>
          <w:color w:val="000000"/>
          <w:sz w:val="24"/>
          <w:szCs w:val="24"/>
          <w:lang w:val="en-US"/>
        </w:rPr>
      </w:pPr>
    </w:p>
    <w:p w14:paraId="0F21AEAB" w14:textId="77777777" w:rsidR="00846D06" w:rsidRPr="00846D06" w:rsidRDefault="00846D06" w:rsidP="00846D06">
      <w:pPr>
        <w:pStyle w:val="Heading4"/>
        <w:rPr>
          <w:lang w:val="en-US"/>
        </w:rPr>
      </w:pPr>
      <w:r w:rsidRPr="00846D06">
        <w:rPr>
          <w:lang w:val="en-US"/>
        </w:rPr>
        <w:lastRenderedPageBreak/>
        <w:t>3.4.1 PRESENTATION OF FINDINGS</w:t>
      </w:r>
    </w:p>
    <w:p w14:paraId="1A368E18"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39F5FC7F"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Although the results of a Q Methodological study can be presented numerically and in tabular format (Woods, 2011; Lundberg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2020; </w:t>
      </w:r>
      <w:proofErr w:type="spellStart"/>
      <w:r w:rsidRPr="00846D06">
        <w:rPr>
          <w:rFonts w:asciiTheme="minorHAnsi" w:hAnsiTheme="minorHAnsi" w:cs="Helvetica"/>
          <w:color w:val="000000"/>
          <w:sz w:val="24"/>
          <w:szCs w:val="24"/>
          <w:lang w:val="en-US"/>
        </w:rPr>
        <w:t>Espartinez</w:t>
      </w:r>
      <w:proofErr w:type="spellEnd"/>
      <w:r w:rsidRPr="00846D06">
        <w:rPr>
          <w:rFonts w:asciiTheme="minorHAnsi" w:hAnsiTheme="minorHAnsi" w:cs="Helvetica"/>
          <w:color w:val="000000"/>
          <w:sz w:val="24"/>
          <w:szCs w:val="24"/>
          <w:lang w:val="en-US"/>
        </w:rPr>
        <w:t xml:space="preserve"> 2024), one of the distinguishing aspects of Q Methodology, according to Woods (2011), is the ‘production of a set of verbal accounts that </w:t>
      </w:r>
      <w:proofErr w:type="spellStart"/>
      <w:r w:rsidRPr="00846D06">
        <w:rPr>
          <w:rFonts w:asciiTheme="minorHAnsi" w:hAnsiTheme="minorHAnsi" w:cs="Helvetica"/>
          <w:color w:val="000000"/>
          <w:sz w:val="24"/>
          <w:szCs w:val="24"/>
          <w:lang w:val="en-US"/>
        </w:rPr>
        <w:t>summarise</w:t>
      </w:r>
      <w:proofErr w:type="spellEnd"/>
      <w:r w:rsidRPr="00846D06">
        <w:rPr>
          <w:rFonts w:asciiTheme="minorHAnsi" w:hAnsiTheme="minorHAnsi" w:cs="Helvetica"/>
          <w:color w:val="000000"/>
          <w:sz w:val="24"/>
          <w:szCs w:val="24"/>
          <w:lang w:val="en-US"/>
        </w:rPr>
        <w:t xml:space="preserve"> distinct viewpoints and that are readily accessible to a wide audience’ (p.333).  Shephard and Furnari (2013) do this masterfully in their study of the views of HE lecturers regarding Education for Sustainability, in which four factors are represented by first-person position statements.  The exceptional readability of their results and the potential to reach a wide audience (Woods, 2011) has led me to adopt this approach for the presentation of the findings of this research.</w:t>
      </w:r>
    </w:p>
    <w:p w14:paraId="4FBB3FC1" w14:textId="037B6379" w:rsidR="00846D06" w:rsidRPr="00846D06" w:rsidRDefault="00846D06" w:rsidP="00783F9B">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The narrative profiles were constructed systematically from the factor arrays produced by Ken-Q Analysis.  Each statement in the Q-set receives a score within the factor array corresponding to its position on the sorting grid (e.g. +4 to -4 on the distribution used in this study).  It is these scores that provide the raw material for the written profiles.</w:t>
      </w:r>
      <w:r w:rsidR="00783F9B">
        <w:rPr>
          <w:rFonts w:asciiTheme="minorHAnsi" w:hAnsiTheme="minorHAnsi" w:cs="Helvetica"/>
          <w:color w:val="000000"/>
          <w:sz w:val="24"/>
          <w:szCs w:val="24"/>
          <w:lang w:val="en-US"/>
        </w:rPr>
        <w:t xml:space="preserve">  </w:t>
      </w:r>
      <w:r w:rsidRPr="00846D06">
        <w:rPr>
          <w:rFonts w:asciiTheme="minorHAnsi" w:hAnsiTheme="minorHAnsi" w:cs="Helvetica"/>
          <w:color w:val="000000"/>
          <w:sz w:val="24"/>
          <w:szCs w:val="24"/>
          <w:lang w:val="en-US"/>
        </w:rPr>
        <w:t xml:space="preserve">Watts and Stenner (2012) provide detailed guidance on the process of interpreting factor arrays and translating them into narrative accounts.  The approach involves working systematically through the factor array, beginning with the statements at the extremes of the distribution and moving towards the </w:t>
      </w:r>
      <w:proofErr w:type="spellStart"/>
      <w:r w:rsidRPr="00846D06">
        <w:rPr>
          <w:rFonts w:asciiTheme="minorHAnsi" w:hAnsiTheme="minorHAnsi" w:cs="Helvetica"/>
          <w:color w:val="000000"/>
          <w:sz w:val="24"/>
          <w:szCs w:val="24"/>
          <w:lang w:val="en-US"/>
        </w:rPr>
        <w:t>centre</w:t>
      </w:r>
      <w:proofErr w:type="spellEnd"/>
      <w:r w:rsidRPr="00846D06">
        <w:rPr>
          <w:rFonts w:asciiTheme="minorHAnsi" w:hAnsiTheme="minorHAnsi" w:cs="Helvetica"/>
          <w:color w:val="000000"/>
          <w:sz w:val="24"/>
          <w:szCs w:val="24"/>
          <w:lang w:val="en-US"/>
        </w:rPr>
        <w:t>.  The procedure adopted in this study was as follows:</w:t>
      </w:r>
    </w:p>
    <w:p w14:paraId="02A7FA23" w14:textId="77777777" w:rsidR="00783F9B" w:rsidRDefault="00846D06" w:rsidP="00783F9B">
      <w:pPr>
        <w:pStyle w:val="ListParagraph"/>
        <w:numPr>
          <w:ilvl w:val="0"/>
          <w:numId w:val="1"/>
        </w:numPr>
        <w:autoSpaceDE w:val="0"/>
        <w:autoSpaceDN w:val="0"/>
        <w:adjustRightInd w:val="0"/>
        <w:spacing w:after="266" w:line="480" w:lineRule="atLeast"/>
        <w:rPr>
          <w:rFonts w:asciiTheme="minorHAnsi" w:hAnsiTheme="minorHAnsi" w:cs="Helvetica"/>
          <w:color w:val="000000"/>
          <w:sz w:val="24"/>
          <w:szCs w:val="24"/>
          <w:lang w:val="en-US"/>
        </w:rPr>
      </w:pPr>
      <w:r w:rsidRPr="00783F9B">
        <w:rPr>
          <w:rFonts w:asciiTheme="minorHAnsi" w:hAnsiTheme="minorHAnsi" w:cs="Helvetica"/>
          <w:color w:val="000000"/>
          <w:sz w:val="24"/>
          <w:szCs w:val="24"/>
          <w:lang w:val="en-US"/>
        </w:rPr>
        <w:t xml:space="preserve">Statements that score +4 in the factor array – those representing the strongest agreement within the viewpoint – formed the opening sentences of the narrative profile, establishing the core priorities and commitments of the perspective.  </w:t>
      </w:r>
    </w:p>
    <w:p w14:paraId="3992E222" w14:textId="77777777" w:rsidR="00783F9B" w:rsidRDefault="00846D06" w:rsidP="00783F9B">
      <w:pPr>
        <w:pStyle w:val="ListParagraph"/>
        <w:numPr>
          <w:ilvl w:val="0"/>
          <w:numId w:val="1"/>
        </w:numPr>
        <w:autoSpaceDE w:val="0"/>
        <w:autoSpaceDN w:val="0"/>
        <w:adjustRightInd w:val="0"/>
        <w:spacing w:after="266" w:line="480" w:lineRule="atLeast"/>
        <w:rPr>
          <w:rFonts w:asciiTheme="minorHAnsi" w:hAnsiTheme="minorHAnsi" w:cs="Helvetica"/>
          <w:color w:val="000000"/>
          <w:sz w:val="24"/>
          <w:szCs w:val="24"/>
          <w:lang w:val="en-US"/>
        </w:rPr>
      </w:pPr>
      <w:r w:rsidRPr="00783F9B">
        <w:rPr>
          <w:rFonts w:asciiTheme="minorHAnsi" w:hAnsiTheme="minorHAnsi" w:cs="Helvetica"/>
          <w:color w:val="000000"/>
          <w:sz w:val="24"/>
          <w:szCs w:val="24"/>
          <w:lang w:val="en-US"/>
        </w:rPr>
        <w:t xml:space="preserve">Statements scoring +3 and +2 provided supporting detail, elaborating on what the viewpoint values and how it understands the relationship between History and ESD.  </w:t>
      </w:r>
    </w:p>
    <w:p w14:paraId="5A905015" w14:textId="77777777" w:rsidR="00783F9B" w:rsidRDefault="00846D06" w:rsidP="00783F9B">
      <w:pPr>
        <w:pStyle w:val="ListParagraph"/>
        <w:numPr>
          <w:ilvl w:val="0"/>
          <w:numId w:val="1"/>
        </w:numPr>
        <w:autoSpaceDE w:val="0"/>
        <w:autoSpaceDN w:val="0"/>
        <w:adjustRightInd w:val="0"/>
        <w:spacing w:after="266" w:line="480" w:lineRule="atLeast"/>
        <w:rPr>
          <w:rFonts w:asciiTheme="minorHAnsi" w:hAnsiTheme="minorHAnsi" w:cs="Helvetica"/>
          <w:color w:val="000000"/>
          <w:sz w:val="24"/>
          <w:szCs w:val="24"/>
          <w:lang w:val="en-US"/>
        </w:rPr>
      </w:pPr>
      <w:r w:rsidRPr="00783F9B">
        <w:rPr>
          <w:rFonts w:asciiTheme="minorHAnsi" w:hAnsiTheme="minorHAnsi" w:cs="Helvetica"/>
          <w:color w:val="000000"/>
          <w:sz w:val="24"/>
          <w:szCs w:val="24"/>
          <w:lang w:val="en-US"/>
        </w:rPr>
        <w:lastRenderedPageBreak/>
        <w:t xml:space="preserve">Statements at 0 may be noted where their neutrality is itself </w:t>
      </w:r>
      <w:proofErr w:type="gramStart"/>
      <w:r w:rsidRPr="00783F9B">
        <w:rPr>
          <w:rFonts w:asciiTheme="minorHAnsi" w:hAnsiTheme="minorHAnsi" w:cs="Helvetica"/>
          <w:color w:val="000000"/>
          <w:sz w:val="24"/>
          <w:szCs w:val="24"/>
          <w:lang w:val="en-US"/>
        </w:rPr>
        <w:t>significant, but</w:t>
      </w:r>
      <w:proofErr w:type="gramEnd"/>
      <w:r w:rsidRPr="00783F9B">
        <w:rPr>
          <w:rFonts w:asciiTheme="minorHAnsi" w:hAnsiTheme="minorHAnsi" w:cs="Helvetica"/>
          <w:color w:val="000000"/>
          <w:sz w:val="24"/>
          <w:szCs w:val="24"/>
          <w:lang w:val="en-US"/>
        </w:rPr>
        <w:t xml:space="preserve"> will not necessarily feature in the narrative.  </w:t>
      </w:r>
    </w:p>
    <w:p w14:paraId="5D89ADBF" w14:textId="52F9F747" w:rsidR="00846D06" w:rsidRPr="00783F9B" w:rsidRDefault="00846D06" w:rsidP="00783F9B">
      <w:pPr>
        <w:pStyle w:val="ListParagraph"/>
        <w:numPr>
          <w:ilvl w:val="0"/>
          <w:numId w:val="1"/>
        </w:numPr>
        <w:autoSpaceDE w:val="0"/>
        <w:autoSpaceDN w:val="0"/>
        <w:adjustRightInd w:val="0"/>
        <w:spacing w:after="266" w:line="480" w:lineRule="atLeast"/>
        <w:rPr>
          <w:rFonts w:asciiTheme="minorHAnsi" w:hAnsiTheme="minorHAnsi" w:cs="Helvetica"/>
          <w:color w:val="000000"/>
          <w:sz w:val="24"/>
          <w:szCs w:val="24"/>
          <w:lang w:val="en-US"/>
        </w:rPr>
      </w:pPr>
      <w:r w:rsidRPr="00783F9B">
        <w:rPr>
          <w:rFonts w:asciiTheme="minorHAnsi" w:hAnsiTheme="minorHAnsi" w:cs="Helvetica"/>
          <w:color w:val="000000"/>
          <w:sz w:val="24"/>
          <w:szCs w:val="24"/>
          <w:lang w:val="en-US"/>
        </w:rPr>
        <w:t>Statements scoring -1 and -2 introduced areas of relative disagreement or de-</w:t>
      </w:r>
      <w:proofErr w:type="spellStart"/>
      <w:r w:rsidRPr="00783F9B">
        <w:rPr>
          <w:rFonts w:asciiTheme="minorHAnsi" w:hAnsiTheme="minorHAnsi" w:cs="Helvetica"/>
          <w:color w:val="000000"/>
          <w:sz w:val="24"/>
          <w:szCs w:val="24"/>
          <w:lang w:val="en-US"/>
        </w:rPr>
        <w:t>prioritisation</w:t>
      </w:r>
      <w:proofErr w:type="spellEnd"/>
      <w:r w:rsidRPr="00783F9B">
        <w:rPr>
          <w:rFonts w:asciiTheme="minorHAnsi" w:hAnsiTheme="minorHAnsi" w:cs="Helvetica"/>
          <w:color w:val="000000"/>
          <w:sz w:val="24"/>
          <w:szCs w:val="24"/>
          <w:lang w:val="en-US"/>
        </w:rPr>
        <w:t>, while statements at -3 and -4 – the strongest disagreements – typically appeared towards the close of the profile, articulating what the viewpoint firmly rejects.</w:t>
      </w:r>
    </w:p>
    <w:p w14:paraId="05DB620A"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Crucially, the profiles draw explicit attention to </w:t>
      </w:r>
      <w:r w:rsidRPr="00846D06">
        <w:rPr>
          <w:rFonts w:asciiTheme="minorHAnsi" w:hAnsiTheme="minorHAnsi" w:cs="Helvetica"/>
          <w:i/>
          <w:iCs/>
          <w:color w:val="000000"/>
          <w:sz w:val="24"/>
          <w:szCs w:val="24"/>
          <w:lang w:val="en-US"/>
        </w:rPr>
        <w:t>distinguishing statements</w:t>
      </w:r>
      <w:r w:rsidRPr="00846D06">
        <w:rPr>
          <w:rFonts w:asciiTheme="minorHAnsi" w:hAnsiTheme="minorHAnsi" w:cs="Helvetica"/>
          <w:color w:val="000000"/>
          <w:sz w:val="24"/>
          <w:szCs w:val="24"/>
          <w:lang w:val="en-US"/>
        </w:rPr>
        <w:t xml:space="preserve">: those where a factor’s score is statistically significantly different (p&lt;0.05) from all the other factors.  Ken-Q Analysis identifies these automatically during the analysis.  Distinguishing statements are the statements that make each viewpoint unique – they are what differentiates one perspective from another – and are therefore of </w:t>
      </w:r>
      <w:proofErr w:type="gramStart"/>
      <w:r w:rsidRPr="00846D06">
        <w:rPr>
          <w:rFonts w:asciiTheme="minorHAnsi" w:hAnsiTheme="minorHAnsi" w:cs="Helvetica"/>
          <w:color w:val="000000"/>
          <w:sz w:val="24"/>
          <w:szCs w:val="24"/>
          <w:lang w:val="en-US"/>
        </w:rPr>
        <w:t>particular interpretive</w:t>
      </w:r>
      <w:proofErr w:type="gramEnd"/>
      <w:r w:rsidRPr="00846D06">
        <w:rPr>
          <w:rFonts w:asciiTheme="minorHAnsi" w:hAnsiTheme="minorHAnsi" w:cs="Helvetica"/>
          <w:color w:val="000000"/>
          <w:sz w:val="24"/>
          <w:szCs w:val="24"/>
          <w:lang w:val="en-US"/>
        </w:rPr>
        <w:t xml:space="preserve"> importance (Watts and Stenner, 2012).  In the written profiles, distinguishing statements are presented in bold text so that the reader can immediately identify the claims and positions that are specific to each factor.  </w:t>
      </w:r>
      <w:r w:rsidRPr="00846D06">
        <w:rPr>
          <w:rFonts w:asciiTheme="minorHAnsi" w:hAnsiTheme="minorHAnsi" w:cs="Helvetica"/>
          <w:i/>
          <w:iCs/>
          <w:color w:val="000000"/>
          <w:sz w:val="24"/>
          <w:szCs w:val="24"/>
          <w:lang w:val="en-US"/>
        </w:rPr>
        <w:t>Consensus statements</w:t>
      </w:r>
      <w:r w:rsidRPr="00846D06">
        <w:rPr>
          <w:rFonts w:asciiTheme="minorHAnsi" w:hAnsiTheme="minorHAnsi" w:cs="Helvetica"/>
          <w:color w:val="000000"/>
          <w:sz w:val="24"/>
          <w:szCs w:val="24"/>
          <w:lang w:val="en-US"/>
        </w:rPr>
        <w:t xml:space="preserve"> – those scored similarly across all factors, indicating areas of shared ground among participants – are discussed in a separate section following the individual profiles.</w:t>
      </w:r>
    </w:p>
    <w:p w14:paraId="4C4CD174" w14:textId="77777777" w:rsid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To illustrate, a statement such as ‘History teaches students to think critically about contested evidence’, if scored at +4 on Factor 1 and identified as a distinguishing statement, might appear in the opening of the Factor 1 profile as follows:</w:t>
      </w:r>
    </w:p>
    <w:p w14:paraId="6DAFA0C3" w14:textId="6E7B4629" w:rsidR="00846D06" w:rsidRPr="00846D06" w:rsidRDefault="00846D06" w:rsidP="00846D06">
      <w:pPr>
        <w:autoSpaceDE w:val="0"/>
        <w:autoSpaceDN w:val="0"/>
        <w:adjustRightInd w:val="0"/>
        <w:spacing w:after="266" w:line="480" w:lineRule="atLeast"/>
        <w:ind w:left="480"/>
        <w:rPr>
          <w:rFonts w:asciiTheme="minorHAnsi" w:hAnsiTheme="minorHAnsi" w:cs="Helvetica"/>
          <w:i/>
          <w:iCs/>
          <w:color w:val="000000"/>
          <w:sz w:val="24"/>
          <w:szCs w:val="24"/>
          <w:lang w:val="en-US"/>
        </w:rPr>
      </w:pPr>
      <w:r w:rsidRPr="00846D06">
        <w:rPr>
          <w:rFonts w:asciiTheme="minorHAnsi" w:hAnsiTheme="minorHAnsi" w:cs="Helvetica"/>
          <w:i/>
          <w:iCs/>
          <w:color w:val="000000"/>
          <w:sz w:val="24"/>
          <w:szCs w:val="24"/>
          <w:lang w:val="en-US"/>
        </w:rPr>
        <w:t xml:space="preserve">I believe fundamentally that what a </w:t>
      </w:r>
      <w:proofErr w:type="gramStart"/>
      <w:r w:rsidRPr="00846D06">
        <w:rPr>
          <w:rFonts w:asciiTheme="minorHAnsi" w:hAnsiTheme="minorHAnsi" w:cs="Helvetica"/>
          <w:i/>
          <w:iCs/>
          <w:color w:val="000000"/>
          <w:sz w:val="24"/>
          <w:szCs w:val="24"/>
          <w:lang w:val="en-US"/>
        </w:rPr>
        <w:t>History</w:t>
      </w:r>
      <w:proofErr w:type="gramEnd"/>
      <w:r w:rsidRPr="00846D06">
        <w:rPr>
          <w:rFonts w:asciiTheme="minorHAnsi" w:hAnsiTheme="minorHAnsi" w:cs="Helvetica"/>
          <w:i/>
          <w:iCs/>
          <w:color w:val="000000"/>
          <w:sz w:val="24"/>
          <w:szCs w:val="24"/>
          <w:lang w:val="en-US"/>
        </w:rPr>
        <w:t xml:space="preserve"> degree offers students is the </w:t>
      </w:r>
      <w:proofErr w:type="spellStart"/>
      <w:r w:rsidRPr="00846D06">
        <w:rPr>
          <w:rFonts w:asciiTheme="minorHAnsi" w:hAnsiTheme="minorHAnsi" w:cs="Helvetica"/>
          <w:i/>
          <w:iCs/>
          <w:color w:val="000000"/>
          <w:sz w:val="24"/>
          <w:szCs w:val="24"/>
          <w:lang w:val="en-US"/>
        </w:rPr>
        <w:t>ablity</w:t>
      </w:r>
      <w:proofErr w:type="spellEnd"/>
      <w:r w:rsidRPr="00846D06">
        <w:rPr>
          <w:rFonts w:asciiTheme="minorHAnsi" w:hAnsiTheme="minorHAnsi" w:cs="Helvetica"/>
          <w:i/>
          <w:iCs/>
          <w:color w:val="000000"/>
          <w:sz w:val="24"/>
          <w:szCs w:val="24"/>
          <w:lang w:val="en-US"/>
        </w:rPr>
        <w:t xml:space="preserve"> to think critically about contested evidence</w:t>
      </w:r>
      <w:r>
        <w:rPr>
          <w:rFonts w:asciiTheme="minorHAnsi" w:hAnsiTheme="minorHAnsi" w:cs="Helvetica"/>
          <w:i/>
          <w:iCs/>
          <w:color w:val="000000"/>
          <w:sz w:val="24"/>
          <w:szCs w:val="24"/>
          <w:lang w:val="en-US"/>
        </w:rPr>
        <w:t>.</w:t>
      </w:r>
      <w:r w:rsidRPr="00846D06">
        <w:rPr>
          <w:rFonts w:asciiTheme="minorHAnsi" w:hAnsiTheme="minorHAnsi" w:cs="Helvetica"/>
          <w:i/>
          <w:iCs/>
          <w:color w:val="000000"/>
          <w:sz w:val="24"/>
          <w:szCs w:val="24"/>
          <w:lang w:val="en-US"/>
        </w:rPr>
        <w:t xml:space="preserve">  </w:t>
      </w:r>
      <w:r w:rsidRPr="00846D06">
        <w:rPr>
          <w:rFonts w:asciiTheme="minorHAnsi" w:hAnsiTheme="minorHAnsi" w:cs="Helvetica"/>
          <w:b/>
          <w:bCs/>
          <w:i/>
          <w:iCs/>
          <w:color w:val="000000"/>
          <w:sz w:val="24"/>
          <w:szCs w:val="24"/>
          <w:lang w:val="en-US"/>
        </w:rPr>
        <w:t>This is central to my understanding of the discipline and its value.</w:t>
      </w:r>
    </w:p>
    <w:p w14:paraId="01674185" w14:textId="2ADDEA20"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The bold text signals to the reader that the emphasis on contested evidence is a distinguishing feature of this </w:t>
      </w:r>
      <w:proofErr w:type="gramStart"/>
      <w:r w:rsidRPr="00846D06">
        <w:rPr>
          <w:rFonts w:asciiTheme="minorHAnsi" w:hAnsiTheme="minorHAnsi" w:cs="Helvetica"/>
          <w:color w:val="000000"/>
          <w:sz w:val="24"/>
          <w:szCs w:val="24"/>
          <w:lang w:val="en-US"/>
        </w:rPr>
        <w:t>particular viewpoint</w:t>
      </w:r>
      <w:proofErr w:type="gramEnd"/>
      <w:r w:rsidRPr="00846D06">
        <w:rPr>
          <w:rFonts w:asciiTheme="minorHAnsi" w:hAnsiTheme="minorHAnsi" w:cs="Helvetica"/>
          <w:color w:val="000000"/>
          <w:sz w:val="24"/>
          <w:szCs w:val="24"/>
          <w:lang w:val="en-US"/>
        </w:rPr>
        <w:t xml:space="preserve"> – one </w:t>
      </w:r>
      <w:proofErr w:type="gramStart"/>
      <w:r w:rsidRPr="00846D06">
        <w:rPr>
          <w:rFonts w:asciiTheme="minorHAnsi" w:hAnsiTheme="minorHAnsi" w:cs="Helvetica"/>
          <w:color w:val="000000"/>
          <w:sz w:val="24"/>
          <w:szCs w:val="24"/>
          <w:lang w:val="en-US"/>
        </w:rPr>
        <w:t>not shared</w:t>
      </w:r>
      <w:proofErr w:type="gramEnd"/>
      <w:r w:rsidRPr="00846D06">
        <w:rPr>
          <w:rFonts w:asciiTheme="minorHAnsi" w:hAnsiTheme="minorHAnsi" w:cs="Helvetica"/>
          <w:color w:val="000000"/>
          <w:sz w:val="24"/>
          <w:szCs w:val="24"/>
          <w:lang w:val="en-US"/>
        </w:rPr>
        <w:t xml:space="preserve"> to the same degree by </w:t>
      </w:r>
      <w:r w:rsidRPr="00846D06">
        <w:rPr>
          <w:rFonts w:asciiTheme="minorHAnsi" w:hAnsiTheme="minorHAnsi" w:cs="Helvetica"/>
          <w:color w:val="000000"/>
          <w:sz w:val="24"/>
          <w:szCs w:val="24"/>
          <w:lang w:val="en-US"/>
        </w:rPr>
        <w:lastRenderedPageBreak/>
        <w:t xml:space="preserve">participants loading on other factors.  This approach follows the model established by Shephard and Furnari (2013) and is consistent with the guidance offered by Watts and Stenner (2012) on the construction of factor interpretations, which they term ‘crib sheets’ </w:t>
      </w:r>
      <w:r w:rsidR="00E67D46">
        <w:rPr>
          <w:rFonts w:asciiTheme="minorHAnsi" w:hAnsiTheme="minorHAnsi" w:cs="Helvetica"/>
          <w:color w:val="000000"/>
          <w:sz w:val="24"/>
          <w:szCs w:val="24"/>
          <w:lang w:val="en-US"/>
        </w:rPr>
        <w:t xml:space="preserve">(ibid., p.51) </w:t>
      </w:r>
      <w:r w:rsidRPr="00846D06">
        <w:rPr>
          <w:rFonts w:asciiTheme="minorHAnsi" w:hAnsiTheme="minorHAnsi" w:cs="Helvetica"/>
          <w:color w:val="000000"/>
          <w:sz w:val="24"/>
          <w:szCs w:val="24"/>
          <w:lang w:val="en-US"/>
        </w:rPr>
        <w:t>as a structured method for working through each factor array and building the narrative account.</w:t>
      </w:r>
    </w:p>
    <w:p w14:paraId="714948E8"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237ED1F6" w14:textId="77777777" w:rsidR="00846D06" w:rsidRPr="00846D06" w:rsidRDefault="00846D06" w:rsidP="00846D06">
      <w:pPr>
        <w:pStyle w:val="Heading2"/>
        <w:rPr>
          <w:lang w:val="en-US"/>
        </w:rPr>
      </w:pPr>
      <w:bookmarkStart w:id="16" w:name="_Toc229750443"/>
      <w:r w:rsidRPr="00846D06">
        <w:rPr>
          <w:lang w:val="en-US"/>
        </w:rPr>
        <w:t>4. FINDINGS</w:t>
      </w:r>
      <w:bookmarkEnd w:id="16"/>
    </w:p>
    <w:p w14:paraId="53499BF7" w14:textId="77777777" w:rsidR="00846D06" w:rsidRPr="00846D06" w:rsidRDefault="00846D06" w:rsidP="00846D06">
      <w:pPr>
        <w:pStyle w:val="Heading3"/>
        <w:rPr>
          <w:lang w:val="en-US"/>
        </w:rPr>
      </w:pPr>
      <w:bookmarkStart w:id="17" w:name="_Toc229750444"/>
      <w:r w:rsidRPr="00846D06">
        <w:rPr>
          <w:lang w:val="en-US"/>
        </w:rPr>
        <w:t>4.1 PARTICIPANT RECRUITMENT AND RESPONSE</w:t>
      </w:r>
      <w:bookmarkEnd w:id="17"/>
    </w:p>
    <w:p w14:paraId="49F12527"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Invitations to participate in the Q-sort were sent by email to all History lecturers identified on staff listings at the four participating institutions (64 in total).  Two follow-up reminders were sent at intervals of approximately two weeks.  Of the total number contacted, five lecturers completed the Q-sort, representing a response rate that, while low in conventional survey terms, is not inconsistent with the expectations of a Q methodological study, where the aim is to capture the range of subjective viewpoints within a defined group rather than to achieve a statistically representative sample (Watts and Stenner, 2012; van </w:t>
      </w:r>
      <w:proofErr w:type="spellStart"/>
      <w:r w:rsidRPr="00846D06">
        <w:rPr>
          <w:rFonts w:asciiTheme="minorHAnsi" w:hAnsiTheme="minorHAnsi" w:cs="Helvetica"/>
          <w:color w:val="000000"/>
          <w:sz w:val="24"/>
          <w:szCs w:val="24"/>
          <w:lang w:val="en-US"/>
        </w:rPr>
        <w:t>Exel</w:t>
      </w:r>
      <w:proofErr w:type="spellEnd"/>
      <w:r w:rsidRPr="00846D06">
        <w:rPr>
          <w:rFonts w:asciiTheme="minorHAnsi" w:hAnsiTheme="minorHAnsi" w:cs="Helvetica"/>
          <w:color w:val="000000"/>
          <w:sz w:val="24"/>
          <w:szCs w:val="24"/>
          <w:lang w:val="en-US"/>
        </w:rPr>
        <w:t xml:space="preserve"> and de Graaf, 2005).  Of the five participants, two indicated willingness to take part in a follow-up semi-structured interview.</w:t>
      </w:r>
    </w:p>
    <w:p w14:paraId="432B1B84" w14:textId="30DD7CAD"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The low response rate is acknowledged as a limitation and will be discussed further in </w:t>
      </w:r>
      <w:r w:rsidR="00D32585">
        <w:rPr>
          <w:rFonts w:asciiTheme="minorHAnsi" w:hAnsiTheme="minorHAnsi" w:cs="Helvetica"/>
          <w:color w:val="000000"/>
          <w:sz w:val="24"/>
          <w:szCs w:val="24"/>
          <w:lang w:val="en-US"/>
        </w:rPr>
        <w:t>the conclusion</w:t>
      </w:r>
      <w:r w:rsidRPr="00846D06">
        <w:rPr>
          <w:rFonts w:asciiTheme="minorHAnsi" w:hAnsiTheme="minorHAnsi" w:cs="Helvetica"/>
          <w:color w:val="000000"/>
          <w:sz w:val="24"/>
          <w:szCs w:val="24"/>
          <w:lang w:val="en-US"/>
        </w:rPr>
        <w:t>.  It may, however, be a finding in its own right: the difficulty of engaging historians with research explicitly framed around ESD may itself reflect something about how the discipline perceives its relationship to the sustainability agenda.  This is a question that sits at the heart of this study.</w:t>
      </w:r>
    </w:p>
    <w:p w14:paraId="67CB6254" w14:textId="77777777" w:rsidR="00846D06" w:rsidRPr="00846D06" w:rsidRDefault="00846D06" w:rsidP="00846D06">
      <w:pPr>
        <w:autoSpaceDE w:val="0"/>
        <w:autoSpaceDN w:val="0"/>
        <w:adjustRightInd w:val="0"/>
        <w:spacing w:after="266" w:line="308"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00882662" w14:textId="77777777" w:rsidR="00846D06" w:rsidRPr="00846D06" w:rsidRDefault="00846D06" w:rsidP="00846D06">
      <w:pPr>
        <w:pStyle w:val="Heading3"/>
        <w:rPr>
          <w:lang w:val="en-US"/>
        </w:rPr>
      </w:pPr>
      <w:bookmarkStart w:id="18" w:name="_Toc229750445"/>
      <w:r w:rsidRPr="00846D06">
        <w:rPr>
          <w:lang w:val="en-US"/>
        </w:rPr>
        <w:t>4.2 FACTOR EXTRACTION</w:t>
      </w:r>
      <w:bookmarkEnd w:id="18"/>
    </w:p>
    <w:p w14:paraId="0235265E" w14:textId="3C04B47E"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lastRenderedPageBreak/>
        <w:t>The five completed Q-so</w:t>
      </w:r>
      <w:r w:rsidR="00D32585">
        <w:rPr>
          <w:rFonts w:asciiTheme="minorHAnsi" w:hAnsiTheme="minorHAnsi" w:cs="Helvetica"/>
          <w:color w:val="000000"/>
          <w:sz w:val="24"/>
          <w:szCs w:val="24"/>
          <w:lang w:val="en-US"/>
        </w:rPr>
        <w:t>r</w:t>
      </w:r>
      <w:r w:rsidRPr="00846D06">
        <w:rPr>
          <w:rFonts w:asciiTheme="minorHAnsi" w:hAnsiTheme="minorHAnsi" w:cs="Helvetica"/>
          <w:color w:val="000000"/>
          <w:sz w:val="24"/>
          <w:szCs w:val="24"/>
          <w:lang w:val="en-US"/>
        </w:rPr>
        <w:t xml:space="preserve">ts were </w:t>
      </w:r>
      <w:proofErr w:type="spellStart"/>
      <w:r w:rsidRPr="00846D06">
        <w:rPr>
          <w:rFonts w:asciiTheme="minorHAnsi" w:hAnsiTheme="minorHAnsi" w:cs="Helvetica"/>
          <w:color w:val="000000"/>
          <w:sz w:val="24"/>
          <w:szCs w:val="24"/>
          <w:lang w:val="en-US"/>
        </w:rPr>
        <w:t>analysed</w:t>
      </w:r>
      <w:proofErr w:type="spellEnd"/>
      <w:r w:rsidRPr="00846D06">
        <w:rPr>
          <w:rFonts w:asciiTheme="minorHAnsi" w:hAnsiTheme="minorHAnsi" w:cs="Helvetica"/>
          <w:color w:val="000000"/>
          <w:sz w:val="24"/>
          <w:szCs w:val="24"/>
          <w:lang w:val="en-US"/>
        </w:rPr>
        <w:t xml:space="preserve"> using Ken-Q Analysis (</w:t>
      </w:r>
      <w:proofErr w:type="spellStart"/>
      <w:r w:rsidRPr="00846D06">
        <w:rPr>
          <w:rFonts w:asciiTheme="minorHAnsi" w:hAnsiTheme="minorHAnsi" w:cs="Helvetica"/>
          <w:color w:val="000000"/>
          <w:sz w:val="24"/>
          <w:szCs w:val="24"/>
          <w:lang w:val="en-US"/>
        </w:rPr>
        <w:t>Banasick</w:t>
      </w:r>
      <w:proofErr w:type="spellEnd"/>
      <w:r w:rsidRPr="00846D06">
        <w:rPr>
          <w:rFonts w:asciiTheme="minorHAnsi" w:hAnsiTheme="minorHAnsi" w:cs="Helvetica"/>
          <w:color w:val="000000"/>
          <w:sz w:val="24"/>
          <w:szCs w:val="24"/>
          <w:lang w:val="en-US"/>
        </w:rPr>
        <w:t>, 2019).  An initial principal components analysis was conducted, producing eigenvalues of 2.25, 1.01, 0.76, 0.58 and 0.40 for the five unrotated factors.  Two factors met the conventional threshold of an eigenvalue greater than 1.00, and the scree plot (Figure 2) confirmed a clear inflection point after the second factor.  Together, the two retained factors accounted for 65% of the study variance: Factor 1 accounted for 45% (eigenvalue 2.25) and Factor 2 for 20% (eigenvalue 1.01).</w:t>
      </w:r>
    </w:p>
    <w:p w14:paraId="4C0D906F" w14:textId="401C262B"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Following varimax rotation, examination of the factor loadings confirmed a clear two-factor solution.  Four participants (P1, P2, P3 and P5) loaded significantly onto Factor 1, with loadings ranging from </w:t>
      </w:r>
      <w:r w:rsidR="00A4555F">
        <w:rPr>
          <w:rFonts w:asciiTheme="minorHAnsi" w:hAnsiTheme="minorHAnsi" w:cs="Helvetica"/>
          <w:color w:val="000000"/>
          <w:sz w:val="24"/>
          <w:szCs w:val="24"/>
          <w:lang w:val="en-US"/>
        </w:rPr>
        <w:t>0</w:t>
      </w:r>
      <w:r w:rsidRPr="00846D06">
        <w:rPr>
          <w:rFonts w:asciiTheme="minorHAnsi" w:hAnsiTheme="minorHAnsi" w:cs="Helvetica"/>
          <w:color w:val="000000"/>
          <w:sz w:val="24"/>
          <w:szCs w:val="24"/>
          <w:lang w:val="en-US"/>
        </w:rPr>
        <w:t xml:space="preserve">.63 to 0.77.  One participant (P4) loaded significantly onto Factor 2, with a loading of </w:t>
      </w:r>
      <w:r w:rsidR="00A4555F">
        <w:rPr>
          <w:rFonts w:asciiTheme="minorHAnsi" w:hAnsiTheme="minorHAnsi" w:cs="Helvetica"/>
          <w:color w:val="000000"/>
          <w:sz w:val="24"/>
          <w:szCs w:val="24"/>
          <w:lang w:val="en-US"/>
        </w:rPr>
        <w:t>0</w:t>
      </w:r>
      <w:r w:rsidRPr="00846D06">
        <w:rPr>
          <w:rFonts w:asciiTheme="minorHAnsi" w:hAnsiTheme="minorHAnsi" w:cs="Helvetica"/>
          <w:color w:val="000000"/>
          <w:sz w:val="24"/>
          <w:szCs w:val="24"/>
          <w:lang w:val="en-US"/>
        </w:rPr>
        <w:t>.84.  P1’s negative loading on Factor 2 (-</w:t>
      </w:r>
      <w:r w:rsidR="00A4555F">
        <w:rPr>
          <w:rFonts w:asciiTheme="minorHAnsi" w:hAnsiTheme="minorHAnsi" w:cs="Helvetica"/>
          <w:color w:val="000000"/>
          <w:sz w:val="24"/>
          <w:szCs w:val="24"/>
          <w:lang w:val="en-US"/>
        </w:rPr>
        <w:t>0</w:t>
      </w:r>
      <w:r w:rsidRPr="00846D06">
        <w:rPr>
          <w:rFonts w:asciiTheme="minorHAnsi" w:hAnsiTheme="minorHAnsi" w:cs="Helvetica"/>
          <w:color w:val="000000"/>
          <w:sz w:val="24"/>
          <w:szCs w:val="24"/>
          <w:lang w:val="en-US"/>
        </w:rPr>
        <w:t>.52) is also of note, suggesting that this participant’s viewpoint is not merely different from but actively opposed to the perspective represented by Factor 2.  Together, the two factors accounted for 65% of the study variance: Factor 1 accounted for 45% (eigenvalue 2.25) and Factor 2 for 20% (eigenvalue 1.01).</w:t>
      </w:r>
    </w:p>
    <w:p w14:paraId="3F6ABEB6"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While Factor 2 is defined by a single participant, it is retained as a distinct viewpoint.  Within Q methodology, it is legitimate to retain a single-participant factor where it is clearly differentiated from other factors and represents an interpretively coherent perspective (Watts and Stenner, 2012). As the narrative profiles in sections 4.3 and 4.4 will demonstrate, Factor 2 presents a distinct and internally consistent viewpoint that contrasts meaningfully with Factor 1, and its retention therefore serves the aims of the study.</w:t>
      </w:r>
    </w:p>
    <w:p w14:paraId="48EF941D" w14:textId="24898AF6" w:rsidR="00846D06" w:rsidRPr="00846D06" w:rsidRDefault="00846D06" w:rsidP="00FA0A77">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The composite Q-sorts (factor arrays) for each factor were generated by Ken-Q Analysis and are presented in Figures 2 and 3.  These factor arrays – representing the </w:t>
      </w:r>
      <w:proofErr w:type="spellStart"/>
      <w:r w:rsidRPr="00846D06">
        <w:rPr>
          <w:rFonts w:asciiTheme="minorHAnsi" w:hAnsiTheme="minorHAnsi" w:cs="Helvetica"/>
          <w:color w:val="000000"/>
          <w:sz w:val="24"/>
          <w:szCs w:val="24"/>
          <w:lang w:val="en-US"/>
        </w:rPr>
        <w:t>idealised</w:t>
      </w:r>
      <w:proofErr w:type="spellEnd"/>
      <w:r w:rsidRPr="00846D06">
        <w:rPr>
          <w:rFonts w:asciiTheme="minorHAnsi" w:hAnsiTheme="minorHAnsi" w:cs="Helvetica"/>
          <w:color w:val="000000"/>
          <w:sz w:val="24"/>
          <w:szCs w:val="24"/>
          <w:lang w:val="en-US"/>
        </w:rPr>
        <w:t xml:space="preserve"> Q-sort for each viewpoint – form the basis for the narrative profiles constructed in sections 4.3 and 4.4.</w:t>
      </w:r>
    </w:p>
    <w:p w14:paraId="2A12049D" w14:textId="77777777" w:rsidR="00846D06" w:rsidRPr="00846D06" w:rsidRDefault="00846D06" w:rsidP="00846D06">
      <w:pPr>
        <w:pStyle w:val="Heading3"/>
        <w:rPr>
          <w:lang w:val="en-US"/>
        </w:rPr>
      </w:pPr>
      <w:bookmarkStart w:id="19" w:name="_Toc229750446"/>
      <w:r w:rsidRPr="00846D06">
        <w:rPr>
          <w:lang w:val="en-US"/>
        </w:rPr>
        <w:lastRenderedPageBreak/>
        <w:t>4.3 FACTOR 1: ‘HISTORY IS ALREADY A SUSTAINABILITY DISCIPLINE – WE JUST HAVEN’T NAMED IT’</w:t>
      </w:r>
      <w:bookmarkEnd w:id="19"/>
    </w:p>
    <w:p w14:paraId="1047B9FA" w14:textId="77777777" w:rsidR="00846D06" w:rsidRPr="00846D06" w:rsidRDefault="00846D06" w:rsidP="00846D06">
      <w:pPr>
        <w:autoSpaceDE w:val="0"/>
        <w:autoSpaceDN w:val="0"/>
        <w:adjustRightInd w:val="0"/>
        <w:spacing w:after="266" w:line="308" w:lineRule="atLeast"/>
        <w:rPr>
          <w:rFonts w:asciiTheme="minorHAnsi" w:hAnsiTheme="minorHAnsi" w:cs="Helvetica"/>
          <w:color w:val="000000"/>
          <w:sz w:val="24"/>
          <w:szCs w:val="24"/>
          <w:lang w:val="en-US"/>
        </w:rPr>
      </w:pPr>
      <w:r w:rsidRPr="00846D06">
        <w:rPr>
          <w:rFonts w:asciiTheme="minorHAnsi" w:hAnsiTheme="minorHAnsi" w:cs="Helvetica"/>
          <w:b/>
          <w:bCs/>
          <w:color w:val="000000"/>
          <w:sz w:val="24"/>
          <w:szCs w:val="24"/>
          <w:lang w:val="en-US"/>
        </w:rPr>
        <w:t>This factor is defined by four participants (P1, P2, P3 and P5)</w:t>
      </w:r>
    </w:p>
    <w:p w14:paraId="6F1CC125" w14:textId="77777777" w:rsidR="00FA0A77" w:rsidRDefault="00FA0A77" w:rsidP="00FA0A77">
      <w:pPr>
        <w:autoSpaceDE w:val="0"/>
        <w:autoSpaceDN w:val="0"/>
        <w:adjustRightInd w:val="0"/>
        <w:spacing w:after="266" w:line="308" w:lineRule="atLeast"/>
        <w:jc w:val="center"/>
        <w:rPr>
          <w:rFonts w:asciiTheme="minorHAnsi" w:hAnsiTheme="minorHAnsi" w:cs="Helvetica"/>
          <w:color w:val="000000"/>
          <w:sz w:val="18"/>
          <w:szCs w:val="18"/>
          <w:lang w:val="en-US"/>
        </w:rPr>
      </w:pPr>
      <w:r>
        <w:rPr>
          <w:b/>
          <w:bCs/>
          <w:noProof/>
        </w:rPr>
        <w:drawing>
          <wp:inline distT="0" distB="0" distL="0" distR="0" wp14:anchorId="5B94CD97" wp14:editId="1BD47947">
            <wp:extent cx="4237389" cy="6666910"/>
            <wp:effectExtent l="0" t="0" r="4445" b="635"/>
            <wp:docPr id="60445649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56493" name="Picture 1" descr="A screenshot of a computer screen&#10;&#10;AI-generated content may be incorrect."/>
                    <pic:cNvPicPr/>
                  </pic:nvPicPr>
                  <pic:blipFill rotWithShape="1">
                    <a:blip r:embed="rId13" cstate="print">
                      <a:extLst>
                        <a:ext uri="{28A0092B-C50C-407E-A947-70E740481C1C}">
                          <a14:useLocalDpi xmlns:a14="http://schemas.microsoft.com/office/drawing/2010/main" val="0"/>
                        </a:ext>
                      </a:extLst>
                    </a:blip>
                    <a:srcRect b="14942"/>
                    <a:stretch>
                      <a:fillRect/>
                    </a:stretch>
                  </pic:blipFill>
                  <pic:spPr bwMode="auto">
                    <a:xfrm>
                      <a:off x="0" y="0"/>
                      <a:ext cx="4266848" cy="6713260"/>
                    </a:xfrm>
                    <a:prstGeom prst="rect">
                      <a:avLst/>
                    </a:prstGeom>
                    <a:ln>
                      <a:noFill/>
                    </a:ln>
                    <a:extLst>
                      <a:ext uri="{53640926-AAD7-44D8-BBD7-CCE9431645EC}">
                        <a14:shadowObscured xmlns:a14="http://schemas.microsoft.com/office/drawing/2010/main"/>
                      </a:ext>
                    </a:extLst>
                  </pic:spPr>
                </pic:pic>
              </a:graphicData>
            </a:graphic>
          </wp:inline>
        </w:drawing>
      </w:r>
    </w:p>
    <w:p w14:paraId="34C59200" w14:textId="4647BC26" w:rsidR="00846D06" w:rsidRPr="00FA0A77" w:rsidRDefault="00693900" w:rsidP="00693900">
      <w:pPr>
        <w:pStyle w:val="Caption"/>
        <w:rPr>
          <w:rFonts w:asciiTheme="minorHAnsi" w:hAnsiTheme="minorHAnsi" w:cs="Helvetica"/>
          <w:color w:val="000000"/>
          <w:sz w:val="24"/>
          <w:szCs w:val="24"/>
          <w:lang w:val="en-US"/>
        </w:rPr>
      </w:pPr>
      <w:bookmarkStart w:id="20" w:name="_Toc229750650"/>
      <w:r>
        <w:t xml:space="preserve">Figure </w:t>
      </w:r>
      <w:r>
        <w:fldChar w:fldCharType="begin"/>
      </w:r>
      <w:r>
        <w:instrText xml:space="preserve"> SEQ Figure \* ARABIC </w:instrText>
      </w:r>
      <w:r>
        <w:fldChar w:fldCharType="separate"/>
      </w:r>
      <w:r>
        <w:rPr>
          <w:noProof/>
        </w:rPr>
        <w:t>2</w:t>
      </w:r>
      <w:r>
        <w:fldChar w:fldCharType="end"/>
      </w:r>
      <w:r>
        <w:t xml:space="preserve">: </w:t>
      </w:r>
      <w:r w:rsidRPr="00FE17F4">
        <w:t>COMPOSITE Q-SORT (FACTOR ARRAY) FOR FACTOR 1: ‘HISTORY IS ALREADY A SUSTAINABILITY DISCIPLINE’</w:t>
      </w:r>
      <w:bookmarkEnd w:id="20"/>
    </w:p>
    <w:p w14:paraId="1211341B" w14:textId="77777777" w:rsidR="00846D06" w:rsidRPr="00846D06" w:rsidRDefault="00846D06" w:rsidP="00846D06">
      <w:pPr>
        <w:autoSpaceDE w:val="0"/>
        <w:autoSpaceDN w:val="0"/>
        <w:adjustRightInd w:val="0"/>
        <w:spacing w:after="0" w:line="336" w:lineRule="atLeast"/>
        <w:rPr>
          <w:rFonts w:asciiTheme="minorHAnsi" w:hAnsiTheme="minorHAnsi" w:cs="Helvetica"/>
          <w:color w:val="6B260D"/>
          <w:sz w:val="24"/>
          <w:szCs w:val="24"/>
          <w:lang w:val="en-US"/>
        </w:rPr>
      </w:pPr>
    </w:p>
    <w:p w14:paraId="3908B4F8" w14:textId="77777777" w:rsidR="00846D06" w:rsidRPr="00846D06" w:rsidRDefault="00846D06" w:rsidP="00846D06">
      <w:pPr>
        <w:pStyle w:val="Heading4"/>
        <w:rPr>
          <w:lang w:val="en-US"/>
        </w:rPr>
      </w:pPr>
      <w:r w:rsidRPr="00846D06">
        <w:rPr>
          <w:lang w:val="en-US"/>
        </w:rPr>
        <w:t>4.3.1 FACTOR 1 NARRATIVE PROFILE</w:t>
      </w:r>
    </w:p>
    <w:p w14:paraId="1E135AAC" w14:textId="77777777" w:rsidR="00846D06" w:rsidRPr="00A4555F" w:rsidRDefault="00846D06" w:rsidP="00A4555F">
      <w:pPr>
        <w:autoSpaceDE w:val="0"/>
        <w:autoSpaceDN w:val="0"/>
        <w:adjustRightInd w:val="0"/>
        <w:spacing w:after="266" w:line="440" w:lineRule="atLeast"/>
        <w:ind w:left="720"/>
        <w:rPr>
          <w:rFonts w:asciiTheme="minorHAnsi" w:hAnsiTheme="minorHAnsi" w:cs="Helvetica"/>
          <w:color w:val="000000"/>
          <w:lang w:val="en-US"/>
        </w:rPr>
      </w:pPr>
      <w:r w:rsidRPr="00A4555F">
        <w:rPr>
          <w:rFonts w:asciiTheme="minorHAnsi" w:hAnsiTheme="minorHAnsi" w:cs="Helvetica"/>
          <w:i/>
          <w:iCs/>
          <w:color w:val="000000"/>
          <w:lang w:val="en-US"/>
        </w:rPr>
        <w:t xml:space="preserve">I believe strongly that historical research on environmental change can inform current sustainability debates, and that developing ‘sustainability literacy’ in our students means furnishing them with the critical and analytical skills that a </w:t>
      </w:r>
      <w:proofErr w:type="gramStart"/>
      <w:r w:rsidRPr="00A4555F">
        <w:rPr>
          <w:rFonts w:asciiTheme="minorHAnsi" w:hAnsiTheme="minorHAnsi" w:cs="Helvetica"/>
          <w:i/>
          <w:iCs/>
          <w:color w:val="000000"/>
          <w:lang w:val="en-US"/>
        </w:rPr>
        <w:t>History</w:t>
      </w:r>
      <w:proofErr w:type="gramEnd"/>
      <w:r w:rsidRPr="00A4555F">
        <w:rPr>
          <w:rFonts w:asciiTheme="minorHAnsi" w:hAnsiTheme="minorHAnsi" w:cs="Helvetica"/>
          <w:i/>
          <w:iCs/>
          <w:color w:val="000000"/>
          <w:lang w:val="en-US"/>
        </w:rPr>
        <w:t xml:space="preserve"> degree already provides.  </w:t>
      </w:r>
      <w:r w:rsidRPr="00A4555F">
        <w:rPr>
          <w:rFonts w:asciiTheme="minorHAnsi" w:hAnsiTheme="minorHAnsi" w:cs="Helvetica"/>
          <w:b/>
          <w:bCs/>
          <w:i/>
          <w:iCs/>
          <w:color w:val="000000"/>
          <w:lang w:val="en-US"/>
        </w:rPr>
        <w:t>I do not see my primary professional duty as being to teach the past on its own terms, isolated from the present – and I am not worried about the political implications of teaching sustainability.</w:t>
      </w:r>
      <w:r w:rsidRPr="00A4555F">
        <w:rPr>
          <w:rFonts w:asciiTheme="minorHAnsi" w:hAnsiTheme="minorHAnsi" w:cs="Helvetica"/>
          <w:i/>
          <w:iCs/>
          <w:color w:val="000000"/>
          <w:lang w:val="en-US"/>
        </w:rPr>
        <w:t>  These are not anxieties I carry into the classroom.</w:t>
      </w:r>
    </w:p>
    <w:p w14:paraId="678A4462" w14:textId="7A9A2836" w:rsidR="00846D06" w:rsidRPr="00A4555F" w:rsidRDefault="00846D06" w:rsidP="00A4555F">
      <w:pPr>
        <w:autoSpaceDE w:val="0"/>
        <w:autoSpaceDN w:val="0"/>
        <w:adjustRightInd w:val="0"/>
        <w:spacing w:after="266" w:line="440" w:lineRule="atLeast"/>
        <w:ind w:left="720"/>
        <w:rPr>
          <w:rFonts w:asciiTheme="minorHAnsi" w:hAnsiTheme="minorHAnsi" w:cs="Helvetica"/>
          <w:color w:val="000000"/>
          <w:lang w:val="en-US"/>
        </w:rPr>
      </w:pPr>
      <w:r w:rsidRPr="00A4555F">
        <w:rPr>
          <w:rFonts w:asciiTheme="minorHAnsi" w:hAnsiTheme="minorHAnsi" w:cs="Helvetica"/>
          <w:i/>
          <w:iCs/>
          <w:color w:val="000000"/>
          <w:lang w:val="en-US"/>
        </w:rPr>
        <w:t xml:space="preserve">What I do value is History’s capacity to engage with sustainability in ways that are distinctive to the discipline.  </w:t>
      </w:r>
      <w:r w:rsidRPr="00A4555F">
        <w:rPr>
          <w:rFonts w:asciiTheme="minorHAnsi" w:hAnsiTheme="minorHAnsi" w:cs="Helvetica"/>
          <w:b/>
          <w:bCs/>
          <w:i/>
          <w:iCs/>
          <w:color w:val="000000"/>
          <w:lang w:val="en-US"/>
        </w:rPr>
        <w:t xml:space="preserve">The concept of sustainability is, in my view, ambiguous or ‘fuzzy’, and this is </w:t>
      </w:r>
      <w:proofErr w:type="gramStart"/>
      <w:r w:rsidRPr="00A4555F">
        <w:rPr>
          <w:rFonts w:asciiTheme="minorHAnsi" w:hAnsiTheme="minorHAnsi" w:cs="Helvetica"/>
          <w:b/>
          <w:bCs/>
          <w:i/>
          <w:iCs/>
          <w:color w:val="000000"/>
          <w:lang w:val="en-US"/>
        </w:rPr>
        <w:t>actually a</w:t>
      </w:r>
      <w:proofErr w:type="gramEnd"/>
      <w:r w:rsidRPr="00A4555F">
        <w:rPr>
          <w:rFonts w:asciiTheme="minorHAnsi" w:hAnsiTheme="minorHAnsi" w:cs="Helvetica"/>
          <w:b/>
          <w:bCs/>
          <w:i/>
          <w:iCs/>
          <w:color w:val="000000"/>
          <w:lang w:val="en-US"/>
        </w:rPr>
        <w:t xml:space="preserve"> strength – it allows for the kind of interpretive openness that historians are comfortable with.</w:t>
      </w:r>
      <w:r w:rsidRPr="00A4555F">
        <w:rPr>
          <w:rFonts w:asciiTheme="minorHAnsi" w:hAnsiTheme="minorHAnsi" w:cs="Helvetica"/>
          <w:i/>
          <w:iCs/>
          <w:color w:val="000000"/>
          <w:lang w:val="en-US"/>
        </w:rPr>
        <w:t xml:space="preserve">  Rather than seeing this ambiguity as a problem to be resolved, I see it as methodologically familiar territory.  A superficial ‘bolt-on’ approach to sustainability would be worse than doing nothing at all; </w:t>
      </w:r>
      <w:r w:rsidRPr="00A4555F">
        <w:rPr>
          <w:rFonts w:asciiTheme="minorHAnsi" w:hAnsiTheme="minorHAnsi" w:cs="Helvetica"/>
          <w:b/>
          <w:bCs/>
          <w:i/>
          <w:iCs/>
          <w:color w:val="000000"/>
          <w:lang w:val="en-US"/>
        </w:rPr>
        <w:t>instead, I believe that integrating sustainability can be achieved covertly or informally, embedded within existing teaching without the need for explicit labelling. History provides unique insights into the long-term relationship between human</w:t>
      </w:r>
      <w:r w:rsidR="00A4555F">
        <w:rPr>
          <w:rFonts w:asciiTheme="minorHAnsi" w:hAnsiTheme="minorHAnsi" w:cs="Helvetica"/>
          <w:b/>
          <w:bCs/>
          <w:i/>
          <w:iCs/>
          <w:color w:val="000000"/>
          <w:lang w:val="en-US"/>
        </w:rPr>
        <w:t>s</w:t>
      </w:r>
      <w:r w:rsidRPr="00A4555F">
        <w:rPr>
          <w:rFonts w:asciiTheme="minorHAnsi" w:hAnsiTheme="minorHAnsi" w:cs="Helvetica"/>
          <w:b/>
          <w:bCs/>
          <w:i/>
          <w:iCs/>
          <w:color w:val="000000"/>
          <w:lang w:val="en-US"/>
        </w:rPr>
        <w:t xml:space="preserve"> and their environment</w:t>
      </w:r>
      <w:r w:rsidRPr="00A4555F">
        <w:rPr>
          <w:rFonts w:asciiTheme="minorHAnsi" w:hAnsiTheme="minorHAnsi" w:cs="Helvetica"/>
          <w:i/>
          <w:iCs/>
          <w:color w:val="000000"/>
          <w:lang w:val="en-US"/>
        </w:rPr>
        <w:t>, and a deep historical understanding of the roots of the climate crisis is itself a form of sustainability education.  We must empower our students to use their historical knowledge to engage with the present.</w:t>
      </w:r>
    </w:p>
    <w:p w14:paraId="3E6E63E1" w14:textId="77777777" w:rsidR="00846D06" w:rsidRPr="00A4555F" w:rsidRDefault="00846D06" w:rsidP="00A4555F">
      <w:pPr>
        <w:autoSpaceDE w:val="0"/>
        <w:autoSpaceDN w:val="0"/>
        <w:adjustRightInd w:val="0"/>
        <w:spacing w:after="266" w:line="440" w:lineRule="atLeast"/>
        <w:ind w:left="720"/>
        <w:rPr>
          <w:rFonts w:asciiTheme="minorHAnsi" w:hAnsiTheme="minorHAnsi" w:cs="Helvetica"/>
          <w:color w:val="000000"/>
          <w:lang w:val="en-US"/>
        </w:rPr>
      </w:pPr>
      <w:r w:rsidRPr="00A4555F">
        <w:rPr>
          <w:rFonts w:asciiTheme="minorHAnsi" w:hAnsiTheme="minorHAnsi" w:cs="Helvetica"/>
          <w:i/>
          <w:iCs/>
          <w:color w:val="000000"/>
          <w:lang w:val="en-US"/>
        </w:rPr>
        <w:t>The discipline of History has a clear moral and civic responsibility, and sustainability themes when they arise, should arise organically from the content rather than being imposed.  It is important to teach sustainability without promoting a particular agenda.  These are things I feel positively about, but they sit alongside a degree of neutrality on several practical questions: whether sustainability should be optional or mandatory content, whether the ESD mandate provides opportunities for interdisciplinary work, and whether sustainability education specifically prepares students for future careers are questions I feel relatively indifferent about – or perhaps conflicted.</w:t>
      </w:r>
    </w:p>
    <w:p w14:paraId="2BFA8761" w14:textId="77777777" w:rsidR="00846D06" w:rsidRPr="00A4555F" w:rsidRDefault="00846D06" w:rsidP="00A4555F">
      <w:pPr>
        <w:autoSpaceDE w:val="0"/>
        <w:autoSpaceDN w:val="0"/>
        <w:adjustRightInd w:val="0"/>
        <w:spacing w:after="266" w:line="440" w:lineRule="atLeast"/>
        <w:ind w:left="720"/>
        <w:rPr>
          <w:rFonts w:asciiTheme="minorHAnsi" w:hAnsiTheme="minorHAnsi" w:cs="Helvetica"/>
          <w:color w:val="000000"/>
          <w:lang w:val="en-US"/>
        </w:rPr>
      </w:pPr>
      <w:r w:rsidRPr="00A4555F">
        <w:rPr>
          <w:rFonts w:asciiTheme="minorHAnsi" w:hAnsiTheme="minorHAnsi" w:cs="Helvetica"/>
          <w:i/>
          <w:iCs/>
          <w:color w:val="000000"/>
          <w:lang w:val="en-US"/>
        </w:rPr>
        <w:lastRenderedPageBreak/>
        <w:t>I do not believe that sustainability should be integrated systematically across all History, and I disagree that there are sufficient resources for embedding ESD in our courses.  I am also unconvinced that ESD is fundamentally an ideological agenda, though I mildly reject the suggestion that it is part of a wider educational change agenda.  I do not see good presentism as a valid pedagogical approach, and I am not persuaded that there is significant student demand for sustainability content.</w:t>
      </w:r>
    </w:p>
    <w:p w14:paraId="45286982" w14:textId="77777777" w:rsidR="00846D06" w:rsidRPr="00A4555F" w:rsidRDefault="00846D06" w:rsidP="00A4555F">
      <w:pPr>
        <w:autoSpaceDE w:val="0"/>
        <w:autoSpaceDN w:val="0"/>
        <w:adjustRightInd w:val="0"/>
        <w:spacing w:after="266" w:line="440" w:lineRule="atLeast"/>
        <w:ind w:left="720"/>
        <w:rPr>
          <w:rFonts w:asciiTheme="minorHAnsi" w:hAnsiTheme="minorHAnsi" w:cs="Helvetica"/>
          <w:b/>
          <w:bCs/>
          <w:i/>
          <w:iCs/>
          <w:color w:val="000000"/>
          <w:lang w:val="en-US"/>
        </w:rPr>
      </w:pPr>
      <w:r w:rsidRPr="00A4555F">
        <w:rPr>
          <w:rFonts w:asciiTheme="minorHAnsi" w:hAnsiTheme="minorHAnsi" w:cs="Helvetica"/>
          <w:b/>
          <w:bCs/>
          <w:i/>
          <w:iCs/>
          <w:color w:val="000000"/>
          <w:lang w:val="en-US"/>
        </w:rPr>
        <w:t>I firmly reject the idea that ESD’s activist, future-oriented ethos creates an immediate tension with the study of the past.</w:t>
      </w:r>
      <w:r w:rsidRPr="00A4555F">
        <w:rPr>
          <w:rFonts w:asciiTheme="minorHAnsi" w:hAnsiTheme="minorHAnsi" w:cs="Helvetica"/>
          <w:i/>
          <w:iCs/>
          <w:color w:val="000000"/>
          <w:lang w:val="en-US"/>
        </w:rPr>
        <w:t xml:space="preserve">  I do not believe that the ESD mandate contravenes the professional ideal of studying History, nor that I cannot teach about History without compromising my disciplinary integrity.  </w:t>
      </w:r>
      <w:r w:rsidRPr="00A4555F">
        <w:rPr>
          <w:rFonts w:asciiTheme="minorHAnsi" w:hAnsiTheme="minorHAnsi" w:cs="Helvetica"/>
          <w:b/>
          <w:bCs/>
          <w:i/>
          <w:iCs/>
          <w:color w:val="000000"/>
          <w:lang w:val="en-US"/>
        </w:rPr>
        <w:t xml:space="preserve">My view is that the anxiety about sustainability threatening History is overstated – the discipline is already doing this work, </w:t>
      </w:r>
      <w:proofErr w:type="gramStart"/>
      <w:r w:rsidRPr="00A4555F">
        <w:rPr>
          <w:rFonts w:asciiTheme="minorHAnsi" w:hAnsiTheme="minorHAnsi" w:cs="Helvetica"/>
          <w:b/>
          <w:bCs/>
          <w:i/>
          <w:iCs/>
          <w:color w:val="000000"/>
          <w:lang w:val="en-US"/>
        </w:rPr>
        <w:t>whether or not</w:t>
      </w:r>
      <w:proofErr w:type="gramEnd"/>
      <w:r w:rsidRPr="00A4555F">
        <w:rPr>
          <w:rFonts w:asciiTheme="minorHAnsi" w:hAnsiTheme="minorHAnsi" w:cs="Helvetica"/>
          <w:b/>
          <w:bCs/>
          <w:i/>
          <w:iCs/>
          <w:color w:val="000000"/>
          <w:lang w:val="en-US"/>
        </w:rPr>
        <w:t xml:space="preserve"> it is </w:t>
      </w:r>
      <w:proofErr w:type="spellStart"/>
      <w:r w:rsidRPr="00A4555F">
        <w:rPr>
          <w:rFonts w:asciiTheme="minorHAnsi" w:hAnsiTheme="minorHAnsi" w:cs="Helvetica"/>
          <w:b/>
          <w:bCs/>
          <w:i/>
          <w:iCs/>
          <w:color w:val="000000"/>
          <w:lang w:val="en-US"/>
        </w:rPr>
        <w:t>recognised</w:t>
      </w:r>
      <w:proofErr w:type="spellEnd"/>
      <w:r w:rsidRPr="00A4555F">
        <w:rPr>
          <w:rFonts w:asciiTheme="minorHAnsi" w:hAnsiTheme="minorHAnsi" w:cs="Helvetica"/>
          <w:b/>
          <w:bCs/>
          <w:i/>
          <w:iCs/>
          <w:color w:val="000000"/>
          <w:lang w:val="en-US"/>
        </w:rPr>
        <w:t xml:space="preserve"> as such.</w:t>
      </w:r>
    </w:p>
    <w:p w14:paraId="240D24D6"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p>
    <w:p w14:paraId="3A646ED4" w14:textId="77777777" w:rsidR="00846D06" w:rsidRPr="00846D06" w:rsidRDefault="00846D06" w:rsidP="00846D06">
      <w:pPr>
        <w:pStyle w:val="Heading4"/>
        <w:rPr>
          <w:lang w:val="en-US"/>
        </w:rPr>
      </w:pPr>
      <w:r w:rsidRPr="00846D06">
        <w:rPr>
          <w:lang w:val="en-US"/>
        </w:rPr>
        <w:t>4.3.2 QUALITATIVE DATA: POST-SORT REFLECTIONS AND INTERVIEWS</w:t>
      </w:r>
    </w:p>
    <w:p w14:paraId="39FC833F"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b/>
          <w:bCs/>
          <w:color w:val="000000"/>
          <w:sz w:val="24"/>
          <w:szCs w:val="24"/>
          <w:lang w:val="en-US"/>
        </w:rPr>
        <w:t>Post-sort written reflections were provided by P1, P2 and P5.  Follow-up interviews were conducted with P1 and P2.  P3 did not provide post-sort reflections or participate in an interview.</w:t>
      </w:r>
    </w:p>
    <w:p w14:paraId="2743E5A0"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The qualitative data strongly reinforces the core character of Factor 1 while revealing important nuances beneath the shared viewpoint.</w:t>
      </w:r>
    </w:p>
    <w:p w14:paraId="72CCE784" w14:textId="77777777" w:rsid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The rejection of teaching the past ‘on its own terms’ was felt with </w:t>
      </w:r>
      <w:proofErr w:type="gramStart"/>
      <w:r w:rsidRPr="00846D06">
        <w:rPr>
          <w:rFonts w:asciiTheme="minorHAnsi" w:hAnsiTheme="minorHAnsi" w:cs="Helvetica"/>
          <w:color w:val="000000"/>
          <w:sz w:val="24"/>
          <w:szCs w:val="24"/>
          <w:lang w:val="en-US"/>
        </w:rPr>
        <w:t>particular force</w:t>
      </w:r>
      <w:proofErr w:type="gramEnd"/>
      <w:r w:rsidRPr="00846D06">
        <w:rPr>
          <w:rFonts w:asciiTheme="minorHAnsi" w:hAnsiTheme="minorHAnsi" w:cs="Helvetica"/>
          <w:color w:val="000000"/>
          <w:sz w:val="24"/>
          <w:szCs w:val="24"/>
          <w:lang w:val="en-US"/>
        </w:rPr>
        <w:t xml:space="preserve">.  P2 explained that the statement suggested, </w:t>
      </w:r>
    </w:p>
    <w:p w14:paraId="17508536" w14:textId="1552C4A4" w:rsidR="006310E0" w:rsidRPr="006310E0" w:rsidRDefault="006310E0" w:rsidP="006310E0">
      <w:pPr>
        <w:autoSpaceDE w:val="0"/>
        <w:autoSpaceDN w:val="0"/>
        <w:adjustRightInd w:val="0"/>
        <w:spacing w:after="266" w:line="440" w:lineRule="atLeast"/>
        <w:ind w:left="720"/>
        <w:rPr>
          <w:rFonts w:asciiTheme="minorHAnsi" w:hAnsiTheme="minorHAnsi" w:cs="Helvetica"/>
          <w:i/>
          <w:iCs/>
          <w:color w:val="000000"/>
          <w:sz w:val="24"/>
          <w:szCs w:val="24"/>
          <w:lang w:val="en-US"/>
        </w:rPr>
      </w:pPr>
      <w:r w:rsidRPr="006310E0">
        <w:rPr>
          <w:rFonts w:asciiTheme="minorHAnsi" w:hAnsiTheme="minorHAnsi" w:cs="Helvetica"/>
          <w:i/>
          <w:iCs/>
          <w:color w:val="000000"/>
          <w:sz w:val="24"/>
          <w:szCs w:val="24"/>
          <w:lang w:val="en-US"/>
        </w:rPr>
        <w:t>treating history as an island that doesn’t have any relevance to anything in the world around it,</w:t>
      </w:r>
    </w:p>
    <w:p w14:paraId="12A83EDB" w14:textId="77777777" w:rsid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adding that </w:t>
      </w:r>
    </w:p>
    <w:p w14:paraId="0ADE80F1" w14:textId="35F15338" w:rsidR="006310E0" w:rsidRPr="006310E0" w:rsidRDefault="006310E0" w:rsidP="006310E0">
      <w:pPr>
        <w:autoSpaceDE w:val="0"/>
        <w:autoSpaceDN w:val="0"/>
        <w:adjustRightInd w:val="0"/>
        <w:spacing w:after="266" w:line="440" w:lineRule="atLeast"/>
        <w:ind w:left="720"/>
        <w:rPr>
          <w:rFonts w:asciiTheme="minorHAnsi" w:hAnsiTheme="minorHAnsi" w:cs="Helvetica"/>
          <w:i/>
          <w:iCs/>
          <w:color w:val="000000"/>
          <w:sz w:val="24"/>
          <w:szCs w:val="24"/>
          <w:lang w:val="en-US"/>
        </w:rPr>
      </w:pPr>
      <w:r w:rsidRPr="006310E0">
        <w:rPr>
          <w:rFonts w:asciiTheme="minorHAnsi" w:hAnsiTheme="minorHAnsi" w:cs="Helvetica"/>
          <w:i/>
          <w:iCs/>
          <w:color w:val="000000"/>
          <w:sz w:val="24"/>
          <w:szCs w:val="24"/>
          <w:lang w:val="en-US"/>
        </w:rPr>
        <w:lastRenderedPageBreak/>
        <w:t xml:space="preserve">you would hope that the lessons of the past might inform at least </w:t>
      </w:r>
      <w:proofErr w:type="gramStart"/>
      <w:r w:rsidRPr="006310E0">
        <w:rPr>
          <w:rFonts w:asciiTheme="minorHAnsi" w:hAnsiTheme="minorHAnsi" w:cs="Helvetica"/>
          <w:i/>
          <w:iCs/>
          <w:color w:val="000000"/>
          <w:sz w:val="24"/>
          <w:szCs w:val="24"/>
          <w:lang w:val="en-US"/>
        </w:rPr>
        <w:t>your</w:t>
      </w:r>
      <w:proofErr w:type="gramEnd"/>
      <w:r w:rsidRPr="006310E0">
        <w:rPr>
          <w:rFonts w:asciiTheme="minorHAnsi" w:hAnsiTheme="minorHAnsi" w:cs="Helvetica"/>
          <w:i/>
          <w:iCs/>
          <w:color w:val="000000"/>
          <w:sz w:val="24"/>
          <w:szCs w:val="24"/>
          <w:lang w:val="en-US"/>
        </w:rPr>
        <w:t xml:space="preserve"> thinking about the present, and hopefully </w:t>
      </w:r>
      <w:proofErr w:type="gramStart"/>
      <w:r w:rsidRPr="006310E0">
        <w:rPr>
          <w:rFonts w:asciiTheme="minorHAnsi" w:hAnsiTheme="minorHAnsi" w:cs="Helvetica"/>
          <w:i/>
          <w:iCs/>
          <w:color w:val="000000"/>
          <w:sz w:val="24"/>
          <w:szCs w:val="24"/>
          <w:lang w:val="en-US"/>
        </w:rPr>
        <w:t>your</w:t>
      </w:r>
      <w:proofErr w:type="gramEnd"/>
      <w:r w:rsidRPr="006310E0">
        <w:rPr>
          <w:rFonts w:asciiTheme="minorHAnsi" w:hAnsiTheme="minorHAnsi" w:cs="Helvetica"/>
          <w:i/>
          <w:iCs/>
          <w:color w:val="000000"/>
          <w:sz w:val="24"/>
          <w:szCs w:val="24"/>
          <w:lang w:val="en-US"/>
        </w:rPr>
        <w:t xml:space="preserve"> thinking about the future.</w:t>
      </w:r>
    </w:p>
    <w:p w14:paraId="5A708739" w14:textId="77777777" w:rsid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P1 was more emphatic, describing the idea as ‘absolute nonsense’, arguing that understanding the past is how we learn to navigate the present: </w:t>
      </w:r>
    </w:p>
    <w:p w14:paraId="7A1AA7CD" w14:textId="28912298" w:rsidR="006310E0" w:rsidRPr="006310E0" w:rsidRDefault="006310E0" w:rsidP="006310E0">
      <w:pPr>
        <w:autoSpaceDE w:val="0"/>
        <w:autoSpaceDN w:val="0"/>
        <w:adjustRightInd w:val="0"/>
        <w:spacing w:after="266" w:line="440" w:lineRule="atLeast"/>
        <w:ind w:left="720"/>
        <w:rPr>
          <w:rFonts w:asciiTheme="minorHAnsi" w:hAnsiTheme="minorHAnsi" w:cs="Helvetica"/>
          <w:i/>
          <w:iCs/>
          <w:color w:val="000000"/>
          <w:sz w:val="24"/>
          <w:szCs w:val="24"/>
          <w:lang w:val="en-US"/>
        </w:rPr>
      </w:pPr>
      <w:r w:rsidRPr="006310E0">
        <w:rPr>
          <w:rFonts w:asciiTheme="minorHAnsi" w:hAnsiTheme="minorHAnsi" w:cs="Helvetica"/>
          <w:i/>
          <w:iCs/>
          <w:color w:val="000000"/>
          <w:sz w:val="24"/>
          <w:szCs w:val="24"/>
          <w:lang w:val="en-US"/>
        </w:rPr>
        <w:t xml:space="preserve">Sustainability is </w:t>
      </w:r>
      <w:proofErr w:type="gramStart"/>
      <w:r w:rsidRPr="006310E0">
        <w:rPr>
          <w:rFonts w:asciiTheme="minorHAnsi" w:hAnsiTheme="minorHAnsi" w:cs="Helvetica"/>
          <w:i/>
          <w:iCs/>
          <w:color w:val="000000"/>
          <w:sz w:val="24"/>
          <w:szCs w:val="24"/>
          <w:lang w:val="en-US"/>
        </w:rPr>
        <w:t>really how</w:t>
      </w:r>
      <w:proofErr w:type="gramEnd"/>
      <w:r w:rsidRPr="006310E0">
        <w:rPr>
          <w:rFonts w:asciiTheme="minorHAnsi" w:hAnsiTheme="minorHAnsi" w:cs="Helvetica"/>
          <w:i/>
          <w:iCs/>
          <w:color w:val="000000"/>
          <w:sz w:val="24"/>
          <w:szCs w:val="24"/>
          <w:lang w:val="en-US"/>
        </w:rPr>
        <w:t xml:space="preserve"> we live as humans to be viable on earth and that is best to be learned in addition to </w:t>
      </w:r>
      <w:proofErr w:type="gramStart"/>
      <w:r w:rsidRPr="006310E0">
        <w:rPr>
          <w:rFonts w:asciiTheme="minorHAnsi" w:hAnsiTheme="minorHAnsi" w:cs="Helvetica"/>
          <w:i/>
          <w:iCs/>
          <w:color w:val="000000"/>
          <w:sz w:val="24"/>
          <w:szCs w:val="24"/>
          <w:lang w:val="en-US"/>
        </w:rPr>
        <w:t>new innovation</w:t>
      </w:r>
      <w:proofErr w:type="gramEnd"/>
      <w:r w:rsidRPr="006310E0">
        <w:rPr>
          <w:rFonts w:asciiTheme="minorHAnsi" w:hAnsiTheme="minorHAnsi" w:cs="Helvetica"/>
          <w:i/>
          <w:iCs/>
          <w:color w:val="000000"/>
          <w:sz w:val="24"/>
          <w:szCs w:val="24"/>
          <w:lang w:val="en-US"/>
        </w:rPr>
        <w:t xml:space="preserve"> from past societies.</w:t>
      </w:r>
    </w:p>
    <w:p w14:paraId="71FA0F08" w14:textId="77777777" w:rsid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P1 pointed specifically to China’s five thousand years of </w:t>
      </w:r>
      <w:proofErr w:type="spellStart"/>
      <w:r w:rsidRPr="00846D06">
        <w:rPr>
          <w:rFonts w:asciiTheme="minorHAnsi" w:hAnsiTheme="minorHAnsi" w:cs="Helvetica"/>
          <w:color w:val="000000"/>
          <w:sz w:val="24"/>
          <w:szCs w:val="24"/>
          <w:lang w:val="en-US"/>
        </w:rPr>
        <w:t>civilisational</w:t>
      </w:r>
      <w:proofErr w:type="spellEnd"/>
      <w:r w:rsidRPr="00846D06">
        <w:rPr>
          <w:rFonts w:asciiTheme="minorHAnsi" w:hAnsiTheme="minorHAnsi" w:cs="Helvetica"/>
          <w:color w:val="000000"/>
          <w:sz w:val="24"/>
          <w:szCs w:val="24"/>
          <w:lang w:val="en-US"/>
        </w:rPr>
        <w:t xml:space="preserve"> continuity as demonstrating how societies can </w:t>
      </w:r>
    </w:p>
    <w:p w14:paraId="23A52A58" w14:textId="3076CC65" w:rsidR="006310E0" w:rsidRDefault="006310E0" w:rsidP="006310E0">
      <w:pPr>
        <w:autoSpaceDE w:val="0"/>
        <w:autoSpaceDN w:val="0"/>
        <w:adjustRightInd w:val="0"/>
        <w:spacing w:after="266" w:line="440" w:lineRule="atLeast"/>
        <w:ind w:left="960"/>
        <w:rPr>
          <w:rFonts w:asciiTheme="minorHAnsi" w:hAnsiTheme="minorHAnsi" w:cs="Helvetica"/>
          <w:color w:val="000000"/>
          <w:sz w:val="24"/>
          <w:szCs w:val="24"/>
          <w:lang w:val="en-US"/>
        </w:rPr>
      </w:pPr>
      <w:r>
        <w:rPr>
          <w:rFonts w:asciiTheme="minorHAnsi" w:hAnsiTheme="minorHAnsi" w:cs="Helvetica"/>
          <w:color w:val="000000"/>
          <w:sz w:val="24"/>
          <w:szCs w:val="24"/>
          <w:lang w:val="en-US"/>
        </w:rPr>
        <w:t>be resilient by trying to navigate innovation and tradition.</w:t>
      </w:r>
    </w:p>
    <w:p w14:paraId="036840EB" w14:textId="18C0CD46" w:rsidR="006310E0" w:rsidRDefault="006310E0" w:rsidP="006310E0">
      <w:pPr>
        <w:autoSpaceDE w:val="0"/>
        <w:autoSpaceDN w:val="0"/>
        <w:adjustRightInd w:val="0"/>
        <w:spacing w:after="266" w:line="440" w:lineRule="atLeast"/>
        <w:rPr>
          <w:rFonts w:asciiTheme="minorHAnsi" w:hAnsiTheme="minorHAnsi" w:cs="Helvetica"/>
          <w:color w:val="000000"/>
          <w:sz w:val="24"/>
          <w:szCs w:val="24"/>
          <w:lang w:val="en-US"/>
        </w:rPr>
      </w:pPr>
      <w:r w:rsidRPr="006310E0">
        <w:rPr>
          <w:rFonts w:asciiTheme="minorHAnsi" w:hAnsiTheme="minorHAnsi" w:cs="AppleSystemUIFont"/>
          <w:sz w:val="24"/>
          <w:szCs w:val="24"/>
          <w:lang w:val="en-US"/>
        </w:rPr>
        <w:t>The commitment to organic, discipline-led integration – rather than top-down imposition emerged as a defining theme across all three participants who provided qualitative data.  P5’s post-sort reflection was particularly forceful:</w:t>
      </w:r>
    </w:p>
    <w:p w14:paraId="7CA20B87" w14:textId="1F19A813" w:rsidR="00846D06" w:rsidRPr="00846D06" w:rsidRDefault="00846D06" w:rsidP="006310E0">
      <w:pPr>
        <w:autoSpaceDE w:val="0"/>
        <w:autoSpaceDN w:val="0"/>
        <w:adjustRightInd w:val="0"/>
        <w:spacing w:after="266" w:line="440" w:lineRule="atLeast"/>
        <w:ind w:left="720"/>
        <w:rPr>
          <w:rFonts w:asciiTheme="minorHAnsi" w:hAnsiTheme="minorHAnsi" w:cs="Helvetica"/>
          <w:color w:val="000000"/>
          <w:sz w:val="24"/>
          <w:szCs w:val="24"/>
          <w:lang w:val="en-US"/>
        </w:rPr>
      </w:pPr>
      <w:r w:rsidRPr="00846D06">
        <w:rPr>
          <w:rFonts w:asciiTheme="minorHAnsi" w:hAnsiTheme="minorHAnsi" w:cs="Helvetica"/>
          <w:i/>
          <w:iCs/>
          <w:color w:val="000000"/>
          <w:sz w:val="24"/>
          <w:szCs w:val="24"/>
          <w:lang w:val="en-US"/>
        </w:rPr>
        <w:t xml:space="preserve">Our existing approach to historical research does fundamentally teach literacy in </w:t>
      </w:r>
      <w:proofErr w:type="gramStart"/>
      <w:r w:rsidRPr="00846D06">
        <w:rPr>
          <w:rFonts w:asciiTheme="minorHAnsi" w:hAnsiTheme="minorHAnsi" w:cs="Helvetica"/>
          <w:i/>
          <w:iCs/>
          <w:color w:val="000000"/>
          <w:sz w:val="24"/>
          <w:szCs w:val="24"/>
          <w:lang w:val="en-US"/>
        </w:rPr>
        <w:t>a number of</w:t>
      </w:r>
      <w:proofErr w:type="gramEnd"/>
      <w:r w:rsidRPr="00846D06">
        <w:rPr>
          <w:rFonts w:asciiTheme="minorHAnsi" w:hAnsiTheme="minorHAnsi" w:cs="Helvetica"/>
          <w:i/>
          <w:iCs/>
          <w:color w:val="000000"/>
          <w:sz w:val="24"/>
          <w:szCs w:val="24"/>
          <w:lang w:val="en-US"/>
        </w:rPr>
        <w:t xml:space="preserve"> areas that complement and include sustainability.  More work needs to be done to convince historians of the possibilities and naturalness of integrating these approaches with their own practice.  </w:t>
      </w:r>
    </w:p>
    <w:p w14:paraId="6FA126D6" w14:textId="3651A011"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P5 warned that</w:t>
      </w:r>
      <w:r w:rsidR="006310E0">
        <w:rPr>
          <w:rFonts w:asciiTheme="minorHAnsi" w:hAnsiTheme="minorHAnsi" w:cs="Helvetica"/>
          <w:color w:val="000000"/>
          <w:sz w:val="24"/>
          <w:szCs w:val="24"/>
          <w:lang w:val="en-US"/>
        </w:rPr>
        <w:t>:</w:t>
      </w:r>
      <w:r w:rsidRPr="00846D06">
        <w:rPr>
          <w:rFonts w:asciiTheme="minorHAnsi" w:hAnsiTheme="minorHAnsi" w:cs="Helvetica"/>
          <w:color w:val="000000"/>
          <w:sz w:val="24"/>
          <w:szCs w:val="24"/>
          <w:lang w:val="en-US"/>
        </w:rPr>
        <w:t xml:space="preserve"> </w:t>
      </w:r>
    </w:p>
    <w:p w14:paraId="145BD60F" w14:textId="02B530FB" w:rsidR="00846D06" w:rsidRPr="00846D06" w:rsidRDefault="00846D06" w:rsidP="006310E0">
      <w:pPr>
        <w:autoSpaceDE w:val="0"/>
        <w:autoSpaceDN w:val="0"/>
        <w:adjustRightInd w:val="0"/>
        <w:spacing w:after="266" w:line="440" w:lineRule="atLeast"/>
        <w:ind w:left="720"/>
        <w:rPr>
          <w:rFonts w:asciiTheme="minorHAnsi" w:hAnsiTheme="minorHAnsi" w:cs="Helvetica"/>
          <w:color w:val="000000"/>
          <w:sz w:val="24"/>
          <w:szCs w:val="24"/>
          <w:lang w:val="en-US"/>
        </w:rPr>
      </w:pPr>
      <w:r w:rsidRPr="00846D06">
        <w:rPr>
          <w:rFonts w:asciiTheme="minorHAnsi" w:hAnsiTheme="minorHAnsi" w:cs="Helvetica"/>
          <w:i/>
          <w:iCs/>
          <w:color w:val="000000"/>
          <w:sz w:val="24"/>
          <w:szCs w:val="24"/>
          <w:lang w:val="en-US"/>
        </w:rPr>
        <w:t xml:space="preserve">there needs to be care that this doesn’t feel like another top-down initiative that’s being imposed upon historians, which assumes that we are somehow antiquated and unprepared to integrate this quite meaningfully into what we already do. </w:t>
      </w:r>
    </w:p>
    <w:p w14:paraId="222FA9BC"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P1 expressed a related frustration with institutional approaches: </w:t>
      </w:r>
    </w:p>
    <w:p w14:paraId="198F5230" w14:textId="2C1F5672" w:rsidR="00846D06" w:rsidRPr="00846D06" w:rsidRDefault="00846D06" w:rsidP="006310E0">
      <w:pPr>
        <w:autoSpaceDE w:val="0"/>
        <w:autoSpaceDN w:val="0"/>
        <w:adjustRightInd w:val="0"/>
        <w:spacing w:after="266" w:line="440" w:lineRule="atLeast"/>
        <w:ind w:left="720"/>
        <w:rPr>
          <w:rFonts w:asciiTheme="minorHAnsi" w:hAnsiTheme="minorHAnsi" w:cs="Helvetica"/>
          <w:color w:val="000000"/>
          <w:sz w:val="24"/>
          <w:szCs w:val="24"/>
          <w:lang w:val="en-US"/>
        </w:rPr>
      </w:pPr>
      <w:r w:rsidRPr="00846D06">
        <w:rPr>
          <w:rFonts w:asciiTheme="minorHAnsi" w:hAnsiTheme="minorHAnsi" w:cs="Helvetica"/>
          <w:i/>
          <w:iCs/>
          <w:color w:val="000000"/>
          <w:sz w:val="24"/>
          <w:szCs w:val="24"/>
          <w:lang w:val="en-US"/>
        </w:rPr>
        <w:lastRenderedPageBreak/>
        <w:t xml:space="preserve">it’s now the fashionable word. And we have its </w:t>
      </w:r>
      <w:proofErr w:type="gramStart"/>
      <w:r w:rsidRPr="00846D06">
        <w:rPr>
          <w:rFonts w:asciiTheme="minorHAnsi" w:hAnsiTheme="minorHAnsi" w:cs="Helvetica"/>
          <w:i/>
          <w:iCs/>
          <w:color w:val="000000"/>
          <w:sz w:val="24"/>
          <w:szCs w:val="24"/>
          <w:lang w:val="en-US"/>
        </w:rPr>
        <w:t>sustainability</w:t>
      </w:r>
      <w:proofErr w:type="gramEnd"/>
      <w:r w:rsidRPr="00846D06">
        <w:rPr>
          <w:rFonts w:asciiTheme="minorHAnsi" w:hAnsiTheme="minorHAnsi" w:cs="Helvetica"/>
          <w:i/>
          <w:iCs/>
          <w:color w:val="000000"/>
          <w:sz w:val="24"/>
          <w:szCs w:val="24"/>
          <w:lang w:val="en-US"/>
        </w:rPr>
        <w:t xml:space="preserve"> and we disregard any natural organic application of that and we disregard what organically has already been done in the past.</w:t>
      </w:r>
    </w:p>
    <w:p w14:paraId="2A50BA74" w14:textId="537E16D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The emphasis on </w:t>
      </w:r>
      <w:r w:rsidRPr="00846D06">
        <w:rPr>
          <w:rFonts w:asciiTheme="minorHAnsi" w:hAnsiTheme="minorHAnsi" w:cs="Helvetica"/>
          <w:i/>
          <w:iCs/>
          <w:color w:val="000000"/>
          <w:sz w:val="24"/>
          <w:szCs w:val="24"/>
          <w:lang w:val="en-US"/>
        </w:rPr>
        <w:t>naturalness</w:t>
      </w:r>
      <w:r w:rsidRPr="00846D06">
        <w:rPr>
          <w:rFonts w:asciiTheme="minorHAnsi" w:hAnsiTheme="minorHAnsi" w:cs="Helvetica"/>
          <w:color w:val="000000"/>
          <w:sz w:val="24"/>
          <w:szCs w:val="24"/>
          <w:lang w:val="en-US"/>
        </w:rPr>
        <w:t xml:space="preserve"> and </w:t>
      </w:r>
      <w:r w:rsidRPr="00846D06">
        <w:rPr>
          <w:rFonts w:asciiTheme="minorHAnsi" w:hAnsiTheme="minorHAnsi" w:cs="Helvetica"/>
          <w:i/>
          <w:iCs/>
          <w:color w:val="000000"/>
          <w:sz w:val="24"/>
          <w:szCs w:val="24"/>
          <w:lang w:val="en-US"/>
        </w:rPr>
        <w:t>organicism</w:t>
      </w:r>
      <w:r w:rsidRPr="00846D06">
        <w:rPr>
          <w:rFonts w:asciiTheme="minorHAnsi" w:hAnsiTheme="minorHAnsi" w:cs="Helvetica"/>
          <w:color w:val="000000"/>
          <w:sz w:val="24"/>
          <w:szCs w:val="24"/>
          <w:lang w:val="en-US"/>
        </w:rPr>
        <w:t xml:space="preserve"> across these reflections powerfully reinforces the factor array’s placement of </w:t>
      </w:r>
      <w:r w:rsidRPr="006310E0">
        <w:rPr>
          <w:rFonts w:asciiTheme="minorHAnsi" w:hAnsiTheme="minorHAnsi" w:cs="Helvetica"/>
          <w:b/>
          <w:bCs/>
          <w:color w:val="000000"/>
          <w:sz w:val="24"/>
          <w:szCs w:val="24"/>
          <w:lang w:val="en-US"/>
        </w:rPr>
        <w:t>‘</w:t>
      </w:r>
      <w:r w:rsidR="006310E0" w:rsidRPr="006310E0">
        <w:rPr>
          <w:rFonts w:asciiTheme="minorHAnsi" w:hAnsiTheme="minorHAnsi" w:cs="Helvetica"/>
          <w:b/>
          <w:bCs/>
          <w:color w:val="000000"/>
          <w:sz w:val="24"/>
          <w:szCs w:val="24"/>
          <w:lang w:val="en-US"/>
        </w:rPr>
        <w:t>S</w:t>
      </w:r>
      <w:r w:rsidRPr="006310E0">
        <w:rPr>
          <w:rFonts w:asciiTheme="minorHAnsi" w:hAnsiTheme="minorHAnsi" w:cs="Helvetica"/>
          <w:b/>
          <w:bCs/>
          <w:color w:val="000000"/>
          <w:sz w:val="24"/>
          <w:szCs w:val="24"/>
          <w:lang w:val="en-US"/>
        </w:rPr>
        <w:t xml:space="preserve">ustainability themes must arise organically from the content’ </w:t>
      </w:r>
      <w:r w:rsidRPr="00846D06">
        <w:rPr>
          <w:rFonts w:asciiTheme="minorHAnsi" w:hAnsiTheme="minorHAnsi" w:cs="Helvetica"/>
          <w:color w:val="000000"/>
          <w:sz w:val="24"/>
          <w:szCs w:val="24"/>
          <w:lang w:val="en-US"/>
        </w:rPr>
        <w:t>at +1 and the strong rejection of imposed agendas.</w:t>
      </w:r>
    </w:p>
    <w:p w14:paraId="760DC4C3"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094257C4" w14:textId="1FFDEAFF"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P2’s interview, while more measured in tone</w:t>
      </w:r>
      <w:r w:rsidR="006310E0">
        <w:rPr>
          <w:rFonts w:asciiTheme="minorHAnsi" w:hAnsiTheme="minorHAnsi" w:cs="Helvetica"/>
          <w:color w:val="000000"/>
          <w:sz w:val="24"/>
          <w:szCs w:val="24"/>
          <w:lang w:val="en-US"/>
        </w:rPr>
        <w:t xml:space="preserve"> than that of P1</w:t>
      </w:r>
      <w:r w:rsidRPr="00846D06">
        <w:rPr>
          <w:rFonts w:asciiTheme="minorHAnsi" w:hAnsiTheme="minorHAnsi" w:cs="Helvetica"/>
          <w:color w:val="000000"/>
          <w:sz w:val="24"/>
          <w:szCs w:val="24"/>
          <w:lang w:val="en-US"/>
        </w:rPr>
        <w:t xml:space="preserve">, introduced a crucial practical insight.  P2 acknowledged seeing the importance of incorporating sustainability but admitted: </w:t>
      </w:r>
    </w:p>
    <w:p w14:paraId="512DB578" w14:textId="3913FC0C" w:rsidR="00846D06" w:rsidRPr="00846D06" w:rsidRDefault="00846D06" w:rsidP="006310E0">
      <w:pPr>
        <w:autoSpaceDE w:val="0"/>
        <w:autoSpaceDN w:val="0"/>
        <w:adjustRightInd w:val="0"/>
        <w:spacing w:after="266" w:line="440" w:lineRule="atLeast"/>
        <w:ind w:left="1680" w:hanging="960"/>
        <w:rPr>
          <w:rFonts w:asciiTheme="minorHAnsi" w:hAnsiTheme="minorHAnsi" w:cs="Helvetica"/>
          <w:color w:val="000000"/>
          <w:sz w:val="24"/>
          <w:szCs w:val="24"/>
          <w:lang w:val="en-US"/>
        </w:rPr>
      </w:pPr>
      <w:r w:rsidRPr="00846D06">
        <w:rPr>
          <w:rFonts w:asciiTheme="minorHAnsi" w:hAnsiTheme="minorHAnsi" w:cs="Helvetica"/>
          <w:i/>
          <w:iCs/>
          <w:color w:val="000000"/>
          <w:sz w:val="24"/>
          <w:szCs w:val="24"/>
          <w:lang w:val="en-US"/>
        </w:rPr>
        <w:t xml:space="preserve">I don’t always see how to do it.  </w:t>
      </w:r>
    </w:p>
    <w:p w14:paraId="6197B06E"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This was paired, however, with a recognition that structured reflection often reveals engagement that practitioners do not </w:t>
      </w:r>
      <w:proofErr w:type="spellStart"/>
      <w:r w:rsidRPr="00846D06">
        <w:rPr>
          <w:rFonts w:asciiTheme="minorHAnsi" w:hAnsiTheme="minorHAnsi" w:cs="Helvetica"/>
          <w:color w:val="000000"/>
          <w:sz w:val="24"/>
          <w:szCs w:val="24"/>
          <w:lang w:val="en-US"/>
        </w:rPr>
        <w:t>recognise</w:t>
      </w:r>
      <w:proofErr w:type="spellEnd"/>
      <w:r w:rsidRPr="00846D06">
        <w:rPr>
          <w:rFonts w:asciiTheme="minorHAnsi" w:hAnsiTheme="minorHAnsi" w:cs="Helvetica"/>
          <w:color w:val="000000"/>
          <w:sz w:val="24"/>
          <w:szCs w:val="24"/>
          <w:lang w:val="en-US"/>
        </w:rPr>
        <w:t xml:space="preserve">: </w:t>
      </w:r>
    </w:p>
    <w:p w14:paraId="1358651F" w14:textId="6669D572" w:rsidR="00846D06" w:rsidRPr="00846D06" w:rsidRDefault="00846D06" w:rsidP="006310E0">
      <w:pPr>
        <w:autoSpaceDE w:val="0"/>
        <w:autoSpaceDN w:val="0"/>
        <w:adjustRightInd w:val="0"/>
        <w:spacing w:after="266" w:line="440" w:lineRule="atLeast"/>
        <w:ind w:left="720"/>
        <w:rPr>
          <w:rFonts w:asciiTheme="minorHAnsi" w:hAnsiTheme="minorHAnsi" w:cs="Helvetica"/>
          <w:color w:val="000000"/>
          <w:sz w:val="24"/>
          <w:szCs w:val="24"/>
          <w:lang w:val="en-US"/>
        </w:rPr>
      </w:pPr>
      <w:r w:rsidRPr="00846D06">
        <w:rPr>
          <w:rFonts w:asciiTheme="minorHAnsi" w:hAnsiTheme="minorHAnsi" w:cs="Helvetica"/>
          <w:i/>
          <w:iCs/>
          <w:color w:val="000000"/>
          <w:sz w:val="24"/>
          <w:szCs w:val="24"/>
          <w:lang w:val="en-US"/>
        </w:rPr>
        <w:t>sometimes that sort of step back and think about pedagogy, material, oh, when we do that, we’re doing that.</w:t>
      </w:r>
    </w:p>
    <w:p w14:paraId="412C2516"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P2 also noted a common tendency </w:t>
      </w:r>
    </w:p>
    <w:p w14:paraId="55979A21" w14:textId="537690DE" w:rsidR="00846D06" w:rsidRPr="00846D06" w:rsidRDefault="00846D06" w:rsidP="00BD25FE">
      <w:pPr>
        <w:autoSpaceDE w:val="0"/>
        <w:autoSpaceDN w:val="0"/>
        <w:adjustRightInd w:val="0"/>
        <w:spacing w:after="266" w:line="440" w:lineRule="atLeast"/>
        <w:ind w:left="720"/>
        <w:rPr>
          <w:rFonts w:asciiTheme="minorHAnsi" w:hAnsiTheme="minorHAnsi" w:cs="Helvetica"/>
          <w:color w:val="000000"/>
          <w:sz w:val="24"/>
          <w:szCs w:val="24"/>
          <w:lang w:val="en-US"/>
        </w:rPr>
      </w:pPr>
      <w:r w:rsidRPr="00846D06">
        <w:rPr>
          <w:rFonts w:asciiTheme="minorHAnsi" w:hAnsiTheme="minorHAnsi" w:cs="Helvetica"/>
          <w:i/>
          <w:iCs/>
          <w:color w:val="000000"/>
          <w:sz w:val="24"/>
          <w:szCs w:val="24"/>
          <w:lang w:val="en-US"/>
        </w:rPr>
        <w:t xml:space="preserve">to think that some of this is all about environment, when it’s not, it’s </w:t>
      </w:r>
      <w:proofErr w:type="gramStart"/>
      <w:r w:rsidRPr="00846D06">
        <w:rPr>
          <w:rFonts w:asciiTheme="minorHAnsi" w:hAnsiTheme="minorHAnsi" w:cs="Helvetica"/>
          <w:i/>
          <w:iCs/>
          <w:color w:val="000000"/>
          <w:sz w:val="24"/>
          <w:szCs w:val="24"/>
          <w:lang w:val="en-US"/>
        </w:rPr>
        <w:t>really not</w:t>
      </w:r>
      <w:proofErr w:type="gramEnd"/>
      <w:r w:rsidRPr="00846D06">
        <w:rPr>
          <w:rFonts w:asciiTheme="minorHAnsi" w:hAnsiTheme="minorHAnsi" w:cs="Helvetica"/>
          <w:i/>
          <w:iCs/>
          <w:color w:val="000000"/>
          <w:sz w:val="24"/>
          <w:szCs w:val="24"/>
          <w:lang w:val="en-US"/>
        </w:rPr>
        <w:t xml:space="preserve">, </w:t>
      </w:r>
    </w:p>
    <w:p w14:paraId="3400B55D"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pointing to the breadth of the SDGs and the relevance of community engagement to historical practice.  On the question of whether sustainability should be integrated across all modules – placed at the neutral point in the factor array – P2 explained: </w:t>
      </w:r>
    </w:p>
    <w:p w14:paraId="1A3A6E4E" w14:textId="55E36A40" w:rsidR="00846D06" w:rsidRPr="00846D06" w:rsidRDefault="00846D06" w:rsidP="00BD25FE">
      <w:pPr>
        <w:autoSpaceDE w:val="0"/>
        <w:autoSpaceDN w:val="0"/>
        <w:adjustRightInd w:val="0"/>
        <w:spacing w:after="266" w:line="440" w:lineRule="atLeast"/>
        <w:ind w:left="720"/>
        <w:rPr>
          <w:rFonts w:asciiTheme="minorHAnsi" w:hAnsiTheme="minorHAnsi" w:cs="Helvetica"/>
          <w:color w:val="000000"/>
          <w:sz w:val="24"/>
          <w:szCs w:val="24"/>
          <w:lang w:val="en-US"/>
        </w:rPr>
      </w:pPr>
      <w:r w:rsidRPr="00846D06">
        <w:rPr>
          <w:rFonts w:asciiTheme="minorHAnsi" w:hAnsiTheme="minorHAnsi" w:cs="Helvetica"/>
          <w:i/>
          <w:iCs/>
          <w:color w:val="000000"/>
          <w:sz w:val="24"/>
          <w:szCs w:val="24"/>
          <w:lang w:val="en-US"/>
        </w:rPr>
        <w:t>it’s easier for some than for others…all might be more than we can sensibly expect, because it might be shoehorning it in in some areas, but it’s not none, or one or two either.</w:t>
      </w:r>
    </w:p>
    <w:p w14:paraId="4EA65EAE" w14:textId="77777777" w:rsidR="00846D06" w:rsidRPr="00846D06" w:rsidRDefault="00846D06" w:rsidP="00846D06">
      <w:pPr>
        <w:autoSpaceDE w:val="0"/>
        <w:autoSpaceDN w:val="0"/>
        <w:adjustRightInd w:val="0"/>
        <w:spacing w:after="266" w:line="440" w:lineRule="atLeast"/>
        <w:ind w:left="960" w:hanging="960"/>
        <w:rPr>
          <w:rFonts w:asciiTheme="minorHAnsi" w:hAnsiTheme="minorHAnsi" w:cs="Helvetica"/>
          <w:color w:val="000000"/>
          <w:sz w:val="24"/>
          <w:szCs w:val="24"/>
          <w:lang w:val="en-US"/>
        </w:rPr>
      </w:pPr>
      <w:r w:rsidRPr="00846D06">
        <w:rPr>
          <w:rFonts w:asciiTheme="minorHAnsi" w:hAnsiTheme="minorHAnsi" w:cs="Helvetica"/>
          <w:i/>
          <w:iCs/>
          <w:color w:val="000000"/>
          <w:sz w:val="24"/>
          <w:szCs w:val="24"/>
          <w:lang w:val="en-US"/>
        </w:rPr>
        <w:lastRenderedPageBreak/>
        <w:t> </w:t>
      </w:r>
    </w:p>
    <w:p w14:paraId="5F8B29D4"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The qualitative data also complicated the Factor 1 narrative in one important respect.  P1, discussing the neutral placement of the statement that the core skills of a historian are ‘already highly compatible’ with ESD’s call for critical and systems thinking, agreed with the principle but challenged the assumption underlying it.: </w:t>
      </w:r>
    </w:p>
    <w:p w14:paraId="78D08414" w14:textId="33E432F9" w:rsidR="00846D06" w:rsidRPr="00846D06" w:rsidRDefault="00846D06" w:rsidP="00BD25FE">
      <w:pPr>
        <w:autoSpaceDE w:val="0"/>
        <w:autoSpaceDN w:val="0"/>
        <w:adjustRightInd w:val="0"/>
        <w:spacing w:after="266" w:line="440" w:lineRule="atLeast"/>
        <w:ind w:left="720"/>
        <w:rPr>
          <w:rFonts w:asciiTheme="minorHAnsi" w:hAnsiTheme="minorHAnsi" w:cs="Helvetica"/>
          <w:color w:val="000000"/>
          <w:sz w:val="24"/>
          <w:szCs w:val="24"/>
          <w:lang w:val="en-US"/>
        </w:rPr>
      </w:pPr>
      <w:r w:rsidRPr="00846D06">
        <w:rPr>
          <w:rFonts w:asciiTheme="minorHAnsi" w:hAnsiTheme="minorHAnsi" w:cs="Helvetica"/>
          <w:i/>
          <w:iCs/>
          <w:color w:val="000000"/>
          <w:sz w:val="24"/>
          <w:szCs w:val="24"/>
          <w:lang w:val="en-US"/>
        </w:rPr>
        <w:t xml:space="preserve">I disagree more with the assumption compared with what I see in practice.  </w:t>
      </w:r>
    </w:p>
    <w:p w14:paraId="7267D9D7"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Drawing on a recent doctoral supervision, P1 described a capable student whose conception of ‘rigorous source analysis’ extended no further than establishing provenance and dates: </w:t>
      </w:r>
    </w:p>
    <w:p w14:paraId="151D0093" w14:textId="73AE38C3" w:rsidR="00846D06" w:rsidRPr="00846D06" w:rsidRDefault="00846D06" w:rsidP="00BD25FE">
      <w:pPr>
        <w:autoSpaceDE w:val="0"/>
        <w:autoSpaceDN w:val="0"/>
        <w:adjustRightInd w:val="0"/>
        <w:spacing w:after="266" w:line="440" w:lineRule="atLeast"/>
        <w:ind w:left="720"/>
        <w:rPr>
          <w:rFonts w:asciiTheme="minorHAnsi" w:hAnsiTheme="minorHAnsi" w:cs="Helvetica"/>
          <w:color w:val="000000"/>
          <w:sz w:val="24"/>
          <w:szCs w:val="24"/>
          <w:lang w:val="en-US"/>
        </w:rPr>
      </w:pPr>
      <w:r w:rsidRPr="00846D06">
        <w:rPr>
          <w:rFonts w:asciiTheme="minorHAnsi" w:hAnsiTheme="minorHAnsi" w:cs="Helvetica"/>
          <w:i/>
          <w:iCs/>
          <w:color w:val="000000"/>
          <w:sz w:val="24"/>
          <w:szCs w:val="24"/>
          <w:lang w:val="en-US"/>
        </w:rPr>
        <w:t xml:space="preserve">if you really </w:t>
      </w:r>
      <w:proofErr w:type="gramStart"/>
      <w:r w:rsidRPr="00846D06">
        <w:rPr>
          <w:rFonts w:asciiTheme="minorHAnsi" w:hAnsiTheme="minorHAnsi" w:cs="Helvetica"/>
          <w:i/>
          <w:iCs/>
          <w:color w:val="000000"/>
          <w:sz w:val="24"/>
          <w:szCs w:val="24"/>
          <w:lang w:val="en-US"/>
        </w:rPr>
        <w:t>have the understanding of</w:t>
      </w:r>
      <w:proofErr w:type="gramEnd"/>
      <w:r w:rsidRPr="00846D06">
        <w:rPr>
          <w:rFonts w:asciiTheme="minorHAnsi" w:hAnsiTheme="minorHAnsi" w:cs="Helvetica"/>
          <w:i/>
          <w:iCs/>
          <w:color w:val="000000"/>
          <w:sz w:val="24"/>
          <w:szCs w:val="24"/>
          <w:lang w:val="en-US"/>
        </w:rPr>
        <w:t xml:space="preserve"> complex core skills, yes, but I see too many PhDs in history where they simply said, oh, on the 20</w:t>
      </w:r>
      <w:r w:rsidRPr="00846D06">
        <w:rPr>
          <w:rFonts w:asciiTheme="minorHAnsi" w:hAnsiTheme="minorHAnsi" w:cs="Helvetica"/>
          <w:i/>
          <w:iCs/>
          <w:color w:val="000000"/>
          <w:sz w:val="24"/>
          <w:szCs w:val="24"/>
          <w:vertAlign w:val="superscript"/>
          <w:lang w:val="en-US"/>
        </w:rPr>
        <w:t>th</w:t>
      </w:r>
      <w:r w:rsidRPr="00846D06">
        <w:rPr>
          <w:rFonts w:asciiTheme="minorHAnsi" w:hAnsiTheme="minorHAnsi" w:cs="Helvetica"/>
          <w:i/>
          <w:iCs/>
          <w:color w:val="000000"/>
          <w:sz w:val="24"/>
          <w:szCs w:val="24"/>
          <w:lang w:val="en-US"/>
        </w:rPr>
        <w:t xml:space="preserve"> May they did that, on the 21</w:t>
      </w:r>
      <w:r w:rsidRPr="00846D06">
        <w:rPr>
          <w:rFonts w:asciiTheme="minorHAnsi" w:hAnsiTheme="minorHAnsi" w:cs="Helvetica"/>
          <w:i/>
          <w:iCs/>
          <w:color w:val="000000"/>
          <w:sz w:val="24"/>
          <w:szCs w:val="24"/>
          <w:vertAlign w:val="superscript"/>
          <w:lang w:val="en-US"/>
        </w:rPr>
        <w:t>st</w:t>
      </w:r>
      <w:r w:rsidRPr="00846D06">
        <w:rPr>
          <w:rFonts w:asciiTheme="minorHAnsi" w:hAnsiTheme="minorHAnsi" w:cs="Helvetica"/>
          <w:i/>
          <w:iCs/>
          <w:color w:val="000000"/>
          <w:sz w:val="24"/>
          <w:szCs w:val="24"/>
          <w:lang w:val="en-US"/>
        </w:rPr>
        <w:t xml:space="preserve"> of May they did that.  That’s not rigorous source analysis.  </w:t>
      </w:r>
    </w:p>
    <w:p w14:paraId="14ABB76F"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This suggests that the alignment between History’s epistemology and sustainability thinking – central to the Factor 1 viewpoint – depends on History </w:t>
      </w:r>
      <w:proofErr w:type="spellStart"/>
      <w:r w:rsidRPr="00846D06">
        <w:rPr>
          <w:rFonts w:asciiTheme="minorHAnsi" w:hAnsiTheme="minorHAnsi" w:cs="Helvetica"/>
          <w:color w:val="000000"/>
          <w:sz w:val="24"/>
          <w:szCs w:val="24"/>
          <w:lang w:val="en-US"/>
        </w:rPr>
        <w:t>programmes</w:t>
      </w:r>
      <w:proofErr w:type="spellEnd"/>
      <w:r w:rsidRPr="00846D06">
        <w:rPr>
          <w:rFonts w:asciiTheme="minorHAnsi" w:hAnsiTheme="minorHAnsi" w:cs="Helvetica"/>
          <w:color w:val="000000"/>
          <w:sz w:val="24"/>
          <w:szCs w:val="24"/>
          <w:lang w:val="en-US"/>
        </w:rPr>
        <w:t xml:space="preserve"> </w:t>
      </w:r>
      <w:proofErr w:type="gramStart"/>
      <w:r w:rsidRPr="00846D06">
        <w:rPr>
          <w:rFonts w:asciiTheme="minorHAnsi" w:hAnsiTheme="minorHAnsi" w:cs="Helvetica"/>
          <w:color w:val="000000"/>
          <w:sz w:val="24"/>
          <w:szCs w:val="24"/>
          <w:lang w:val="en-US"/>
        </w:rPr>
        <w:t>actually cultivating</w:t>
      </w:r>
      <w:proofErr w:type="gramEnd"/>
      <w:r w:rsidRPr="00846D06">
        <w:rPr>
          <w:rFonts w:asciiTheme="minorHAnsi" w:hAnsiTheme="minorHAnsi" w:cs="Helvetica"/>
          <w:color w:val="000000"/>
          <w:sz w:val="24"/>
          <w:szCs w:val="24"/>
          <w:lang w:val="en-US"/>
        </w:rPr>
        <w:t xml:space="preserve"> the depth of critical analysis the discipline claims, which is not always the case in practice.</w:t>
      </w:r>
    </w:p>
    <w:p w14:paraId="1AA8E15D"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5BDA5D90"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Finally, P5’s post-sort reflections addressed the question of resources and consistency directly.  While strongly disagreeing that sufficient resources exist, P5 was equally resistant to mandated consistency: </w:t>
      </w:r>
    </w:p>
    <w:p w14:paraId="634440AA" w14:textId="7DC4801B" w:rsidR="00846D06" w:rsidRPr="00846D06" w:rsidRDefault="00846D06" w:rsidP="00BD25FE">
      <w:pPr>
        <w:autoSpaceDE w:val="0"/>
        <w:autoSpaceDN w:val="0"/>
        <w:adjustRightInd w:val="0"/>
        <w:spacing w:after="266" w:line="440" w:lineRule="atLeast"/>
        <w:ind w:left="720"/>
        <w:rPr>
          <w:rFonts w:asciiTheme="minorHAnsi" w:hAnsiTheme="minorHAnsi" w:cs="Helvetica"/>
          <w:color w:val="000000"/>
          <w:sz w:val="24"/>
          <w:szCs w:val="24"/>
          <w:lang w:val="en-US"/>
        </w:rPr>
      </w:pPr>
      <w:r w:rsidRPr="00846D06">
        <w:rPr>
          <w:rFonts w:asciiTheme="minorHAnsi" w:hAnsiTheme="minorHAnsi" w:cs="Helvetica"/>
          <w:i/>
          <w:iCs/>
          <w:color w:val="000000"/>
          <w:sz w:val="24"/>
          <w:szCs w:val="24"/>
          <w:lang w:val="en-US"/>
        </w:rPr>
        <w:t xml:space="preserve">Professional historians and educators should be able to decide, based on their expertise and knowledge, how best to teach the subject…a range of possible advice and ideas are better than a single mandated approach and way to do this.  The latter isn’t going to work, nor is it going to convince historians to engage with this.’  </w:t>
      </w:r>
    </w:p>
    <w:p w14:paraId="4C71B46A"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lastRenderedPageBreak/>
        <w:t>This reinforces the core tension within Factor 1: a genuine belief in History’s alignment with sustainability, combined with a deep resistance to the mechanisms by which institutions and policymakers might seek to make that alignment visible.</w:t>
      </w:r>
    </w:p>
    <w:p w14:paraId="3EDF0D94" w14:textId="77777777" w:rsidR="00FA0A77" w:rsidRPr="00FA0A77" w:rsidRDefault="00FA0A77" w:rsidP="00FA0A77">
      <w:pPr>
        <w:autoSpaceDE w:val="0"/>
        <w:autoSpaceDN w:val="0"/>
        <w:adjustRightInd w:val="0"/>
        <w:spacing w:after="266" w:line="440" w:lineRule="atLeast"/>
        <w:rPr>
          <w:rFonts w:asciiTheme="minorHAnsi" w:hAnsiTheme="minorHAnsi" w:cs="Helvetica"/>
          <w:color w:val="000000"/>
          <w:sz w:val="24"/>
          <w:szCs w:val="24"/>
          <w:lang w:val="en-US"/>
        </w:rPr>
      </w:pPr>
    </w:p>
    <w:p w14:paraId="0760DE67" w14:textId="77BA42C4" w:rsidR="00846D06" w:rsidRPr="00846D06" w:rsidRDefault="00846D06" w:rsidP="00846D06">
      <w:pPr>
        <w:pStyle w:val="Heading3"/>
        <w:rPr>
          <w:lang w:val="en-US"/>
        </w:rPr>
      </w:pPr>
      <w:bookmarkStart w:id="21" w:name="_Toc229750447"/>
      <w:r w:rsidRPr="00846D06">
        <w:rPr>
          <w:lang w:val="en-US"/>
        </w:rPr>
        <w:t>4.4 FACTOR 2: ‘HISTORY MUST ACTIVELY CHANGE TO ENGAGE WITH SUSTAINABILITY – AND WE NEED SUPPORT TO DO IT’</w:t>
      </w:r>
      <w:bookmarkEnd w:id="21"/>
    </w:p>
    <w:p w14:paraId="2A40D93B" w14:textId="2EE28703" w:rsidR="00846D06" w:rsidRPr="00846D06" w:rsidRDefault="00BD25FE" w:rsidP="00FA0A77">
      <w:pPr>
        <w:autoSpaceDE w:val="0"/>
        <w:autoSpaceDN w:val="0"/>
        <w:adjustRightInd w:val="0"/>
        <w:spacing w:after="266" w:line="308" w:lineRule="atLeast"/>
        <w:jc w:val="center"/>
        <w:rPr>
          <w:rFonts w:asciiTheme="minorHAnsi" w:hAnsiTheme="minorHAnsi" w:cs="Helvetica"/>
          <w:color w:val="000000"/>
          <w:sz w:val="24"/>
          <w:szCs w:val="24"/>
          <w:lang w:val="en-US"/>
        </w:rPr>
      </w:pPr>
      <w:r>
        <w:rPr>
          <w:noProof/>
        </w:rPr>
        <w:lastRenderedPageBreak/>
        <w:drawing>
          <wp:inline distT="0" distB="0" distL="0" distR="0" wp14:anchorId="769CBAFB" wp14:editId="5CA65AE2">
            <wp:extent cx="4622887" cy="7287895"/>
            <wp:effectExtent l="0" t="0" r="0" b="1905"/>
            <wp:docPr id="510829966" name="Picture 2"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829966" name="Picture 2" descr="A screenshot of a computer screen&#10;&#10;AI-generated content may be incorrect."/>
                    <pic:cNvPicPr/>
                  </pic:nvPicPr>
                  <pic:blipFill rotWithShape="1">
                    <a:blip r:embed="rId14" cstate="print">
                      <a:extLst>
                        <a:ext uri="{28A0092B-C50C-407E-A947-70E740481C1C}">
                          <a14:useLocalDpi xmlns:a14="http://schemas.microsoft.com/office/drawing/2010/main" val="0"/>
                        </a:ext>
                      </a:extLst>
                    </a:blip>
                    <a:srcRect b="14773"/>
                    <a:stretch>
                      <a:fillRect/>
                    </a:stretch>
                  </pic:blipFill>
                  <pic:spPr bwMode="auto">
                    <a:xfrm>
                      <a:off x="0" y="0"/>
                      <a:ext cx="4622887" cy="7287895"/>
                    </a:xfrm>
                    <a:prstGeom prst="rect">
                      <a:avLst/>
                    </a:prstGeom>
                    <a:ln>
                      <a:noFill/>
                    </a:ln>
                    <a:extLst>
                      <a:ext uri="{53640926-AAD7-44D8-BBD7-CCE9431645EC}">
                        <a14:shadowObscured xmlns:a14="http://schemas.microsoft.com/office/drawing/2010/main"/>
                      </a:ext>
                    </a:extLst>
                  </pic:spPr>
                </pic:pic>
              </a:graphicData>
            </a:graphic>
          </wp:inline>
        </w:drawing>
      </w:r>
    </w:p>
    <w:p w14:paraId="14DA6EAC" w14:textId="6C3621EA" w:rsidR="00846D06" w:rsidRPr="00FA0A77" w:rsidRDefault="00693900" w:rsidP="00693900">
      <w:pPr>
        <w:pStyle w:val="Caption"/>
        <w:rPr>
          <w:rFonts w:asciiTheme="minorHAnsi" w:hAnsiTheme="minorHAnsi" w:cs="Helvetica"/>
          <w:color w:val="000000"/>
          <w:sz w:val="15"/>
          <w:szCs w:val="15"/>
          <w:lang w:val="en-US"/>
        </w:rPr>
      </w:pPr>
      <w:bookmarkStart w:id="22" w:name="_Toc229750651"/>
      <w:r>
        <w:t xml:space="preserve">Figure </w:t>
      </w:r>
      <w:r>
        <w:fldChar w:fldCharType="begin"/>
      </w:r>
      <w:r>
        <w:instrText xml:space="preserve"> SEQ Figure \* ARABIC </w:instrText>
      </w:r>
      <w:r>
        <w:fldChar w:fldCharType="separate"/>
      </w:r>
      <w:r>
        <w:rPr>
          <w:noProof/>
        </w:rPr>
        <w:t>3</w:t>
      </w:r>
      <w:r>
        <w:fldChar w:fldCharType="end"/>
      </w:r>
      <w:r>
        <w:t xml:space="preserve">: </w:t>
      </w:r>
      <w:r w:rsidRPr="00216A76">
        <w:t>COMPOSITE Q-SORT (FACTOR ARRAY) FOR FACTOR 2: ‘HISTORY MUST ACTVELY CHANGE TO ENGAGE WITH SUSTAINABILITY</w:t>
      </w:r>
      <w:bookmarkEnd w:id="22"/>
    </w:p>
    <w:p w14:paraId="1AD485D7" w14:textId="3990A710" w:rsidR="00846D06" w:rsidRPr="00846D06" w:rsidRDefault="00846D06" w:rsidP="00846D06">
      <w:pPr>
        <w:autoSpaceDE w:val="0"/>
        <w:autoSpaceDN w:val="0"/>
        <w:adjustRightInd w:val="0"/>
        <w:spacing w:after="0" w:line="440" w:lineRule="atLeast"/>
        <w:rPr>
          <w:rFonts w:asciiTheme="minorHAnsi" w:hAnsiTheme="minorHAnsi" w:cs="Helvetica"/>
          <w:b/>
          <w:bCs/>
          <w:color w:val="000000"/>
          <w:sz w:val="24"/>
          <w:szCs w:val="24"/>
          <w:lang w:val="en-US"/>
        </w:rPr>
      </w:pPr>
    </w:p>
    <w:p w14:paraId="661F5C46"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b/>
          <w:bCs/>
          <w:color w:val="000000"/>
          <w:sz w:val="24"/>
          <w:szCs w:val="24"/>
          <w:lang w:val="en-US"/>
        </w:rPr>
        <w:lastRenderedPageBreak/>
        <w:t>This factor is defined by one participant (P4).  No post-</w:t>
      </w:r>
      <w:proofErr w:type="gramStart"/>
      <w:r w:rsidRPr="00846D06">
        <w:rPr>
          <w:rFonts w:asciiTheme="minorHAnsi" w:hAnsiTheme="minorHAnsi" w:cs="Helvetica"/>
          <w:b/>
          <w:bCs/>
          <w:color w:val="000000"/>
          <w:sz w:val="24"/>
          <w:szCs w:val="24"/>
          <w:lang w:val="en-US"/>
        </w:rPr>
        <w:t>sort</w:t>
      </w:r>
      <w:proofErr w:type="gramEnd"/>
      <w:r w:rsidRPr="00846D06">
        <w:rPr>
          <w:rFonts w:asciiTheme="minorHAnsi" w:hAnsiTheme="minorHAnsi" w:cs="Helvetica"/>
          <w:b/>
          <w:bCs/>
          <w:color w:val="000000"/>
          <w:sz w:val="24"/>
          <w:szCs w:val="24"/>
          <w:lang w:val="en-US"/>
        </w:rPr>
        <w:t xml:space="preserve"> written reflections or interview data are available for this participant, so this profile is constructed solely from the factor array.  While it represents a single viewpoint, it is retained as a distinct factor because it presents an interpretively coherent perspective that contrasts meaningfully with Factor 1 (see section 4.2).</w:t>
      </w:r>
    </w:p>
    <w:p w14:paraId="5C23DB18" w14:textId="77777777" w:rsidR="00846D06" w:rsidRPr="00BD25FE" w:rsidRDefault="00846D06" w:rsidP="00BD25FE">
      <w:pPr>
        <w:autoSpaceDE w:val="0"/>
        <w:autoSpaceDN w:val="0"/>
        <w:adjustRightInd w:val="0"/>
        <w:spacing w:after="266" w:line="440" w:lineRule="atLeast"/>
        <w:ind w:left="720"/>
        <w:rPr>
          <w:rFonts w:asciiTheme="minorHAnsi" w:hAnsiTheme="minorHAnsi" w:cs="Helvetica"/>
          <w:color w:val="000000"/>
          <w:lang w:val="en-US"/>
        </w:rPr>
      </w:pPr>
      <w:r w:rsidRPr="00BD25FE">
        <w:rPr>
          <w:rFonts w:asciiTheme="minorHAnsi" w:hAnsiTheme="minorHAnsi" w:cs="Helvetica"/>
          <w:i/>
          <w:iCs/>
          <w:color w:val="000000"/>
          <w:lang w:val="en-US"/>
        </w:rPr>
        <w:t xml:space="preserve">I share with Factor 1 the conviction that historical research on environmental change can inform current sustainability debates.  But my view of what this requires in practice is fundamentally different.  </w:t>
      </w:r>
      <w:r w:rsidRPr="00BD25FE">
        <w:rPr>
          <w:rFonts w:asciiTheme="minorHAnsi" w:hAnsiTheme="minorHAnsi" w:cs="Helvetica"/>
          <w:b/>
          <w:bCs/>
          <w:i/>
          <w:iCs/>
          <w:color w:val="000000"/>
          <w:lang w:val="en-US"/>
        </w:rPr>
        <w:t>I believe that good presentism – using the concerns of the present to motivate historical inquiry – is a legitimate and important pedagogical approach.  Sustainability should be integrated across all History</w:t>
      </w:r>
      <w:r w:rsidRPr="00BD25FE">
        <w:rPr>
          <w:rFonts w:asciiTheme="minorHAnsi" w:hAnsiTheme="minorHAnsi" w:cs="Helvetica"/>
          <w:i/>
          <w:iCs/>
          <w:color w:val="000000"/>
          <w:lang w:val="en-US"/>
        </w:rPr>
        <w:t xml:space="preserve">, not confined to Environmental History or left to emerge incidentally.  </w:t>
      </w:r>
      <w:r w:rsidRPr="00BD25FE">
        <w:rPr>
          <w:rFonts w:asciiTheme="minorHAnsi" w:hAnsiTheme="minorHAnsi" w:cs="Helvetica"/>
          <w:b/>
          <w:bCs/>
          <w:i/>
          <w:iCs/>
          <w:color w:val="000000"/>
          <w:lang w:val="en-US"/>
        </w:rPr>
        <w:t>This represents an opportunity to innovate</w:t>
      </w:r>
      <w:r w:rsidRPr="00BD25FE">
        <w:rPr>
          <w:rFonts w:asciiTheme="minorHAnsi" w:hAnsiTheme="minorHAnsi" w:cs="Helvetica"/>
          <w:i/>
          <w:iCs/>
          <w:color w:val="000000"/>
          <w:lang w:val="en-US"/>
        </w:rPr>
        <w:t xml:space="preserve"> in how we design and deliver our </w:t>
      </w:r>
      <w:proofErr w:type="spellStart"/>
      <w:r w:rsidRPr="00BD25FE">
        <w:rPr>
          <w:rFonts w:asciiTheme="minorHAnsi" w:hAnsiTheme="minorHAnsi" w:cs="Helvetica"/>
          <w:i/>
          <w:iCs/>
          <w:color w:val="000000"/>
          <w:lang w:val="en-US"/>
        </w:rPr>
        <w:t>programmes</w:t>
      </w:r>
      <w:proofErr w:type="spellEnd"/>
      <w:r w:rsidRPr="00BD25FE">
        <w:rPr>
          <w:rFonts w:asciiTheme="minorHAnsi" w:hAnsiTheme="minorHAnsi" w:cs="Helvetica"/>
          <w:i/>
          <w:iCs/>
          <w:color w:val="000000"/>
          <w:lang w:val="en-US"/>
        </w:rPr>
        <w:t>.</w:t>
      </w:r>
    </w:p>
    <w:p w14:paraId="6699169C" w14:textId="4F7D80EE" w:rsidR="00846D06" w:rsidRPr="00BD25FE" w:rsidRDefault="00846D06" w:rsidP="00BD25FE">
      <w:pPr>
        <w:autoSpaceDE w:val="0"/>
        <w:autoSpaceDN w:val="0"/>
        <w:adjustRightInd w:val="0"/>
        <w:spacing w:after="266" w:line="440" w:lineRule="atLeast"/>
        <w:ind w:left="720"/>
        <w:rPr>
          <w:rFonts w:asciiTheme="minorHAnsi" w:hAnsiTheme="minorHAnsi" w:cs="Helvetica"/>
          <w:color w:val="000000"/>
          <w:lang w:val="en-US"/>
        </w:rPr>
      </w:pPr>
      <w:r w:rsidRPr="00BD25FE">
        <w:rPr>
          <w:rFonts w:asciiTheme="minorHAnsi" w:hAnsiTheme="minorHAnsi" w:cs="Helvetica"/>
          <w:i/>
          <w:iCs/>
          <w:color w:val="000000"/>
          <w:lang w:val="en-US"/>
        </w:rPr>
        <w:t xml:space="preserve">However, I am clear-eyed about the barriers.  </w:t>
      </w:r>
      <w:r w:rsidRPr="00BD25FE">
        <w:rPr>
          <w:rFonts w:asciiTheme="minorHAnsi" w:hAnsiTheme="minorHAnsi" w:cs="Helvetica"/>
          <w:b/>
          <w:bCs/>
          <w:i/>
          <w:iCs/>
          <w:color w:val="000000"/>
          <w:lang w:val="en-US"/>
        </w:rPr>
        <w:t>I need more training to teach sustainability effectively</w:t>
      </w:r>
      <w:r w:rsidRPr="00BD25FE">
        <w:rPr>
          <w:rFonts w:asciiTheme="minorHAnsi" w:hAnsiTheme="minorHAnsi" w:cs="Helvetica"/>
          <w:i/>
          <w:iCs/>
          <w:color w:val="000000"/>
          <w:lang w:val="en-US"/>
        </w:rPr>
        <w:t xml:space="preserve"> – this is not something I currently feel confident about.  </w:t>
      </w:r>
      <w:r w:rsidRPr="00BD25FE">
        <w:rPr>
          <w:rFonts w:asciiTheme="minorHAnsi" w:hAnsiTheme="minorHAnsi" w:cs="Helvetica"/>
          <w:b/>
          <w:bCs/>
          <w:i/>
          <w:iCs/>
          <w:color w:val="000000"/>
          <w:lang w:val="en-US"/>
        </w:rPr>
        <w:t>There are not sufficient resources for embedding ESD in our courses</w:t>
      </w:r>
      <w:r w:rsidRPr="00BD25FE">
        <w:rPr>
          <w:rFonts w:asciiTheme="minorHAnsi" w:hAnsiTheme="minorHAnsi" w:cs="Helvetica"/>
          <w:i/>
          <w:iCs/>
          <w:color w:val="000000"/>
          <w:lang w:val="en-US"/>
        </w:rPr>
        <w:t xml:space="preserve">, and I reject the suggestion that this is simply a matter of re-articulating what we already teach.  </w:t>
      </w:r>
      <w:r w:rsidRPr="00BD25FE">
        <w:rPr>
          <w:rFonts w:asciiTheme="minorHAnsi" w:hAnsiTheme="minorHAnsi" w:cs="Helvetica"/>
          <w:b/>
          <w:bCs/>
          <w:i/>
          <w:iCs/>
          <w:color w:val="000000"/>
          <w:lang w:val="en-US"/>
        </w:rPr>
        <w:t>Sustainability does not fit naturally within current approaches to teaching History</w:t>
      </w:r>
      <w:r w:rsidRPr="00BD25FE">
        <w:rPr>
          <w:rFonts w:asciiTheme="minorHAnsi" w:hAnsiTheme="minorHAnsi" w:cs="Helvetica"/>
          <w:i/>
          <w:iCs/>
          <w:color w:val="000000"/>
          <w:lang w:val="en-US"/>
        </w:rPr>
        <w:t xml:space="preserve"> – it requires genuine change, not </w:t>
      </w:r>
      <w:proofErr w:type="spellStart"/>
      <w:r w:rsidRPr="00BD25FE">
        <w:rPr>
          <w:rFonts w:asciiTheme="minorHAnsi" w:hAnsiTheme="minorHAnsi" w:cs="Helvetica"/>
          <w:i/>
          <w:iCs/>
          <w:color w:val="000000"/>
          <w:lang w:val="en-US"/>
        </w:rPr>
        <w:t>relabelling</w:t>
      </w:r>
      <w:proofErr w:type="spellEnd"/>
      <w:r w:rsidRPr="00BD25FE">
        <w:rPr>
          <w:rFonts w:asciiTheme="minorHAnsi" w:hAnsiTheme="minorHAnsi" w:cs="Helvetica"/>
          <w:i/>
          <w:iCs/>
          <w:color w:val="000000"/>
          <w:lang w:val="en-US"/>
        </w:rPr>
        <w:t xml:space="preserve">.  The discipline has a moral duty to address sustainability, and the core skills of a historian – rigorous source analysis, critical thinking </w:t>
      </w:r>
      <w:r w:rsidR="00D02BFC" w:rsidRPr="00BD25FE">
        <w:rPr>
          <w:rFonts w:asciiTheme="minorHAnsi" w:hAnsiTheme="minorHAnsi" w:cs="Helvetica"/>
          <w:i/>
          <w:iCs/>
          <w:color w:val="000000"/>
          <w:lang w:val="en-US"/>
        </w:rPr>
        <w:t>- are</w:t>
      </w:r>
      <w:r w:rsidRPr="00BD25FE">
        <w:rPr>
          <w:rFonts w:asciiTheme="minorHAnsi" w:hAnsiTheme="minorHAnsi" w:cs="Helvetica"/>
          <w:i/>
          <w:iCs/>
          <w:color w:val="000000"/>
          <w:lang w:val="en-US"/>
        </w:rPr>
        <w:t xml:space="preserve"> certainly relevant, but they are not in themselves sufficient.</w:t>
      </w:r>
    </w:p>
    <w:p w14:paraId="1A055848" w14:textId="1B626769" w:rsidR="00846D06" w:rsidRPr="00BD25FE" w:rsidRDefault="00846D06" w:rsidP="00BD25FE">
      <w:pPr>
        <w:autoSpaceDE w:val="0"/>
        <w:autoSpaceDN w:val="0"/>
        <w:adjustRightInd w:val="0"/>
        <w:spacing w:after="266" w:line="440" w:lineRule="atLeast"/>
        <w:ind w:left="720"/>
        <w:rPr>
          <w:rFonts w:asciiTheme="minorHAnsi" w:hAnsiTheme="minorHAnsi" w:cs="Helvetica"/>
          <w:color w:val="000000"/>
          <w:lang w:val="en-US"/>
        </w:rPr>
      </w:pPr>
      <w:r w:rsidRPr="00BD25FE">
        <w:rPr>
          <w:rFonts w:asciiTheme="minorHAnsi" w:hAnsiTheme="minorHAnsi" w:cs="Helvetica"/>
          <w:i/>
          <w:iCs/>
          <w:color w:val="000000"/>
          <w:lang w:val="en-US"/>
        </w:rPr>
        <w:t xml:space="preserve">I am neutral on several questions that Factor 1 feels strongly about.  </w:t>
      </w:r>
      <w:r w:rsidRPr="00BD25FE">
        <w:rPr>
          <w:rFonts w:asciiTheme="minorHAnsi" w:hAnsiTheme="minorHAnsi" w:cs="Helvetica"/>
          <w:b/>
          <w:bCs/>
          <w:i/>
          <w:iCs/>
          <w:color w:val="000000"/>
          <w:lang w:val="en-US"/>
        </w:rPr>
        <w:t>The concept of sustainability being ‘fuzzy’ is not something I see as particularly productive or problematic</w:t>
      </w:r>
      <w:r w:rsidRPr="00BD25FE">
        <w:rPr>
          <w:rFonts w:asciiTheme="minorHAnsi" w:hAnsiTheme="minorHAnsi" w:cs="Helvetica"/>
          <w:i/>
          <w:iCs/>
          <w:color w:val="000000"/>
          <w:lang w:val="en-US"/>
        </w:rPr>
        <w:t xml:space="preserve"> – it is simply the case.  I have no strong feelings about whether ESD’s activist ethos creates tension with the study of the past, or whether the ESD mandate contravenes professional ideals.  These are not the battles that concern me.  What concerns me is practical: how do we </w:t>
      </w:r>
      <w:proofErr w:type="gramStart"/>
      <w:r w:rsidRPr="00BD25FE">
        <w:rPr>
          <w:rFonts w:asciiTheme="minorHAnsi" w:hAnsiTheme="minorHAnsi" w:cs="Helvetica"/>
          <w:i/>
          <w:iCs/>
          <w:color w:val="000000"/>
          <w:lang w:val="en-US"/>
        </w:rPr>
        <w:t>actually make</w:t>
      </w:r>
      <w:proofErr w:type="gramEnd"/>
      <w:r w:rsidRPr="00BD25FE">
        <w:rPr>
          <w:rFonts w:asciiTheme="minorHAnsi" w:hAnsiTheme="minorHAnsi" w:cs="Helvetica"/>
          <w:i/>
          <w:iCs/>
          <w:color w:val="000000"/>
          <w:lang w:val="en-US"/>
        </w:rPr>
        <w:t xml:space="preserve"> this work when the syllabus is already full, the resources are inadequate, and the training is lacking?</w:t>
      </w:r>
    </w:p>
    <w:p w14:paraId="5A18946D" w14:textId="443401A7" w:rsidR="00846D06" w:rsidRPr="00D02BFC" w:rsidRDefault="00846D06" w:rsidP="00D02BFC">
      <w:pPr>
        <w:autoSpaceDE w:val="0"/>
        <w:autoSpaceDN w:val="0"/>
        <w:adjustRightInd w:val="0"/>
        <w:spacing w:after="266" w:line="440" w:lineRule="atLeast"/>
        <w:ind w:left="720"/>
        <w:rPr>
          <w:rFonts w:asciiTheme="minorHAnsi" w:hAnsiTheme="minorHAnsi" w:cs="Helvetica"/>
          <w:color w:val="000000"/>
          <w:lang w:val="en-US"/>
        </w:rPr>
      </w:pPr>
      <w:r w:rsidRPr="00D02BFC">
        <w:rPr>
          <w:rFonts w:asciiTheme="minorHAnsi" w:hAnsiTheme="minorHAnsi" w:cs="Helvetica"/>
          <w:b/>
          <w:bCs/>
          <w:i/>
          <w:iCs/>
          <w:color w:val="000000"/>
          <w:lang w:val="en-US"/>
        </w:rPr>
        <w:lastRenderedPageBreak/>
        <w:t>I reject the idea that sustainability can be achieved covertly or informally.</w:t>
      </w:r>
      <w:r w:rsidRPr="00D02BFC">
        <w:rPr>
          <w:rFonts w:asciiTheme="minorHAnsi" w:hAnsiTheme="minorHAnsi" w:cs="Helvetica"/>
          <w:i/>
          <w:iCs/>
          <w:color w:val="000000"/>
          <w:lang w:val="en-US"/>
        </w:rPr>
        <w:t>  If we are serious about integrating sustainability into History, it needs to be deliberate, visible, and resourced.  The path</w:t>
      </w:r>
      <w:r w:rsidR="00D02BFC">
        <w:rPr>
          <w:rFonts w:asciiTheme="minorHAnsi" w:hAnsiTheme="minorHAnsi" w:cs="Helvetica"/>
          <w:i/>
          <w:iCs/>
          <w:color w:val="000000"/>
          <w:lang w:val="en-US"/>
        </w:rPr>
        <w:t xml:space="preserve"> o</w:t>
      </w:r>
      <w:r w:rsidRPr="00D02BFC">
        <w:rPr>
          <w:rFonts w:asciiTheme="minorHAnsi" w:hAnsiTheme="minorHAnsi" w:cs="Helvetica"/>
          <w:i/>
          <w:iCs/>
          <w:color w:val="000000"/>
          <w:lang w:val="en-US"/>
        </w:rPr>
        <w:t>f least resistance – a simple mapping exercise or a quiet reframing of existing content – is not, in my view, adequate.  I also reject the idea that simply remaining relevant in the twenty-first century is sufficient motivation; the case for sustainability in History should be made on intellectual and ethical grounds, not defensive ones.</w:t>
      </w:r>
    </w:p>
    <w:p w14:paraId="7C03045E"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i/>
          <w:iCs/>
          <w:color w:val="000000"/>
          <w:sz w:val="24"/>
          <w:szCs w:val="24"/>
          <w:lang w:val="en-US"/>
        </w:rPr>
        <w:t> </w:t>
      </w:r>
    </w:p>
    <w:p w14:paraId="1ACB8422" w14:textId="77777777" w:rsidR="00846D06" w:rsidRPr="00846D06" w:rsidRDefault="00846D06" w:rsidP="00FA0A77">
      <w:pPr>
        <w:pStyle w:val="Heading3"/>
        <w:rPr>
          <w:lang w:val="en-US"/>
        </w:rPr>
      </w:pPr>
      <w:bookmarkStart w:id="23" w:name="_Toc229750448"/>
      <w:r w:rsidRPr="00846D06">
        <w:rPr>
          <w:lang w:val="en-US"/>
        </w:rPr>
        <w:t>4.5 CONSENSUS STATEMENTS</w:t>
      </w:r>
      <w:bookmarkEnd w:id="23"/>
    </w:p>
    <w:p w14:paraId="0C98DB1B"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Despite the significant differences between the two factors, </w:t>
      </w:r>
      <w:proofErr w:type="gramStart"/>
      <w:r w:rsidRPr="00846D06">
        <w:rPr>
          <w:rFonts w:asciiTheme="minorHAnsi" w:hAnsiTheme="minorHAnsi" w:cs="Helvetica"/>
          <w:color w:val="000000"/>
          <w:sz w:val="24"/>
          <w:szCs w:val="24"/>
          <w:lang w:val="en-US"/>
        </w:rPr>
        <w:t>a number of</w:t>
      </w:r>
      <w:proofErr w:type="gramEnd"/>
      <w:r w:rsidRPr="00846D06">
        <w:rPr>
          <w:rFonts w:asciiTheme="minorHAnsi" w:hAnsiTheme="minorHAnsi" w:cs="Helvetica"/>
          <w:color w:val="000000"/>
          <w:sz w:val="24"/>
          <w:szCs w:val="24"/>
          <w:lang w:val="en-US"/>
        </w:rPr>
        <w:t xml:space="preserve"> consensus statements indicate areas of shared ground.  Both factors agreed strongly that historical research on environmental change can inform current sustainability debates (+4 for both factors), and both agreed that a superficial ‘bolt-on’ approach to sustainability is worse than doing nothing (+3 for Factor 1, +2 for Factor 2).  Both factors also valued the core skills of a historian – rigorous source analysis and critical thinking – as relevant to sustainability (+2 for both).</w:t>
      </w:r>
    </w:p>
    <w:p w14:paraId="5F1A4A9C"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These points of agreement suggest that, regardless of how historians believe sustainability should be integrated into their teaching – organically or deliberately, covertly or visibly – there is a shared conviction that History has something distinctive and valuable to contribute to sustainability scholarship, and that token gestures are counterproductive.</w:t>
      </w:r>
    </w:p>
    <w:p w14:paraId="0EAD3E88"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2744A48D" w14:textId="77777777" w:rsidR="00846D06" w:rsidRPr="00846D06" w:rsidRDefault="00846D06" w:rsidP="00FA0A77">
      <w:pPr>
        <w:pStyle w:val="Heading2"/>
        <w:rPr>
          <w:lang w:val="en-US"/>
        </w:rPr>
      </w:pPr>
      <w:bookmarkStart w:id="24" w:name="_Toc229750449"/>
      <w:r w:rsidRPr="00846D06">
        <w:rPr>
          <w:lang w:val="en-US"/>
        </w:rPr>
        <w:t>5. DISCUSSION</w:t>
      </w:r>
      <w:bookmarkEnd w:id="24"/>
    </w:p>
    <w:p w14:paraId="0F697118" w14:textId="77777777" w:rsidR="00846D06" w:rsidRPr="00846D06" w:rsidRDefault="00846D06" w:rsidP="00FA0A77">
      <w:pPr>
        <w:pStyle w:val="Heading3"/>
        <w:rPr>
          <w:lang w:val="en-US"/>
        </w:rPr>
      </w:pPr>
      <w:bookmarkStart w:id="25" w:name="_Toc229750450"/>
      <w:r w:rsidRPr="00846D06">
        <w:rPr>
          <w:lang w:val="en-US"/>
        </w:rPr>
        <w:t>5.1 HISTORY’S EPISTEMOLOGICAL ALIGNMENT WITH SUSTAINABILITY: CONFIRMED BUT CONTESTED</w:t>
      </w:r>
      <w:bookmarkEnd w:id="25"/>
    </w:p>
    <w:p w14:paraId="5B245E37" w14:textId="7853F25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The most striking finding of this study is the strength of agreement – across both factors – that historical research on environmental change can inform current sustainability </w:t>
      </w:r>
      <w:r w:rsidRPr="00846D06">
        <w:rPr>
          <w:rFonts w:asciiTheme="minorHAnsi" w:hAnsiTheme="minorHAnsi" w:cs="Helvetica"/>
          <w:color w:val="000000"/>
          <w:sz w:val="24"/>
          <w:szCs w:val="24"/>
          <w:lang w:val="en-US"/>
        </w:rPr>
        <w:lastRenderedPageBreak/>
        <w:t>debates.  This lends empirical support to the argument advance</w:t>
      </w:r>
      <w:r w:rsidR="009A7A56">
        <w:rPr>
          <w:rFonts w:asciiTheme="minorHAnsi" w:hAnsiTheme="minorHAnsi" w:cs="Helvetica"/>
          <w:color w:val="000000"/>
          <w:sz w:val="24"/>
          <w:szCs w:val="24"/>
          <w:lang w:val="en-US"/>
        </w:rPr>
        <w:t>d</w:t>
      </w:r>
      <w:r w:rsidRPr="00846D06">
        <w:rPr>
          <w:rFonts w:asciiTheme="minorHAnsi" w:hAnsiTheme="minorHAnsi" w:cs="Helvetica"/>
          <w:color w:val="000000"/>
          <w:sz w:val="24"/>
          <w:szCs w:val="24"/>
          <w:lang w:val="en-US"/>
        </w:rPr>
        <w:t xml:space="preserve"> by Dickinson (2025) that History, as a discipline defined by its embrace of complexity, indeterminacy, and multiple perspectives, is fundamentally aligned with the intellectual demands of sustainability.  The Factor 1 viewpoint</w:t>
      </w:r>
      <w:proofErr w:type="gramStart"/>
      <w:r w:rsidRPr="00846D06">
        <w:rPr>
          <w:rFonts w:asciiTheme="minorHAnsi" w:hAnsiTheme="minorHAnsi" w:cs="Helvetica"/>
          <w:color w:val="000000"/>
          <w:sz w:val="24"/>
          <w:szCs w:val="24"/>
          <w:lang w:val="en-US"/>
        </w:rPr>
        <w:t>, in particular, articulates</w:t>
      </w:r>
      <w:proofErr w:type="gramEnd"/>
      <w:r w:rsidRPr="00846D06">
        <w:rPr>
          <w:rFonts w:asciiTheme="minorHAnsi" w:hAnsiTheme="minorHAnsi" w:cs="Helvetica"/>
          <w:color w:val="000000"/>
          <w:sz w:val="24"/>
          <w:szCs w:val="24"/>
          <w:lang w:val="en-US"/>
        </w:rPr>
        <w:t xml:space="preserve"> this alignment with considerable confidence: History already cultivates the habits of mind – critical thinking, comfort with ambiguity, the weighing of contested evidence – that ESD seeks to develop.  This maps directly only Barnett’s (2004) concept of ‘</w:t>
      </w:r>
      <w:proofErr w:type="spellStart"/>
      <w:r w:rsidRPr="00846D06">
        <w:rPr>
          <w:rFonts w:asciiTheme="minorHAnsi" w:hAnsiTheme="minorHAnsi" w:cs="Helvetica"/>
          <w:color w:val="000000"/>
          <w:sz w:val="24"/>
          <w:szCs w:val="24"/>
          <w:lang w:val="en-US"/>
        </w:rPr>
        <w:t>supercomplexity</w:t>
      </w:r>
      <w:proofErr w:type="spellEnd"/>
      <w:r w:rsidRPr="00846D06">
        <w:rPr>
          <w:rFonts w:asciiTheme="minorHAnsi" w:hAnsiTheme="minorHAnsi" w:cs="Helvetica"/>
          <w:color w:val="000000"/>
          <w:sz w:val="24"/>
          <w:szCs w:val="24"/>
          <w:lang w:val="en-US"/>
        </w:rPr>
        <w:t xml:space="preserve">’ (p.71) and suggests that, for </w:t>
      </w:r>
      <w:proofErr w:type="gramStart"/>
      <w:r w:rsidRPr="00846D06">
        <w:rPr>
          <w:rFonts w:asciiTheme="minorHAnsi" w:hAnsiTheme="minorHAnsi" w:cs="Helvetica"/>
          <w:color w:val="000000"/>
          <w:sz w:val="24"/>
          <w:szCs w:val="24"/>
          <w:lang w:val="en-US"/>
        </w:rPr>
        <w:t>the majority of</w:t>
      </w:r>
      <w:proofErr w:type="gramEnd"/>
      <w:r w:rsidRPr="00846D06">
        <w:rPr>
          <w:rFonts w:asciiTheme="minorHAnsi" w:hAnsiTheme="minorHAnsi" w:cs="Helvetica"/>
          <w:color w:val="000000"/>
          <w:sz w:val="24"/>
          <w:szCs w:val="24"/>
          <w:lang w:val="en-US"/>
        </w:rPr>
        <w:t xml:space="preserve"> participants in this study, the connection between History and sustainability is not theoretical but experiential, grounded in their everyday practice as educators.</w:t>
      </w:r>
    </w:p>
    <w:p w14:paraId="1D3F3C2C" w14:textId="226DCDE3"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However, P1’s interview data introduces an important qualification.  While fully endorsing the principle that the core skills of a historian are compatible with sustainability thinking, P1 challenged the assumption that these skills are consistently cultivated in practice, pointing to doctoral-level work that demonstrated a narrowly procedural understanding of source analysis rather than the genuinely critical approach the discipline claims.  This echoes a tension implicit in the literature: the QAA </w:t>
      </w:r>
      <w:r w:rsidRPr="00846D06">
        <w:rPr>
          <w:rFonts w:asciiTheme="minorHAnsi" w:hAnsiTheme="minorHAnsi" w:cs="Helvetica"/>
          <w:i/>
          <w:iCs/>
          <w:color w:val="000000"/>
          <w:sz w:val="24"/>
          <w:szCs w:val="24"/>
          <w:lang w:val="en-US"/>
        </w:rPr>
        <w:t>Subject Benchmark Statement for History</w:t>
      </w:r>
      <w:r w:rsidRPr="00846D06">
        <w:rPr>
          <w:rFonts w:asciiTheme="minorHAnsi" w:hAnsiTheme="minorHAnsi" w:cs="Helvetica"/>
          <w:color w:val="000000"/>
          <w:sz w:val="24"/>
          <w:szCs w:val="24"/>
          <w:lang w:val="en-US"/>
        </w:rPr>
        <w:t xml:space="preserve"> (QAA, 2022) asserts that a </w:t>
      </w:r>
      <w:proofErr w:type="gramStart"/>
      <w:r w:rsidRPr="00846D06">
        <w:rPr>
          <w:rFonts w:asciiTheme="minorHAnsi" w:hAnsiTheme="minorHAnsi" w:cs="Helvetica"/>
          <w:color w:val="000000"/>
          <w:sz w:val="24"/>
          <w:szCs w:val="24"/>
          <w:lang w:val="en-US"/>
        </w:rPr>
        <w:t>History</w:t>
      </w:r>
      <w:proofErr w:type="gramEnd"/>
      <w:r w:rsidRPr="00846D06">
        <w:rPr>
          <w:rFonts w:asciiTheme="minorHAnsi" w:hAnsiTheme="minorHAnsi" w:cs="Helvetica"/>
          <w:color w:val="000000"/>
          <w:sz w:val="24"/>
          <w:szCs w:val="24"/>
          <w:lang w:val="en-US"/>
        </w:rPr>
        <w:t xml:space="preserve"> degree prepares graduates for complex sustainability challenges, but whether this preparation is </w:t>
      </w:r>
      <w:proofErr w:type="spellStart"/>
      <w:r w:rsidRPr="00846D06">
        <w:rPr>
          <w:rFonts w:asciiTheme="minorHAnsi" w:hAnsiTheme="minorHAnsi" w:cs="Helvetica"/>
          <w:color w:val="000000"/>
          <w:sz w:val="24"/>
          <w:szCs w:val="24"/>
          <w:lang w:val="en-US"/>
        </w:rPr>
        <w:t>realised</w:t>
      </w:r>
      <w:proofErr w:type="spellEnd"/>
      <w:r w:rsidRPr="00846D06">
        <w:rPr>
          <w:rFonts w:asciiTheme="minorHAnsi" w:hAnsiTheme="minorHAnsi" w:cs="Helvetica"/>
          <w:color w:val="000000"/>
          <w:sz w:val="24"/>
          <w:szCs w:val="24"/>
          <w:lang w:val="en-US"/>
        </w:rPr>
        <w:t xml:space="preserve"> depends on how History is </w:t>
      </w:r>
      <w:proofErr w:type="gramStart"/>
      <w:r w:rsidRPr="00846D06">
        <w:rPr>
          <w:rFonts w:asciiTheme="minorHAnsi" w:hAnsiTheme="minorHAnsi" w:cs="Helvetica"/>
          <w:color w:val="000000"/>
          <w:sz w:val="24"/>
          <w:szCs w:val="24"/>
          <w:lang w:val="en-US"/>
        </w:rPr>
        <w:t>actually taught</w:t>
      </w:r>
      <w:proofErr w:type="gramEnd"/>
      <w:r w:rsidRPr="00846D06">
        <w:rPr>
          <w:rFonts w:asciiTheme="minorHAnsi" w:hAnsiTheme="minorHAnsi" w:cs="Helvetica"/>
          <w:color w:val="000000"/>
          <w:sz w:val="24"/>
          <w:szCs w:val="24"/>
          <w:lang w:val="en-US"/>
        </w:rPr>
        <w:t>, not merely on what the discipline aspires to.  Bo</w:t>
      </w:r>
      <w:r w:rsidR="004456E9">
        <w:rPr>
          <w:rFonts w:asciiTheme="minorHAnsi" w:hAnsiTheme="minorHAnsi" w:cs="Helvetica"/>
          <w:color w:val="000000"/>
          <w:sz w:val="24"/>
          <w:szCs w:val="24"/>
          <w:lang w:val="en-US"/>
        </w:rPr>
        <w:t>o</w:t>
      </w:r>
      <w:r w:rsidRPr="00846D06">
        <w:rPr>
          <w:rFonts w:asciiTheme="minorHAnsi" w:hAnsiTheme="minorHAnsi" w:cs="Helvetica"/>
          <w:color w:val="000000"/>
          <w:sz w:val="24"/>
          <w:szCs w:val="24"/>
          <w:lang w:val="en-US"/>
        </w:rPr>
        <w:t>th’s (2008) documentation of shifting pedagogical approaches – towards cultural history, identity, and more diverse forms of assessment – suggests the trajectory is positive, but P1’s observation is a reminder that the gap between disciplinary aspiration and pedagogical reality may be wider than the literature acknowledges.</w:t>
      </w:r>
    </w:p>
    <w:p w14:paraId="1DF435CF"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3CC1072A" w14:textId="77777777" w:rsidR="00846D06" w:rsidRPr="00846D06" w:rsidRDefault="00846D06" w:rsidP="00FA0A77">
      <w:pPr>
        <w:pStyle w:val="Heading3"/>
        <w:rPr>
          <w:lang w:val="en-US"/>
        </w:rPr>
      </w:pPr>
      <w:bookmarkStart w:id="26" w:name="_Toc229750451"/>
      <w:r w:rsidRPr="00846D06">
        <w:rPr>
          <w:lang w:val="en-US"/>
        </w:rPr>
        <w:t>5.2 ORGANIC EMBEDDING VERSUS DELIBERATE INTEGRATION: THE CENTRAL TENSION</w:t>
      </w:r>
      <w:bookmarkEnd w:id="26"/>
    </w:p>
    <w:p w14:paraId="543C9C3D"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The sharpest divergence between the two factors lies in how sustainability should be integrated into History teaching, and it is this divergence that speaks most directly to the </w:t>
      </w:r>
      <w:r w:rsidRPr="00846D06">
        <w:rPr>
          <w:rFonts w:asciiTheme="minorHAnsi" w:hAnsiTheme="minorHAnsi" w:cs="Helvetica"/>
          <w:color w:val="000000"/>
          <w:sz w:val="24"/>
          <w:szCs w:val="24"/>
          <w:lang w:val="en-US"/>
        </w:rPr>
        <w:lastRenderedPageBreak/>
        <w:t>research question: is ESD in History a matter of policy-driven implementation, or accidental embedding?</w:t>
      </w:r>
    </w:p>
    <w:p w14:paraId="762A6971" w14:textId="77777777" w:rsidR="004456E9"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Factor 1 is unequivocally on the side of organic, discipline-led integration.  The strong agreement that sustainability themes should arise from the </w:t>
      </w:r>
      <w:r w:rsidR="004456E9" w:rsidRPr="00846D06">
        <w:rPr>
          <w:rFonts w:asciiTheme="minorHAnsi" w:hAnsiTheme="minorHAnsi" w:cs="Helvetica"/>
          <w:color w:val="000000"/>
          <w:sz w:val="24"/>
          <w:szCs w:val="24"/>
          <w:lang w:val="en-US"/>
        </w:rPr>
        <w:t>content,</w:t>
      </w:r>
      <w:r w:rsidRPr="00846D06">
        <w:rPr>
          <w:rFonts w:asciiTheme="minorHAnsi" w:hAnsiTheme="minorHAnsi" w:cs="Helvetica"/>
          <w:color w:val="000000"/>
          <w:sz w:val="24"/>
          <w:szCs w:val="24"/>
          <w:lang w:val="en-US"/>
        </w:rPr>
        <w:t xml:space="preserve"> combines with the firm rejection of imposed agendas and activist framings, position</w:t>
      </w:r>
      <w:r w:rsidR="004456E9">
        <w:rPr>
          <w:rFonts w:asciiTheme="minorHAnsi" w:hAnsiTheme="minorHAnsi" w:cs="Helvetica"/>
          <w:color w:val="000000"/>
          <w:sz w:val="24"/>
          <w:szCs w:val="24"/>
          <w:lang w:val="en-US"/>
        </w:rPr>
        <w:t>ing</w:t>
      </w:r>
      <w:r w:rsidRPr="00846D06">
        <w:rPr>
          <w:rFonts w:asciiTheme="minorHAnsi" w:hAnsiTheme="minorHAnsi" w:cs="Helvetica"/>
          <w:color w:val="000000"/>
          <w:sz w:val="24"/>
          <w:szCs w:val="24"/>
          <w:lang w:val="en-US"/>
        </w:rPr>
        <w:t xml:space="preserve"> this viewpoint squarely within the tradition identified by Brooks and Ryan (2006), whose participants insisted that they ‘do not want the implicit to be made crudely explicit’ (p.17).  Twenty years on, this sentiment appears to have lost none of its force.  P5’s post-sort reflection – warning against </w:t>
      </w:r>
    </w:p>
    <w:p w14:paraId="558D48F9" w14:textId="77777777" w:rsidR="004456E9" w:rsidRPr="004456E9" w:rsidRDefault="00846D06" w:rsidP="004456E9">
      <w:pPr>
        <w:autoSpaceDE w:val="0"/>
        <w:autoSpaceDN w:val="0"/>
        <w:adjustRightInd w:val="0"/>
        <w:spacing w:after="266" w:line="440" w:lineRule="atLeast"/>
        <w:ind w:left="720"/>
        <w:rPr>
          <w:rFonts w:asciiTheme="minorHAnsi" w:hAnsiTheme="minorHAnsi" w:cs="Helvetica"/>
          <w:i/>
          <w:iCs/>
          <w:color w:val="000000"/>
          <w:sz w:val="24"/>
          <w:szCs w:val="24"/>
          <w:lang w:val="en-US"/>
        </w:rPr>
      </w:pPr>
      <w:r w:rsidRPr="004456E9">
        <w:rPr>
          <w:rFonts w:asciiTheme="minorHAnsi" w:hAnsiTheme="minorHAnsi" w:cs="Helvetica"/>
          <w:i/>
          <w:iCs/>
          <w:color w:val="000000"/>
          <w:sz w:val="24"/>
          <w:szCs w:val="24"/>
          <w:lang w:val="en-US"/>
        </w:rPr>
        <w:t>another top-down initiative that’s being imposed upon historians, which assumes that we are somehow antiquated and unprepared to integrate this quite meaningfully into what we already do</w:t>
      </w:r>
    </w:p>
    <w:p w14:paraId="3442C307" w14:textId="1A827D38"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could serve almost as an updated articulation of the Brooks and Ryan finding.  The Factor 1 position is not anti-sustainability; it is anti-</w:t>
      </w:r>
      <w:r w:rsidR="004456E9" w:rsidRPr="00846D06">
        <w:rPr>
          <w:rFonts w:asciiTheme="minorHAnsi" w:hAnsiTheme="minorHAnsi" w:cs="Helvetica"/>
          <w:color w:val="000000"/>
          <w:sz w:val="24"/>
          <w:szCs w:val="24"/>
          <w:lang w:val="en-US"/>
        </w:rPr>
        <w:t>imposition</w:t>
      </w:r>
      <w:r w:rsidRPr="00846D06">
        <w:rPr>
          <w:rFonts w:asciiTheme="minorHAnsi" w:hAnsiTheme="minorHAnsi" w:cs="Helvetica"/>
          <w:color w:val="000000"/>
          <w:sz w:val="24"/>
          <w:szCs w:val="24"/>
          <w:lang w:val="en-US"/>
        </w:rPr>
        <w:t xml:space="preserve">.  The distinction is </w:t>
      </w:r>
      <w:proofErr w:type="gramStart"/>
      <w:r w:rsidRPr="00846D06">
        <w:rPr>
          <w:rFonts w:asciiTheme="minorHAnsi" w:hAnsiTheme="minorHAnsi" w:cs="Helvetica"/>
          <w:color w:val="000000"/>
          <w:sz w:val="24"/>
          <w:szCs w:val="24"/>
          <w:lang w:val="en-US"/>
        </w:rPr>
        <w:t>important, and</w:t>
      </w:r>
      <w:proofErr w:type="gramEnd"/>
      <w:r w:rsidRPr="00846D06">
        <w:rPr>
          <w:rFonts w:asciiTheme="minorHAnsi" w:hAnsiTheme="minorHAnsi" w:cs="Helvetica"/>
          <w:color w:val="000000"/>
          <w:sz w:val="24"/>
          <w:szCs w:val="24"/>
          <w:lang w:val="en-US"/>
        </w:rPr>
        <w:t xml:space="preserve"> has significant implications for how institutions approach ESD support – a point to which this discussion will return.</w:t>
      </w:r>
    </w:p>
    <w:p w14:paraId="0040A87B" w14:textId="1BB0C63A"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Factor 2 takes a fundamentally different view.  For this participant, sustainability does not fit naturally within current approaches to History teaching and cannot be achieved covertly or informally.  It requires deliberate integration across the whole discipline, supported by training and resources that are currently lacking.  This viewpoint aligns more closely with the policy direction advocated by the QAA/Advance HE </w:t>
      </w:r>
      <w:r w:rsidRPr="00846D06">
        <w:rPr>
          <w:rFonts w:asciiTheme="minorHAnsi" w:hAnsiTheme="minorHAnsi" w:cs="Helvetica"/>
          <w:i/>
          <w:iCs/>
          <w:color w:val="000000"/>
          <w:sz w:val="24"/>
          <w:szCs w:val="24"/>
          <w:lang w:val="en-US"/>
        </w:rPr>
        <w:t>Guidance</w:t>
      </w:r>
      <w:r w:rsidRPr="00846D06">
        <w:rPr>
          <w:rFonts w:asciiTheme="minorHAnsi" w:hAnsiTheme="minorHAnsi" w:cs="Helvetica"/>
          <w:color w:val="000000"/>
          <w:sz w:val="24"/>
          <w:szCs w:val="24"/>
          <w:lang w:val="en-US"/>
        </w:rPr>
        <w:t xml:space="preserve"> (Advance HE and QAA, 2021).  Where Factor 1 sees History as already doing sustainability work under a different name, Factor 2 sees a discipline that has not yet risen to the challenge.</w:t>
      </w:r>
    </w:p>
    <w:p w14:paraId="4B8C2E5B"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The tension between these two positions is not unique to this study.  Christie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(2015) speculated that disciplinary epistemologies shape academics’ receptiveness to ESD, proposing that positivist Cartesian worldviews are less compatible with the ‘fuzzy’ </w:t>
      </w:r>
      <w:r w:rsidRPr="00846D06">
        <w:rPr>
          <w:rFonts w:asciiTheme="minorHAnsi" w:hAnsiTheme="minorHAnsi" w:cs="Helvetica"/>
          <w:color w:val="000000"/>
          <w:sz w:val="24"/>
          <w:szCs w:val="24"/>
          <w:lang w:val="en-US"/>
        </w:rPr>
        <w:lastRenderedPageBreak/>
        <w:t>concepts of sustainability education.  The present study offers a different angle on this: within a single discipline, the disagreement is not about whether sustainability is relevant, but about whether existing practice is already sufficient or whether fundamental change is needed.  This is an epistemological question of a different kind – not about the compatibility of History with sustainability, but about whether History is already living up to its own epistemological ideals.</w:t>
      </w:r>
    </w:p>
    <w:p w14:paraId="5BDB3153"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03002455" w14:textId="77777777" w:rsidR="00846D06" w:rsidRPr="00846D06" w:rsidRDefault="00846D06" w:rsidP="00FA0A77">
      <w:pPr>
        <w:pStyle w:val="Heading3"/>
        <w:rPr>
          <w:lang w:val="en-US"/>
        </w:rPr>
      </w:pPr>
      <w:bookmarkStart w:id="27" w:name="_Toc229750452"/>
      <w:r w:rsidRPr="00846D06">
        <w:rPr>
          <w:lang w:val="en-US"/>
        </w:rPr>
        <w:t>5.3 THE ‘FUZZINESS’ OF SUSTAINABILITY: OBSTACLE OR ASSET?</w:t>
      </w:r>
      <w:bookmarkEnd w:id="27"/>
    </w:p>
    <w:p w14:paraId="377E88ED" w14:textId="5E5B2734"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Factor 1’s strongest agreement that the ambiguous or ‘fuzzy’ concept of sustainability allows for productive critical discussion represents a notable finding when read against the existing literature.  Christie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(2015) used the term ‘fuzzy’ to suggest that it explains why scientists struggle to engage with sustainability concepts.  For Factor 1, however, this fuzziness is precisely what makes sustainability intellectually congenial to historians – it invites the kind of interpretive openness and tolerance of ambiguity that Dickinson (2025) identifies as central to History’s epistemology.  P1 endorsed this in principle, while noting that the concept becomes ‘even more fuzzy’ when </w:t>
      </w:r>
      <w:proofErr w:type="spellStart"/>
      <w:r w:rsidRPr="00846D06">
        <w:rPr>
          <w:rFonts w:asciiTheme="minorHAnsi" w:hAnsiTheme="minorHAnsi" w:cs="Helvetica"/>
          <w:color w:val="000000"/>
          <w:sz w:val="24"/>
          <w:szCs w:val="24"/>
          <w:lang w:val="en-US"/>
        </w:rPr>
        <w:t>operationalised</w:t>
      </w:r>
      <w:proofErr w:type="spellEnd"/>
      <w:r w:rsidRPr="00846D06">
        <w:rPr>
          <w:rFonts w:asciiTheme="minorHAnsi" w:hAnsiTheme="minorHAnsi" w:cs="Helvetica"/>
          <w:color w:val="000000"/>
          <w:sz w:val="24"/>
          <w:szCs w:val="24"/>
          <w:lang w:val="en-US"/>
        </w:rPr>
        <w:t xml:space="preserve"> by institutions, suggesting a distinction between sustainability as an intellectual space for inquiry</w:t>
      </w:r>
      <w:r w:rsidR="001F29D1">
        <w:rPr>
          <w:rFonts w:asciiTheme="minorHAnsi" w:hAnsiTheme="minorHAnsi" w:cs="Helvetica"/>
          <w:color w:val="000000"/>
          <w:sz w:val="24"/>
          <w:szCs w:val="24"/>
          <w:lang w:val="en-US"/>
        </w:rPr>
        <w:t>,</w:t>
      </w:r>
      <w:r w:rsidRPr="00846D06">
        <w:rPr>
          <w:rFonts w:asciiTheme="minorHAnsi" w:hAnsiTheme="minorHAnsi" w:cs="Helvetica"/>
          <w:color w:val="000000"/>
          <w:sz w:val="24"/>
          <w:szCs w:val="24"/>
          <w:lang w:val="en-US"/>
        </w:rPr>
        <w:t xml:space="preserve"> and sustainability as an institutional compliance exercise.  Factor 2, by contrast, placed this statement at the neutral point, suggesting that the ambiguity of sustainability is neither productive nor problematic – simply a fact to be managed.  This divergence may reflect different orientations towards the concept: one philosophical and disciplinary, the other practical and institutional.</w:t>
      </w:r>
    </w:p>
    <w:p w14:paraId="0C57C0D9"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1D8DF9A9" w14:textId="77777777" w:rsidR="00846D06" w:rsidRPr="00846D06" w:rsidRDefault="00846D06" w:rsidP="00FA0A77">
      <w:pPr>
        <w:pStyle w:val="Heading3"/>
        <w:rPr>
          <w:lang w:val="en-US"/>
        </w:rPr>
      </w:pPr>
      <w:bookmarkStart w:id="28" w:name="_Toc229750453"/>
      <w:r w:rsidRPr="00846D06">
        <w:rPr>
          <w:lang w:val="en-US"/>
        </w:rPr>
        <w:t>5.4 BARRIERS TO ENGAGEMENT: RESOURCES, TRAINING AND INSTITUTIONAL FRAMING</w:t>
      </w:r>
      <w:bookmarkEnd w:id="28"/>
    </w:p>
    <w:p w14:paraId="6AAF7E0A"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Both factors agreed that there are insufficient resources for embedding ESD – a finding consistent with the barriers identified across the broader literature (Dawe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2005; </w:t>
      </w:r>
      <w:r w:rsidRPr="00846D06">
        <w:rPr>
          <w:rFonts w:asciiTheme="minorHAnsi" w:hAnsiTheme="minorHAnsi" w:cs="Helvetica"/>
          <w:color w:val="000000"/>
          <w:sz w:val="24"/>
          <w:szCs w:val="24"/>
          <w:lang w:val="en-US"/>
        </w:rPr>
        <w:lastRenderedPageBreak/>
        <w:t xml:space="preserve">Cotton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2007; Cebrián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xml:space="preserve">, 2015, Christie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2015).  However, the nature of the barrier is perceived differently.  For Factor 1, the problem is not a lack of engagement with sustainability but a lack of recognition that existing practice already constitutes it: P2’s observation that structured reflection often reveals ‘when we do that, we’re doing that’ suggests that the barrier is partly one of framing and language rather than substance.  P5’s insistence that practical guidance should take the form of ‘a range of possible advice and ideas’ rather than ‘a single mandated approach’ reinforces this – the resource need, for Factor 1, is for support that helps historians articulate connections they are already making, not for training that teaches them something new.</w:t>
      </w:r>
    </w:p>
    <w:p w14:paraId="698347EE" w14:textId="3FC564C0"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For Factor 2, the barrier is more fundamental.  This participant identified a clear need for training, placed sustainability outside the scope of what current teaching approaches can accommodate, and rejected the idea that covert or informal integration is adequate.  This aligns more closely with the findings of </w:t>
      </w:r>
      <w:proofErr w:type="spellStart"/>
      <w:r w:rsidRPr="00846D06">
        <w:rPr>
          <w:rFonts w:asciiTheme="minorHAnsi" w:hAnsiTheme="minorHAnsi" w:cs="Helvetica"/>
          <w:color w:val="000000"/>
          <w:sz w:val="24"/>
          <w:szCs w:val="24"/>
          <w:lang w:val="en-US"/>
        </w:rPr>
        <w:t>Fiselier</w:t>
      </w:r>
      <w:proofErr w:type="spellEnd"/>
      <w:r w:rsidRPr="00846D06">
        <w:rPr>
          <w:rFonts w:asciiTheme="minorHAnsi" w:hAnsiTheme="minorHAnsi" w:cs="Helvetica"/>
          <w:color w:val="000000"/>
          <w:sz w:val="24"/>
          <w:szCs w:val="24"/>
          <w:lang w:val="en-US"/>
        </w:rPr>
        <w:t xml:space="preserve"> et al. (2017)</w:t>
      </w:r>
      <w:r w:rsidR="001F29D1">
        <w:rPr>
          <w:rFonts w:asciiTheme="minorHAnsi" w:hAnsiTheme="minorHAnsi" w:cs="Helvetica"/>
          <w:color w:val="000000"/>
          <w:sz w:val="24"/>
          <w:szCs w:val="24"/>
          <w:lang w:val="en-US"/>
        </w:rPr>
        <w:t xml:space="preserve"> –</w:t>
      </w:r>
      <w:r w:rsidRPr="00846D06">
        <w:rPr>
          <w:rFonts w:asciiTheme="minorHAnsi" w:hAnsiTheme="minorHAnsi" w:cs="Helvetica"/>
          <w:color w:val="000000"/>
          <w:sz w:val="24"/>
          <w:szCs w:val="24"/>
          <w:lang w:val="en-US"/>
        </w:rPr>
        <w:t xml:space="preserve"> that successful ESD embedding requires deliberate institutional strategies, staff development, and dedicated approaches to teaching and learning.</w:t>
      </w:r>
    </w:p>
    <w:p w14:paraId="6C6B70CA"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The low response rate in this study – five participants from the full population of History lecturers contacted across four institutions – may itself be evidence of a broader barrier.  The difficulty of engaging historians with research explicitly framed around ESD echoes the finding from Christie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(2015) that the perception of sustainability as irrelevant to one’s discipline is a significant obstacle to engagement.  It is possible that many of those who did not respond saw little connection between their professional practice and the topic of the study – precisely the kind of perception this research set out to explore.</w:t>
      </w:r>
    </w:p>
    <w:p w14:paraId="70D2F4D5"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68078E88" w14:textId="77777777" w:rsidR="00846D06" w:rsidRPr="00846D06" w:rsidRDefault="00846D06" w:rsidP="00FA0A77">
      <w:pPr>
        <w:pStyle w:val="Heading3"/>
        <w:rPr>
          <w:lang w:val="en-US"/>
        </w:rPr>
      </w:pPr>
      <w:bookmarkStart w:id="29" w:name="_Toc229750454"/>
      <w:r w:rsidRPr="00846D06">
        <w:rPr>
          <w:lang w:val="en-US"/>
        </w:rPr>
        <w:t>5.5 IMPLICATIONS FOR PRACTICE</w:t>
      </w:r>
      <w:bookmarkEnd w:id="29"/>
    </w:p>
    <w:p w14:paraId="04F3DAB1"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lastRenderedPageBreak/>
        <w:t>The findings of this study have direct implications for how institutions approach ESD support for History and, potentially, other arts and humanities disciplines.</w:t>
      </w:r>
    </w:p>
    <w:p w14:paraId="1A195F44" w14:textId="77777777" w:rsidR="00846D06" w:rsidRPr="00846D06" w:rsidRDefault="00846D06" w:rsidP="00846D06">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The Factor 1 viewpoint suggests that the most effective approach is not to introduce sustainability as something new, but to create structured opportunities for historians to </w:t>
      </w:r>
      <w:proofErr w:type="spellStart"/>
      <w:r w:rsidRPr="00846D06">
        <w:rPr>
          <w:rFonts w:asciiTheme="minorHAnsi" w:hAnsiTheme="minorHAnsi" w:cs="Helvetica"/>
          <w:color w:val="000000"/>
          <w:sz w:val="24"/>
          <w:szCs w:val="24"/>
          <w:lang w:val="en-US"/>
        </w:rPr>
        <w:t>recognise</w:t>
      </w:r>
      <w:proofErr w:type="spellEnd"/>
      <w:r w:rsidRPr="00846D06">
        <w:rPr>
          <w:rFonts w:asciiTheme="minorHAnsi" w:hAnsiTheme="minorHAnsi" w:cs="Helvetica"/>
          <w:color w:val="000000"/>
          <w:sz w:val="24"/>
          <w:szCs w:val="24"/>
          <w:lang w:val="en-US"/>
        </w:rPr>
        <w:t xml:space="preserve"> and articulate the sustainability dimensions of what they already do.  P2’s description of a departmental ‘away day’ workshop using the SDGs – where the experience was valuable for some but was met with indifference by others – illustrates both the potential and the limits of this approach.  The implication is that support should be discipline-sensitive, intellectually rigorous, and framed in terms that historians will find congruent with their own professional identity and values.  P5’s warning against approaches that feel ‘imposed’ or that assume historians are ‘antiquated and unprepared’ is a direct challenge to generic, institution-wide ESD training models.</w:t>
      </w:r>
    </w:p>
    <w:p w14:paraId="4998D921" w14:textId="77777777" w:rsidR="001F29D1" w:rsidRDefault="00846D06" w:rsidP="001F29D1">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Factor 2, however, suggests that for some academics, this organic approach is not enough.  Where a historian does not feel confident teaching sustainability, does not see it as fitting naturally within their current practice, and actively wants training and resources, a more structure</w:t>
      </w:r>
      <w:r w:rsidR="001F29D1">
        <w:rPr>
          <w:rFonts w:asciiTheme="minorHAnsi" w:hAnsiTheme="minorHAnsi" w:cs="Helvetica"/>
          <w:color w:val="000000"/>
          <w:sz w:val="24"/>
          <w:szCs w:val="24"/>
          <w:lang w:val="en-US"/>
        </w:rPr>
        <w:t>d</w:t>
      </w:r>
      <w:r w:rsidRPr="00846D06">
        <w:rPr>
          <w:rFonts w:asciiTheme="minorHAnsi" w:hAnsiTheme="minorHAnsi" w:cs="Helvetica"/>
          <w:color w:val="000000"/>
          <w:sz w:val="24"/>
          <w:szCs w:val="24"/>
          <w:lang w:val="en-US"/>
        </w:rPr>
        <w:t xml:space="preserve"> intervention is needed – and its absence is a barrier.  The practical challenge for institutions is to offer both: support that helps the already-engaged to </w:t>
      </w:r>
      <w:proofErr w:type="spellStart"/>
      <w:r w:rsidRPr="00846D06">
        <w:rPr>
          <w:rFonts w:asciiTheme="minorHAnsi" w:hAnsiTheme="minorHAnsi" w:cs="Helvetica"/>
          <w:color w:val="000000"/>
          <w:sz w:val="24"/>
          <w:szCs w:val="24"/>
          <w:lang w:val="en-US"/>
        </w:rPr>
        <w:t>recognise</w:t>
      </w:r>
      <w:proofErr w:type="spellEnd"/>
      <w:r w:rsidRPr="00846D06">
        <w:rPr>
          <w:rFonts w:asciiTheme="minorHAnsi" w:hAnsiTheme="minorHAnsi" w:cs="Helvetica"/>
          <w:color w:val="000000"/>
          <w:sz w:val="24"/>
          <w:szCs w:val="24"/>
          <w:lang w:val="en-US"/>
        </w:rPr>
        <w:t xml:space="preserve"> and articulate their practice, alongside training that equips the willing-but-uncertain to develop new approaches.</w:t>
      </w:r>
    </w:p>
    <w:p w14:paraId="371C7CA0" w14:textId="75514389" w:rsidR="00846D06" w:rsidRPr="00846D06" w:rsidRDefault="00846D06" w:rsidP="001F29D1">
      <w:pPr>
        <w:autoSpaceDE w:val="0"/>
        <w:autoSpaceDN w:val="0"/>
        <w:adjustRightInd w:val="0"/>
        <w:spacing w:after="266" w:line="44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w:t>
      </w:r>
    </w:p>
    <w:p w14:paraId="5AE5DE9D" w14:textId="77777777" w:rsidR="00846D06" w:rsidRPr="00846D06" w:rsidRDefault="00846D06" w:rsidP="00FA0A77">
      <w:pPr>
        <w:pStyle w:val="Heading2"/>
        <w:rPr>
          <w:lang w:val="en-US"/>
        </w:rPr>
      </w:pPr>
      <w:bookmarkStart w:id="30" w:name="_Toc229750455"/>
      <w:r w:rsidRPr="00846D06">
        <w:rPr>
          <w:lang w:val="en-US"/>
        </w:rPr>
        <w:t>6.</w:t>
      </w:r>
      <w:r w:rsidRPr="00846D06">
        <w:rPr>
          <w:rFonts w:cs="Times New Roman"/>
          <w:lang w:val="en-US"/>
        </w:rPr>
        <w:t xml:space="preserve">    </w:t>
      </w:r>
      <w:r w:rsidRPr="00846D06">
        <w:rPr>
          <w:lang w:val="en-US"/>
        </w:rPr>
        <w:t>CONCLUSION</w:t>
      </w:r>
      <w:bookmarkEnd w:id="30"/>
    </w:p>
    <w:p w14:paraId="3F9A1ABB"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This study investigated how History lecturers at four U.K. universities perceive ESD and its role within a </w:t>
      </w:r>
      <w:proofErr w:type="gramStart"/>
      <w:r w:rsidRPr="00846D06">
        <w:rPr>
          <w:rFonts w:asciiTheme="minorHAnsi" w:hAnsiTheme="minorHAnsi" w:cs="Helvetica"/>
          <w:color w:val="000000"/>
          <w:sz w:val="24"/>
          <w:szCs w:val="24"/>
          <w:lang w:val="en-US"/>
        </w:rPr>
        <w:t>History</w:t>
      </w:r>
      <w:proofErr w:type="gramEnd"/>
      <w:r w:rsidRPr="00846D06">
        <w:rPr>
          <w:rFonts w:asciiTheme="minorHAnsi" w:hAnsiTheme="minorHAnsi" w:cs="Helvetica"/>
          <w:color w:val="000000"/>
          <w:sz w:val="24"/>
          <w:szCs w:val="24"/>
          <w:lang w:val="en-US"/>
        </w:rPr>
        <w:t xml:space="preserve"> degree.  Two viewpoints emerged.  Factor 1, shared by four participants, sees History as already aligned with sustainability through its epistemological traditions and argues that sustainability themes should arise organically from the discipline rather than being imposed.  Factor 2, defined by a single participant, argues that </w:t>
      </w:r>
      <w:r w:rsidRPr="00846D06">
        <w:rPr>
          <w:rFonts w:asciiTheme="minorHAnsi" w:hAnsiTheme="minorHAnsi" w:cs="Helvetica"/>
          <w:color w:val="000000"/>
          <w:sz w:val="24"/>
          <w:szCs w:val="24"/>
          <w:lang w:val="en-US"/>
        </w:rPr>
        <w:lastRenderedPageBreak/>
        <w:t>current practice is insufficient and that deliberate integration, supported by training and resources, is required.</w:t>
      </w:r>
    </w:p>
    <w:p w14:paraId="16004EC7" w14:textId="7777777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The research question asked whether ESD in History is policy-driven or accidentally embedded. Neither framing proves adequate.  Factor 1 describes something more purposeful than accidental but firmly resists the machinery of policy-driven implementation.  Factor 2 suggests that deliberate change is needed.  The most productive framing may be one of </w:t>
      </w:r>
      <w:r w:rsidRPr="00846D06">
        <w:rPr>
          <w:rFonts w:asciiTheme="minorHAnsi" w:hAnsiTheme="minorHAnsi" w:cs="Helvetica"/>
          <w:i/>
          <w:iCs/>
          <w:color w:val="000000"/>
          <w:sz w:val="24"/>
          <w:szCs w:val="24"/>
          <w:lang w:val="en-US"/>
        </w:rPr>
        <w:t xml:space="preserve">recognition: </w:t>
      </w:r>
      <w:r w:rsidRPr="00846D06">
        <w:rPr>
          <w:rFonts w:asciiTheme="minorHAnsi" w:hAnsiTheme="minorHAnsi" w:cs="Helvetica"/>
          <w:color w:val="000000"/>
          <w:sz w:val="24"/>
          <w:szCs w:val="24"/>
          <w:lang w:val="en-US"/>
        </w:rPr>
        <w:t>making visible and valued what is already present, while creating conditions for those who wish to go further.  The practical implication is that ESD support should be discipline-sensitive and collegial, framed in the language of the discipline rather than of institutional compliance.</w:t>
      </w:r>
    </w:p>
    <w:p w14:paraId="24DAEFC7" w14:textId="1C5BD56C"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Several significant limitations must be acknowledged.  First, five participants is a very small sample.  While Q methodology can yield meaningful findings from small numbers – and has </w:t>
      </w:r>
      <w:r w:rsidR="001F29D1">
        <w:rPr>
          <w:rFonts w:asciiTheme="minorHAnsi" w:hAnsiTheme="minorHAnsi" w:cs="Helvetica"/>
          <w:color w:val="000000"/>
          <w:sz w:val="24"/>
          <w:szCs w:val="24"/>
          <w:lang w:val="en-US"/>
        </w:rPr>
        <w:t xml:space="preserve">even </w:t>
      </w:r>
      <w:r w:rsidRPr="00846D06">
        <w:rPr>
          <w:rFonts w:asciiTheme="minorHAnsi" w:hAnsiTheme="minorHAnsi" w:cs="Helvetica"/>
          <w:color w:val="000000"/>
          <w:sz w:val="24"/>
          <w:szCs w:val="24"/>
          <w:lang w:val="en-US"/>
        </w:rPr>
        <w:t xml:space="preserve">been used for in-depth study of a single participant (Ramlo, 2023) – the range of viewpoints captured is inevitably constrained.  The low response rate may itself reflect a self-selection bias, with those less interested in sustainability seeing the study as irrelevant to their practice.  Factor 2, resting on a single participant, cannot be confirmed as a shared perspective without replication. </w:t>
      </w:r>
    </w:p>
    <w:p w14:paraId="7E2D63B4" w14:textId="4FB7E11F"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Second, the Q-set was not piloted, and P1’s candid observation that many statements were not placed where they would have preferred highlights the need for refinement, though the tension inherent in a forced-sort methodology is by design rather than by flaw (Watts and Stenner, 2012).  A more substantive limitation of the Q-set design is the absence of systematically constructed opposing statements – that is, a positive and negative formulation for each theme – which would have strengthened the balance of the instrument and ensured that participants could express the full range of positions on each issue</w:t>
      </w:r>
      <w:r w:rsidR="001F29D1">
        <w:rPr>
          <w:rFonts w:asciiTheme="minorHAnsi" w:hAnsiTheme="minorHAnsi" w:cs="Helvetica"/>
          <w:color w:val="000000"/>
          <w:sz w:val="24"/>
          <w:szCs w:val="24"/>
          <w:lang w:val="en-US"/>
        </w:rPr>
        <w:t>.</w:t>
      </w:r>
      <w:r w:rsidRPr="00846D06">
        <w:rPr>
          <w:rFonts w:asciiTheme="minorHAnsi" w:hAnsiTheme="minorHAnsi" w:cs="Helvetica"/>
          <w:color w:val="000000"/>
          <w:sz w:val="24"/>
          <w:szCs w:val="24"/>
          <w:lang w:val="en-US"/>
        </w:rPr>
        <w:t xml:space="preserve"> </w:t>
      </w:r>
      <w:r w:rsidR="001F29D1">
        <w:rPr>
          <w:rFonts w:asciiTheme="minorHAnsi" w:hAnsiTheme="minorHAnsi" w:cs="Helvetica"/>
          <w:color w:val="000000"/>
          <w:sz w:val="24"/>
          <w:szCs w:val="24"/>
          <w:lang w:val="en-US"/>
        </w:rPr>
        <w:t xml:space="preserve"> </w:t>
      </w:r>
      <w:r w:rsidRPr="00846D06">
        <w:rPr>
          <w:rFonts w:asciiTheme="minorHAnsi" w:hAnsiTheme="minorHAnsi" w:cs="Helvetica"/>
          <w:color w:val="000000"/>
          <w:sz w:val="24"/>
          <w:szCs w:val="24"/>
          <w:lang w:val="en-US"/>
        </w:rPr>
        <w:t>This is a design principle that should be applied in any future iteration of the study.</w:t>
      </w:r>
    </w:p>
    <w:p w14:paraId="2E56FC5C" w14:textId="5C444637" w:rsidR="00846D06" w:rsidRPr="00846D06" w:rsidRDefault="00846D06" w:rsidP="00846D06">
      <w:pPr>
        <w:autoSpaceDE w:val="0"/>
        <w:autoSpaceDN w:val="0"/>
        <w:adjustRightInd w:val="0"/>
        <w:spacing w:after="266" w:line="480" w:lineRule="atLeast"/>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lastRenderedPageBreak/>
        <w:t xml:space="preserve">Despite these limitations, the study makes a modest contribution by providing empirical evidence – however preliminary – for Dickinson’s (2025) argument that History’s epistemology is aligned with sustainability thinking, and by demonstrating that epistemological questions operate </w:t>
      </w:r>
      <w:r w:rsidRPr="00846D06">
        <w:rPr>
          <w:rFonts w:asciiTheme="minorHAnsi" w:hAnsiTheme="minorHAnsi" w:cs="Helvetica"/>
          <w:i/>
          <w:iCs/>
          <w:color w:val="000000"/>
          <w:sz w:val="24"/>
          <w:szCs w:val="24"/>
          <w:lang w:val="en-US"/>
        </w:rPr>
        <w:t>within</w:t>
      </w:r>
      <w:r w:rsidRPr="00846D06">
        <w:rPr>
          <w:rFonts w:asciiTheme="minorHAnsi" w:hAnsiTheme="minorHAnsi" w:cs="Helvetica"/>
          <w:color w:val="000000"/>
          <w:sz w:val="24"/>
          <w:szCs w:val="24"/>
          <w:lang w:val="en-US"/>
        </w:rPr>
        <w:t xml:space="preserve"> a discipline, not only between them (Christie </w:t>
      </w:r>
      <w:r w:rsidRPr="00846D06">
        <w:rPr>
          <w:rFonts w:asciiTheme="minorHAnsi" w:hAnsiTheme="minorHAnsi" w:cs="Helvetica"/>
          <w:i/>
          <w:iCs/>
          <w:color w:val="000000"/>
          <w:sz w:val="24"/>
          <w:szCs w:val="24"/>
          <w:lang w:val="en-US"/>
        </w:rPr>
        <w:t>et al.</w:t>
      </w:r>
      <w:r w:rsidRPr="00846D06">
        <w:rPr>
          <w:rFonts w:asciiTheme="minorHAnsi" w:hAnsiTheme="minorHAnsi" w:cs="Helvetica"/>
          <w:color w:val="000000"/>
          <w:sz w:val="24"/>
          <w:szCs w:val="24"/>
          <w:lang w:val="en-US"/>
        </w:rPr>
        <w:t>, 2015).  Replication with a larger and more geographically diverse sample, extension to other arts and humanities disciplines, and a refined Q-sort incorporating balanced opposing statements would test whether these findings represent broader patterns within the discipline and beyond.</w:t>
      </w:r>
    </w:p>
    <w:p w14:paraId="5A1C1496" w14:textId="77777777" w:rsidR="00846D06" w:rsidRPr="00846D06" w:rsidRDefault="00846D06" w:rsidP="00846D06">
      <w:pPr>
        <w:autoSpaceDE w:val="0"/>
        <w:autoSpaceDN w:val="0"/>
        <w:adjustRightInd w:val="0"/>
        <w:spacing w:after="0" w:line="240" w:lineRule="auto"/>
        <w:rPr>
          <w:rFonts w:asciiTheme="minorHAnsi" w:hAnsiTheme="minorHAnsi" w:cs="Helvetica"/>
          <w:color w:val="6C260D"/>
          <w:sz w:val="24"/>
          <w:szCs w:val="24"/>
          <w:lang w:val="en-US"/>
        </w:rPr>
      </w:pPr>
    </w:p>
    <w:p w14:paraId="5F256E25" w14:textId="77777777" w:rsidR="00FA0A77" w:rsidRDefault="00FA0A77">
      <w:pPr>
        <w:rPr>
          <w:caps/>
          <w:color w:val="80340D" w:themeColor="accent2" w:themeShade="80"/>
          <w:spacing w:val="15"/>
          <w:sz w:val="24"/>
          <w:szCs w:val="24"/>
          <w:lang w:val="en-US"/>
        </w:rPr>
      </w:pPr>
      <w:r>
        <w:rPr>
          <w:lang w:val="en-US"/>
        </w:rPr>
        <w:br w:type="page"/>
      </w:r>
    </w:p>
    <w:p w14:paraId="024E9D0E" w14:textId="16A5511C" w:rsidR="00846D06" w:rsidRPr="00846D06" w:rsidRDefault="00846D06" w:rsidP="00FA0A77">
      <w:pPr>
        <w:pStyle w:val="Heading2"/>
        <w:rPr>
          <w:lang w:val="en-US"/>
        </w:rPr>
      </w:pPr>
      <w:bookmarkStart w:id="31" w:name="_Toc229750456"/>
      <w:r w:rsidRPr="00846D06">
        <w:rPr>
          <w:lang w:val="en-US"/>
        </w:rPr>
        <w:lastRenderedPageBreak/>
        <w:t>REFERENCES</w:t>
      </w:r>
      <w:bookmarkEnd w:id="31"/>
    </w:p>
    <w:p w14:paraId="1CEBDE68"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Advance HE and The Quality Assurance Agency for Higher Education (2021) </w:t>
      </w:r>
      <w:r w:rsidRPr="00846D06">
        <w:rPr>
          <w:rFonts w:asciiTheme="minorHAnsi" w:hAnsiTheme="minorHAnsi" w:cs="Helvetica"/>
          <w:i/>
          <w:iCs/>
          <w:color w:val="000000"/>
          <w:sz w:val="24"/>
          <w:szCs w:val="24"/>
          <w:lang w:val="en-US"/>
        </w:rPr>
        <w:t>Education for Sustainable Development Guidance</w:t>
      </w:r>
      <w:r w:rsidRPr="00846D06">
        <w:rPr>
          <w:rFonts w:asciiTheme="minorHAnsi" w:hAnsiTheme="minorHAnsi" w:cs="Helvetica"/>
          <w:color w:val="000000"/>
          <w:sz w:val="24"/>
          <w:szCs w:val="24"/>
          <w:lang w:val="en-US"/>
        </w:rPr>
        <w:t xml:space="preserve">. Available at: </w:t>
      </w:r>
      <w:hyperlink r:id="rId15" w:history="1">
        <w:r w:rsidRPr="00846D06">
          <w:rPr>
            <w:rFonts w:asciiTheme="minorHAnsi" w:hAnsiTheme="minorHAnsi" w:cs="Helvetica"/>
            <w:color w:val="000000"/>
            <w:sz w:val="24"/>
            <w:szCs w:val="24"/>
            <w:u w:val="single" w:color="000000"/>
            <w:lang w:val="en-US"/>
          </w:rPr>
          <w:t>https://www.advance-he.ac.uk/knowledge-hub/education-sustainable-development-guidance</w:t>
        </w:r>
      </w:hyperlink>
      <w:r w:rsidRPr="00846D06">
        <w:rPr>
          <w:rFonts w:asciiTheme="minorHAnsi" w:hAnsiTheme="minorHAnsi" w:cs="Helvetica"/>
          <w:color w:val="000000"/>
          <w:sz w:val="24"/>
          <w:szCs w:val="24"/>
          <w:lang w:val="en-US"/>
        </w:rPr>
        <w:t xml:space="preserve"> </w:t>
      </w:r>
    </w:p>
    <w:p w14:paraId="1FBFF7BB"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Atici, K.B., Yasayacak, G., Yildiz., Y. and Ulucan, A. (2020) ‘Green University and academic performance: An empirical study on UI </w:t>
      </w:r>
      <w:proofErr w:type="spellStart"/>
      <w:r w:rsidRPr="00846D06">
        <w:rPr>
          <w:rFonts w:asciiTheme="minorHAnsi" w:hAnsiTheme="minorHAnsi" w:cs="Helvetica"/>
          <w:color w:val="000000"/>
          <w:sz w:val="24"/>
          <w:szCs w:val="24"/>
          <w:lang w:val="en-US"/>
        </w:rPr>
        <w:t>GreenMetric</w:t>
      </w:r>
      <w:proofErr w:type="spellEnd"/>
      <w:r w:rsidRPr="00846D06">
        <w:rPr>
          <w:rFonts w:asciiTheme="minorHAnsi" w:hAnsiTheme="minorHAnsi" w:cs="Helvetica"/>
          <w:color w:val="000000"/>
          <w:sz w:val="24"/>
          <w:szCs w:val="24"/>
          <w:lang w:val="en-US"/>
        </w:rPr>
        <w:t xml:space="preserve"> and World University Rankings’, </w:t>
      </w:r>
      <w:r w:rsidRPr="00846D06">
        <w:rPr>
          <w:rFonts w:asciiTheme="minorHAnsi" w:hAnsiTheme="minorHAnsi" w:cs="Helvetica"/>
          <w:i/>
          <w:iCs/>
          <w:color w:val="000000"/>
          <w:sz w:val="24"/>
          <w:szCs w:val="24"/>
          <w:lang w:val="en-US"/>
        </w:rPr>
        <w:t>Journal of Cleaner Production</w:t>
      </w:r>
      <w:r w:rsidRPr="00846D06">
        <w:rPr>
          <w:rFonts w:asciiTheme="minorHAnsi" w:hAnsiTheme="minorHAnsi" w:cs="Helvetica"/>
          <w:color w:val="000000"/>
          <w:sz w:val="24"/>
          <w:szCs w:val="24"/>
          <w:lang w:val="en-US"/>
        </w:rPr>
        <w:t xml:space="preserve">, 291.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10.1016/j.jclepro.2020.125289</w:t>
      </w:r>
    </w:p>
    <w:p w14:paraId="228F710A"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Barnett, R. (2004) ‘The Purposes of Higher Education and the Changing Face of Academia’, </w:t>
      </w:r>
      <w:r w:rsidRPr="00846D06">
        <w:rPr>
          <w:rFonts w:asciiTheme="minorHAnsi" w:hAnsiTheme="minorHAnsi" w:cs="Helvetica"/>
          <w:i/>
          <w:iCs/>
          <w:color w:val="000000"/>
          <w:sz w:val="24"/>
          <w:szCs w:val="24"/>
          <w:lang w:val="en-US"/>
        </w:rPr>
        <w:t>London Review of Education</w:t>
      </w:r>
      <w:r w:rsidRPr="00846D06">
        <w:rPr>
          <w:rFonts w:asciiTheme="minorHAnsi" w:hAnsiTheme="minorHAnsi" w:cs="Helvetica"/>
          <w:color w:val="000000"/>
          <w:sz w:val="24"/>
          <w:szCs w:val="24"/>
          <w:lang w:val="en-US"/>
        </w:rPr>
        <w:t xml:space="preserve">, 2(1).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10.1080/1474846042000177483</w:t>
      </w:r>
    </w:p>
    <w:p w14:paraId="73F057A2"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proofErr w:type="spellStart"/>
      <w:r w:rsidRPr="00846D06">
        <w:rPr>
          <w:rFonts w:asciiTheme="minorHAnsi" w:hAnsiTheme="minorHAnsi" w:cs="Helvetica"/>
          <w:color w:val="000000"/>
          <w:sz w:val="24"/>
          <w:szCs w:val="24"/>
          <w:lang w:val="en-US"/>
        </w:rPr>
        <w:t>Banasick</w:t>
      </w:r>
      <w:proofErr w:type="spellEnd"/>
      <w:r w:rsidRPr="00846D06">
        <w:rPr>
          <w:rFonts w:asciiTheme="minorHAnsi" w:hAnsiTheme="minorHAnsi" w:cs="Helvetica"/>
          <w:color w:val="000000"/>
          <w:sz w:val="24"/>
          <w:szCs w:val="24"/>
          <w:lang w:val="en-US"/>
        </w:rPr>
        <w:t xml:space="preserve">, S. (2019) Ken-Q Analysis (Version 1.0.6) [Computer </w:t>
      </w:r>
      <w:proofErr w:type="spellStart"/>
      <w:r w:rsidRPr="00846D06">
        <w:rPr>
          <w:rFonts w:asciiTheme="minorHAnsi" w:hAnsiTheme="minorHAnsi" w:cs="Helvetica"/>
          <w:color w:val="000000"/>
          <w:sz w:val="24"/>
          <w:szCs w:val="24"/>
          <w:lang w:val="en-US"/>
        </w:rPr>
        <w:t>programme</w:t>
      </w:r>
      <w:proofErr w:type="spellEnd"/>
      <w:r w:rsidRPr="00846D06">
        <w:rPr>
          <w:rFonts w:asciiTheme="minorHAnsi" w:hAnsiTheme="minorHAnsi" w:cs="Helvetica"/>
          <w:color w:val="000000"/>
          <w:sz w:val="24"/>
          <w:szCs w:val="24"/>
          <w:lang w:val="en-US"/>
        </w:rPr>
        <w:t xml:space="preserve">]. Available </w:t>
      </w:r>
      <w:proofErr w:type="gramStart"/>
      <w:r w:rsidRPr="00846D06">
        <w:rPr>
          <w:rFonts w:asciiTheme="minorHAnsi" w:hAnsiTheme="minorHAnsi" w:cs="Helvetica"/>
          <w:color w:val="000000"/>
          <w:sz w:val="24"/>
          <w:szCs w:val="24"/>
          <w:lang w:val="en-US"/>
        </w:rPr>
        <w:t>at :</w:t>
      </w:r>
      <w:proofErr w:type="gramEnd"/>
      <w:r w:rsidRPr="00846D06">
        <w:rPr>
          <w:rFonts w:asciiTheme="minorHAnsi" w:hAnsiTheme="minorHAnsi" w:cs="Helvetica"/>
          <w:color w:val="000000"/>
          <w:sz w:val="24"/>
          <w:szCs w:val="24"/>
          <w:lang w:val="en-US"/>
        </w:rPr>
        <w:t xml:space="preserve"> </w:t>
      </w:r>
      <w:hyperlink r:id="rId16" w:history="1">
        <w:r w:rsidRPr="00846D06">
          <w:rPr>
            <w:rFonts w:asciiTheme="minorHAnsi" w:hAnsiTheme="minorHAnsi" w:cs="Helvetica"/>
            <w:color w:val="386573"/>
            <w:sz w:val="24"/>
            <w:szCs w:val="24"/>
            <w:u w:val="single" w:color="386573"/>
            <w:lang w:val="en-US"/>
          </w:rPr>
          <w:t>https://shawnbanasick.github.io/ken-q-analysis/</w:t>
        </w:r>
      </w:hyperlink>
      <w:r w:rsidRPr="00846D06">
        <w:rPr>
          <w:rFonts w:asciiTheme="minorHAnsi" w:hAnsiTheme="minorHAnsi" w:cs="Helvetica"/>
          <w:color w:val="000000"/>
          <w:sz w:val="24"/>
          <w:szCs w:val="24"/>
          <w:lang w:val="en-US"/>
        </w:rPr>
        <w:t xml:space="preserve"> (</w:t>
      </w:r>
      <w:proofErr w:type="gramStart"/>
      <w:r w:rsidRPr="00846D06">
        <w:rPr>
          <w:rFonts w:asciiTheme="minorHAnsi" w:hAnsiTheme="minorHAnsi" w:cs="Helvetica"/>
          <w:color w:val="000000"/>
          <w:sz w:val="24"/>
          <w:szCs w:val="24"/>
          <w:lang w:val="en-US"/>
        </w:rPr>
        <w:t>Accessed :</w:t>
      </w:r>
      <w:proofErr w:type="gramEnd"/>
      <w:r w:rsidRPr="00846D06">
        <w:rPr>
          <w:rFonts w:asciiTheme="minorHAnsi" w:hAnsiTheme="minorHAnsi" w:cs="Helvetica"/>
          <w:color w:val="000000"/>
          <w:sz w:val="24"/>
          <w:szCs w:val="24"/>
          <w:lang w:val="en-US"/>
        </w:rPr>
        <w:t xml:space="preserve"> 28 November 2025).</w:t>
      </w:r>
    </w:p>
    <w:p w14:paraId="665EDB3C"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proofErr w:type="spellStart"/>
      <w:r w:rsidRPr="00846D06">
        <w:rPr>
          <w:rFonts w:asciiTheme="minorHAnsi" w:hAnsiTheme="minorHAnsi" w:cs="Helvetica"/>
          <w:color w:val="000000"/>
          <w:sz w:val="24"/>
          <w:szCs w:val="24"/>
          <w:lang w:val="en-US"/>
        </w:rPr>
        <w:t>Bashatah</w:t>
      </w:r>
      <w:proofErr w:type="spellEnd"/>
      <w:r w:rsidRPr="00846D06">
        <w:rPr>
          <w:rFonts w:asciiTheme="minorHAnsi" w:hAnsiTheme="minorHAnsi" w:cs="Helvetica"/>
          <w:color w:val="000000"/>
          <w:sz w:val="24"/>
          <w:szCs w:val="24"/>
          <w:lang w:val="en-US"/>
        </w:rPr>
        <w:t xml:space="preserve">, L.S. (2016) ‘Q-methodology: What and how?’ </w:t>
      </w:r>
      <w:r w:rsidRPr="00846D06">
        <w:rPr>
          <w:rFonts w:asciiTheme="minorHAnsi" w:hAnsiTheme="minorHAnsi" w:cs="Helvetica"/>
          <w:i/>
          <w:iCs/>
          <w:color w:val="000000"/>
          <w:sz w:val="24"/>
          <w:szCs w:val="24"/>
          <w:lang w:val="en-US"/>
        </w:rPr>
        <w:t>IOSR Journal of Research &amp; Method in Education</w:t>
      </w:r>
      <w:r w:rsidRPr="00846D06">
        <w:rPr>
          <w:rFonts w:asciiTheme="minorHAnsi" w:hAnsiTheme="minorHAnsi" w:cs="Helvetica"/>
          <w:color w:val="000000"/>
          <w:sz w:val="24"/>
          <w:szCs w:val="24"/>
          <w:lang w:val="en-US"/>
        </w:rPr>
        <w:t xml:space="preserve">, 6(5), pp.37-43.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10.9790/7388-0605053743</w:t>
      </w:r>
    </w:p>
    <w:p w14:paraId="600D7086"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Bautista-Puig, N., </w:t>
      </w:r>
      <w:proofErr w:type="spellStart"/>
      <w:r w:rsidRPr="00846D06">
        <w:rPr>
          <w:rFonts w:asciiTheme="minorHAnsi" w:hAnsiTheme="minorHAnsi" w:cs="Helvetica"/>
          <w:color w:val="000000"/>
          <w:sz w:val="24"/>
          <w:szCs w:val="24"/>
          <w:lang w:val="en-US"/>
        </w:rPr>
        <w:t>Ordũna</w:t>
      </w:r>
      <w:proofErr w:type="spellEnd"/>
      <w:r w:rsidRPr="00846D06">
        <w:rPr>
          <w:rFonts w:asciiTheme="minorHAnsi" w:hAnsiTheme="minorHAnsi" w:cs="Helvetica"/>
          <w:color w:val="000000"/>
          <w:sz w:val="24"/>
          <w:szCs w:val="24"/>
          <w:lang w:val="en-US"/>
        </w:rPr>
        <w:t xml:space="preserve">-Malea, E. and Perez-Esparrells, C. (2022) ‘Enhancing sustainable development goals or promoting universities? An analysis of the times higher education impact rankings’, </w:t>
      </w:r>
      <w:r w:rsidRPr="00846D06">
        <w:rPr>
          <w:rFonts w:asciiTheme="minorHAnsi" w:hAnsiTheme="minorHAnsi" w:cs="Helvetica"/>
          <w:i/>
          <w:iCs/>
          <w:color w:val="000000"/>
          <w:sz w:val="24"/>
          <w:szCs w:val="24"/>
          <w:lang w:val="en-US"/>
        </w:rPr>
        <w:t>International Journal of Sustainability in Higher Education</w:t>
      </w:r>
      <w:r w:rsidRPr="00846D06">
        <w:rPr>
          <w:rFonts w:asciiTheme="minorHAnsi" w:hAnsiTheme="minorHAnsi" w:cs="Helvetica"/>
          <w:color w:val="000000"/>
          <w:sz w:val="24"/>
          <w:szCs w:val="24"/>
          <w:lang w:val="en-US"/>
        </w:rPr>
        <w:t xml:space="preserve">, 23(8), pp.211-231.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10.1108/IJSHE-07-2021-0309</w:t>
      </w:r>
    </w:p>
    <w:p w14:paraId="7EA2BBD0"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Berg, C. (2023) ‘The Case for Generative AI in Scholarly Practice’, SSRN.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10.2139/ssrn.4407587</w:t>
      </w:r>
    </w:p>
    <w:p w14:paraId="440C136C"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Blodgett, D.M. and Feld, M.N. (2021) ‘Teaching an interdisciplinary course in sustainable food systems: science and history meet in “a world that works”, </w:t>
      </w:r>
      <w:r w:rsidRPr="00846D06">
        <w:rPr>
          <w:rFonts w:asciiTheme="minorHAnsi" w:hAnsiTheme="minorHAnsi" w:cs="Helvetica"/>
          <w:i/>
          <w:iCs/>
          <w:color w:val="000000"/>
          <w:sz w:val="24"/>
          <w:szCs w:val="24"/>
          <w:lang w:val="en-US"/>
        </w:rPr>
        <w:t>International Journal of Sustainability in Higher Education</w:t>
      </w:r>
      <w:r w:rsidRPr="00846D06">
        <w:rPr>
          <w:rFonts w:asciiTheme="minorHAnsi" w:hAnsiTheme="minorHAnsi" w:cs="Helvetica"/>
          <w:color w:val="000000"/>
          <w:sz w:val="24"/>
          <w:szCs w:val="24"/>
          <w:lang w:val="en-US"/>
        </w:rPr>
        <w:t xml:space="preserve">, 24(9), pp. 138-158.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10.1108/ijshe-02-2020-0044</w:t>
      </w:r>
    </w:p>
    <w:p w14:paraId="1E51EFA0"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Booth, A. (2008) ‘The making of history teaching in 20</w:t>
      </w:r>
      <w:r w:rsidRPr="00846D06">
        <w:rPr>
          <w:rFonts w:asciiTheme="minorHAnsi" w:hAnsiTheme="minorHAnsi" w:cs="Helvetica"/>
          <w:color w:val="000000"/>
          <w:sz w:val="24"/>
          <w:szCs w:val="24"/>
          <w:vertAlign w:val="superscript"/>
          <w:lang w:val="en-US"/>
        </w:rPr>
        <w:t>th</w:t>
      </w:r>
      <w:r w:rsidRPr="00846D06">
        <w:rPr>
          <w:rFonts w:asciiTheme="minorHAnsi" w:hAnsiTheme="minorHAnsi" w:cs="Helvetica"/>
          <w:color w:val="000000"/>
          <w:sz w:val="24"/>
          <w:szCs w:val="24"/>
          <w:lang w:val="en-US"/>
        </w:rPr>
        <w:t xml:space="preserve">-century British higher education’, </w:t>
      </w:r>
      <w:r w:rsidRPr="00846D06">
        <w:rPr>
          <w:rFonts w:asciiTheme="minorHAnsi" w:hAnsiTheme="minorHAnsi" w:cs="Helvetica"/>
          <w:i/>
          <w:iCs/>
          <w:color w:val="000000"/>
          <w:sz w:val="24"/>
          <w:szCs w:val="24"/>
          <w:lang w:val="en-US"/>
        </w:rPr>
        <w:t>The Institute of Historical Research</w:t>
      </w:r>
      <w:r w:rsidRPr="00846D06">
        <w:rPr>
          <w:rFonts w:asciiTheme="minorHAnsi" w:hAnsiTheme="minorHAnsi" w:cs="Helvetica"/>
          <w:color w:val="000000"/>
          <w:sz w:val="24"/>
          <w:szCs w:val="24"/>
          <w:lang w:val="en-US"/>
        </w:rPr>
        <w:t xml:space="preserve">. Available at: </w:t>
      </w:r>
      <w:hyperlink r:id="rId17" w:history="1">
        <w:r w:rsidRPr="00846D06">
          <w:rPr>
            <w:rFonts w:asciiTheme="minorHAnsi" w:hAnsiTheme="minorHAnsi" w:cs="Helvetica"/>
            <w:color w:val="386573"/>
            <w:sz w:val="24"/>
            <w:szCs w:val="24"/>
            <w:u w:val="single" w:color="386573"/>
            <w:lang w:val="en-US"/>
          </w:rPr>
          <w:t>https://archives.history.ac.uk/makinghistory/resources/articles/teaching_of_history.html</w:t>
        </w:r>
      </w:hyperlink>
      <w:r w:rsidRPr="00846D06">
        <w:rPr>
          <w:rFonts w:asciiTheme="minorHAnsi" w:hAnsiTheme="minorHAnsi" w:cs="Helvetica"/>
          <w:color w:val="000000"/>
          <w:sz w:val="24"/>
          <w:szCs w:val="24"/>
          <w:lang w:val="en-US"/>
        </w:rPr>
        <w:t xml:space="preserve"> (Accessed: 21 November 2025).</w:t>
      </w:r>
    </w:p>
    <w:p w14:paraId="48629B5A"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Booth, A. and Nicholls, D. (2005) ‘History teaching in Higher Education: breaking down the barriers to progression and dialogue’, </w:t>
      </w:r>
      <w:r w:rsidRPr="00846D06">
        <w:rPr>
          <w:rFonts w:asciiTheme="minorHAnsi" w:hAnsiTheme="minorHAnsi" w:cs="Helvetica"/>
          <w:i/>
          <w:iCs/>
          <w:color w:val="000000"/>
          <w:sz w:val="24"/>
          <w:szCs w:val="24"/>
          <w:lang w:val="en-US"/>
        </w:rPr>
        <w:t>Teaching history in higher education conference</w:t>
      </w:r>
      <w:r w:rsidRPr="00846D06">
        <w:rPr>
          <w:rFonts w:asciiTheme="minorHAnsi" w:hAnsiTheme="minorHAnsi" w:cs="Helvetica"/>
          <w:color w:val="000000"/>
          <w:sz w:val="24"/>
          <w:szCs w:val="24"/>
          <w:lang w:val="en-US"/>
        </w:rPr>
        <w:t xml:space="preserve">. Available at: </w:t>
      </w:r>
      <w:hyperlink r:id="rId18" w:history="1">
        <w:r w:rsidRPr="00846D06">
          <w:rPr>
            <w:rFonts w:asciiTheme="minorHAnsi" w:hAnsiTheme="minorHAnsi" w:cs="Helvetica"/>
            <w:color w:val="386573"/>
            <w:sz w:val="24"/>
            <w:szCs w:val="24"/>
            <w:u w:val="single" w:color="386573"/>
            <w:lang w:val="en-US"/>
          </w:rPr>
          <w:t>https://sas-space.sas.ac.uk/4321/1/History_teaching_in_Higher_Education_breaking_down_the_barriers_to_progression_and_dialogue.pdf</w:t>
        </w:r>
      </w:hyperlink>
      <w:r w:rsidRPr="00846D06">
        <w:rPr>
          <w:rFonts w:asciiTheme="minorHAnsi" w:hAnsiTheme="minorHAnsi" w:cs="Helvetica"/>
          <w:color w:val="000000"/>
          <w:sz w:val="24"/>
          <w:szCs w:val="24"/>
          <w:lang w:val="en-US"/>
        </w:rPr>
        <w:t xml:space="preserve"> (Accessed: 21 November 2025).</w:t>
      </w:r>
    </w:p>
    <w:p w14:paraId="09EE9774"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Brooks, C. and Ryan, A. (2006) </w:t>
      </w:r>
      <w:r w:rsidRPr="00846D06">
        <w:rPr>
          <w:rFonts w:asciiTheme="minorHAnsi" w:hAnsiTheme="minorHAnsi" w:cs="Helvetica"/>
          <w:i/>
          <w:iCs/>
          <w:color w:val="000000"/>
          <w:sz w:val="24"/>
          <w:szCs w:val="24"/>
          <w:lang w:val="en-US"/>
        </w:rPr>
        <w:t>C-SAP/HCA Education for Sustainable Development FINAL REPORT</w:t>
      </w:r>
      <w:r w:rsidRPr="00846D06">
        <w:rPr>
          <w:rFonts w:asciiTheme="minorHAnsi" w:hAnsiTheme="minorHAnsi" w:cs="Helvetica"/>
          <w:color w:val="000000"/>
          <w:sz w:val="24"/>
          <w:szCs w:val="24"/>
          <w:lang w:val="en-US"/>
        </w:rPr>
        <w:t xml:space="preserve">. Higher Education Academy. Available at: </w:t>
      </w:r>
      <w:hyperlink r:id="rId19" w:history="1">
        <w:r w:rsidRPr="00846D06">
          <w:rPr>
            <w:rFonts w:asciiTheme="minorHAnsi" w:hAnsiTheme="minorHAnsi" w:cs="Helvetica"/>
            <w:color w:val="386573"/>
            <w:sz w:val="24"/>
            <w:szCs w:val="24"/>
            <w:u w:val="single" w:color="386573"/>
            <w:lang w:val="en-US"/>
          </w:rPr>
          <w:t>https://warwick.ac.uk/fac/cross_fac/heahistory/resources/br_brooks_esd_200604xx_01.pdf</w:t>
        </w:r>
      </w:hyperlink>
      <w:r w:rsidRPr="00846D06">
        <w:rPr>
          <w:rFonts w:asciiTheme="minorHAnsi" w:hAnsiTheme="minorHAnsi" w:cs="Helvetica"/>
          <w:color w:val="000000"/>
          <w:sz w:val="24"/>
          <w:szCs w:val="24"/>
          <w:lang w:val="en-US"/>
        </w:rPr>
        <w:t xml:space="preserve"> </w:t>
      </w:r>
    </w:p>
    <w:p w14:paraId="2134E2C2"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Brooks, I., Harrison, L., Reeves, M., Simpson, M. and Wallis, R. (2024) ‘History-enhanced ICT For Sustainability education: Learning together with Business and Computing students’, </w:t>
      </w:r>
      <w:r w:rsidRPr="00846D06">
        <w:rPr>
          <w:rFonts w:asciiTheme="minorHAnsi" w:hAnsiTheme="minorHAnsi" w:cs="Helvetica"/>
          <w:i/>
          <w:iCs/>
          <w:color w:val="000000"/>
          <w:sz w:val="24"/>
          <w:szCs w:val="24"/>
          <w:lang w:val="en-US"/>
        </w:rPr>
        <w:t>2024 10</w:t>
      </w:r>
      <w:r w:rsidRPr="00846D06">
        <w:rPr>
          <w:rFonts w:asciiTheme="minorHAnsi" w:hAnsiTheme="minorHAnsi" w:cs="Helvetica"/>
          <w:i/>
          <w:iCs/>
          <w:color w:val="000000"/>
          <w:sz w:val="24"/>
          <w:szCs w:val="24"/>
          <w:vertAlign w:val="superscript"/>
          <w:lang w:val="en-US"/>
        </w:rPr>
        <w:t>th</w:t>
      </w:r>
      <w:r w:rsidRPr="00846D06">
        <w:rPr>
          <w:rFonts w:asciiTheme="minorHAnsi" w:hAnsiTheme="minorHAnsi" w:cs="Helvetica"/>
          <w:i/>
          <w:iCs/>
          <w:color w:val="000000"/>
          <w:sz w:val="24"/>
          <w:szCs w:val="24"/>
          <w:lang w:val="en-US"/>
        </w:rPr>
        <w:t xml:space="preserve"> International Conference on ICT for Sustainability (ICT4S)</w:t>
      </w:r>
      <w:r w:rsidRPr="00846D06">
        <w:rPr>
          <w:rFonts w:asciiTheme="minorHAnsi" w:hAnsiTheme="minorHAnsi" w:cs="Helvetica"/>
          <w:color w:val="000000"/>
          <w:sz w:val="24"/>
          <w:szCs w:val="24"/>
          <w:lang w:val="en-US"/>
        </w:rPr>
        <w:t xml:space="preserve">, pp.1-12.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10.1109/ict4s64576.2024.00024.</w:t>
      </w:r>
    </w:p>
    <w:p w14:paraId="04EBE700"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Brown, S.R. (1993) ‘A Primer on Q Methodology’, </w:t>
      </w:r>
      <w:r w:rsidRPr="00846D06">
        <w:rPr>
          <w:rFonts w:asciiTheme="minorHAnsi" w:hAnsiTheme="minorHAnsi" w:cs="Helvetica"/>
          <w:i/>
          <w:iCs/>
          <w:color w:val="000000"/>
          <w:sz w:val="24"/>
          <w:szCs w:val="24"/>
          <w:lang w:val="en-US"/>
        </w:rPr>
        <w:t>Operant Subjectivity</w:t>
      </w:r>
      <w:r w:rsidRPr="00846D06">
        <w:rPr>
          <w:rFonts w:asciiTheme="minorHAnsi" w:hAnsiTheme="minorHAnsi" w:cs="Helvetica"/>
          <w:color w:val="000000"/>
          <w:sz w:val="24"/>
          <w:szCs w:val="24"/>
          <w:lang w:val="en-US"/>
        </w:rPr>
        <w:t xml:space="preserve">, 16(3/4), pp.91-138.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10.22488/okstate.93.100504</w:t>
      </w:r>
    </w:p>
    <w:p w14:paraId="69099927"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Capdevila, R. and Lazard, L. (2008) ‘‘‘Is it just me…?” Q Methodology and Representing the Marginal’, </w:t>
      </w:r>
      <w:r w:rsidRPr="00846D06">
        <w:rPr>
          <w:rFonts w:asciiTheme="minorHAnsi" w:hAnsiTheme="minorHAnsi" w:cs="Helvetica"/>
          <w:i/>
          <w:iCs/>
          <w:color w:val="000000"/>
          <w:sz w:val="24"/>
          <w:szCs w:val="24"/>
          <w:lang w:val="en-US"/>
        </w:rPr>
        <w:t>Operant Subjectivity</w:t>
      </w:r>
      <w:r w:rsidRPr="00846D06">
        <w:rPr>
          <w:rFonts w:asciiTheme="minorHAnsi" w:hAnsiTheme="minorHAnsi" w:cs="Helvetica"/>
          <w:color w:val="000000"/>
          <w:sz w:val="24"/>
          <w:szCs w:val="24"/>
          <w:lang w:val="en-US"/>
        </w:rPr>
        <w:t xml:space="preserve">, 32, pp.70-84.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10.22488/okstate.08.100567</w:t>
      </w:r>
    </w:p>
    <w:p w14:paraId="3045692D"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Cebrián, G., Grace, M. and Humphris, D. (2014) ‘Academic staff engagement in education for sustainable development’, </w:t>
      </w:r>
      <w:r w:rsidRPr="00846D06">
        <w:rPr>
          <w:rFonts w:asciiTheme="minorHAnsi" w:hAnsiTheme="minorHAnsi" w:cs="Helvetica"/>
          <w:i/>
          <w:iCs/>
          <w:color w:val="000000"/>
          <w:sz w:val="24"/>
          <w:szCs w:val="24"/>
          <w:lang w:val="en-US"/>
        </w:rPr>
        <w:t>Journal of Cleaner Production</w:t>
      </w:r>
      <w:r w:rsidRPr="00846D06">
        <w:rPr>
          <w:rFonts w:asciiTheme="minorHAnsi" w:hAnsiTheme="minorHAnsi" w:cs="Helvetica"/>
          <w:color w:val="000000"/>
          <w:sz w:val="24"/>
          <w:szCs w:val="24"/>
          <w:lang w:val="en-US"/>
        </w:rPr>
        <w:t xml:space="preserve">, 106, pp. 79-86.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xml:space="preserve">: </w:t>
      </w:r>
      <w:r w:rsidRPr="00846D06">
        <w:rPr>
          <w:rFonts w:asciiTheme="minorHAnsi" w:hAnsiTheme="minorHAnsi" w:cs="Arial"/>
          <w:color w:val="000000"/>
          <w:sz w:val="24"/>
          <w:szCs w:val="24"/>
          <w:lang w:val="en-US"/>
        </w:rPr>
        <w:t>10.1016/j.jclepro.2014.12.010</w:t>
      </w:r>
    </w:p>
    <w:p w14:paraId="71E0AE6C"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Chaaban, Y., Alkhateeb, H., Abu-</w:t>
      </w:r>
      <w:proofErr w:type="spellStart"/>
      <w:r w:rsidRPr="00846D06">
        <w:rPr>
          <w:rFonts w:asciiTheme="minorHAnsi" w:hAnsiTheme="minorHAnsi" w:cs="Helvetica"/>
          <w:color w:val="000000"/>
          <w:sz w:val="24"/>
          <w:szCs w:val="24"/>
          <w:lang w:val="en-US"/>
        </w:rPr>
        <w:t>Tineh</w:t>
      </w:r>
      <w:proofErr w:type="spellEnd"/>
      <w:r w:rsidRPr="00846D06">
        <w:rPr>
          <w:rFonts w:asciiTheme="minorHAnsi" w:hAnsiTheme="minorHAnsi" w:cs="Helvetica"/>
          <w:color w:val="000000"/>
          <w:sz w:val="24"/>
          <w:szCs w:val="24"/>
          <w:lang w:val="en-US"/>
        </w:rPr>
        <w:t xml:space="preserve">, A., and Romanowski, M. (2023) ‘Exploring teachers’ perspectives on career development: Q methodology research’, </w:t>
      </w:r>
      <w:r w:rsidRPr="00846D06">
        <w:rPr>
          <w:rFonts w:asciiTheme="minorHAnsi" w:hAnsiTheme="minorHAnsi" w:cs="Helvetica"/>
          <w:i/>
          <w:iCs/>
          <w:color w:val="000000"/>
          <w:sz w:val="24"/>
          <w:szCs w:val="24"/>
          <w:lang w:val="en-US"/>
        </w:rPr>
        <w:t>Teaching and Teacher Education</w:t>
      </w:r>
      <w:r w:rsidRPr="00846D06">
        <w:rPr>
          <w:rFonts w:asciiTheme="minorHAnsi" w:hAnsiTheme="minorHAnsi" w:cs="Helvetica"/>
          <w:color w:val="000000"/>
          <w:sz w:val="24"/>
          <w:szCs w:val="24"/>
          <w:lang w:val="en-US"/>
        </w:rPr>
        <w:t>, 122 (103987).</w:t>
      </w:r>
    </w:p>
    <w:p w14:paraId="53906596"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Chalkley, B. and Sterling, S. (2011) ‘Hard Times in Higher Education: The Closure of Subject </w:t>
      </w:r>
      <w:proofErr w:type="spellStart"/>
      <w:r w:rsidRPr="00846D06">
        <w:rPr>
          <w:rFonts w:asciiTheme="minorHAnsi" w:hAnsiTheme="minorHAnsi" w:cs="Helvetica"/>
          <w:color w:val="000000"/>
          <w:sz w:val="24"/>
          <w:szCs w:val="24"/>
          <w:lang w:val="en-US"/>
        </w:rPr>
        <w:t>Centres</w:t>
      </w:r>
      <w:proofErr w:type="spellEnd"/>
      <w:r w:rsidRPr="00846D06">
        <w:rPr>
          <w:rFonts w:asciiTheme="minorHAnsi" w:hAnsiTheme="minorHAnsi" w:cs="Helvetica"/>
          <w:color w:val="000000"/>
          <w:sz w:val="24"/>
          <w:szCs w:val="24"/>
          <w:lang w:val="en-US"/>
        </w:rPr>
        <w:t xml:space="preserve"> and the Implications for Education for Sustainable Development (ESD)’, </w:t>
      </w:r>
      <w:r w:rsidRPr="00846D06">
        <w:rPr>
          <w:rFonts w:asciiTheme="minorHAnsi" w:hAnsiTheme="minorHAnsi" w:cs="Helvetica"/>
          <w:i/>
          <w:iCs/>
          <w:color w:val="000000"/>
          <w:sz w:val="24"/>
          <w:szCs w:val="24"/>
          <w:lang w:val="en-US"/>
        </w:rPr>
        <w:t>Sustainability</w:t>
      </w:r>
      <w:r w:rsidRPr="00846D06">
        <w:rPr>
          <w:rFonts w:asciiTheme="minorHAnsi" w:hAnsiTheme="minorHAnsi" w:cs="Helvetica"/>
          <w:color w:val="000000"/>
          <w:sz w:val="24"/>
          <w:szCs w:val="24"/>
          <w:lang w:val="en-US"/>
        </w:rPr>
        <w:t>, 3(4), pp.666.</w:t>
      </w:r>
    </w:p>
    <w:p w14:paraId="65960B2C"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Christie, B.A., Miller, K.K., Cooke, R. and White, J.G. (2015) ‘Environmental sustainability in higher education: what do academics think?’ </w:t>
      </w:r>
      <w:r w:rsidRPr="00846D06">
        <w:rPr>
          <w:rFonts w:asciiTheme="minorHAnsi" w:hAnsiTheme="minorHAnsi" w:cs="Helvetica"/>
          <w:i/>
          <w:iCs/>
          <w:color w:val="000000"/>
          <w:sz w:val="24"/>
          <w:szCs w:val="24"/>
          <w:lang w:val="en-US"/>
        </w:rPr>
        <w:t>Environmental Education Research</w:t>
      </w:r>
      <w:r w:rsidRPr="00846D06">
        <w:rPr>
          <w:rFonts w:asciiTheme="minorHAnsi" w:hAnsiTheme="minorHAnsi" w:cs="Helvetica"/>
          <w:color w:val="000000"/>
          <w:sz w:val="24"/>
          <w:szCs w:val="24"/>
          <w:lang w:val="en-US"/>
        </w:rPr>
        <w:t>, 21(5), pp.655-686.</w:t>
      </w:r>
    </w:p>
    <w:p w14:paraId="48379577"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Cortese, A.D. and Hattan, A.S. (2010) Research and Solutions: Education for Sustainability as the Mission of Higher Education’, </w:t>
      </w:r>
      <w:r w:rsidRPr="00846D06">
        <w:rPr>
          <w:rFonts w:asciiTheme="minorHAnsi" w:hAnsiTheme="minorHAnsi" w:cs="Helvetica"/>
          <w:i/>
          <w:iCs/>
          <w:color w:val="000000"/>
          <w:sz w:val="24"/>
          <w:szCs w:val="24"/>
          <w:lang w:val="en-US"/>
        </w:rPr>
        <w:t>Sustainability: The Journal of Record</w:t>
      </w:r>
      <w:r w:rsidRPr="00846D06">
        <w:rPr>
          <w:rFonts w:asciiTheme="minorHAnsi" w:hAnsiTheme="minorHAnsi" w:cs="Helvetica"/>
          <w:color w:val="000000"/>
          <w:sz w:val="24"/>
          <w:szCs w:val="24"/>
          <w:lang w:val="en-US"/>
        </w:rPr>
        <w:t xml:space="preserve">, 3(1), pp.48-52.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10.1089/SUS.2009.9802</w:t>
      </w:r>
    </w:p>
    <w:p w14:paraId="176DC116"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Cotton, D.R.E., Warren, M.F., Maiboroda, O. and Bailey, I. (2007) ‘Sustainable development, higher education and pedagogy: a study of lecturers’ beliefs and attitudes’, </w:t>
      </w:r>
      <w:r w:rsidRPr="00846D06">
        <w:rPr>
          <w:rFonts w:asciiTheme="minorHAnsi" w:hAnsiTheme="minorHAnsi" w:cs="Helvetica"/>
          <w:i/>
          <w:iCs/>
          <w:color w:val="000000"/>
          <w:sz w:val="24"/>
          <w:szCs w:val="24"/>
          <w:lang w:val="en-US"/>
        </w:rPr>
        <w:t>Environmental Education Research</w:t>
      </w:r>
      <w:r w:rsidRPr="00846D06">
        <w:rPr>
          <w:rFonts w:asciiTheme="minorHAnsi" w:hAnsiTheme="minorHAnsi" w:cs="Helvetica"/>
          <w:color w:val="000000"/>
          <w:sz w:val="24"/>
          <w:szCs w:val="24"/>
          <w:lang w:val="en-US"/>
        </w:rPr>
        <w:t xml:space="preserve">, 13(5), pp.579-597.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10.1080/13504620701659061</w:t>
      </w:r>
    </w:p>
    <w:p w14:paraId="68952E13"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Coogan, J. and Herrington, N. (2011) ‘Q methodology: an overview’, </w:t>
      </w:r>
      <w:r w:rsidRPr="00846D06">
        <w:rPr>
          <w:rFonts w:asciiTheme="minorHAnsi" w:hAnsiTheme="minorHAnsi" w:cs="Helvetica"/>
          <w:i/>
          <w:iCs/>
          <w:color w:val="000000"/>
          <w:sz w:val="24"/>
          <w:szCs w:val="24"/>
          <w:lang w:val="en-US"/>
        </w:rPr>
        <w:t>Research in Secondary Teacher Education</w:t>
      </w:r>
      <w:r w:rsidRPr="00846D06">
        <w:rPr>
          <w:rFonts w:asciiTheme="minorHAnsi" w:hAnsiTheme="minorHAnsi" w:cs="Helvetica"/>
          <w:color w:val="000000"/>
          <w:sz w:val="24"/>
          <w:szCs w:val="24"/>
          <w:lang w:val="en-US"/>
        </w:rPr>
        <w:t>, 1(2), pp.24-28.</w:t>
      </w:r>
    </w:p>
    <w:p w14:paraId="3E157AE0"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Corres, A., Rieckmann, M., </w:t>
      </w:r>
      <w:proofErr w:type="spellStart"/>
      <w:r w:rsidRPr="00846D06">
        <w:rPr>
          <w:rFonts w:asciiTheme="minorHAnsi" w:hAnsiTheme="minorHAnsi" w:cs="Helvetica"/>
          <w:color w:val="000000"/>
          <w:sz w:val="24"/>
          <w:szCs w:val="24"/>
          <w:lang w:val="en-US"/>
        </w:rPr>
        <w:t>Espasa</w:t>
      </w:r>
      <w:proofErr w:type="spellEnd"/>
      <w:r w:rsidRPr="00846D06">
        <w:rPr>
          <w:rFonts w:asciiTheme="minorHAnsi" w:hAnsiTheme="minorHAnsi" w:cs="Helvetica"/>
          <w:color w:val="000000"/>
          <w:sz w:val="24"/>
          <w:szCs w:val="24"/>
          <w:lang w:val="en-US"/>
        </w:rPr>
        <w:t>, A. and Ruiz-</w:t>
      </w:r>
      <w:proofErr w:type="spellStart"/>
      <w:r w:rsidRPr="00846D06">
        <w:rPr>
          <w:rFonts w:asciiTheme="minorHAnsi" w:hAnsiTheme="minorHAnsi" w:cs="Helvetica"/>
          <w:color w:val="000000"/>
          <w:sz w:val="24"/>
          <w:szCs w:val="24"/>
          <w:lang w:val="en-US"/>
        </w:rPr>
        <w:t>mallén</w:t>
      </w:r>
      <w:proofErr w:type="spellEnd"/>
      <w:r w:rsidRPr="00846D06">
        <w:rPr>
          <w:rFonts w:asciiTheme="minorHAnsi" w:hAnsiTheme="minorHAnsi" w:cs="Helvetica"/>
          <w:color w:val="000000"/>
          <w:sz w:val="24"/>
          <w:szCs w:val="24"/>
          <w:lang w:val="en-US"/>
        </w:rPr>
        <w:t xml:space="preserve">, I. (2020) ‘Educator Competences in Sustainability Education: A Systematic Review of Frameworks’, Sustainability, 12, article 9858.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10.3390/su12239858</w:t>
      </w:r>
    </w:p>
    <w:p w14:paraId="5917B366"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lastRenderedPageBreak/>
        <w:t xml:space="preserve">Creswell, J.W. &amp; Poth, C.N. (2023) </w:t>
      </w:r>
      <w:r w:rsidRPr="00846D06">
        <w:rPr>
          <w:rFonts w:asciiTheme="minorHAnsi" w:hAnsiTheme="minorHAnsi" w:cs="Helvetica"/>
          <w:i/>
          <w:iCs/>
          <w:color w:val="000000"/>
          <w:sz w:val="24"/>
          <w:szCs w:val="24"/>
          <w:lang w:val="en-US"/>
        </w:rPr>
        <w:t xml:space="preserve">Qualitative Inquiry &amp; Research </w:t>
      </w:r>
      <w:proofErr w:type="gramStart"/>
      <w:r w:rsidRPr="00846D06">
        <w:rPr>
          <w:rFonts w:asciiTheme="minorHAnsi" w:hAnsiTheme="minorHAnsi" w:cs="Helvetica"/>
          <w:i/>
          <w:iCs/>
          <w:color w:val="000000"/>
          <w:sz w:val="24"/>
          <w:szCs w:val="24"/>
          <w:lang w:val="en-US"/>
        </w:rPr>
        <w:t>Design :</w:t>
      </w:r>
      <w:proofErr w:type="gramEnd"/>
      <w:r w:rsidRPr="00846D06">
        <w:rPr>
          <w:rFonts w:asciiTheme="minorHAnsi" w:hAnsiTheme="minorHAnsi" w:cs="Helvetica"/>
          <w:i/>
          <w:iCs/>
          <w:color w:val="000000"/>
          <w:sz w:val="24"/>
          <w:szCs w:val="24"/>
          <w:lang w:val="en-US"/>
        </w:rPr>
        <w:t xml:space="preserve"> Choosing</w:t>
      </w:r>
      <w:r w:rsidRPr="00846D06">
        <w:rPr>
          <w:rFonts w:asciiTheme="minorHAnsi" w:hAnsiTheme="minorHAnsi" w:cs="Helvetica"/>
          <w:color w:val="000000"/>
          <w:sz w:val="24"/>
          <w:szCs w:val="24"/>
          <w:lang w:val="en-US"/>
        </w:rPr>
        <w:t xml:space="preserve"> </w:t>
      </w:r>
      <w:r w:rsidRPr="00846D06">
        <w:rPr>
          <w:rFonts w:asciiTheme="minorHAnsi" w:hAnsiTheme="minorHAnsi" w:cs="Helvetica"/>
          <w:i/>
          <w:iCs/>
          <w:color w:val="000000"/>
          <w:sz w:val="24"/>
          <w:szCs w:val="24"/>
          <w:lang w:val="en-US"/>
        </w:rPr>
        <w:t xml:space="preserve">Among Five Approaches. </w:t>
      </w:r>
      <w:r w:rsidRPr="00846D06">
        <w:rPr>
          <w:rFonts w:asciiTheme="minorHAnsi" w:hAnsiTheme="minorHAnsi" w:cs="Helvetica"/>
          <w:color w:val="000000"/>
          <w:sz w:val="24"/>
          <w:szCs w:val="24"/>
          <w:lang w:val="en-US"/>
        </w:rPr>
        <w:t>5</w:t>
      </w:r>
      <w:r w:rsidRPr="00846D06">
        <w:rPr>
          <w:rFonts w:asciiTheme="minorHAnsi" w:hAnsiTheme="minorHAnsi" w:cs="Helvetica"/>
          <w:color w:val="000000"/>
          <w:sz w:val="24"/>
          <w:szCs w:val="24"/>
          <w:vertAlign w:val="superscript"/>
          <w:lang w:val="en-US"/>
        </w:rPr>
        <w:t>th</w:t>
      </w:r>
      <w:r w:rsidRPr="00846D06">
        <w:rPr>
          <w:rFonts w:asciiTheme="minorHAnsi" w:hAnsiTheme="minorHAnsi" w:cs="Helvetica"/>
          <w:color w:val="000000"/>
          <w:sz w:val="24"/>
          <w:szCs w:val="24"/>
          <w:lang w:val="en-US"/>
        </w:rPr>
        <w:t xml:space="preserve"> </w:t>
      </w:r>
      <w:proofErr w:type="spellStart"/>
      <w:r w:rsidRPr="00846D06">
        <w:rPr>
          <w:rFonts w:asciiTheme="minorHAnsi" w:hAnsiTheme="minorHAnsi" w:cs="Helvetica"/>
          <w:color w:val="000000"/>
          <w:sz w:val="24"/>
          <w:szCs w:val="24"/>
          <w:lang w:val="en-US"/>
        </w:rPr>
        <w:t>edn</w:t>
      </w:r>
      <w:proofErr w:type="spellEnd"/>
      <w:r w:rsidRPr="00846D06">
        <w:rPr>
          <w:rFonts w:asciiTheme="minorHAnsi" w:hAnsiTheme="minorHAnsi" w:cs="Helvetica"/>
          <w:i/>
          <w:iCs/>
          <w:color w:val="000000"/>
          <w:sz w:val="24"/>
          <w:szCs w:val="24"/>
          <w:lang w:val="en-US"/>
        </w:rPr>
        <w:t xml:space="preserve">. </w:t>
      </w:r>
      <w:r w:rsidRPr="00846D06">
        <w:rPr>
          <w:rFonts w:asciiTheme="minorHAnsi" w:hAnsiTheme="minorHAnsi" w:cs="Helvetica"/>
          <w:color w:val="000000"/>
          <w:sz w:val="24"/>
          <w:szCs w:val="24"/>
          <w:lang w:val="en-US"/>
        </w:rPr>
        <w:t>SAGE.</w:t>
      </w:r>
    </w:p>
    <w:p w14:paraId="7D4A2997"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proofErr w:type="spellStart"/>
      <w:r w:rsidRPr="00846D06">
        <w:rPr>
          <w:rFonts w:asciiTheme="minorHAnsi" w:hAnsiTheme="minorHAnsi" w:cs="Helvetica"/>
          <w:color w:val="000000"/>
          <w:sz w:val="24"/>
          <w:szCs w:val="24"/>
          <w:lang w:val="en-US"/>
        </w:rPr>
        <w:t>Dall’Alba</w:t>
      </w:r>
      <w:proofErr w:type="spellEnd"/>
      <w:r w:rsidRPr="00846D06">
        <w:rPr>
          <w:rFonts w:asciiTheme="minorHAnsi" w:hAnsiTheme="minorHAnsi" w:cs="Helvetica"/>
          <w:color w:val="000000"/>
          <w:sz w:val="24"/>
          <w:szCs w:val="24"/>
          <w:lang w:val="en-US"/>
        </w:rPr>
        <w:t xml:space="preserve">, G. and Barnacle, R. (2007) ‘An ontological turn for higher education’, </w:t>
      </w:r>
      <w:r w:rsidRPr="00846D06">
        <w:rPr>
          <w:rFonts w:asciiTheme="minorHAnsi" w:hAnsiTheme="minorHAnsi" w:cs="Helvetica"/>
          <w:i/>
          <w:iCs/>
          <w:color w:val="000000"/>
          <w:sz w:val="24"/>
          <w:szCs w:val="24"/>
          <w:lang w:val="en-US"/>
        </w:rPr>
        <w:t>Studies in Higher Education</w:t>
      </w:r>
      <w:r w:rsidRPr="00846D06">
        <w:rPr>
          <w:rFonts w:asciiTheme="minorHAnsi" w:hAnsiTheme="minorHAnsi" w:cs="Helvetica"/>
          <w:color w:val="000000"/>
          <w:sz w:val="24"/>
          <w:szCs w:val="24"/>
          <w:lang w:val="en-US"/>
        </w:rPr>
        <w:t xml:space="preserve">, 32(6), pp.679-691.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10.1080/03075070701685130</w:t>
      </w:r>
    </w:p>
    <w:p w14:paraId="212A8862"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Davis, C.H. (2011) ‘Q Methodology in Audience Research: Bridging the Qualitative/Quantitative ‘Divide’?’, </w:t>
      </w:r>
      <w:r w:rsidRPr="00846D06">
        <w:rPr>
          <w:rFonts w:asciiTheme="minorHAnsi" w:hAnsiTheme="minorHAnsi" w:cs="Helvetica"/>
          <w:i/>
          <w:iCs/>
          <w:color w:val="000000"/>
          <w:sz w:val="24"/>
          <w:szCs w:val="24"/>
          <w:lang w:val="en-US"/>
        </w:rPr>
        <w:t>Journal of Audience &amp; Reception Studies</w:t>
      </w:r>
      <w:r w:rsidRPr="00846D06">
        <w:rPr>
          <w:rFonts w:asciiTheme="minorHAnsi" w:hAnsiTheme="minorHAnsi" w:cs="Helvetica"/>
          <w:color w:val="000000"/>
          <w:sz w:val="24"/>
          <w:szCs w:val="24"/>
          <w:lang w:val="en-US"/>
        </w:rPr>
        <w:t>, 8(2), pp.559-593.</w:t>
      </w:r>
    </w:p>
    <w:p w14:paraId="77BEDB1C"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Dawe, G., Jucker, R. and Martin, S. (2005) </w:t>
      </w:r>
      <w:r w:rsidRPr="00846D06">
        <w:rPr>
          <w:rFonts w:asciiTheme="minorHAnsi" w:hAnsiTheme="minorHAnsi" w:cs="Helvetica"/>
          <w:i/>
          <w:iCs/>
          <w:color w:val="000000"/>
          <w:sz w:val="24"/>
          <w:szCs w:val="24"/>
          <w:lang w:val="en-US"/>
        </w:rPr>
        <w:t>Sustainable Development in Higher Education: Current Practice and Future Development. A Report for the Higher Education Academy</w:t>
      </w:r>
      <w:r w:rsidRPr="00846D06">
        <w:rPr>
          <w:rFonts w:asciiTheme="minorHAnsi" w:hAnsiTheme="minorHAnsi" w:cs="Helvetica"/>
          <w:color w:val="000000"/>
          <w:sz w:val="24"/>
          <w:szCs w:val="24"/>
          <w:lang w:val="en-US"/>
        </w:rPr>
        <w:t>, Higher Education Academy.</w:t>
      </w:r>
    </w:p>
    <w:p w14:paraId="6FE8B442"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Delamont, S., &amp; Atkinson, P. (2021) </w:t>
      </w:r>
      <w:r w:rsidRPr="00846D06">
        <w:rPr>
          <w:rFonts w:asciiTheme="minorHAnsi" w:hAnsiTheme="minorHAnsi" w:cs="Helvetica"/>
          <w:i/>
          <w:iCs/>
          <w:color w:val="000000"/>
          <w:sz w:val="24"/>
          <w:szCs w:val="24"/>
          <w:lang w:val="en-US"/>
        </w:rPr>
        <w:t>Ethnographic Engagements: Encounters with the Familiar and the Strange</w:t>
      </w:r>
      <w:r w:rsidRPr="00846D06">
        <w:rPr>
          <w:rFonts w:asciiTheme="minorHAnsi" w:hAnsiTheme="minorHAnsi" w:cs="Helvetica"/>
          <w:color w:val="000000"/>
          <w:sz w:val="24"/>
          <w:szCs w:val="24"/>
          <w:lang w:val="en-US"/>
        </w:rPr>
        <w:t xml:space="preserve">. Routledge. </w:t>
      </w:r>
    </w:p>
    <w:p w14:paraId="4D58482E"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Dickinson, E.R. (2025) </w:t>
      </w:r>
      <w:r w:rsidRPr="00846D06">
        <w:rPr>
          <w:rFonts w:asciiTheme="minorHAnsi" w:hAnsiTheme="minorHAnsi" w:cs="Helvetica"/>
          <w:i/>
          <w:iCs/>
          <w:color w:val="000000"/>
          <w:sz w:val="24"/>
          <w:szCs w:val="24"/>
          <w:lang w:val="en-US"/>
        </w:rPr>
        <w:t>Teaching History in Higher Education: ethics, aims, methods</w:t>
      </w:r>
      <w:r w:rsidRPr="00846D06">
        <w:rPr>
          <w:rFonts w:asciiTheme="minorHAnsi" w:hAnsiTheme="minorHAnsi" w:cs="Helvetica"/>
          <w:color w:val="000000"/>
          <w:sz w:val="24"/>
          <w:szCs w:val="24"/>
          <w:lang w:val="en-US"/>
        </w:rPr>
        <w:t>. Cambridge University Press.</w:t>
      </w:r>
    </w:p>
    <w:p w14:paraId="4ED5DE75"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proofErr w:type="spellStart"/>
      <w:r w:rsidRPr="00846D06">
        <w:rPr>
          <w:rFonts w:asciiTheme="minorHAnsi" w:hAnsiTheme="minorHAnsi" w:cs="Helvetica"/>
          <w:color w:val="000000"/>
          <w:sz w:val="24"/>
          <w:szCs w:val="24"/>
          <w:lang w:val="en-US"/>
        </w:rPr>
        <w:t>Espartinez</w:t>
      </w:r>
      <w:proofErr w:type="spellEnd"/>
      <w:r w:rsidRPr="00846D06">
        <w:rPr>
          <w:rFonts w:asciiTheme="minorHAnsi" w:hAnsiTheme="minorHAnsi" w:cs="Helvetica"/>
          <w:color w:val="000000"/>
          <w:sz w:val="24"/>
          <w:szCs w:val="24"/>
          <w:lang w:val="en-US"/>
        </w:rPr>
        <w:t xml:space="preserve">, A.S. (2024) ‘Exploring student and teacher perceptions of ChatGPT use in higher education: A Q-Methodology study’, </w:t>
      </w:r>
      <w:r w:rsidRPr="00846D06">
        <w:rPr>
          <w:rFonts w:asciiTheme="minorHAnsi" w:hAnsiTheme="minorHAnsi" w:cs="Helvetica"/>
          <w:i/>
          <w:iCs/>
          <w:color w:val="000000"/>
          <w:sz w:val="24"/>
          <w:szCs w:val="24"/>
          <w:lang w:val="en-US"/>
        </w:rPr>
        <w:t>Computers and Education: Artificial Intelligence</w:t>
      </w:r>
      <w:r w:rsidRPr="00846D06">
        <w:rPr>
          <w:rFonts w:asciiTheme="minorHAnsi" w:hAnsiTheme="minorHAnsi" w:cs="Helvetica"/>
          <w:color w:val="000000"/>
          <w:sz w:val="24"/>
          <w:szCs w:val="24"/>
          <w:lang w:val="en-US"/>
        </w:rPr>
        <w:t>, 7(100264).</w:t>
      </w:r>
    </w:p>
    <w:p w14:paraId="7DC40EDC"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Fahey, S.J. (2018) ‘Curriculum change and climate change: Inside outside pressures in higher education’, in Reid, A. (ed) </w:t>
      </w:r>
      <w:r w:rsidRPr="00846D06">
        <w:rPr>
          <w:rFonts w:asciiTheme="minorHAnsi" w:hAnsiTheme="minorHAnsi" w:cs="Helvetica"/>
          <w:i/>
          <w:iCs/>
          <w:color w:val="000000"/>
          <w:sz w:val="24"/>
          <w:szCs w:val="24"/>
          <w:lang w:val="en-US"/>
        </w:rPr>
        <w:t>Curriculum and Environmental Education</w:t>
      </w:r>
      <w:r w:rsidRPr="00846D06">
        <w:rPr>
          <w:rFonts w:asciiTheme="minorHAnsi" w:hAnsiTheme="minorHAnsi" w:cs="Helvetica"/>
          <w:color w:val="000000"/>
          <w:sz w:val="24"/>
          <w:szCs w:val="24"/>
          <w:lang w:val="en-US"/>
        </w:rPr>
        <w:t>. Routledge.</w:t>
      </w:r>
    </w:p>
    <w:p w14:paraId="657AFE63"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proofErr w:type="spellStart"/>
      <w:r w:rsidRPr="00846D06">
        <w:rPr>
          <w:rFonts w:asciiTheme="minorHAnsi" w:hAnsiTheme="minorHAnsi" w:cs="Helvetica"/>
          <w:color w:val="000000"/>
          <w:sz w:val="24"/>
          <w:szCs w:val="24"/>
          <w:lang w:val="en-US"/>
        </w:rPr>
        <w:t>Fiselier</w:t>
      </w:r>
      <w:proofErr w:type="spellEnd"/>
      <w:r w:rsidRPr="00846D06">
        <w:rPr>
          <w:rFonts w:asciiTheme="minorHAnsi" w:hAnsiTheme="minorHAnsi" w:cs="Helvetica"/>
          <w:color w:val="000000"/>
          <w:sz w:val="24"/>
          <w:szCs w:val="24"/>
          <w:lang w:val="en-US"/>
        </w:rPr>
        <w:t xml:space="preserve">, E.S., Longhurst, J.W.S., and Gough, G.K. (2017) ‘Exploring the current position of ESD in higher education institutions’, International Journal of Sustainability in Higher Education, 19(2), pp.393-412.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10.1108/IJSHE-06-2017-0084</w:t>
      </w:r>
    </w:p>
    <w:p w14:paraId="3A7E0E88"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Goller, A. and Rieckmann, M. ‚What do We Know About Teacher Educators’ Perceptions of Education for Sustainable Development?’ A Systematic Literature Review’, Journal of Teacher Education for Sustainability, 24(1), pp.19-34.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10.2478/jtes-2022-0003</w:t>
      </w:r>
    </w:p>
    <w:p w14:paraId="110046D5"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Harris, K., Henderson, S., and Wink, B. (2019) ‘</w:t>
      </w:r>
      <w:proofErr w:type="spellStart"/>
      <w:r w:rsidRPr="00846D06">
        <w:rPr>
          <w:rFonts w:asciiTheme="minorHAnsi" w:hAnsiTheme="minorHAnsi" w:cs="Helvetica"/>
          <w:color w:val="000000"/>
          <w:sz w:val="24"/>
          <w:szCs w:val="24"/>
          <w:lang w:val="en-US"/>
        </w:rPr>
        <w:t>Mobilising</w:t>
      </w:r>
      <w:proofErr w:type="spellEnd"/>
      <w:r w:rsidRPr="00846D06">
        <w:rPr>
          <w:rFonts w:asciiTheme="minorHAnsi" w:hAnsiTheme="minorHAnsi" w:cs="Helvetica"/>
          <w:color w:val="000000"/>
          <w:sz w:val="24"/>
          <w:szCs w:val="24"/>
          <w:lang w:val="en-US"/>
        </w:rPr>
        <w:t xml:space="preserve"> Q methodology within a realist evaluation: Lessons from an empirical study’, </w:t>
      </w:r>
      <w:r w:rsidRPr="00846D06">
        <w:rPr>
          <w:rFonts w:asciiTheme="minorHAnsi" w:hAnsiTheme="minorHAnsi" w:cs="Helvetica"/>
          <w:i/>
          <w:iCs/>
          <w:color w:val="000000"/>
          <w:sz w:val="24"/>
          <w:szCs w:val="24"/>
          <w:lang w:val="en-US"/>
        </w:rPr>
        <w:t>Evaluation</w:t>
      </w:r>
      <w:r w:rsidRPr="00846D06">
        <w:rPr>
          <w:rFonts w:asciiTheme="minorHAnsi" w:hAnsiTheme="minorHAnsi" w:cs="Helvetica"/>
          <w:color w:val="000000"/>
          <w:sz w:val="24"/>
          <w:szCs w:val="24"/>
          <w:lang w:val="en-US"/>
        </w:rPr>
        <w:t xml:space="preserve">, 25(4), pp.430-448.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10.1177/1356389019841645</w:t>
      </w:r>
    </w:p>
    <w:p w14:paraId="52AA2189"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Janssens, L., </w:t>
      </w:r>
      <w:proofErr w:type="spellStart"/>
      <w:r w:rsidRPr="00846D06">
        <w:rPr>
          <w:rFonts w:asciiTheme="minorHAnsi" w:hAnsiTheme="minorHAnsi" w:cs="Helvetica"/>
          <w:color w:val="000000"/>
          <w:sz w:val="24"/>
          <w:szCs w:val="24"/>
          <w:lang w:val="en-US"/>
        </w:rPr>
        <w:t>Kuppens</w:t>
      </w:r>
      <w:proofErr w:type="spellEnd"/>
      <w:r w:rsidRPr="00846D06">
        <w:rPr>
          <w:rFonts w:asciiTheme="minorHAnsi" w:hAnsiTheme="minorHAnsi" w:cs="Helvetica"/>
          <w:color w:val="000000"/>
          <w:sz w:val="24"/>
          <w:szCs w:val="24"/>
          <w:lang w:val="en-US"/>
        </w:rPr>
        <w:t xml:space="preserve">, T., </w:t>
      </w:r>
      <w:proofErr w:type="spellStart"/>
      <w:r w:rsidRPr="00846D06">
        <w:rPr>
          <w:rFonts w:asciiTheme="minorHAnsi" w:hAnsiTheme="minorHAnsi" w:cs="Helvetica"/>
          <w:color w:val="000000"/>
          <w:sz w:val="24"/>
          <w:szCs w:val="24"/>
          <w:lang w:val="en-US"/>
        </w:rPr>
        <w:t>Mulà</w:t>
      </w:r>
      <w:proofErr w:type="spellEnd"/>
      <w:r w:rsidRPr="00846D06">
        <w:rPr>
          <w:rFonts w:asciiTheme="minorHAnsi" w:hAnsiTheme="minorHAnsi" w:cs="Helvetica"/>
          <w:color w:val="000000"/>
          <w:sz w:val="24"/>
          <w:szCs w:val="24"/>
          <w:lang w:val="en-US"/>
        </w:rPr>
        <w:t xml:space="preserve">, I., </w:t>
      </w:r>
      <w:proofErr w:type="spellStart"/>
      <w:r w:rsidRPr="00846D06">
        <w:rPr>
          <w:rFonts w:asciiTheme="minorHAnsi" w:hAnsiTheme="minorHAnsi" w:cs="Helvetica"/>
          <w:color w:val="000000"/>
          <w:sz w:val="24"/>
          <w:szCs w:val="24"/>
          <w:lang w:val="en-US"/>
        </w:rPr>
        <w:t>Staniskiene</w:t>
      </w:r>
      <w:proofErr w:type="spellEnd"/>
      <w:r w:rsidRPr="00846D06">
        <w:rPr>
          <w:rFonts w:asciiTheme="minorHAnsi" w:hAnsiTheme="minorHAnsi" w:cs="Helvetica"/>
          <w:color w:val="000000"/>
          <w:sz w:val="24"/>
          <w:szCs w:val="24"/>
          <w:lang w:val="en-US"/>
        </w:rPr>
        <w:t xml:space="preserve">, E. and Zimmermann, A. (2022) ‘Do European quality assurance frameworks support integration of transformative learning for sustainable development in higher education?’, </w:t>
      </w:r>
      <w:r w:rsidRPr="00846D06">
        <w:rPr>
          <w:rFonts w:asciiTheme="minorHAnsi" w:hAnsiTheme="minorHAnsi" w:cs="Helvetica"/>
          <w:i/>
          <w:iCs/>
          <w:color w:val="000000"/>
          <w:sz w:val="24"/>
          <w:szCs w:val="24"/>
          <w:lang w:val="en-US"/>
        </w:rPr>
        <w:t>International Journal of Sustainability in Higher Education</w:t>
      </w:r>
      <w:r w:rsidRPr="00846D06">
        <w:rPr>
          <w:rFonts w:asciiTheme="minorHAnsi" w:hAnsiTheme="minorHAnsi" w:cs="Helvetica"/>
          <w:color w:val="000000"/>
          <w:sz w:val="24"/>
          <w:szCs w:val="24"/>
          <w:lang w:val="en-US"/>
        </w:rPr>
        <w:t xml:space="preserve">, 23(8), pp.148-173.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10.1108/IJSHE-07-2021-0273</w:t>
      </w:r>
    </w:p>
    <w:p w14:paraId="63D55B89"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lastRenderedPageBreak/>
        <w:t xml:space="preserve">Jones, K. (2020) ‘Greening the past: putting history in its place at the ecological university’, </w:t>
      </w:r>
      <w:r w:rsidRPr="00846D06">
        <w:rPr>
          <w:rFonts w:asciiTheme="minorHAnsi" w:hAnsiTheme="minorHAnsi" w:cs="Helvetica"/>
          <w:i/>
          <w:iCs/>
          <w:color w:val="000000"/>
          <w:sz w:val="24"/>
          <w:szCs w:val="24"/>
          <w:lang w:val="en-US"/>
        </w:rPr>
        <w:t>International Journal of Sustainability in Higher Education</w:t>
      </w:r>
      <w:r w:rsidRPr="00846D06">
        <w:rPr>
          <w:rFonts w:asciiTheme="minorHAnsi" w:hAnsiTheme="minorHAnsi" w:cs="Helvetica"/>
          <w:color w:val="000000"/>
          <w:sz w:val="24"/>
          <w:szCs w:val="24"/>
          <w:lang w:val="en-US"/>
        </w:rPr>
        <w:t xml:space="preserve">, 23(1), pp.58-66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10.1108/ijshe-07-2020-0233</w:t>
      </w:r>
    </w:p>
    <w:p w14:paraId="0B257DA6" w14:textId="77777777" w:rsidR="00846D06" w:rsidRPr="00846D06" w:rsidRDefault="00846D06" w:rsidP="00846D06">
      <w:pPr>
        <w:autoSpaceDE w:val="0"/>
        <w:autoSpaceDN w:val="0"/>
        <w:adjustRightInd w:val="0"/>
        <w:spacing w:after="266" w:line="240" w:lineRule="auto"/>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Kehnel, A. (2024) </w:t>
      </w:r>
      <w:r w:rsidRPr="00846D06">
        <w:rPr>
          <w:rFonts w:asciiTheme="minorHAnsi" w:hAnsiTheme="minorHAnsi" w:cs="Helvetica"/>
          <w:i/>
          <w:iCs/>
          <w:color w:val="000000"/>
          <w:sz w:val="24"/>
          <w:szCs w:val="24"/>
          <w:lang w:val="en-US"/>
        </w:rPr>
        <w:t>The Green Ages.</w:t>
      </w:r>
      <w:r w:rsidRPr="00846D06">
        <w:rPr>
          <w:rFonts w:asciiTheme="minorHAnsi" w:hAnsiTheme="minorHAnsi" w:cs="Helvetica"/>
          <w:color w:val="000000"/>
          <w:sz w:val="24"/>
          <w:szCs w:val="24"/>
          <w:lang w:val="en-US"/>
        </w:rPr>
        <w:t xml:space="preserve"> Profile Books Ltd. </w:t>
      </w:r>
    </w:p>
    <w:p w14:paraId="38520BD8"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Kemper, J.A., Ballantine, P.W., Hall, C.M. (2020) ‘The role that marketing academics play in advancing sustainability education and research’, Journal of Cleaner Production, 248(119229).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10.1016/j.jclepro.2019.119229</w:t>
      </w:r>
    </w:p>
    <w:p w14:paraId="3E9D1C56"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Kingsley, D. (2023) ‘Can generative AI facilitate the research process. It’s complicated’, </w:t>
      </w:r>
      <w:r w:rsidRPr="00846D06">
        <w:rPr>
          <w:rFonts w:asciiTheme="minorHAnsi" w:hAnsiTheme="minorHAnsi" w:cs="Helvetica"/>
          <w:i/>
          <w:iCs/>
          <w:color w:val="000000"/>
          <w:sz w:val="24"/>
          <w:szCs w:val="24"/>
          <w:lang w:val="en-US"/>
        </w:rPr>
        <w:t>College and Research Libraries</w:t>
      </w:r>
      <w:r w:rsidRPr="00846D06">
        <w:rPr>
          <w:rFonts w:asciiTheme="minorHAnsi" w:hAnsiTheme="minorHAnsi" w:cs="Helvetica"/>
          <w:color w:val="000000"/>
          <w:sz w:val="24"/>
          <w:szCs w:val="24"/>
          <w:lang w:val="en-US"/>
        </w:rPr>
        <w:t xml:space="preserve">, 84(9).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10.5860/crln.84.9.342</w:t>
      </w:r>
    </w:p>
    <w:p w14:paraId="2C54D1EE"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proofErr w:type="spellStart"/>
      <w:r w:rsidRPr="00846D06">
        <w:rPr>
          <w:rFonts w:asciiTheme="minorHAnsi" w:hAnsiTheme="minorHAnsi" w:cs="Helvetica"/>
          <w:color w:val="000000"/>
          <w:sz w:val="24"/>
          <w:szCs w:val="24"/>
          <w:lang w:val="en-US"/>
        </w:rPr>
        <w:t>Krznaric</w:t>
      </w:r>
      <w:proofErr w:type="spellEnd"/>
      <w:r w:rsidRPr="00846D06">
        <w:rPr>
          <w:rFonts w:asciiTheme="minorHAnsi" w:hAnsiTheme="minorHAnsi" w:cs="Helvetica"/>
          <w:color w:val="000000"/>
          <w:sz w:val="24"/>
          <w:szCs w:val="24"/>
          <w:lang w:val="en-US"/>
        </w:rPr>
        <w:t xml:space="preserve">, R. (2024) </w:t>
      </w:r>
      <w:r w:rsidRPr="00846D06">
        <w:rPr>
          <w:rFonts w:asciiTheme="minorHAnsi" w:hAnsiTheme="minorHAnsi" w:cs="Helvetica"/>
          <w:i/>
          <w:iCs/>
          <w:color w:val="000000"/>
          <w:sz w:val="24"/>
          <w:szCs w:val="24"/>
          <w:lang w:val="en-US"/>
        </w:rPr>
        <w:t>History for Tomorrow: Inspiration from the Past for the Future of Humanity</w:t>
      </w:r>
      <w:r w:rsidRPr="00846D06">
        <w:rPr>
          <w:rFonts w:asciiTheme="minorHAnsi" w:hAnsiTheme="minorHAnsi" w:cs="Helvetica"/>
          <w:color w:val="000000"/>
          <w:sz w:val="24"/>
          <w:szCs w:val="24"/>
          <w:lang w:val="en-US"/>
        </w:rPr>
        <w:t>. Penguin.</w:t>
      </w:r>
    </w:p>
    <w:p w14:paraId="4D066443"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Lazzarini, B. and Pérez-Foguet, A. (2018) ‘Profiling research of the engineering academics who successfully promote education in Sustainable Human Development’, Journal of Cleaner Production, 172, pp.4239-4253.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10.1016/j.jclepro.2017.08.234</w:t>
      </w:r>
    </w:p>
    <w:p w14:paraId="09413F27"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Lozano, R. (2006) ‘Incorporation and institutionalization of SD into universities: breaking through barriers to change’, </w:t>
      </w:r>
      <w:r w:rsidRPr="00846D06">
        <w:rPr>
          <w:rFonts w:asciiTheme="minorHAnsi" w:hAnsiTheme="minorHAnsi" w:cs="Helvetica"/>
          <w:i/>
          <w:iCs/>
          <w:color w:val="000000"/>
          <w:sz w:val="24"/>
          <w:szCs w:val="24"/>
          <w:lang w:val="en-US"/>
        </w:rPr>
        <w:t>Journal of Cleaner Production</w:t>
      </w:r>
      <w:r w:rsidRPr="00846D06">
        <w:rPr>
          <w:rFonts w:asciiTheme="minorHAnsi" w:hAnsiTheme="minorHAnsi" w:cs="Helvetica"/>
          <w:color w:val="000000"/>
          <w:sz w:val="24"/>
          <w:szCs w:val="24"/>
          <w:lang w:val="en-US"/>
        </w:rPr>
        <w:t>, 14(9-11), pp.787-796).</w:t>
      </w:r>
    </w:p>
    <w:p w14:paraId="2720625B"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Lundberg, A., de Leeuw, R. and Aliani, R. (2020) ‘Using Q methodology: Sorting out subjectivity in educational research’, </w:t>
      </w:r>
      <w:r w:rsidRPr="00846D06">
        <w:rPr>
          <w:rFonts w:asciiTheme="minorHAnsi" w:hAnsiTheme="minorHAnsi" w:cs="Helvetica"/>
          <w:i/>
          <w:iCs/>
          <w:color w:val="000000"/>
          <w:sz w:val="24"/>
          <w:szCs w:val="24"/>
          <w:lang w:val="en-US"/>
        </w:rPr>
        <w:t>Educational Research Review</w:t>
      </w:r>
      <w:r w:rsidRPr="00846D06">
        <w:rPr>
          <w:rFonts w:asciiTheme="minorHAnsi" w:hAnsiTheme="minorHAnsi" w:cs="Helvetica"/>
          <w:color w:val="000000"/>
          <w:sz w:val="24"/>
          <w:szCs w:val="24"/>
          <w:lang w:val="en-US"/>
        </w:rPr>
        <w:t>, 31(100361).</w:t>
      </w:r>
    </w:p>
    <w:p w14:paraId="206A16D3"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proofErr w:type="spellStart"/>
      <w:r w:rsidRPr="00846D06">
        <w:rPr>
          <w:rFonts w:asciiTheme="minorHAnsi" w:hAnsiTheme="minorHAnsi" w:cs="Helvetica"/>
          <w:color w:val="000000"/>
          <w:sz w:val="24"/>
          <w:szCs w:val="24"/>
          <w:lang w:val="en-US"/>
        </w:rPr>
        <w:t>Lutfallah</w:t>
      </w:r>
      <w:proofErr w:type="spellEnd"/>
      <w:r w:rsidRPr="00846D06">
        <w:rPr>
          <w:rFonts w:asciiTheme="minorHAnsi" w:hAnsiTheme="minorHAnsi" w:cs="Helvetica"/>
          <w:color w:val="000000"/>
          <w:sz w:val="24"/>
          <w:szCs w:val="24"/>
          <w:lang w:val="en-US"/>
        </w:rPr>
        <w:t xml:space="preserve">, S. and Buchanan, L. (no date) </w:t>
      </w:r>
      <w:r w:rsidRPr="00846D06">
        <w:rPr>
          <w:rFonts w:asciiTheme="minorHAnsi" w:hAnsiTheme="minorHAnsi" w:cs="Helvetica"/>
          <w:i/>
          <w:iCs/>
          <w:color w:val="000000"/>
          <w:sz w:val="24"/>
          <w:szCs w:val="24"/>
          <w:lang w:val="en-US"/>
        </w:rPr>
        <w:t>Q Method Software</w:t>
      </w:r>
      <w:r w:rsidRPr="00846D06">
        <w:rPr>
          <w:rFonts w:asciiTheme="minorHAnsi" w:hAnsiTheme="minorHAnsi" w:cs="Helvetica"/>
          <w:color w:val="000000"/>
          <w:sz w:val="24"/>
          <w:szCs w:val="24"/>
          <w:lang w:val="en-US"/>
        </w:rPr>
        <w:t xml:space="preserve">. Available at: </w:t>
      </w:r>
      <w:hyperlink r:id="rId20" w:history="1">
        <w:r w:rsidRPr="00846D06">
          <w:rPr>
            <w:rFonts w:asciiTheme="minorHAnsi" w:hAnsiTheme="minorHAnsi" w:cs="Helvetica"/>
            <w:color w:val="386573"/>
            <w:sz w:val="24"/>
            <w:szCs w:val="24"/>
            <w:u w:val="single" w:color="386573"/>
            <w:lang w:val="en-US"/>
          </w:rPr>
          <w:t>https://qmethodsoftware.com</w:t>
        </w:r>
      </w:hyperlink>
      <w:r w:rsidRPr="00846D06">
        <w:rPr>
          <w:rFonts w:asciiTheme="minorHAnsi" w:hAnsiTheme="minorHAnsi" w:cs="Helvetica"/>
          <w:color w:val="000000"/>
          <w:sz w:val="24"/>
          <w:szCs w:val="24"/>
          <w:lang w:val="en-US"/>
        </w:rPr>
        <w:t xml:space="preserve"> (Accessed: 28 November 2025).</w:t>
      </w:r>
    </w:p>
    <w:p w14:paraId="20FA675C"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Mair, S. and Druckman, A. (2022) </w:t>
      </w:r>
      <w:r w:rsidRPr="00846D06">
        <w:rPr>
          <w:rFonts w:asciiTheme="minorHAnsi" w:hAnsiTheme="minorHAnsi" w:cs="Helvetica"/>
          <w:i/>
          <w:iCs/>
          <w:color w:val="000000"/>
          <w:sz w:val="24"/>
          <w:szCs w:val="24"/>
          <w:lang w:val="en-US"/>
        </w:rPr>
        <w:t>WP36 – embedding sustainability in higher education</w:t>
      </w:r>
      <w:r w:rsidRPr="00846D06">
        <w:rPr>
          <w:rFonts w:asciiTheme="minorHAnsi" w:hAnsiTheme="minorHAnsi" w:cs="Helvetica"/>
          <w:color w:val="000000"/>
          <w:sz w:val="24"/>
          <w:szCs w:val="24"/>
          <w:lang w:val="en-US"/>
        </w:rPr>
        <w:t xml:space="preserve">. Centre for the Understanding of Sustainable Prosperity. Available at: </w:t>
      </w:r>
      <w:hyperlink r:id="rId21" w:history="1">
        <w:r w:rsidRPr="00846D06">
          <w:rPr>
            <w:rFonts w:asciiTheme="minorHAnsi" w:hAnsiTheme="minorHAnsi" w:cs="Helvetica"/>
            <w:color w:val="386573"/>
            <w:sz w:val="24"/>
            <w:szCs w:val="24"/>
            <w:u w:val="single" w:color="386573"/>
            <w:lang w:val="en-US"/>
          </w:rPr>
          <w:t>https://cusp.ac.uk/wp-content/uploads/WP36%E2%80%94embedding-sustainability-in-higher-education.pdf</w:t>
        </w:r>
      </w:hyperlink>
      <w:r w:rsidRPr="00846D06">
        <w:rPr>
          <w:rFonts w:asciiTheme="minorHAnsi" w:hAnsiTheme="minorHAnsi" w:cs="Helvetica"/>
          <w:color w:val="000000"/>
          <w:sz w:val="24"/>
          <w:szCs w:val="24"/>
          <w:lang w:val="en-US"/>
        </w:rPr>
        <w:t xml:space="preserve"> (Accessed: 14 November 2025).</w:t>
      </w:r>
    </w:p>
    <w:p w14:paraId="415BEB92" w14:textId="77777777" w:rsidR="00846D06" w:rsidRPr="00846D06" w:rsidRDefault="00846D06" w:rsidP="00846D06">
      <w:pPr>
        <w:autoSpaceDE w:val="0"/>
        <w:autoSpaceDN w:val="0"/>
        <w:adjustRightInd w:val="0"/>
        <w:spacing w:after="266" w:line="480" w:lineRule="atLeast"/>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McKeown, B. F., Thomas, D. B. (2013) </w:t>
      </w:r>
      <w:r w:rsidRPr="00846D06">
        <w:rPr>
          <w:rFonts w:asciiTheme="minorHAnsi" w:hAnsiTheme="minorHAnsi" w:cs="Helvetica"/>
          <w:i/>
          <w:iCs/>
          <w:color w:val="000000"/>
          <w:sz w:val="24"/>
          <w:szCs w:val="24"/>
          <w:lang w:val="en-US"/>
        </w:rPr>
        <w:t>Q Methodology</w:t>
      </w:r>
      <w:r w:rsidRPr="00846D06">
        <w:rPr>
          <w:rFonts w:asciiTheme="minorHAnsi" w:hAnsiTheme="minorHAnsi" w:cs="Helvetica"/>
          <w:color w:val="000000"/>
          <w:sz w:val="24"/>
          <w:szCs w:val="24"/>
          <w:lang w:val="en-US"/>
        </w:rPr>
        <w:t>, United States: SAGE Publications.</w:t>
      </w:r>
    </w:p>
    <w:p w14:paraId="7E690DE3"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Mollick, E. (2024) </w:t>
      </w:r>
      <w:r w:rsidRPr="00846D06">
        <w:rPr>
          <w:rFonts w:asciiTheme="minorHAnsi" w:hAnsiTheme="minorHAnsi" w:cs="Helvetica"/>
          <w:i/>
          <w:iCs/>
          <w:color w:val="000000"/>
          <w:sz w:val="24"/>
          <w:szCs w:val="24"/>
          <w:lang w:val="en-US"/>
        </w:rPr>
        <w:t>Co-Intelligence: living and working with AI</w:t>
      </w:r>
      <w:r w:rsidRPr="00846D06">
        <w:rPr>
          <w:rFonts w:asciiTheme="minorHAnsi" w:hAnsiTheme="minorHAnsi" w:cs="Helvetica"/>
          <w:color w:val="000000"/>
          <w:sz w:val="24"/>
          <w:szCs w:val="24"/>
          <w:lang w:val="en-US"/>
        </w:rPr>
        <w:t>.  WH Allen.</w:t>
      </w:r>
    </w:p>
    <w:p w14:paraId="1F46B31B"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Punch, K.F. and Oancea, A. (2014) </w:t>
      </w:r>
      <w:r w:rsidRPr="00846D06">
        <w:rPr>
          <w:rFonts w:asciiTheme="minorHAnsi" w:hAnsiTheme="minorHAnsi" w:cs="Helvetica"/>
          <w:i/>
          <w:iCs/>
          <w:color w:val="000000"/>
          <w:sz w:val="24"/>
          <w:szCs w:val="24"/>
          <w:lang w:val="en-US"/>
        </w:rPr>
        <w:t>Introduction to Research Methods in Education</w:t>
      </w:r>
      <w:r w:rsidRPr="00846D06">
        <w:rPr>
          <w:rFonts w:asciiTheme="minorHAnsi" w:hAnsiTheme="minorHAnsi" w:cs="Helvetica"/>
          <w:color w:val="000000"/>
          <w:sz w:val="24"/>
          <w:szCs w:val="24"/>
          <w:lang w:val="en-US"/>
        </w:rPr>
        <w:t>. 2</w:t>
      </w:r>
      <w:r w:rsidRPr="00846D06">
        <w:rPr>
          <w:rFonts w:asciiTheme="minorHAnsi" w:hAnsiTheme="minorHAnsi" w:cs="Helvetica"/>
          <w:color w:val="000000"/>
          <w:sz w:val="24"/>
          <w:szCs w:val="24"/>
          <w:vertAlign w:val="superscript"/>
          <w:lang w:val="en-US"/>
        </w:rPr>
        <w:t>nd</w:t>
      </w:r>
      <w:r w:rsidRPr="00846D06">
        <w:rPr>
          <w:rFonts w:asciiTheme="minorHAnsi" w:hAnsiTheme="minorHAnsi" w:cs="Helvetica"/>
          <w:color w:val="000000"/>
          <w:sz w:val="24"/>
          <w:szCs w:val="24"/>
          <w:lang w:val="en-US"/>
        </w:rPr>
        <w:t xml:space="preserve"> </w:t>
      </w:r>
      <w:proofErr w:type="spellStart"/>
      <w:r w:rsidRPr="00846D06">
        <w:rPr>
          <w:rFonts w:asciiTheme="minorHAnsi" w:hAnsiTheme="minorHAnsi" w:cs="Helvetica"/>
          <w:color w:val="000000"/>
          <w:sz w:val="24"/>
          <w:szCs w:val="24"/>
          <w:lang w:val="en-US"/>
        </w:rPr>
        <w:t>edn</w:t>
      </w:r>
      <w:proofErr w:type="spellEnd"/>
      <w:r w:rsidRPr="00846D06">
        <w:rPr>
          <w:rFonts w:asciiTheme="minorHAnsi" w:hAnsiTheme="minorHAnsi" w:cs="Helvetica"/>
          <w:color w:val="000000"/>
          <w:sz w:val="24"/>
          <w:szCs w:val="24"/>
          <w:lang w:val="en-US"/>
        </w:rPr>
        <w:t>. SAGE.</w:t>
      </w:r>
    </w:p>
    <w:p w14:paraId="7651CD06"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Q-Assessor (no date) </w:t>
      </w:r>
      <w:r w:rsidRPr="00846D06">
        <w:rPr>
          <w:rFonts w:asciiTheme="minorHAnsi" w:hAnsiTheme="minorHAnsi" w:cs="Helvetica"/>
          <w:i/>
          <w:iCs/>
          <w:color w:val="000000"/>
          <w:sz w:val="24"/>
          <w:szCs w:val="24"/>
          <w:lang w:val="en-US"/>
        </w:rPr>
        <w:t>Q-Assessor</w:t>
      </w:r>
      <w:r w:rsidRPr="00846D06">
        <w:rPr>
          <w:rFonts w:asciiTheme="minorHAnsi" w:hAnsiTheme="minorHAnsi" w:cs="Helvetica"/>
          <w:color w:val="000000"/>
          <w:sz w:val="24"/>
          <w:szCs w:val="24"/>
          <w:lang w:val="en-US"/>
        </w:rPr>
        <w:t xml:space="preserve">. Available at: </w:t>
      </w:r>
      <w:hyperlink r:id="rId22" w:history="1">
        <w:r w:rsidRPr="00846D06">
          <w:rPr>
            <w:rFonts w:asciiTheme="minorHAnsi" w:hAnsiTheme="minorHAnsi" w:cs="Helvetica"/>
            <w:color w:val="386573"/>
            <w:sz w:val="24"/>
            <w:szCs w:val="24"/>
            <w:u w:val="single" w:color="386573"/>
            <w:lang w:val="en-US"/>
          </w:rPr>
          <w:t>https://q-assessor.com</w:t>
        </w:r>
      </w:hyperlink>
      <w:r w:rsidRPr="00846D06">
        <w:rPr>
          <w:rFonts w:asciiTheme="minorHAnsi" w:hAnsiTheme="minorHAnsi" w:cs="Helvetica"/>
          <w:color w:val="000000"/>
          <w:sz w:val="24"/>
          <w:szCs w:val="24"/>
          <w:lang w:val="en-US"/>
        </w:rPr>
        <w:t xml:space="preserve"> (Accessed: 28 November 2025).</w:t>
      </w:r>
    </w:p>
    <w:p w14:paraId="3B33648D"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lastRenderedPageBreak/>
        <w:t xml:space="preserve">Quality Assurance Agency for Higher Education (n.d.) </w:t>
      </w:r>
      <w:r w:rsidRPr="00846D06">
        <w:rPr>
          <w:rFonts w:asciiTheme="minorHAnsi" w:hAnsiTheme="minorHAnsi" w:cs="Helvetica"/>
          <w:i/>
          <w:iCs/>
          <w:color w:val="000000"/>
          <w:sz w:val="24"/>
          <w:szCs w:val="24"/>
          <w:lang w:val="en-US"/>
        </w:rPr>
        <w:t>Subject Benchmark Statements</w:t>
      </w:r>
      <w:r w:rsidRPr="00846D06">
        <w:rPr>
          <w:rFonts w:asciiTheme="minorHAnsi" w:hAnsiTheme="minorHAnsi" w:cs="Helvetica"/>
          <w:color w:val="000000"/>
          <w:sz w:val="24"/>
          <w:szCs w:val="24"/>
          <w:lang w:val="en-US"/>
        </w:rPr>
        <w:t xml:space="preserve">. Available at: </w:t>
      </w:r>
      <w:hyperlink r:id="rId23" w:history="1">
        <w:r w:rsidRPr="00846D06">
          <w:rPr>
            <w:rFonts w:asciiTheme="minorHAnsi" w:hAnsiTheme="minorHAnsi" w:cs="Helvetica"/>
            <w:color w:val="386573"/>
            <w:sz w:val="24"/>
            <w:szCs w:val="24"/>
            <w:u w:val="single" w:color="386573"/>
            <w:lang w:val="en-US"/>
          </w:rPr>
          <w:t>https://www.qaa.ac.uk/the-quality-code/subject-benchmark-statements</w:t>
        </w:r>
      </w:hyperlink>
      <w:r w:rsidRPr="00846D06">
        <w:rPr>
          <w:rFonts w:asciiTheme="minorHAnsi" w:hAnsiTheme="minorHAnsi" w:cs="Helvetica"/>
          <w:color w:val="000000"/>
          <w:sz w:val="24"/>
          <w:szCs w:val="24"/>
          <w:lang w:val="en-US"/>
        </w:rPr>
        <w:t xml:space="preserve"> (Accessed 17 October 2025). </w:t>
      </w:r>
    </w:p>
    <w:p w14:paraId="3DA55B5A"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Quality Assurance Agency for Higher Education (2022) </w:t>
      </w:r>
      <w:r w:rsidRPr="00846D06">
        <w:rPr>
          <w:rFonts w:asciiTheme="minorHAnsi" w:hAnsiTheme="minorHAnsi" w:cs="Helvetica"/>
          <w:i/>
          <w:iCs/>
          <w:color w:val="000000"/>
          <w:sz w:val="24"/>
          <w:szCs w:val="24"/>
          <w:lang w:val="en-US"/>
        </w:rPr>
        <w:t>Subject Benchmark Statement. History</w:t>
      </w:r>
      <w:r w:rsidRPr="00846D06">
        <w:rPr>
          <w:rFonts w:asciiTheme="minorHAnsi" w:hAnsiTheme="minorHAnsi" w:cs="Helvetica"/>
          <w:color w:val="000000"/>
          <w:sz w:val="24"/>
          <w:szCs w:val="24"/>
          <w:lang w:val="en-US"/>
        </w:rPr>
        <w:t xml:space="preserve">. Available at: </w:t>
      </w:r>
      <w:hyperlink r:id="rId24" w:history="1">
        <w:r w:rsidRPr="00846D06">
          <w:rPr>
            <w:rFonts w:asciiTheme="minorHAnsi" w:hAnsiTheme="minorHAnsi" w:cs="Helvetica"/>
            <w:color w:val="386573"/>
            <w:sz w:val="24"/>
            <w:szCs w:val="24"/>
            <w:u w:val="single" w:color="386573"/>
            <w:lang w:val="en-US"/>
          </w:rPr>
          <w:t>https://www.qaa.ac.uk/the-quality-code/subject-benchmark-statements/history</w:t>
        </w:r>
      </w:hyperlink>
      <w:r w:rsidRPr="00846D06">
        <w:rPr>
          <w:rFonts w:asciiTheme="minorHAnsi" w:hAnsiTheme="minorHAnsi" w:cs="Helvetica"/>
          <w:color w:val="000000"/>
          <w:sz w:val="24"/>
          <w:szCs w:val="24"/>
          <w:lang w:val="en-US"/>
        </w:rPr>
        <w:t xml:space="preserve"> (Accessed 10 November 2025). </w:t>
      </w:r>
    </w:p>
    <w:p w14:paraId="0BAE5547"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Ramlo, S. and Newman, I. (2011) ‘Q Methodology and Its Position in the Mixed-Methods Continuum’, </w:t>
      </w:r>
      <w:r w:rsidRPr="00846D06">
        <w:rPr>
          <w:rFonts w:asciiTheme="minorHAnsi" w:hAnsiTheme="minorHAnsi" w:cs="Helvetica"/>
          <w:i/>
          <w:iCs/>
          <w:color w:val="000000"/>
          <w:sz w:val="24"/>
          <w:szCs w:val="24"/>
          <w:lang w:val="en-US"/>
        </w:rPr>
        <w:t>Operant Subjectivity</w:t>
      </w:r>
      <w:r w:rsidRPr="00846D06">
        <w:rPr>
          <w:rFonts w:asciiTheme="minorHAnsi" w:hAnsiTheme="minorHAnsi" w:cs="Helvetica"/>
          <w:color w:val="000000"/>
          <w:sz w:val="24"/>
          <w:szCs w:val="24"/>
          <w:lang w:val="en-US"/>
        </w:rPr>
        <w:t xml:space="preserve">, pp. 172-191.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10.22488/okstate.11.100594</w:t>
      </w:r>
    </w:p>
    <w:p w14:paraId="3A0A4681"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Ramlo, S. (2012) ‘Determining Faculty and Student Views: Applications of Q Methodology in Higher Education’, </w:t>
      </w:r>
      <w:r w:rsidRPr="00846D06">
        <w:rPr>
          <w:rFonts w:asciiTheme="minorHAnsi" w:hAnsiTheme="minorHAnsi" w:cs="Helvetica"/>
          <w:i/>
          <w:iCs/>
          <w:color w:val="000000"/>
          <w:sz w:val="24"/>
          <w:szCs w:val="24"/>
          <w:lang w:val="en-US"/>
        </w:rPr>
        <w:t>Journal of Research in Education</w:t>
      </w:r>
      <w:r w:rsidRPr="00846D06">
        <w:rPr>
          <w:rFonts w:asciiTheme="minorHAnsi" w:hAnsiTheme="minorHAnsi" w:cs="Helvetica"/>
          <w:color w:val="000000"/>
          <w:sz w:val="24"/>
          <w:szCs w:val="24"/>
          <w:lang w:val="en-US"/>
        </w:rPr>
        <w:t>, 22(1), pp. 86-107.</w:t>
      </w:r>
    </w:p>
    <w:p w14:paraId="373FA82B"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Ramlo, S. (2023) ‘Using Q methodology in health sciences education to study subjectivity’, </w:t>
      </w:r>
      <w:r w:rsidRPr="00846D06">
        <w:rPr>
          <w:rFonts w:asciiTheme="minorHAnsi" w:hAnsiTheme="minorHAnsi" w:cs="Helvetica"/>
          <w:i/>
          <w:iCs/>
          <w:color w:val="000000"/>
          <w:sz w:val="24"/>
          <w:szCs w:val="24"/>
          <w:lang w:val="en-US"/>
        </w:rPr>
        <w:t>Advances in Health Sciences Education</w:t>
      </w:r>
      <w:r w:rsidRPr="00846D06">
        <w:rPr>
          <w:rFonts w:asciiTheme="minorHAnsi" w:hAnsiTheme="minorHAnsi" w:cs="Helvetica"/>
          <w:color w:val="000000"/>
          <w:sz w:val="24"/>
          <w:szCs w:val="24"/>
          <w:lang w:val="en-US"/>
        </w:rPr>
        <w:t xml:space="preserve">, 28, pp.1711-1722.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10.1007/s10459-023-10214-1</w:t>
      </w:r>
    </w:p>
    <w:p w14:paraId="20234347"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Reid, A. and </w:t>
      </w:r>
      <w:proofErr w:type="spellStart"/>
      <w:r w:rsidRPr="00846D06">
        <w:rPr>
          <w:rFonts w:asciiTheme="minorHAnsi" w:hAnsiTheme="minorHAnsi" w:cs="Helvetica"/>
          <w:color w:val="000000"/>
          <w:sz w:val="24"/>
          <w:szCs w:val="24"/>
          <w:lang w:val="en-US"/>
        </w:rPr>
        <w:t>Petocz</w:t>
      </w:r>
      <w:proofErr w:type="spellEnd"/>
      <w:r w:rsidRPr="00846D06">
        <w:rPr>
          <w:rFonts w:asciiTheme="minorHAnsi" w:hAnsiTheme="minorHAnsi" w:cs="Helvetica"/>
          <w:color w:val="000000"/>
          <w:sz w:val="24"/>
          <w:szCs w:val="24"/>
          <w:lang w:val="en-US"/>
        </w:rPr>
        <w:t xml:space="preserve">, P. (2006) ‘University Lecturers’ Understanding of Sustainability’, </w:t>
      </w:r>
      <w:r w:rsidRPr="00846D06">
        <w:rPr>
          <w:rFonts w:asciiTheme="minorHAnsi" w:hAnsiTheme="minorHAnsi" w:cs="Helvetica"/>
          <w:i/>
          <w:iCs/>
          <w:color w:val="000000"/>
          <w:sz w:val="24"/>
          <w:szCs w:val="24"/>
          <w:lang w:val="en-US"/>
        </w:rPr>
        <w:t>Higher Education</w:t>
      </w:r>
      <w:r w:rsidRPr="00846D06">
        <w:rPr>
          <w:rFonts w:asciiTheme="minorHAnsi" w:hAnsiTheme="minorHAnsi" w:cs="Helvetica"/>
          <w:color w:val="000000"/>
          <w:sz w:val="24"/>
          <w:szCs w:val="24"/>
          <w:lang w:val="en-US"/>
        </w:rPr>
        <w:t>. 51(1), pp.105-123.</w:t>
      </w:r>
    </w:p>
    <w:p w14:paraId="03D8C37A"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Robbins, P., and Krueger, R. (2000) ‘Beyond Bias? The Promise and Limits of Q Method in Human Geography’, </w:t>
      </w:r>
      <w:r w:rsidRPr="00846D06">
        <w:rPr>
          <w:rFonts w:asciiTheme="minorHAnsi" w:hAnsiTheme="minorHAnsi" w:cs="Helvetica"/>
          <w:i/>
          <w:iCs/>
          <w:color w:val="000000"/>
          <w:sz w:val="24"/>
          <w:szCs w:val="24"/>
          <w:lang w:val="en-US"/>
        </w:rPr>
        <w:t>The Professional Geographer</w:t>
      </w:r>
      <w:r w:rsidRPr="00846D06">
        <w:rPr>
          <w:rFonts w:asciiTheme="minorHAnsi" w:hAnsiTheme="minorHAnsi" w:cs="Helvetica"/>
          <w:color w:val="000000"/>
          <w:sz w:val="24"/>
          <w:szCs w:val="24"/>
          <w:lang w:val="en-US"/>
        </w:rPr>
        <w:t xml:space="preserve">, 52(4), pp.636–648.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10.1111/0033-0124.00252</w:t>
      </w:r>
    </w:p>
    <w:p w14:paraId="2DCFDA24"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Ryan, A. and Tilbury, D. (2013) ‘Unchartered waters: voyages for Education for Sustainable Development in the higher education curriculum’, </w:t>
      </w:r>
      <w:r w:rsidRPr="00846D06">
        <w:rPr>
          <w:rFonts w:asciiTheme="minorHAnsi" w:hAnsiTheme="minorHAnsi" w:cs="Helvetica"/>
          <w:i/>
          <w:iCs/>
          <w:color w:val="000000"/>
          <w:sz w:val="24"/>
          <w:szCs w:val="24"/>
          <w:lang w:val="en-US"/>
        </w:rPr>
        <w:t>The Curriculum Journal</w:t>
      </w:r>
      <w:r w:rsidRPr="00846D06">
        <w:rPr>
          <w:rFonts w:asciiTheme="minorHAnsi" w:hAnsiTheme="minorHAnsi" w:cs="Helvetica"/>
          <w:color w:val="000000"/>
          <w:sz w:val="24"/>
          <w:szCs w:val="24"/>
          <w:lang w:val="en-US"/>
        </w:rPr>
        <w:t xml:space="preserve">, 24(2), pp.272-294.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10.1080/09585176.2013.779287</w:t>
      </w:r>
    </w:p>
    <w:p w14:paraId="19F0611C"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Salman, H.A., Ahmad, M.A., Ibrahim, R. and Mahmood, J. (2025) ‘Systematic analysis of generative AI tools integration in academic research and peer review’, </w:t>
      </w:r>
      <w:r w:rsidRPr="00846D06">
        <w:rPr>
          <w:rFonts w:asciiTheme="minorHAnsi" w:hAnsiTheme="minorHAnsi" w:cs="Helvetica"/>
          <w:i/>
          <w:iCs/>
          <w:color w:val="000000"/>
          <w:sz w:val="24"/>
          <w:szCs w:val="24"/>
          <w:lang w:val="en-US"/>
        </w:rPr>
        <w:t>Online Journal of Communication and Media Technologies</w:t>
      </w:r>
      <w:r w:rsidRPr="00846D06">
        <w:rPr>
          <w:rFonts w:asciiTheme="minorHAnsi" w:hAnsiTheme="minorHAnsi" w:cs="Helvetica"/>
          <w:color w:val="000000"/>
          <w:sz w:val="24"/>
          <w:szCs w:val="24"/>
          <w:lang w:val="en-US"/>
        </w:rPr>
        <w:t xml:space="preserve">, 15(1), Article e202502.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10.30935/</w:t>
      </w:r>
      <w:proofErr w:type="spellStart"/>
      <w:r w:rsidRPr="00846D06">
        <w:rPr>
          <w:rFonts w:asciiTheme="minorHAnsi" w:hAnsiTheme="minorHAnsi" w:cs="Helvetica"/>
          <w:color w:val="000000"/>
          <w:sz w:val="24"/>
          <w:szCs w:val="24"/>
          <w:lang w:val="en-US"/>
        </w:rPr>
        <w:t>ojcmt</w:t>
      </w:r>
      <w:proofErr w:type="spellEnd"/>
      <w:r w:rsidRPr="00846D06">
        <w:rPr>
          <w:rFonts w:asciiTheme="minorHAnsi" w:hAnsiTheme="minorHAnsi" w:cs="Helvetica"/>
          <w:color w:val="000000"/>
          <w:sz w:val="24"/>
          <w:szCs w:val="24"/>
          <w:lang w:val="en-US"/>
        </w:rPr>
        <w:t>/15832</w:t>
      </w:r>
    </w:p>
    <w:p w14:paraId="35CA3455"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Sandling, J. (n.d.) </w:t>
      </w:r>
      <w:r w:rsidRPr="00846D06">
        <w:rPr>
          <w:rFonts w:asciiTheme="minorHAnsi" w:hAnsiTheme="minorHAnsi" w:cs="Helvetica"/>
          <w:i/>
          <w:iCs/>
          <w:color w:val="000000"/>
          <w:sz w:val="24"/>
          <w:szCs w:val="24"/>
          <w:lang w:val="en-US"/>
        </w:rPr>
        <w:t>Q Methodology: Complete Beginner’s Guide</w:t>
      </w:r>
      <w:r w:rsidRPr="00846D06">
        <w:rPr>
          <w:rFonts w:asciiTheme="minorHAnsi" w:hAnsiTheme="minorHAnsi" w:cs="Helvetica"/>
          <w:color w:val="000000"/>
          <w:sz w:val="24"/>
          <w:szCs w:val="24"/>
          <w:lang w:val="en-US"/>
        </w:rPr>
        <w:t xml:space="preserve">. Available at: </w:t>
      </w:r>
      <w:hyperlink r:id="rId25" w:history="1">
        <w:r w:rsidRPr="00846D06">
          <w:rPr>
            <w:rFonts w:asciiTheme="minorHAnsi" w:hAnsiTheme="minorHAnsi" w:cs="Helvetica"/>
            <w:color w:val="386573"/>
            <w:sz w:val="24"/>
            <w:szCs w:val="24"/>
            <w:u w:val="single" w:color="386573"/>
            <w:lang w:val="en-US"/>
          </w:rPr>
          <w:t>https://jonathansandling.com/q-methodology-complete-beginners-guide/</w:t>
        </w:r>
      </w:hyperlink>
      <w:r w:rsidRPr="00846D06">
        <w:rPr>
          <w:rFonts w:asciiTheme="minorHAnsi" w:hAnsiTheme="minorHAnsi" w:cs="Helvetica"/>
          <w:color w:val="000000"/>
          <w:sz w:val="24"/>
          <w:szCs w:val="24"/>
          <w:lang w:val="en-US"/>
        </w:rPr>
        <w:t xml:space="preserve"> (Accessed: 13</w:t>
      </w:r>
      <w:r w:rsidRPr="00846D06">
        <w:rPr>
          <w:rFonts w:asciiTheme="minorHAnsi" w:hAnsiTheme="minorHAnsi" w:cs="Helvetica"/>
          <w:color w:val="000000"/>
          <w:sz w:val="24"/>
          <w:szCs w:val="24"/>
          <w:vertAlign w:val="superscript"/>
          <w:lang w:val="en-US"/>
        </w:rPr>
        <w:t>th</w:t>
      </w:r>
      <w:r w:rsidRPr="00846D06">
        <w:rPr>
          <w:rFonts w:asciiTheme="minorHAnsi" w:hAnsiTheme="minorHAnsi" w:cs="Helvetica"/>
          <w:color w:val="000000"/>
          <w:sz w:val="24"/>
          <w:szCs w:val="24"/>
          <w:lang w:val="en-US"/>
        </w:rPr>
        <w:t xml:space="preserve"> </w:t>
      </w:r>
      <w:proofErr w:type="gramStart"/>
      <w:r w:rsidRPr="00846D06">
        <w:rPr>
          <w:rFonts w:asciiTheme="minorHAnsi" w:hAnsiTheme="minorHAnsi" w:cs="Helvetica"/>
          <w:color w:val="000000"/>
          <w:sz w:val="24"/>
          <w:szCs w:val="24"/>
          <w:lang w:val="en-US"/>
        </w:rPr>
        <w:t>March,</w:t>
      </w:r>
      <w:proofErr w:type="gramEnd"/>
      <w:r w:rsidRPr="00846D06">
        <w:rPr>
          <w:rFonts w:asciiTheme="minorHAnsi" w:hAnsiTheme="minorHAnsi" w:cs="Helvetica"/>
          <w:color w:val="000000"/>
          <w:sz w:val="24"/>
          <w:szCs w:val="24"/>
          <w:lang w:val="en-US"/>
        </w:rPr>
        <w:t xml:space="preserve"> 2026)</w:t>
      </w:r>
    </w:p>
    <w:p w14:paraId="29466D75"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proofErr w:type="spellStart"/>
      <w:r w:rsidRPr="00846D06">
        <w:rPr>
          <w:rFonts w:asciiTheme="minorHAnsi" w:hAnsiTheme="minorHAnsi" w:cs="Helvetica"/>
          <w:color w:val="000000"/>
          <w:sz w:val="24"/>
          <w:szCs w:val="24"/>
          <w:lang w:val="de-DE"/>
        </w:rPr>
        <w:t>Schmolck</w:t>
      </w:r>
      <w:proofErr w:type="spellEnd"/>
      <w:r w:rsidRPr="00846D06">
        <w:rPr>
          <w:rFonts w:asciiTheme="minorHAnsi" w:hAnsiTheme="minorHAnsi" w:cs="Helvetica"/>
          <w:color w:val="000000"/>
          <w:sz w:val="24"/>
          <w:szCs w:val="24"/>
          <w:lang w:val="de-DE"/>
        </w:rPr>
        <w:t xml:space="preserve">, P, (2014) </w:t>
      </w:r>
      <w:proofErr w:type="spellStart"/>
      <w:r w:rsidRPr="00846D06">
        <w:rPr>
          <w:rFonts w:asciiTheme="minorHAnsi" w:hAnsiTheme="minorHAnsi" w:cs="Helvetica"/>
          <w:color w:val="000000"/>
          <w:sz w:val="24"/>
          <w:szCs w:val="24"/>
          <w:lang w:val="de-DE"/>
        </w:rPr>
        <w:t>PQMethod</w:t>
      </w:r>
      <w:proofErr w:type="spellEnd"/>
      <w:r w:rsidRPr="00846D06">
        <w:rPr>
          <w:rFonts w:asciiTheme="minorHAnsi" w:hAnsiTheme="minorHAnsi" w:cs="Helvetica"/>
          <w:color w:val="000000"/>
          <w:sz w:val="24"/>
          <w:szCs w:val="24"/>
          <w:lang w:val="de-DE"/>
        </w:rPr>
        <w:t xml:space="preserve"> (Version 2.35) [Computer </w:t>
      </w:r>
      <w:proofErr w:type="spellStart"/>
      <w:r w:rsidRPr="00846D06">
        <w:rPr>
          <w:rFonts w:asciiTheme="minorHAnsi" w:hAnsiTheme="minorHAnsi" w:cs="Helvetica"/>
          <w:color w:val="000000"/>
          <w:sz w:val="24"/>
          <w:szCs w:val="24"/>
          <w:lang w:val="de-DE"/>
        </w:rPr>
        <w:t>programme</w:t>
      </w:r>
      <w:proofErr w:type="spellEnd"/>
      <w:r w:rsidRPr="00846D06">
        <w:rPr>
          <w:rFonts w:asciiTheme="minorHAnsi" w:hAnsiTheme="minorHAnsi" w:cs="Helvetica"/>
          <w:color w:val="000000"/>
          <w:sz w:val="24"/>
          <w:szCs w:val="24"/>
          <w:lang w:val="de-DE"/>
        </w:rPr>
        <w:t xml:space="preserve">]. </w:t>
      </w:r>
      <w:r w:rsidRPr="00846D06">
        <w:rPr>
          <w:rFonts w:asciiTheme="minorHAnsi" w:hAnsiTheme="minorHAnsi" w:cs="Helvetica"/>
          <w:color w:val="000000"/>
          <w:sz w:val="24"/>
          <w:szCs w:val="24"/>
          <w:lang w:val="en-US"/>
        </w:rPr>
        <w:t xml:space="preserve">Available at: </w:t>
      </w:r>
      <w:hyperlink r:id="rId26" w:history="1">
        <w:r w:rsidRPr="00846D06">
          <w:rPr>
            <w:rFonts w:asciiTheme="minorHAnsi" w:hAnsiTheme="minorHAnsi" w:cs="Helvetica"/>
            <w:color w:val="386573"/>
            <w:sz w:val="24"/>
            <w:szCs w:val="24"/>
            <w:u w:val="single" w:color="386573"/>
            <w:lang w:val="en-US"/>
          </w:rPr>
          <w:t>https://schmolck.org/qmethod/</w:t>
        </w:r>
      </w:hyperlink>
      <w:r w:rsidRPr="00846D06">
        <w:rPr>
          <w:rFonts w:asciiTheme="minorHAnsi" w:hAnsiTheme="minorHAnsi" w:cs="Helvetica"/>
          <w:color w:val="000000"/>
          <w:sz w:val="24"/>
          <w:szCs w:val="24"/>
          <w:lang w:val="en-US"/>
        </w:rPr>
        <w:t xml:space="preserve"> (Accessed 28 November 2025).</w:t>
      </w:r>
    </w:p>
    <w:p w14:paraId="0DE1ED69"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Shaw, A. (2023) ‘Inclusion of higher education disabled students: a Q Methodology study of lecturers’ attitudes’, </w:t>
      </w:r>
      <w:r w:rsidRPr="00846D06">
        <w:rPr>
          <w:rFonts w:asciiTheme="minorHAnsi" w:hAnsiTheme="minorHAnsi" w:cs="Helvetica"/>
          <w:i/>
          <w:iCs/>
          <w:color w:val="000000"/>
          <w:sz w:val="24"/>
          <w:szCs w:val="24"/>
          <w:lang w:val="en-US"/>
        </w:rPr>
        <w:t xml:space="preserve">Teaching in Higher Education.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10.1080/13562517.2023.2280266</w:t>
      </w:r>
    </w:p>
    <w:p w14:paraId="2F5D88B2"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lastRenderedPageBreak/>
        <w:t xml:space="preserve">Shephard, K. (2008) ‘Higher education for sustainability: seeking affective learning outcomes’, </w:t>
      </w:r>
      <w:r w:rsidRPr="00846D06">
        <w:rPr>
          <w:rFonts w:asciiTheme="minorHAnsi" w:hAnsiTheme="minorHAnsi" w:cs="Helvetica"/>
          <w:i/>
          <w:iCs/>
          <w:color w:val="000000"/>
          <w:sz w:val="24"/>
          <w:szCs w:val="24"/>
          <w:lang w:val="en-US"/>
        </w:rPr>
        <w:t>International Journal of Sustainability in Higher Education</w:t>
      </w:r>
      <w:r w:rsidRPr="00846D06">
        <w:rPr>
          <w:rFonts w:asciiTheme="minorHAnsi" w:hAnsiTheme="minorHAnsi" w:cs="Helvetica"/>
          <w:color w:val="000000"/>
          <w:sz w:val="24"/>
          <w:szCs w:val="24"/>
          <w:lang w:val="en-US"/>
        </w:rPr>
        <w:t xml:space="preserve">, 9(1), pp.87-98.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10.1108/14676370810842201</w:t>
      </w:r>
    </w:p>
    <w:p w14:paraId="3251ED4E"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Shephard, K. and Furnari, M. (2013) ‘Exploring what university teachers think about education for sustainability’, </w:t>
      </w:r>
      <w:r w:rsidRPr="00846D06">
        <w:rPr>
          <w:rFonts w:asciiTheme="minorHAnsi" w:hAnsiTheme="minorHAnsi" w:cs="Helvetica"/>
          <w:i/>
          <w:iCs/>
          <w:color w:val="000000"/>
          <w:sz w:val="24"/>
          <w:szCs w:val="24"/>
          <w:lang w:val="en-US"/>
        </w:rPr>
        <w:t>Studies in Higher Education</w:t>
      </w:r>
      <w:r w:rsidRPr="00846D06">
        <w:rPr>
          <w:rFonts w:asciiTheme="minorHAnsi" w:hAnsiTheme="minorHAnsi" w:cs="Helvetica"/>
          <w:color w:val="000000"/>
          <w:sz w:val="24"/>
          <w:szCs w:val="24"/>
          <w:lang w:val="en-US"/>
        </w:rPr>
        <w:t>, 38(10), pp.1-14.</w:t>
      </w:r>
    </w:p>
    <w:p w14:paraId="0C099E9C"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proofErr w:type="spellStart"/>
      <w:r w:rsidRPr="00846D06">
        <w:rPr>
          <w:rFonts w:asciiTheme="minorHAnsi" w:hAnsiTheme="minorHAnsi" w:cs="Helvetica"/>
          <w:color w:val="000000"/>
          <w:sz w:val="24"/>
          <w:szCs w:val="24"/>
          <w:lang w:val="en-US"/>
        </w:rPr>
        <w:t>Sinakou</w:t>
      </w:r>
      <w:proofErr w:type="spellEnd"/>
      <w:r w:rsidRPr="00846D06">
        <w:rPr>
          <w:rFonts w:asciiTheme="minorHAnsi" w:hAnsiTheme="minorHAnsi" w:cs="Helvetica"/>
          <w:color w:val="000000"/>
          <w:sz w:val="24"/>
          <w:szCs w:val="24"/>
          <w:lang w:val="en-US"/>
        </w:rPr>
        <w:t xml:space="preserve">, E., Boeve-de Pauw, J., Goossens, M., Van Petegem, P. (2018) ‘Academics in the field of Education for Sustainable Development: Their conceptions of sustainable development’, </w:t>
      </w:r>
      <w:r w:rsidRPr="00846D06">
        <w:rPr>
          <w:rFonts w:asciiTheme="minorHAnsi" w:hAnsiTheme="minorHAnsi" w:cs="Helvetica"/>
          <w:i/>
          <w:iCs/>
          <w:color w:val="000000"/>
          <w:sz w:val="24"/>
          <w:szCs w:val="24"/>
          <w:lang w:val="en-US"/>
        </w:rPr>
        <w:t>Journal of Cleaner Production</w:t>
      </w:r>
      <w:r w:rsidRPr="00846D06">
        <w:rPr>
          <w:rFonts w:asciiTheme="minorHAnsi" w:hAnsiTheme="minorHAnsi" w:cs="Helvetica"/>
          <w:color w:val="000000"/>
          <w:sz w:val="24"/>
          <w:szCs w:val="24"/>
          <w:lang w:val="en-US"/>
        </w:rPr>
        <w:t xml:space="preserve">, 184, pp.321-332.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10.1016/j.jclepro.2018.02.279</w:t>
      </w:r>
    </w:p>
    <w:p w14:paraId="68166EE8"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proofErr w:type="spellStart"/>
      <w:r w:rsidRPr="00846D06">
        <w:rPr>
          <w:rFonts w:asciiTheme="minorHAnsi" w:hAnsiTheme="minorHAnsi" w:cs="Helvetica"/>
          <w:color w:val="000000"/>
          <w:sz w:val="24"/>
          <w:szCs w:val="24"/>
          <w:lang w:val="en-US"/>
        </w:rPr>
        <w:t>Sípos</w:t>
      </w:r>
      <w:proofErr w:type="spellEnd"/>
      <w:r w:rsidRPr="00846D06">
        <w:rPr>
          <w:rFonts w:asciiTheme="minorHAnsi" w:hAnsiTheme="minorHAnsi" w:cs="Helvetica"/>
          <w:color w:val="000000"/>
          <w:sz w:val="24"/>
          <w:szCs w:val="24"/>
          <w:lang w:val="en-US"/>
        </w:rPr>
        <w:t xml:space="preserve">, Y., Battisti, B. and Grimm, K. (2008) ‘Achieving transformative sustainability learning: Engaging heads, hands and heart’, </w:t>
      </w:r>
      <w:r w:rsidRPr="00846D06">
        <w:rPr>
          <w:rFonts w:asciiTheme="minorHAnsi" w:hAnsiTheme="minorHAnsi" w:cs="Helvetica"/>
          <w:i/>
          <w:iCs/>
          <w:color w:val="000000"/>
          <w:sz w:val="24"/>
          <w:szCs w:val="24"/>
          <w:lang w:val="en-US"/>
        </w:rPr>
        <w:t>International Journal of Sustainability in Higher Education</w:t>
      </w:r>
      <w:r w:rsidRPr="00846D06">
        <w:rPr>
          <w:rFonts w:asciiTheme="minorHAnsi" w:hAnsiTheme="minorHAnsi" w:cs="Helvetica"/>
          <w:color w:val="000000"/>
          <w:sz w:val="24"/>
          <w:szCs w:val="24"/>
          <w:lang w:val="en-US"/>
        </w:rPr>
        <w:t xml:space="preserve">, 9(1), pp.68-86.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10.1108/14676370810842193</w:t>
      </w:r>
    </w:p>
    <w:p w14:paraId="3FA9A8E0"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Stenner, P. (2022) ‘Q Methodology and constructivism: Some reflections on sincerity and authenticity in </w:t>
      </w:r>
      <w:proofErr w:type="spellStart"/>
      <w:r w:rsidRPr="00846D06">
        <w:rPr>
          <w:rFonts w:asciiTheme="minorHAnsi" w:hAnsiTheme="minorHAnsi" w:cs="Helvetica"/>
          <w:color w:val="000000"/>
          <w:sz w:val="24"/>
          <w:szCs w:val="24"/>
          <w:lang w:val="en-US"/>
        </w:rPr>
        <w:t>honour</w:t>
      </w:r>
      <w:proofErr w:type="spellEnd"/>
      <w:r w:rsidRPr="00846D06">
        <w:rPr>
          <w:rFonts w:asciiTheme="minorHAnsi" w:hAnsiTheme="minorHAnsi" w:cs="Helvetica"/>
          <w:color w:val="000000"/>
          <w:sz w:val="24"/>
          <w:szCs w:val="24"/>
          <w:lang w:val="en-US"/>
        </w:rPr>
        <w:t xml:space="preserve"> of Steve Brown’, in Rhoads, J.C., Thomas, D.B. and Ramlo, S.E. (eds.) </w:t>
      </w:r>
      <w:r w:rsidRPr="00846D06">
        <w:rPr>
          <w:rFonts w:asciiTheme="minorHAnsi" w:hAnsiTheme="minorHAnsi" w:cs="Helvetica"/>
          <w:i/>
          <w:iCs/>
          <w:color w:val="000000"/>
          <w:sz w:val="24"/>
          <w:szCs w:val="24"/>
          <w:lang w:val="en-US"/>
        </w:rPr>
        <w:t xml:space="preserve">Cultivating Q methodology, Essays </w:t>
      </w:r>
      <w:proofErr w:type="spellStart"/>
      <w:r w:rsidRPr="00846D06">
        <w:rPr>
          <w:rFonts w:asciiTheme="minorHAnsi" w:hAnsiTheme="minorHAnsi" w:cs="Helvetica"/>
          <w:i/>
          <w:iCs/>
          <w:color w:val="000000"/>
          <w:sz w:val="24"/>
          <w:szCs w:val="24"/>
          <w:lang w:val="en-US"/>
        </w:rPr>
        <w:t>honouring</w:t>
      </w:r>
      <w:proofErr w:type="spellEnd"/>
      <w:r w:rsidRPr="00846D06">
        <w:rPr>
          <w:rFonts w:asciiTheme="minorHAnsi" w:hAnsiTheme="minorHAnsi" w:cs="Helvetica"/>
          <w:i/>
          <w:iCs/>
          <w:color w:val="000000"/>
          <w:sz w:val="24"/>
          <w:szCs w:val="24"/>
          <w:lang w:val="en-US"/>
        </w:rPr>
        <w:t xml:space="preserve"> Steven R Brown</w:t>
      </w:r>
      <w:r w:rsidRPr="00846D06">
        <w:rPr>
          <w:rFonts w:asciiTheme="minorHAnsi" w:hAnsiTheme="minorHAnsi" w:cs="Helvetica"/>
          <w:color w:val="000000"/>
          <w:sz w:val="24"/>
          <w:szCs w:val="24"/>
          <w:lang w:val="en-US"/>
        </w:rPr>
        <w:t>, International Society for the Scientific Study of Subjectivity.</w:t>
      </w:r>
    </w:p>
    <w:p w14:paraId="6AC0771C" w14:textId="77777777" w:rsid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Stephenson, W. (1953) </w:t>
      </w:r>
      <w:r w:rsidRPr="00846D06">
        <w:rPr>
          <w:rFonts w:asciiTheme="minorHAnsi" w:hAnsiTheme="minorHAnsi" w:cs="Helvetica"/>
          <w:i/>
          <w:iCs/>
          <w:color w:val="000000"/>
          <w:sz w:val="24"/>
          <w:szCs w:val="24"/>
          <w:lang w:val="en-US"/>
        </w:rPr>
        <w:t>The Study of Behavior</w:t>
      </w:r>
      <w:r w:rsidRPr="00846D06">
        <w:rPr>
          <w:rFonts w:asciiTheme="minorHAnsi" w:hAnsiTheme="minorHAnsi" w:cs="Helvetica"/>
          <w:color w:val="000000"/>
          <w:sz w:val="24"/>
          <w:szCs w:val="24"/>
          <w:lang w:val="en-US"/>
        </w:rPr>
        <w:t>. Chicago University Press.</w:t>
      </w:r>
    </w:p>
    <w:p w14:paraId="038841BA" w14:textId="78A7DE39" w:rsidR="006B0708" w:rsidRPr="00846D06" w:rsidRDefault="006B0708"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proofErr w:type="spellStart"/>
      <w:r>
        <w:rPr>
          <w:rFonts w:asciiTheme="minorHAnsi" w:hAnsiTheme="minorHAnsi" w:cs="Helvetica"/>
          <w:color w:val="000000"/>
          <w:sz w:val="24"/>
          <w:szCs w:val="24"/>
          <w:lang w:val="en-US"/>
        </w:rPr>
        <w:t>Tavory</w:t>
      </w:r>
      <w:proofErr w:type="spellEnd"/>
      <w:r>
        <w:rPr>
          <w:rFonts w:asciiTheme="minorHAnsi" w:hAnsiTheme="minorHAnsi" w:cs="Helvetica"/>
          <w:color w:val="000000"/>
          <w:sz w:val="24"/>
          <w:szCs w:val="24"/>
          <w:lang w:val="en-US"/>
        </w:rPr>
        <w:t xml:space="preserve">, I. and Timmermans, S. (2014) </w:t>
      </w:r>
      <w:r w:rsidRPr="006B0708">
        <w:rPr>
          <w:rFonts w:asciiTheme="minorHAnsi" w:hAnsiTheme="minorHAnsi" w:cs="Helvetica"/>
          <w:i/>
          <w:iCs/>
          <w:color w:val="000000"/>
          <w:sz w:val="24"/>
          <w:szCs w:val="24"/>
          <w:lang w:val="en-US"/>
        </w:rPr>
        <w:t>Abductive Analysis: Theorizing Qualitative Research.</w:t>
      </w:r>
      <w:r>
        <w:rPr>
          <w:rFonts w:asciiTheme="minorHAnsi" w:hAnsiTheme="minorHAnsi" w:cs="Helvetica"/>
          <w:color w:val="000000"/>
          <w:sz w:val="24"/>
          <w:szCs w:val="24"/>
          <w:lang w:val="en-US"/>
        </w:rPr>
        <w:t xml:space="preserve"> University of Chicago Press.</w:t>
      </w:r>
    </w:p>
    <w:p w14:paraId="2B552060"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University of Sussex (n.d.) Centre for World Environmental History. Available at: </w:t>
      </w:r>
      <w:hyperlink r:id="rId27" w:history="1">
        <w:r w:rsidRPr="00846D06">
          <w:rPr>
            <w:rFonts w:asciiTheme="minorHAnsi" w:hAnsiTheme="minorHAnsi" w:cs="Helvetica"/>
            <w:color w:val="386573"/>
            <w:sz w:val="24"/>
            <w:szCs w:val="24"/>
            <w:u w:val="single" w:color="386573"/>
            <w:lang w:val="en-US"/>
          </w:rPr>
          <w:t>https://www.sussex.ac.uk/cweh/</w:t>
        </w:r>
      </w:hyperlink>
      <w:r w:rsidRPr="00846D06">
        <w:rPr>
          <w:rFonts w:asciiTheme="minorHAnsi" w:hAnsiTheme="minorHAnsi" w:cs="Helvetica"/>
          <w:color w:val="000000"/>
          <w:sz w:val="24"/>
          <w:szCs w:val="24"/>
          <w:lang w:val="en-US"/>
        </w:rPr>
        <w:t xml:space="preserve"> (Accessed 13</w:t>
      </w:r>
      <w:r w:rsidRPr="00846D06">
        <w:rPr>
          <w:rFonts w:asciiTheme="minorHAnsi" w:hAnsiTheme="minorHAnsi" w:cs="Helvetica"/>
          <w:color w:val="000000"/>
          <w:sz w:val="24"/>
          <w:szCs w:val="24"/>
          <w:vertAlign w:val="superscript"/>
          <w:lang w:val="en-US"/>
        </w:rPr>
        <w:t>th</w:t>
      </w:r>
      <w:r w:rsidRPr="00846D06">
        <w:rPr>
          <w:rFonts w:asciiTheme="minorHAnsi" w:hAnsiTheme="minorHAnsi" w:cs="Helvetica"/>
          <w:color w:val="000000"/>
          <w:sz w:val="24"/>
          <w:szCs w:val="24"/>
          <w:lang w:val="en-US"/>
        </w:rPr>
        <w:t xml:space="preserve"> March 2026).</w:t>
      </w:r>
    </w:p>
    <w:p w14:paraId="7BC7BE4A"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Tilbury, D. (2011) ‘Higher education for sustainability: a global overview of commitment and progress’, </w:t>
      </w:r>
      <w:r w:rsidRPr="00846D06">
        <w:rPr>
          <w:rFonts w:asciiTheme="minorHAnsi" w:hAnsiTheme="minorHAnsi" w:cs="Helvetica"/>
          <w:i/>
          <w:iCs/>
          <w:color w:val="000000"/>
          <w:sz w:val="24"/>
          <w:szCs w:val="24"/>
          <w:lang w:val="en-US"/>
        </w:rPr>
        <w:t>Higher Education in the World</w:t>
      </w:r>
      <w:r w:rsidRPr="00846D06">
        <w:rPr>
          <w:rFonts w:asciiTheme="minorHAnsi" w:hAnsiTheme="minorHAnsi" w:cs="Helvetica"/>
          <w:color w:val="000000"/>
          <w:sz w:val="24"/>
          <w:szCs w:val="24"/>
          <w:lang w:val="en-US"/>
        </w:rPr>
        <w:t xml:space="preserve">, 4(1), pp.18-28. </w:t>
      </w:r>
    </w:p>
    <w:p w14:paraId="38DC1EA9"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UNESCO (2017) </w:t>
      </w:r>
      <w:r w:rsidRPr="00846D06">
        <w:rPr>
          <w:rFonts w:asciiTheme="minorHAnsi" w:hAnsiTheme="minorHAnsi" w:cs="Helvetica"/>
          <w:i/>
          <w:iCs/>
          <w:color w:val="000000"/>
          <w:sz w:val="24"/>
          <w:szCs w:val="24"/>
          <w:lang w:val="en-US"/>
        </w:rPr>
        <w:t>Education for Sustainable Development Goals: Learning Objectives</w:t>
      </w:r>
      <w:r w:rsidRPr="00846D06">
        <w:rPr>
          <w:rFonts w:asciiTheme="minorHAnsi" w:hAnsiTheme="minorHAnsi" w:cs="Helvetica"/>
          <w:color w:val="000000"/>
          <w:sz w:val="24"/>
          <w:szCs w:val="24"/>
          <w:lang w:val="en-US"/>
        </w:rPr>
        <w:t>, UNESCO.</w:t>
      </w:r>
    </w:p>
    <w:p w14:paraId="6F9103F2"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van </w:t>
      </w:r>
      <w:proofErr w:type="spellStart"/>
      <w:r w:rsidRPr="00846D06">
        <w:rPr>
          <w:rFonts w:asciiTheme="minorHAnsi" w:hAnsiTheme="minorHAnsi" w:cs="Helvetica"/>
          <w:color w:val="000000"/>
          <w:sz w:val="24"/>
          <w:szCs w:val="24"/>
          <w:lang w:val="en-US"/>
        </w:rPr>
        <w:t>Exel</w:t>
      </w:r>
      <w:proofErr w:type="spellEnd"/>
      <w:r w:rsidRPr="00846D06">
        <w:rPr>
          <w:rFonts w:asciiTheme="minorHAnsi" w:hAnsiTheme="minorHAnsi" w:cs="Helvetica"/>
          <w:color w:val="000000"/>
          <w:sz w:val="24"/>
          <w:szCs w:val="24"/>
          <w:lang w:val="en-US"/>
        </w:rPr>
        <w:t xml:space="preserve">, J., and de Graaf, G. (2005) Q methodology: a sneak preview. Available at: </w:t>
      </w:r>
      <w:hyperlink r:id="rId28" w:history="1">
        <w:r w:rsidRPr="00846D06">
          <w:rPr>
            <w:rFonts w:asciiTheme="minorHAnsi" w:hAnsiTheme="minorHAnsi" w:cs="Helvetica"/>
            <w:color w:val="386573"/>
            <w:sz w:val="24"/>
            <w:szCs w:val="24"/>
            <w:u w:val="single" w:color="386573"/>
            <w:lang w:val="en-US"/>
          </w:rPr>
          <w:t>https://qmethod.org/portfolio/van-exel-and-de-graaf-a-q-methodology-sneak-preview/</w:t>
        </w:r>
      </w:hyperlink>
      <w:r w:rsidRPr="00846D06">
        <w:rPr>
          <w:rFonts w:asciiTheme="minorHAnsi" w:hAnsiTheme="minorHAnsi" w:cs="Helvetica"/>
          <w:color w:val="000000"/>
          <w:sz w:val="24"/>
          <w:szCs w:val="24"/>
          <w:lang w:val="en-US"/>
        </w:rPr>
        <w:t xml:space="preserve"> (Accessed: 26 November 2025).</w:t>
      </w:r>
    </w:p>
    <w:p w14:paraId="295150DA"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Vogel, M., Parker, L., Porter, J., O’Hara, M., Tebbs, E., Gard, R., He, X., and Gallimore, J. (2023) </w:t>
      </w:r>
      <w:r w:rsidRPr="00846D06">
        <w:rPr>
          <w:rFonts w:asciiTheme="minorHAnsi" w:hAnsiTheme="minorHAnsi" w:cs="Helvetica"/>
          <w:i/>
          <w:iCs/>
          <w:color w:val="000000"/>
          <w:sz w:val="24"/>
          <w:szCs w:val="24"/>
          <w:lang w:val="en-US"/>
        </w:rPr>
        <w:t>Education for Sustainable Development: a review of the literature 2015-2022</w:t>
      </w:r>
      <w:r w:rsidRPr="00846D06">
        <w:rPr>
          <w:rFonts w:asciiTheme="minorHAnsi" w:hAnsiTheme="minorHAnsi" w:cs="Helvetica"/>
          <w:color w:val="000000"/>
          <w:sz w:val="24"/>
          <w:szCs w:val="24"/>
          <w:lang w:val="en-US"/>
        </w:rPr>
        <w:t>. Advance HE. Available at: https://www.advance-he.ac.uk/knowledge-hub/education-sustainable-development-review-literature-2015-2022</w:t>
      </w:r>
    </w:p>
    <w:p w14:paraId="2F97914A"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lastRenderedPageBreak/>
        <w:t xml:space="preserve">Walker, B.B., Lin, Y. and </w:t>
      </w:r>
      <w:proofErr w:type="spellStart"/>
      <w:r w:rsidRPr="00846D06">
        <w:rPr>
          <w:rFonts w:asciiTheme="minorHAnsi" w:hAnsiTheme="minorHAnsi" w:cs="Helvetica"/>
          <w:color w:val="000000"/>
          <w:sz w:val="24"/>
          <w:szCs w:val="24"/>
          <w:lang w:val="en-US"/>
        </w:rPr>
        <w:t>McLine</w:t>
      </w:r>
      <w:proofErr w:type="spellEnd"/>
      <w:r w:rsidRPr="00846D06">
        <w:rPr>
          <w:rFonts w:asciiTheme="minorHAnsi" w:hAnsiTheme="minorHAnsi" w:cs="Helvetica"/>
          <w:color w:val="000000"/>
          <w:sz w:val="24"/>
          <w:szCs w:val="24"/>
          <w:lang w:val="en-US"/>
        </w:rPr>
        <w:t xml:space="preserve">, R.M. (2018) ‘Q Methodology and W Perspectives Online: Innovative Research Methodology and Instructional Technology’, </w:t>
      </w:r>
      <w:r w:rsidRPr="00846D06">
        <w:rPr>
          <w:rFonts w:asciiTheme="minorHAnsi" w:hAnsiTheme="minorHAnsi" w:cs="Helvetica"/>
          <w:i/>
          <w:iCs/>
          <w:color w:val="000000"/>
          <w:sz w:val="24"/>
          <w:szCs w:val="24"/>
          <w:lang w:val="en-US"/>
        </w:rPr>
        <w:t>Association for Educational Communications &amp; Technology</w:t>
      </w:r>
      <w:r w:rsidRPr="00846D06">
        <w:rPr>
          <w:rFonts w:asciiTheme="minorHAnsi" w:hAnsiTheme="minorHAnsi" w:cs="Helvetica"/>
          <w:color w:val="000000"/>
          <w:sz w:val="24"/>
          <w:szCs w:val="24"/>
          <w:lang w:val="en-US"/>
        </w:rPr>
        <w:t xml:space="preserve">, 62, pp.450-461.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10.1007/s11528-018-0314-5</w:t>
      </w:r>
    </w:p>
    <w:p w14:paraId="64AD9268"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Watts, S. (2009) ‘Social Constructionism Redefined: Human Selectionism and the Objective Reality of Q Methodology’ </w:t>
      </w:r>
      <w:r w:rsidRPr="00846D06">
        <w:rPr>
          <w:rFonts w:asciiTheme="minorHAnsi" w:hAnsiTheme="minorHAnsi" w:cs="Helvetica"/>
          <w:i/>
          <w:iCs/>
          <w:color w:val="000000"/>
          <w:sz w:val="24"/>
          <w:szCs w:val="24"/>
          <w:lang w:val="en-US"/>
        </w:rPr>
        <w:t>Operant Subjectivity</w:t>
      </w:r>
      <w:r w:rsidRPr="00846D06">
        <w:rPr>
          <w:rFonts w:asciiTheme="minorHAnsi" w:hAnsiTheme="minorHAnsi" w:cs="Helvetica"/>
          <w:color w:val="000000"/>
          <w:sz w:val="24"/>
          <w:szCs w:val="24"/>
          <w:lang w:val="en-US"/>
        </w:rPr>
        <w:t xml:space="preserve">.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10.15133/J.OS.2008.003</w:t>
      </w:r>
    </w:p>
    <w:p w14:paraId="71D68768"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Watts, S. and Stenner, P. (2012) </w:t>
      </w:r>
      <w:r w:rsidRPr="00846D06">
        <w:rPr>
          <w:rFonts w:asciiTheme="minorHAnsi" w:hAnsiTheme="minorHAnsi" w:cs="Helvetica"/>
          <w:i/>
          <w:iCs/>
          <w:color w:val="000000"/>
          <w:sz w:val="24"/>
          <w:szCs w:val="24"/>
          <w:lang w:val="en-US"/>
        </w:rPr>
        <w:t>Doing Q methodological research: theory, method and interpretation</w:t>
      </w:r>
      <w:r w:rsidRPr="00846D06">
        <w:rPr>
          <w:rFonts w:asciiTheme="minorHAnsi" w:hAnsiTheme="minorHAnsi" w:cs="Helvetica"/>
          <w:color w:val="000000"/>
          <w:sz w:val="24"/>
          <w:szCs w:val="24"/>
          <w:lang w:val="en-US"/>
        </w:rPr>
        <w:t>. SAGE Publications.</w:t>
      </w:r>
    </w:p>
    <w:p w14:paraId="4E1582A3"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 xml:space="preserve">Woods, C.E. (2011) ‘Using Q methodology to explore leadership: the role of the school business manager’, </w:t>
      </w:r>
      <w:r w:rsidRPr="00846D06">
        <w:rPr>
          <w:rFonts w:asciiTheme="minorHAnsi" w:hAnsiTheme="minorHAnsi" w:cs="Helvetica"/>
          <w:i/>
          <w:iCs/>
          <w:color w:val="000000"/>
          <w:sz w:val="24"/>
          <w:szCs w:val="24"/>
          <w:lang w:val="en-US"/>
        </w:rPr>
        <w:t>International Journal of Leadership in Education</w:t>
      </w:r>
      <w:r w:rsidRPr="00846D06">
        <w:rPr>
          <w:rFonts w:asciiTheme="minorHAnsi" w:hAnsiTheme="minorHAnsi" w:cs="Helvetica"/>
          <w:color w:val="000000"/>
          <w:sz w:val="24"/>
          <w:szCs w:val="24"/>
          <w:lang w:val="en-US"/>
        </w:rPr>
        <w:t xml:space="preserve">, 14(3), pp.317-335.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10.1080/13603124.2010.507877</w:t>
      </w:r>
    </w:p>
    <w:p w14:paraId="2A418999" w14:textId="77777777" w:rsidR="00846D06" w:rsidRPr="00846D06" w:rsidRDefault="00846D06" w:rsidP="00846D06">
      <w:pPr>
        <w:autoSpaceDE w:val="0"/>
        <w:autoSpaceDN w:val="0"/>
        <w:adjustRightInd w:val="0"/>
        <w:spacing w:after="266" w:line="240" w:lineRule="auto"/>
        <w:ind w:left="640" w:hanging="640"/>
        <w:rPr>
          <w:rFonts w:asciiTheme="minorHAnsi" w:hAnsiTheme="minorHAnsi" w:cs="Helvetica"/>
          <w:color w:val="000000"/>
          <w:sz w:val="24"/>
          <w:szCs w:val="24"/>
          <w:lang w:val="en-US"/>
        </w:rPr>
      </w:pPr>
      <w:r w:rsidRPr="00846D06">
        <w:rPr>
          <w:rFonts w:asciiTheme="minorHAnsi" w:hAnsiTheme="minorHAnsi" w:cs="Helvetica"/>
          <w:color w:val="000000"/>
          <w:sz w:val="24"/>
          <w:szCs w:val="24"/>
          <w:lang w:val="en-US"/>
        </w:rPr>
        <w:t>Zhou, R. (2024) ‘How UK universities approach sustainability: A timely review</w:t>
      </w:r>
      <w:proofErr w:type="gramStart"/>
      <w:r w:rsidRPr="00846D06">
        <w:rPr>
          <w:rFonts w:asciiTheme="minorHAnsi" w:hAnsiTheme="minorHAnsi" w:cs="Helvetica"/>
          <w:color w:val="000000"/>
          <w:sz w:val="24"/>
          <w:szCs w:val="24"/>
          <w:lang w:val="en-US"/>
        </w:rPr>
        <w:t xml:space="preserve">’,  </w:t>
      </w:r>
      <w:r w:rsidRPr="00846D06">
        <w:rPr>
          <w:rFonts w:asciiTheme="minorHAnsi" w:hAnsiTheme="minorHAnsi" w:cs="Helvetica"/>
          <w:i/>
          <w:iCs/>
          <w:color w:val="000000"/>
          <w:sz w:val="24"/>
          <w:szCs w:val="24"/>
          <w:lang w:val="en-US"/>
        </w:rPr>
        <w:t>Journal</w:t>
      </w:r>
      <w:proofErr w:type="gramEnd"/>
      <w:r w:rsidRPr="00846D06">
        <w:rPr>
          <w:rFonts w:asciiTheme="minorHAnsi" w:hAnsiTheme="minorHAnsi" w:cs="Helvetica"/>
          <w:i/>
          <w:iCs/>
          <w:color w:val="000000"/>
          <w:sz w:val="24"/>
          <w:szCs w:val="24"/>
          <w:lang w:val="en-US"/>
        </w:rPr>
        <w:t xml:space="preserve"> of Adult and Continuing Education</w:t>
      </w:r>
      <w:r w:rsidRPr="00846D06">
        <w:rPr>
          <w:rFonts w:asciiTheme="minorHAnsi" w:hAnsiTheme="minorHAnsi" w:cs="Helvetica"/>
          <w:color w:val="000000"/>
          <w:sz w:val="24"/>
          <w:szCs w:val="24"/>
          <w:lang w:val="en-US"/>
        </w:rPr>
        <w:t xml:space="preserve">. </w:t>
      </w:r>
      <w:proofErr w:type="spellStart"/>
      <w:r w:rsidRPr="00846D06">
        <w:rPr>
          <w:rFonts w:asciiTheme="minorHAnsi" w:hAnsiTheme="minorHAnsi" w:cs="Helvetica"/>
          <w:color w:val="000000"/>
          <w:sz w:val="24"/>
          <w:szCs w:val="24"/>
          <w:lang w:val="en-US"/>
        </w:rPr>
        <w:t>doi</w:t>
      </w:r>
      <w:proofErr w:type="spellEnd"/>
      <w:r w:rsidRPr="00846D06">
        <w:rPr>
          <w:rFonts w:asciiTheme="minorHAnsi" w:hAnsiTheme="minorHAnsi" w:cs="Helvetica"/>
          <w:color w:val="000000"/>
          <w:sz w:val="24"/>
          <w:szCs w:val="24"/>
          <w:lang w:val="en-US"/>
        </w:rPr>
        <w:t>: 10.1177/14779714241240985</w:t>
      </w:r>
    </w:p>
    <w:p w14:paraId="14F2E10A" w14:textId="77777777" w:rsidR="001712C0" w:rsidRDefault="001712C0">
      <w:pPr>
        <w:rPr>
          <w:rFonts w:asciiTheme="minorHAnsi" w:hAnsiTheme="minorHAnsi"/>
          <w:sz w:val="24"/>
          <w:szCs w:val="24"/>
          <w:lang w:val="en-US"/>
        </w:rPr>
      </w:pPr>
    </w:p>
    <w:p w14:paraId="48E906AF" w14:textId="77777777" w:rsidR="00905C61" w:rsidRDefault="00905C61">
      <w:pPr>
        <w:rPr>
          <w:rFonts w:asciiTheme="minorHAnsi" w:hAnsiTheme="minorHAnsi"/>
          <w:sz w:val="24"/>
          <w:szCs w:val="24"/>
          <w:lang w:val="en-US"/>
        </w:rPr>
      </w:pPr>
    </w:p>
    <w:p w14:paraId="05FD62C6" w14:textId="77777777" w:rsidR="00905C61" w:rsidRDefault="00905C61">
      <w:pPr>
        <w:rPr>
          <w:rFonts w:asciiTheme="minorHAnsi" w:hAnsiTheme="minorHAnsi"/>
          <w:sz w:val="24"/>
          <w:szCs w:val="24"/>
          <w:lang w:val="en-US"/>
        </w:rPr>
      </w:pPr>
    </w:p>
    <w:p w14:paraId="2496B719" w14:textId="77777777" w:rsidR="00905C61" w:rsidRDefault="00905C61">
      <w:pPr>
        <w:rPr>
          <w:rFonts w:asciiTheme="minorHAnsi" w:hAnsiTheme="minorHAnsi"/>
          <w:sz w:val="24"/>
          <w:szCs w:val="24"/>
          <w:lang w:val="en-US"/>
        </w:rPr>
      </w:pPr>
    </w:p>
    <w:p w14:paraId="6A24D0DC" w14:textId="77777777" w:rsidR="00905C61" w:rsidRDefault="00905C61">
      <w:pPr>
        <w:rPr>
          <w:rFonts w:asciiTheme="minorHAnsi" w:hAnsiTheme="minorHAnsi"/>
          <w:sz w:val="24"/>
          <w:szCs w:val="24"/>
          <w:lang w:val="en-US"/>
        </w:rPr>
      </w:pPr>
    </w:p>
    <w:p w14:paraId="7F6B638E" w14:textId="77777777" w:rsidR="00905C61" w:rsidRDefault="00905C61">
      <w:pPr>
        <w:rPr>
          <w:rFonts w:asciiTheme="minorHAnsi" w:hAnsiTheme="minorHAnsi"/>
          <w:sz w:val="24"/>
          <w:szCs w:val="24"/>
          <w:lang w:val="en-US"/>
        </w:rPr>
      </w:pPr>
    </w:p>
    <w:p w14:paraId="3E4894DA" w14:textId="77777777" w:rsidR="00905C61" w:rsidRDefault="00905C61">
      <w:pPr>
        <w:rPr>
          <w:rFonts w:asciiTheme="minorHAnsi" w:hAnsiTheme="minorHAnsi"/>
          <w:sz w:val="24"/>
          <w:szCs w:val="24"/>
          <w:lang w:val="en-US"/>
        </w:rPr>
      </w:pPr>
    </w:p>
    <w:p w14:paraId="2647BC6A" w14:textId="77777777" w:rsidR="00905C61" w:rsidRDefault="00905C61">
      <w:pPr>
        <w:rPr>
          <w:rFonts w:asciiTheme="minorHAnsi" w:hAnsiTheme="minorHAnsi"/>
          <w:sz w:val="24"/>
          <w:szCs w:val="24"/>
          <w:lang w:val="en-US"/>
        </w:rPr>
      </w:pPr>
    </w:p>
    <w:p w14:paraId="7F3B0AE4" w14:textId="77777777" w:rsidR="00905C61" w:rsidRDefault="00905C61">
      <w:pPr>
        <w:rPr>
          <w:rFonts w:asciiTheme="minorHAnsi" w:hAnsiTheme="minorHAnsi"/>
          <w:sz w:val="24"/>
          <w:szCs w:val="24"/>
          <w:lang w:val="en-US"/>
        </w:rPr>
      </w:pPr>
    </w:p>
    <w:p w14:paraId="6E312376" w14:textId="77777777" w:rsidR="00905C61" w:rsidRDefault="00905C61">
      <w:pPr>
        <w:rPr>
          <w:rFonts w:asciiTheme="minorHAnsi" w:hAnsiTheme="minorHAnsi"/>
          <w:sz w:val="24"/>
          <w:szCs w:val="24"/>
          <w:lang w:val="en-US"/>
        </w:rPr>
      </w:pPr>
    </w:p>
    <w:p w14:paraId="6992499E" w14:textId="77777777" w:rsidR="00905C61" w:rsidRDefault="00905C61">
      <w:pPr>
        <w:rPr>
          <w:rFonts w:asciiTheme="minorHAnsi" w:hAnsiTheme="minorHAnsi"/>
          <w:sz w:val="24"/>
          <w:szCs w:val="24"/>
          <w:lang w:val="en-US"/>
        </w:rPr>
      </w:pPr>
    </w:p>
    <w:p w14:paraId="40A3751F" w14:textId="77777777" w:rsidR="00905C61" w:rsidRDefault="00905C61">
      <w:pPr>
        <w:rPr>
          <w:rFonts w:asciiTheme="minorHAnsi" w:hAnsiTheme="minorHAnsi"/>
          <w:sz w:val="24"/>
          <w:szCs w:val="24"/>
          <w:lang w:val="en-US"/>
        </w:rPr>
      </w:pPr>
    </w:p>
    <w:p w14:paraId="42CCADCE" w14:textId="77777777" w:rsidR="00905C61" w:rsidRDefault="00905C61">
      <w:pPr>
        <w:rPr>
          <w:rFonts w:asciiTheme="minorHAnsi" w:hAnsiTheme="minorHAnsi"/>
          <w:sz w:val="24"/>
          <w:szCs w:val="24"/>
          <w:lang w:val="en-US"/>
        </w:rPr>
      </w:pPr>
    </w:p>
    <w:p w14:paraId="674968BD" w14:textId="77777777" w:rsidR="001F29D1" w:rsidRDefault="00FB2AF6" w:rsidP="00FB2AF6">
      <w:pPr>
        <w:rPr>
          <w:rFonts w:asciiTheme="minorHAnsi" w:hAnsiTheme="minorHAnsi"/>
          <w:sz w:val="24"/>
          <w:szCs w:val="24"/>
          <w:lang w:val="en-US"/>
        </w:rPr>
      </w:pPr>
      <w:r>
        <w:rPr>
          <w:rFonts w:asciiTheme="minorHAnsi" w:hAnsiTheme="minorHAnsi"/>
          <w:sz w:val="24"/>
          <w:szCs w:val="24"/>
          <w:lang w:val="en-US"/>
        </w:rPr>
        <w:br w:type="page"/>
      </w:r>
    </w:p>
    <w:p w14:paraId="4F4F236C" w14:textId="77777777" w:rsidR="00905C61" w:rsidRDefault="00905C61" w:rsidP="00905C61">
      <w:pPr>
        <w:pStyle w:val="Heading1"/>
        <w:rPr>
          <w:sz w:val="40"/>
          <w:szCs w:val="40"/>
        </w:rPr>
      </w:pPr>
      <w:bookmarkStart w:id="32" w:name="_Toc229750457"/>
      <w:r>
        <w:rPr>
          <w:sz w:val="40"/>
          <w:szCs w:val="40"/>
        </w:rPr>
        <w:lastRenderedPageBreak/>
        <w:t>Appendix 1: Creating the Concourse</w:t>
      </w:r>
      <w:bookmarkEnd w:id="32"/>
    </w:p>
    <w:p w14:paraId="2A0EC086" w14:textId="77777777" w:rsidR="00905C61" w:rsidRDefault="00905C61" w:rsidP="00905C61">
      <w:pPr>
        <w:pStyle w:val="Heading4"/>
      </w:pPr>
      <w:r>
        <w:t>Step 1:</w:t>
      </w:r>
    </w:p>
    <w:p w14:paraId="12FCA9CD" w14:textId="77777777" w:rsidR="00905C61" w:rsidRDefault="00905C61" w:rsidP="00905C61">
      <w:r>
        <w:t>I gave the Google Gemini ‘Deep Research’ tool the following prompt:</w:t>
      </w:r>
    </w:p>
    <w:p w14:paraId="020ADE24" w14:textId="77777777" w:rsidR="00905C61" w:rsidRDefault="00905C61" w:rsidP="00905C61"/>
    <w:p w14:paraId="75F8B52F" w14:textId="77777777" w:rsidR="00905C61" w:rsidRDefault="00905C61" w:rsidP="004934CD">
      <w:pPr>
        <w:ind w:left="720"/>
        <w:rPr>
          <w:i/>
          <w:iCs/>
        </w:rPr>
      </w:pPr>
      <w:r w:rsidRPr="00557867">
        <w:rPr>
          <w:i/>
          <w:iCs/>
        </w:rPr>
        <w:t>I'd like to create a series of statements to express all the potential perspectives that History lecturers at UK universities might have of Education for Sustainability. Can you do this?</w:t>
      </w:r>
    </w:p>
    <w:p w14:paraId="614BCF6D" w14:textId="77777777" w:rsidR="00905C61" w:rsidRDefault="00905C61" w:rsidP="00905C61">
      <w:pPr>
        <w:rPr>
          <w:i/>
          <w:iCs/>
        </w:rPr>
      </w:pPr>
    </w:p>
    <w:p w14:paraId="3461630A" w14:textId="77777777" w:rsidR="00905C61" w:rsidRDefault="00905C61" w:rsidP="00905C61">
      <w:r>
        <w:t>The output is included below.</w:t>
      </w:r>
    </w:p>
    <w:p w14:paraId="17213354" w14:textId="77777777" w:rsidR="00905C61" w:rsidRDefault="00905C61" w:rsidP="00905C61"/>
    <w:p w14:paraId="6FBAD5EF" w14:textId="77777777" w:rsidR="00905C61" w:rsidRDefault="00905C61" w:rsidP="00905C61">
      <w:pPr>
        <w:pStyle w:val="Heading4"/>
      </w:pPr>
      <w:r>
        <w:t>Step 2:</w:t>
      </w:r>
    </w:p>
    <w:p w14:paraId="6DAE2968" w14:textId="77777777" w:rsidR="00905C61" w:rsidRDefault="00905C61" w:rsidP="00905C61">
      <w:r>
        <w:t>A follow-up prompt requested Google Gemini to extract statements from its own ‘Deep Research’ report that would be suitable for concourse statements for a Q Methodological study on the perspectives of higher education History lecturers on Education for Sustainable Development. The output is included in Appendix 2.</w:t>
      </w:r>
    </w:p>
    <w:p w14:paraId="4D777716" w14:textId="77777777" w:rsidR="00905C61" w:rsidRDefault="00905C61" w:rsidP="00905C61"/>
    <w:p w14:paraId="7B206E04" w14:textId="77777777" w:rsidR="00905C61" w:rsidRDefault="00905C61" w:rsidP="00905C61">
      <w:pPr>
        <w:pStyle w:val="Heading4"/>
      </w:pPr>
      <w:r>
        <w:t>Step 3:</w:t>
      </w:r>
    </w:p>
    <w:p w14:paraId="2629864B" w14:textId="77777777" w:rsidR="00905C61" w:rsidRPr="00557867" w:rsidRDefault="00905C61" w:rsidP="00905C61">
      <w:r>
        <w:t xml:space="preserve">A ‘notebook’ was created in </w:t>
      </w:r>
      <w:proofErr w:type="spellStart"/>
      <w:r>
        <w:t>NotebookLM</w:t>
      </w:r>
      <w:proofErr w:type="spellEnd"/>
      <w:r>
        <w:t xml:space="preserve">, another Google product, where pdfs of the sources used in the literature review were uploaded. A prompt was then entered in the chat requesting a concourse of statements derived from the sources for use in a Q Methodological study on the perspectives of higher education History lecturers on Education for Sustainable Development. The ‘notebook’ can be viewed here: </w:t>
      </w:r>
      <w:hyperlink r:id="rId29" w:history="1">
        <w:r w:rsidRPr="00961C8A">
          <w:rPr>
            <w:rStyle w:val="Hyperlink"/>
          </w:rPr>
          <w:t>https://notebooklm.google.com/notebook/cef4ec7d-148d-4cb4-b328-ef28f18ed5fa?authuser=1</w:t>
        </w:r>
      </w:hyperlink>
      <w:r>
        <w:t xml:space="preserve"> </w:t>
      </w:r>
    </w:p>
    <w:p w14:paraId="2211A1DF" w14:textId="77777777" w:rsidR="00905C61" w:rsidRDefault="00905C61" w:rsidP="00905C61"/>
    <w:p w14:paraId="197BAB73" w14:textId="77777777" w:rsidR="00905C61" w:rsidRDefault="00905C61" w:rsidP="00905C61">
      <w:pPr>
        <w:pStyle w:val="Heading4"/>
      </w:pPr>
      <w:r>
        <w:t>Step 4:</w:t>
      </w:r>
    </w:p>
    <w:p w14:paraId="386D2089" w14:textId="77777777" w:rsidR="00905C61" w:rsidRDefault="00905C61" w:rsidP="00905C61">
      <w:r>
        <w:t xml:space="preserve">A first iteration of the online Q-sort tool, created with the Google Gemini ‘Canvas’ tool, contained 34 statements. </w:t>
      </w:r>
    </w:p>
    <w:p w14:paraId="4D8605BB" w14:textId="77777777" w:rsidR="00905C61" w:rsidRDefault="00905C61" w:rsidP="00905C61"/>
    <w:p w14:paraId="2996A83C" w14:textId="77777777" w:rsidR="00905C61" w:rsidRDefault="00905C61" w:rsidP="00905C61">
      <w:pPr>
        <w:pStyle w:val="Heading4"/>
      </w:pPr>
      <w:r>
        <w:t>Step 5:</w:t>
      </w:r>
    </w:p>
    <w:p w14:paraId="13C0BC59" w14:textId="77777777" w:rsidR="00905C61" w:rsidRDefault="00905C61" w:rsidP="00905C61">
      <w:r>
        <w:t xml:space="preserve">Statements from all 3 sources (Gemini’s ‘Deep Research’ report, the </w:t>
      </w:r>
      <w:proofErr w:type="spellStart"/>
      <w:r>
        <w:t>NotebookLM</w:t>
      </w:r>
      <w:proofErr w:type="spellEnd"/>
      <w:r>
        <w:t xml:space="preserve"> chat, and the Gemini ‘Canvas’ tool) were listed together to create the concourse.</w:t>
      </w:r>
    </w:p>
    <w:p w14:paraId="64065ECC" w14:textId="77777777" w:rsidR="00905C61" w:rsidRDefault="00905C61" w:rsidP="00905C61"/>
    <w:p w14:paraId="506EABFF" w14:textId="48F3DB5C" w:rsidR="00905C61" w:rsidRDefault="00905C61" w:rsidP="004934CD">
      <w:pPr>
        <w:pStyle w:val="Heading1"/>
        <w:jc w:val="left"/>
        <w:rPr>
          <w:sz w:val="40"/>
          <w:szCs w:val="40"/>
        </w:rPr>
      </w:pPr>
      <w:bookmarkStart w:id="33" w:name="_Toc229750458"/>
      <w:r w:rsidRPr="00F35C82">
        <w:rPr>
          <w:sz w:val="40"/>
          <w:szCs w:val="40"/>
        </w:rPr>
        <w:lastRenderedPageBreak/>
        <w:t xml:space="preserve">Gemini ‘Deep Research’ </w:t>
      </w:r>
      <w:proofErr w:type="gramStart"/>
      <w:r w:rsidRPr="00F35C82">
        <w:rPr>
          <w:sz w:val="40"/>
          <w:szCs w:val="40"/>
        </w:rPr>
        <w:t xml:space="preserve">Report  </w:t>
      </w:r>
      <w:r w:rsidRPr="00F35C82">
        <w:rPr>
          <w:sz w:val="40"/>
          <w:szCs w:val="40"/>
        </w:rPr>
        <w:tab/>
      </w:r>
      <w:proofErr w:type="gramEnd"/>
      <w:r w:rsidRPr="00F35C82">
        <w:rPr>
          <w:sz w:val="40"/>
          <w:szCs w:val="40"/>
        </w:rPr>
        <w:t>06-10-2025</w:t>
      </w:r>
      <w:bookmarkEnd w:id="33"/>
    </w:p>
    <w:p w14:paraId="40C9273C" w14:textId="77777777" w:rsidR="00905C61" w:rsidRPr="00557867" w:rsidRDefault="00905C61" w:rsidP="00905C61">
      <w:pPr>
        <w:pStyle w:val="Heading1"/>
        <w:rPr>
          <w:sz w:val="40"/>
          <w:szCs w:val="40"/>
        </w:rPr>
      </w:pPr>
      <w:bookmarkStart w:id="34" w:name="_Toc229750459"/>
      <w:r w:rsidRPr="00AB6BEA">
        <w:t>Disciplinary Integrity and Didactic Imperatives: A Spectrum of Perspectives from UK University History Lecturers on Education for Sustainability</w:t>
      </w:r>
      <w:bookmarkEnd w:id="34"/>
    </w:p>
    <w:p w14:paraId="7FF2FB37" w14:textId="77777777" w:rsidR="00905C61" w:rsidRPr="00AB6BEA" w:rsidRDefault="00905C61" w:rsidP="00905C61"/>
    <w:p w14:paraId="279C65B1" w14:textId="77777777" w:rsidR="00905C61" w:rsidRPr="00AB6BEA" w:rsidRDefault="00905C61" w:rsidP="00905C61">
      <w:pPr>
        <w:pStyle w:val="Heading2"/>
        <w:rPr>
          <w:b/>
          <w:bCs/>
        </w:rPr>
      </w:pPr>
      <w:bookmarkStart w:id="35" w:name="_Toc229750460"/>
      <w:r w:rsidRPr="00AB6BEA">
        <w:rPr>
          <w:b/>
          <w:bCs/>
        </w:rPr>
        <w:t>Section 1: The Mandate for Education for Sustainability in UK Higher Education</w:t>
      </w:r>
      <w:bookmarkEnd w:id="35"/>
    </w:p>
    <w:p w14:paraId="35F602C1" w14:textId="77777777" w:rsidR="00905C61" w:rsidRPr="00AB6BEA" w:rsidRDefault="00905C61" w:rsidP="00905C61">
      <w:pPr>
        <w:spacing w:after="150"/>
        <w:rPr>
          <w:rFonts w:eastAsia="Times New Roman" w:cs="Arial"/>
          <w:color w:val="1F1F1F"/>
          <w:sz w:val="24"/>
          <w:szCs w:val="24"/>
        </w:rPr>
      </w:pPr>
      <w:r w:rsidRPr="00AB6BEA">
        <w:rPr>
          <w:rFonts w:eastAsia="Times New Roman" w:cs="Arial"/>
          <w:color w:val="1F1F1F"/>
          <w:sz w:val="24"/>
          <w:szCs w:val="24"/>
        </w:rPr>
        <w:t>The drive to embed Education for Sustainability (ESD) within UK higher education is not a peripheral movement but a centrally promoted, strategic priority. Spearheaded by key sector bodies such as the Quality Assurance Agency for Higher Education (QAA) and Advance HE, ESD is presented as an essential component of a modern university education, deeply integrated into the frameworks that govern academic quality and institutional strategy. Understanding this top-down mandate is critical to appreciating the context in which History lecturers must formulate their professional and pedagogical responses.</w:t>
      </w:r>
    </w:p>
    <w:p w14:paraId="39D47C95" w14:textId="77777777" w:rsidR="00905C61" w:rsidRPr="00AB6BEA" w:rsidRDefault="00905C61" w:rsidP="00905C61">
      <w:pPr>
        <w:pStyle w:val="Heading3"/>
        <w:rPr>
          <w:b/>
          <w:bCs/>
        </w:rPr>
      </w:pPr>
      <w:bookmarkStart w:id="36" w:name="_Toc229750461"/>
      <w:r w:rsidRPr="00AB6BEA">
        <w:rPr>
          <w:b/>
          <w:bCs/>
        </w:rPr>
        <w:t>1.1 Defining Education for Sustainability: A Holistic, Transformative Agenda</w:t>
      </w:r>
      <w:bookmarkEnd w:id="36"/>
    </w:p>
    <w:p w14:paraId="27BC2B22" w14:textId="77777777" w:rsidR="00905C61" w:rsidRDefault="00905C61" w:rsidP="00905C61">
      <w:pPr>
        <w:rPr>
          <w:rFonts w:eastAsia="Times New Roman" w:cs="Arial"/>
          <w:color w:val="1F1F1F"/>
          <w:sz w:val="24"/>
          <w:szCs w:val="24"/>
          <w:bdr w:val="none" w:sz="0" w:space="0" w:color="auto" w:frame="1"/>
        </w:rPr>
      </w:pPr>
      <w:r w:rsidRPr="00AB6BEA">
        <w:rPr>
          <w:rFonts w:eastAsia="Times New Roman" w:cs="Arial"/>
          <w:color w:val="1F1F1F"/>
          <w:sz w:val="24"/>
          <w:szCs w:val="24"/>
          <w:bdr w:val="none" w:sz="0" w:space="0" w:color="auto" w:frame="1"/>
        </w:rPr>
        <w:t>The conceptual foundation for ESD in the UK is the 2014 guidance, updated in 2021, jointly published by the QAA and Advance HE. This document defines ESD as "the process of equipping students with the knowledge and understanding, skills and attributes needed to work and live in a way that safeguards environmental, social and economic wellbeing, both in the present and for future generations". This definition immediately establishes a broad, tripartite framework, often referred to as the "three pillars" of sustainability, which encompasses but is not limited to environmental concerns.</w:t>
      </w:r>
    </w:p>
    <w:p w14:paraId="78CF8A5E" w14:textId="77777777" w:rsidR="00905C61" w:rsidRPr="00AB6BEA" w:rsidRDefault="00905C61" w:rsidP="00905C61">
      <w:pPr>
        <w:rPr>
          <w:rFonts w:eastAsia="Times New Roman" w:cs="Arial"/>
          <w:color w:val="1F1F1F"/>
          <w:sz w:val="24"/>
          <w:szCs w:val="24"/>
        </w:rPr>
      </w:pPr>
    </w:p>
    <w:p w14:paraId="4CFC423E" w14:textId="77777777" w:rsidR="00905C61" w:rsidRDefault="00905C61" w:rsidP="00905C61">
      <w:pPr>
        <w:rPr>
          <w:rFonts w:eastAsia="Times New Roman" w:cs="Arial"/>
          <w:color w:val="1F1F1F"/>
          <w:sz w:val="24"/>
          <w:szCs w:val="24"/>
          <w:bdr w:val="none" w:sz="0" w:space="0" w:color="auto" w:frame="1"/>
        </w:rPr>
      </w:pPr>
      <w:r w:rsidRPr="00AB6BEA">
        <w:rPr>
          <w:rFonts w:eastAsia="Times New Roman" w:cs="Arial"/>
          <w:color w:val="1F1F1F"/>
          <w:sz w:val="24"/>
          <w:szCs w:val="24"/>
          <w:bdr w:val="none" w:sz="0" w:space="0" w:color="auto" w:frame="1"/>
        </w:rPr>
        <w:t xml:space="preserve">The guidance explicitly seeks to move the discourse "beyond being solely about environmental issues, focusing instead on interconnections and interdependencies between economic, social and environmental factors". This holistic approach is designed to make ESD relevant to all academic disciplines, from the sciences to the humanities. It is framed as part of a wider "educational change agenda" grounded in principles of transformative learning and critical pedagogy. The </w:t>
      </w:r>
      <w:proofErr w:type="gramStart"/>
      <w:r w:rsidRPr="00AB6BEA">
        <w:rPr>
          <w:rFonts w:eastAsia="Times New Roman" w:cs="Arial"/>
          <w:color w:val="1F1F1F"/>
          <w:sz w:val="24"/>
          <w:szCs w:val="24"/>
          <w:bdr w:val="none" w:sz="0" w:space="0" w:color="auto" w:frame="1"/>
        </w:rPr>
        <w:t>ultimate goal</w:t>
      </w:r>
      <w:proofErr w:type="gramEnd"/>
      <w:r w:rsidRPr="00AB6BEA">
        <w:rPr>
          <w:rFonts w:eastAsia="Times New Roman" w:cs="Arial"/>
          <w:color w:val="1F1F1F"/>
          <w:sz w:val="24"/>
          <w:szCs w:val="24"/>
          <w:bdr w:val="none" w:sz="0" w:space="0" w:color="auto" w:frame="1"/>
        </w:rPr>
        <w:t xml:space="preserve"> is to empower learners to "look critically at how the world is and to envision how it might be," and subsequently to "create and pursue visions of a better world". This language is inherently activist and future-oriented, positioning ESD not as a neutral mode of content delivery, but as a process with a clear normative objective: to equip students to </w:t>
      </w:r>
      <w:proofErr w:type="gramStart"/>
      <w:r w:rsidRPr="00AB6BEA">
        <w:rPr>
          <w:rFonts w:eastAsia="Times New Roman" w:cs="Arial"/>
          <w:i/>
          <w:iCs/>
          <w:color w:val="1F1F1F"/>
          <w:sz w:val="24"/>
          <w:szCs w:val="24"/>
          <w:bdr w:val="none" w:sz="0" w:space="0" w:color="auto" w:frame="1"/>
        </w:rPr>
        <w:t>take action</w:t>
      </w:r>
      <w:proofErr w:type="gramEnd"/>
      <w:r w:rsidRPr="00AB6BEA">
        <w:rPr>
          <w:rFonts w:eastAsia="Times New Roman" w:cs="Arial"/>
          <w:color w:val="1F1F1F"/>
          <w:sz w:val="24"/>
          <w:szCs w:val="24"/>
          <w:bdr w:val="none" w:sz="0" w:space="0" w:color="auto" w:frame="1"/>
        </w:rPr>
        <w:t xml:space="preserve"> and help </w:t>
      </w:r>
      <w:r w:rsidRPr="00AB6BEA">
        <w:rPr>
          <w:rFonts w:eastAsia="Times New Roman" w:cs="Arial"/>
          <w:i/>
          <w:iCs/>
          <w:color w:val="1F1F1F"/>
          <w:sz w:val="24"/>
          <w:szCs w:val="24"/>
          <w:bdr w:val="none" w:sz="0" w:space="0" w:color="auto" w:frame="1"/>
        </w:rPr>
        <w:t>transition society</w:t>
      </w:r>
      <w:r w:rsidRPr="00AB6BEA">
        <w:rPr>
          <w:rFonts w:eastAsia="Times New Roman" w:cs="Arial"/>
          <w:color w:val="1F1F1F"/>
          <w:sz w:val="24"/>
          <w:szCs w:val="24"/>
          <w:bdr w:val="none" w:sz="0" w:space="0" w:color="auto" w:frame="1"/>
        </w:rPr>
        <w:t xml:space="preserve"> towards a more sustainable future. This forward-looking, </w:t>
      </w:r>
      <w:r w:rsidRPr="00AB6BEA">
        <w:rPr>
          <w:rFonts w:eastAsia="Times New Roman" w:cs="Arial"/>
          <w:color w:val="1F1F1F"/>
          <w:sz w:val="24"/>
          <w:szCs w:val="24"/>
          <w:bdr w:val="none" w:sz="0" w:space="0" w:color="auto" w:frame="1"/>
        </w:rPr>
        <w:lastRenderedPageBreak/>
        <w:t>interventionist ethos creates an immediate and foundational tension with the traditional ethos of the historical profession, which is retrospective by nature and prizes detached analysis over activism.</w:t>
      </w:r>
    </w:p>
    <w:p w14:paraId="04861560" w14:textId="77777777" w:rsidR="00905C61" w:rsidRPr="00AB6BEA" w:rsidRDefault="00905C61" w:rsidP="00905C61">
      <w:pPr>
        <w:rPr>
          <w:rFonts w:eastAsia="Times New Roman" w:cs="Arial"/>
          <w:color w:val="1F1F1F"/>
          <w:sz w:val="24"/>
          <w:szCs w:val="24"/>
        </w:rPr>
      </w:pPr>
    </w:p>
    <w:p w14:paraId="26EEB6FA" w14:textId="77777777" w:rsidR="00905C61" w:rsidRPr="00AB6BEA" w:rsidRDefault="00905C61" w:rsidP="00905C61">
      <w:pPr>
        <w:rPr>
          <w:rFonts w:eastAsia="Times New Roman" w:cs="Arial"/>
          <w:color w:val="1F1F1F"/>
          <w:sz w:val="24"/>
          <w:szCs w:val="24"/>
          <w:bdr w:val="none" w:sz="0" w:space="0" w:color="auto" w:frame="1"/>
        </w:rPr>
      </w:pPr>
      <w:r w:rsidRPr="00AB6BEA">
        <w:rPr>
          <w:rFonts w:eastAsia="Times New Roman" w:cs="Arial"/>
          <w:color w:val="1F1F1F"/>
          <w:sz w:val="24"/>
          <w:szCs w:val="24"/>
          <w:bdr w:val="none" w:sz="0" w:space="0" w:color="auto" w:frame="1"/>
        </w:rPr>
        <w:t>This agenda is reinforced by its strategic positioning within institutional priorities. Universities are encouraged to connect ESD with other key objectives such as employability, enterprise, inclusive curricula, and internationalisation. The imperative is further strengthened by significant student demand; surveys consistently show that a high percentage of students wish to see sustainable development incorporated throughout their courses. Consequently, ESD is increasingly embedded within the sector's quality assurance mechanisms and institutional strategic plans, backed by a significant body of guidance, frameworks, and practice guides from the QAA and Advance HE. This transforms the debate for academics from a purely philosophical one into a professional and pragmatic one, as non-engagement represents a potential deviation from national and institutional expectations.</w:t>
      </w:r>
    </w:p>
    <w:p w14:paraId="2EEE6A04" w14:textId="77777777" w:rsidR="00905C61" w:rsidRPr="00AB6BEA" w:rsidRDefault="00905C61" w:rsidP="00905C61">
      <w:pPr>
        <w:pStyle w:val="Heading3"/>
      </w:pPr>
      <w:bookmarkStart w:id="37" w:name="_Toc229750462"/>
      <w:r w:rsidRPr="00AB6BEA">
        <w:t>1.2 The Competency Framework: A New Didactic Architecture</w:t>
      </w:r>
      <w:bookmarkEnd w:id="37"/>
    </w:p>
    <w:p w14:paraId="0B65E317" w14:textId="77777777" w:rsidR="00905C61" w:rsidRPr="00AB6BEA" w:rsidRDefault="00905C61" w:rsidP="00905C61">
      <w:pPr>
        <w:rPr>
          <w:rFonts w:eastAsia="Times New Roman" w:cs="Arial"/>
          <w:color w:val="1F1F1F"/>
          <w:sz w:val="24"/>
          <w:szCs w:val="24"/>
        </w:rPr>
      </w:pPr>
      <w:r w:rsidRPr="00AB6BEA">
        <w:rPr>
          <w:rFonts w:eastAsia="Times New Roman" w:cs="Arial"/>
          <w:color w:val="1F1F1F"/>
          <w:sz w:val="24"/>
          <w:szCs w:val="24"/>
          <w:bdr w:val="none" w:sz="0" w:space="0" w:color="auto" w:frame="1"/>
        </w:rPr>
        <w:t>At the heart of the QAA and Advance HE guidance is a pedagogical architecture built around UNESCO's key competencies for sustainability. These competencies are designed to be cross-disciplinary and provide a common language for curriculum design. They are specified as:</w:t>
      </w:r>
    </w:p>
    <w:p w14:paraId="5EC58F58" w14:textId="77777777" w:rsidR="00905C61" w:rsidRPr="00AB6BEA" w:rsidRDefault="00905C61" w:rsidP="00905C61">
      <w:pPr>
        <w:numPr>
          <w:ilvl w:val="0"/>
          <w:numId w:val="2"/>
        </w:numPr>
        <w:spacing w:after="150"/>
        <w:rPr>
          <w:rFonts w:eastAsia="Times New Roman" w:cs="Arial"/>
          <w:color w:val="1F1F1F"/>
          <w:sz w:val="24"/>
          <w:szCs w:val="24"/>
        </w:rPr>
      </w:pPr>
      <w:r w:rsidRPr="00AB6BEA">
        <w:rPr>
          <w:rFonts w:eastAsia="Times New Roman" w:cs="Arial"/>
          <w:color w:val="1F1F1F"/>
          <w:sz w:val="24"/>
          <w:szCs w:val="24"/>
        </w:rPr>
        <w:t>Systems thinking</w:t>
      </w:r>
    </w:p>
    <w:p w14:paraId="5C190054" w14:textId="77777777" w:rsidR="00905C61" w:rsidRPr="00AB6BEA" w:rsidRDefault="00905C61" w:rsidP="00905C61">
      <w:pPr>
        <w:numPr>
          <w:ilvl w:val="0"/>
          <w:numId w:val="2"/>
        </w:numPr>
        <w:spacing w:after="150"/>
        <w:rPr>
          <w:rFonts w:eastAsia="Times New Roman" w:cs="Arial"/>
          <w:color w:val="1F1F1F"/>
          <w:sz w:val="24"/>
          <w:szCs w:val="24"/>
        </w:rPr>
      </w:pPr>
      <w:r w:rsidRPr="00AB6BEA">
        <w:rPr>
          <w:rFonts w:eastAsia="Times New Roman" w:cs="Arial"/>
          <w:color w:val="1F1F1F"/>
          <w:sz w:val="24"/>
          <w:szCs w:val="24"/>
        </w:rPr>
        <w:t>Anticipatory thinking (or future thinking)</w:t>
      </w:r>
    </w:p>
    <w:p w14:paraId="462E7CCB" w14:textId="77777777" w:rsidR="00905C61" w:rsidRPr="00AB6BEA" w:rsidRDefault="00905C61" w:rsidP="00905C61">
      <w:pPr>
        <w:numPr>
          <w:ilvl w:val="0"/>
          <w:numId w:val="2"/>
        </w:numPr>
        <w:spacing w:after="150"/>
        <w:rPr>
          <w:rFonts w:eastAsia="Times New Roman" w:cs="Arial"/>
          <w:color w:val="1F1F1F"/>
          <w:sz w:val="24"/>
          <w:szCs w:val="24"/>
        </w:rPr>
      </w:pPr>
      <w:r w:rsidRPr="00AB6BEA">
        <w:rPr>
          <w:rFonts w:eastAsia="Times New Roman" w:cs="Arial"/>
          <w:color w:val="1F1F1F"/>
          <w:sz w:val="24"/>
          <w:szCs w:val="24"/>
        </w:rPr>
        <w:t>Normative competency</w:t>
      </w:r>
    </w:p>
    <w:p w14:paraId="00764F44" w14:textId="77777777" w:rsidR="00905C61" w:rsidRPr="00AB6BEA" w:rsidRDefault="00905C61" w:rsidP="00905C61">
      <w:pPr>
        <w:numPr>
          <w:ilvl w:val="0"/>
          <w:numId w:val="2"/>
        </w:numPr>
        <w:spacing w:after="150"/>
        <w:rPr>
          <w:rFonts w:eastAsia="Times New Roman" w:cs="Arial"/>
          <w:color w:val="1F1F1F"/>
          <w:sz w:val="24"/>
          <w:szCs w:val="24"/>
        </w:rPr>
      </w:pPr>
      <w:r w:rsidRPr="00AB6BEA">
        <w:rPr>
          <w:rFonts w:eastAsia="Times New Roman" w:cs="Arial"/>
          <w:color w:val="1F1F1F"/>
          <w:sz w:val="24"/>
          <w:szCs w:val="24"/>
        </w:rPr>
        <w:t>Strategic thinking</w:t>
      </w:r>
    </w:p>
    <w:p w14:paraId="55CB9D2C" w14:textId="77777777" w:rsidR="00905C61" w:rsidRPr="00AB6BEA" w:rsidRDefault="00905C61" w:rsidP="00905C61">
      <w:pPr>
        <w:numPr>
          <w:ilvl w:val="0"/>
          <w:numId w:val="2"/>
        </w:numPr>
        <w:spacing w:after="150"/>
        <w:rPr>
          <w:rFonts w:eastAsia="Times New Roman" w:cs="Arial"/>
          <w:color w:val="1F1F1F"/>
          <w:sz w:val="24"/>
          <w:szCs w:val="24"/>
        </w:rPr>
      </w:pPr>
      <w:r w:rsidRPr="00AB6BEA">
        <w:rPr>
          <w:rFonts w:eastAsia="Times New Roman" w:cs="Arial"/>
          <w:color w:val="1F1F1F"/>
          <w:sz w:val="24"/>
          <w:szCs w:val="24"/>
        </w:rPr>
        <w:t>Collaborative competency</w:t>
      </w:r>
    </w:p>
    <w:p w14:paraId="7F598709" w14:textId="77777777" w:rsidR="00905C61" w:rsidRPr="00AB6BEA" w:rsidRDefault="00905C61" w:rsidP="00905C61">
      <w:pPr>
        <w:numPr>
          <w:ilvl w:val="0"/>
          <w:numId w:val="2"/>
        </w:numPr>
        <w:spacing w:after="150"/>
        <w:rPr>
          <w:rFonts w:eastAsia="Times New Roman" w:cs="Arial"/>
          <w:color w:val="1F1F1F"/>
          <w:sz w:val="24"/>
          <w:szCs w:val="24"/>
        </w:rPr>
      </w:pPr>
      <w:r w:rsidRPr="00AB6BEA">
        <w:rPr>
          <w:rFonts w:eastAsia="Times New Roman" w:cs="Arial"/>
          <w:color w:val="1F1F1F"/>
          <w:sz w:val="24"/>
          <w:szCs w:val="24"/>
        </w:rPr>
        <w:t>Critical thinking</w:t>
      </w:r>
    </w:p>
    <w:p w14:paraId="289E58B6" w14:textId="77777777" w:rsidR="00905C61" w:rsidRPr="00AB6BEA" w:rsidRDefault="00905C61" w:rsidP="00905C61">
      <w:pPr>
        <w:numPr>
          <w:ilvl w:val="0"/>
          <w:numId w:val="2"/>
        </w:numPr>
        <w:spacing w:after="150"/>
        <w:rPr>
          <w:rFonts w:eastAsia="Times New Roman" w:cs="Arial"/>
          <w:color w:val="1F1F1F"/>
          <w:sz w:val="24"/>
          <w:szCs w:val="24"/>
        </w:rPr>
      </w:pPr>
      <w:r w:rsidRPr="00AB6BEA">
        <w:rPr>
          <w:rFonts w:eastAsia="Times New Roman" w:cs="Arial"/>
          <w:color w:val="1F1F1F"/>
          <w:sz w:val="24"/>
          <w:szCs w:val="24"/>
        </w:rPr>
        <w:t>Self-awareness</w:t>
      </w:r>
    </w:p>
    <w:p w14:paraId="5DBDFBEE" w14:textId="77777777" w:rsidR="00905C61" w:rsidRPr="00AB6BEA" w:rsidRDefault="00905C61" w:rsidP="00905C61">
      <w:pPr>
        <w:numPr>
          <w:ilvl w:val="0"/>
          <w:numId w:val="2"/>
        </w:numPr>
        <w:rPr>
          <w:rFonts w:eastAsia="Times New Roman" w:cs="Arial"/>
          <w:color w:val="1F1F1F"/>
          <w:sz w:val="24"/>
          <w:szCs w:val="24"/>
        </w:rPr>
      </w:pPr>
      <w:r w:rsidRPr="00AB6BEA">
        <w:rPr>
          <w:rFonts w:eastAsia="Times New Roman" w:cs="Arial"/>
          <w:color w:val="1F1F1F"/>
          <w:sz w:val="24"/>
          <w:szCs w:val="24"/>
          <w:bdr w:val="none" w:sz="0" w:space="0" w:color="auto" w:frame="1"/>
        </w:rPr>
        <w:t xml:space="preserve">Integrated problem-solving </w:t>
      </w:r>
    </w:p>
    <w:p w14:paraId="5C76D40B" w14:textId="77777777" w:rsidR="00905C61" w:rsidRDefault="00905C61" w:rsidP="00905C61">
      <w:pPr>
        <w:rPr>
          <w:rFonts w:eastAsia="Times New Roman" w:cs="Arial"/>
          <w:color w:val="1F1F1F"/>
          <w:sz w:val="24"/>
          <w:szCs w:val="24"/>
          <w:bdr w:val="none" w:sz="0" w:space="0" w:color="auto" w:frame="1"/>
        </w:rPr>
      </w:pPr>
    </w:p>
    <w:p w14:paraId="55B18A21" w14:textId="77777777" w:rsidR="00905C61" w:rsidRDefault="00905C61" w:rsidP="00905C61">
      <w:pPr>
        <w:rPr>
          <w:rFonts w:eastAsia="Times New Roman" w:cs="Arial"/>
          <w:color w:val="1F1F1F"/>
          <w:sz w:val="24"/>
          <w:szCs w:val="24"/>
          <w:bdr w:val="none" w:sz="0" w:space="0" w:color="auto" w:frame="1"/>
        </w:rPr>
      </w:pPr>
      <w:r w:rsidRPr="00AB6BEA">
        <w:rPr>
          <w:rFonts w:eastAsia="Times New Roman" w:cs="Arial"/>
          <w:color w:val="1F1F1F"/>
          <w:sz w:val="24"/>
          <w:szCs w:val="24"/>
          <w:bdr w:val="none" w:sz="0" w:space="0" w:color="auto" w:frame="1"/>
        </w:rPr>
        <w:t>The guidance explicitly positions academics as "central to implementation," stating that their approaches to curriculum design, teaching, and assessment are the primary vehicles through which learners will acquire these key competencies. This places a direct responsibility on all teaching staff, irrespective of their discipline, to engage with this framework and reflect on how their own knowledge and skills can contribute to its delivery.</w:t>
      </w:r>
    </w:p>
    <w:p w14:paraId="170CEF8E" w14:textId="77777777" w:rsidR="00905C61" w:rsidRPr="00AB6BEA" w:rsidRDefault="00905C61" w:rsidP="00905C61">
      <w:pPr>
        <w:rPr>
          <w:rFonts w:eastAsia="Times New Roman" w:cs="Arial"/>
          <w:color w:val="1F1F1F"/>
          <w:sz w:val="24"/>
          <w:szCs w:val="24"/>
        </w:rPr>
      </w:pPr>
    </w:p>
    <w:p w14:paraId="664ECCB6" w14:textId="77777777" w:rsidR="00905C61" w:rsidRPr="00AB6BEA" w:rsidRDefault="00905C61" w:rsidP="00905C61">
      <w:pPr>
        <w:pStyle w:val="Heading2"/>
        <w:rPr>
          <w:b/>
          <w:bCs/>
        </w:rPr>
      </w:pPr>
      <w:bookmarkStart w:id="38" w:name="_Toc229750463"/>
      <w:r w:rsidRPr="00AB6BEA">
        <w:rPr>
          <w:b/>
          <w:bCs/>
        </w:rPr>
        <w:lastRenderedPageBreak/>
        <w:t>Section 2: The Disciplinary Identity of History in the UK Academy</w:t>
      </w:r>
      <w:bookmarkEnd w:id="38"/>
    </w:p>
    <w:p w14:paraId="78104FCF" w14:textId="77777777" w:rsidR="00905C61" w:rsidRPr="00AB6BEA" w:rsidRDefault="00905C61" w:rsidP="00905C61">
      <w:pPr>
        <w:spacing w:after="150"/>
        <w:rPr>
          <w:rFonts w:eastAsia="Times New Roman" w:cs="Arial"/>
          <w:color w:val="1F1F1F"/>
          <w:sz w:val="24"/>
          <w:szCs w:val="24"/>
        </w:rPr>
      </w:pPr>
      <w:r w:rsidRPr="00AB6BEA">
        <w:rPr>
          <w:rFonts w:eastAsia="Times New Roman" w:cs="Arial"/>
          <w:color w:val="1F1F1F"/>
          <w:sz w:val="24"/>
          <w:szCs w:val="24"/>
        </w:rPr>
        <w:t>To comprehend the range of responses from historians to the ESD mandate, it is essential first to establish the disciplinary identity of History as it is formally understood within the UK academy. This identity is not arbitrary; it is codified in the QAA's own Subject Benchmark Statement for History, which provides the professional and intellectual framework against which the "foreign" concepts of ESD are implicitly and explicitly judged.</w:t>
      </w:r>
    </w:p>
    <w:p w14:paraId="24D2B568" w14:textId="77777777" w:rsidR="00905C61" w:rsidRPr="00AB6BEA" w:rsidRDefault="00905C61" w:rsidP="00905C61">
      <w:pPr>
        <w:pStyle w:val="Heading3"/>
        <w:rPr>
          <w:b/>
          <w:bCs/>
        </w:rPr>
      </w:pPr>
      <w:bookmarkStart w:id="39" w:name="_Toc229750464"/>
      <w:r w:rsidRPr="00AB6BEA">
        <w:rPr>
          <w:b/>
          <w:bCs/>
        </w:rPr>
        <w:t>2.1 The QAA Subject Benchmark Statement: Defining the Discipline</w:t>
      </w:r>
      <w:bookmarkEnd w:id="39"/>
    </w:p>
    <w:p w14:paraId="42861E57" w14:textId="77777777" w:rsidR="00905C61" w:rsidRDefault="00905C61" w:rsidP="00905C61">
      <w:pPr>
        <w:rPr>
          <w:rFonts w:eastAsia="Times New Roman" w:cs="Arial"/>
          <w:color w:val="1F1F1F"/>
          <w:sz w:val="24"/>
          <w:szCs w:val="24"/>
          <w:bdr w:val="none" w:sz="0" w:space="0" w:color="auto" w:frame="1"/>
        </w:rPr>
      </w:pPr>
      <w:r w:rsidRPr="00AB6BEA">
        <w:rPr>
          <w:rFonts w:eastAsia="Times New Roman" w:cs="Arial"/>
          <w:color w:val="1F1F1F"/>
          <w:sz w:val="24"/>
          <w:szCs w:val="24"/>
          <w:bdr w:val="none" w:sz="0" w:space="0" w:color="auto" w:frame="1"/>
        </w:rPr>
        <w:t>The Subject Benchmark Statement serves as a crucial reference point, defining the "coherence and identity" of the discipline and setting out the standards expected of graduates. While it is designed to allow for flexibility in curriculum design and explicitly rejects the notion of a "national curriculum," it establishes the core principles and methodologies that are fundamental to a history degree in the UK.</w:t>
      </w:r>
    </w:p>
    <w:p w14:paraId="2E46B4FE" w14:textId="77777777" w:rsidR="00905C61" w:rsidRPr="00AB6BEA" w:rsidRDefault="00905C61" w:rsidP="00905C61">
      <w:pPr>
        <w:rPr>
          <w:rFonts w:eastAsia="Times New Roman" w:cs="Arial"/>
          <w:color w:val="1F1F1F"/>
          <w:sz w:val="24"/>
          <w:szCs w:val="24"/>
        </w:rPr>
      </w:pPr>
    </w:p>
    <w:p w14:paraId="699A2F64" w14:textId="77777777" w:rsidR="00905C61" w:rsidRDefault="00905C61" w:rsidP="00905C61">
      <w:pPr>
        <w:rPr>
          <w:rFonts w:eastAsia="Times New Roman" w:cs="Arial"/>
          <w:color w:val="1F1F1F"/>
          <w:sz w:val="24"/>
          <w:szCs w:val="24"/>
          <w:bdr w:val="none" w:sz="0" w:space="0" w:color="auto" w:frame="1"/>
        </w:rPr>
      </w:pPr>
      <w:r w:rsidRPr="00AB6BEA">
        <w:rPr>
          <w:rFonts w:eastAsia="Times New Roman" w:cs="Arial"/>
          <w:color w:val="1F1F1F"/>
          <w:sz w:val="24"/>
          <w:szCs w:val="24"/>
          <w:bdr w:val="none" w:sz="0" w:space="0" w:color="auto" w:frame="1"/>
        </w:rPr>
        <w:t>The nature of historical inquiry is defined as the "extensive and intensive study of the past," with a focus on examining change and continuity. A central pedagogical aim is to foster an appreciation for the "complexity and diversity of situations, events, and mentalities in the past". A cornerstone of the discipline is "respect for historical context" and the imperative to understand the "otherness" of the past—how people in different eras existed, acted, and thought within a context fundamentally different from our own. The discipline’s core methodologies are built upon the "robust, rigorous analysis of historical evidence," with a particular emphasis on the critical interpretation of primary sources. Pedagogically, this is delivered through a combination of lectures, small-group seminars that encourage discussion and debate, and a significant reliance on independent study, reading, and research.</w:t>
      </w:r>
    </w:p>
    <w:p w14:paraId="5B18F53B" w14:textId="77777777" w:rsidR="00905C61" w:rsidRPr="00AB6BEA" w:rsidRDefault="00905C61" w:rsidP="00905C61">
      <w:pPr>
        <w:rPr>
          <w:rFonts w:eastAsia="Times New Roman" w:cs="Arial"/>
          <w:color w:val="1F1F1F"/>
          <w:sz w:val="24"/>
          <w:szCs w:val="24"/>
        </w:rPr>
      </w:pPr>
    </w:p>
    <w:p w14:paraId="6784B378" w14:textId="77777777" w:rsidR="00905C61" w:rsidRPr="00AB6BEA" w:rsidRDefault="00905C61" w:rsidP="00905C61">
      <w:pPr>
        <w:rPr>
          <w:rFonts w:eastAsia="Times New Roman" w:cs="Arial"/>
          <w:color w:val="1F1F1F"/>
          <w:sz w:val="24"/>
          <w:szCs w:val="24"/>
          <w:bdr w:val="none" w:sz="0" w:space="0" w:color="auto" w:frame="1"/>
        </w:rPr>
      </w:pPr>
      <w:r w:rsidRPr="00AB6BEA">
        <w:rPr>
          <w:rFonts w:eastAsia="Times New Roman" w:cs="Arial"/>
          <w:color w:val="1F1F1F"/>
          <w:sz w:val="24"/>
          <w:szCs w:val="24"/>
          <w:bdr w:val="none" w:sz="0" w:space="0" w:color="auto" w:frame="1"/>
        </w:rPr>
        <w:t>The 2022 revision of the History Benchmark Statement is particularly noteworthy. The chair of the advisory group stated that "particular attention" was given to themes of Equality, Diversity, and Inclusion (EDI), employability, and, crucially, "education for sustainable development". However, while this phrase is included at a high level, the main body of the statement continues to overwhelmingly detail and prioritise the traditional historical methods of source analysis, argumentation, and contextualisation. This creates a significant ambiguity: is the inclusion of ESD a mandate for a fundamental shift in the discipline's methodology, or is it a pragmatic, top-level acknowledgement of a sector-wide trend? This ambiguity allows for a wide spectrum of interpretation and response from within the discipline.</w:t>
      </w:r>
    </w:p>
    <w:p w14:paraId="68E5F708" w14:textId="77777777" w:rsidR="00905C61" w:rsidRPr="00AB6BEA" w:rsidRDefault="00905C61" w:rsidP="00905C61">
      <w:pPr>
        <w:pStyle w:val="Heading3"/>
        <w:rPr>
          <w:b/>
          <w:bCs/>
        </w:rPr>
      </w:pPr>
      <w:bookmarkStart w:id="40" w:name="_Toc229750465"/>
      <w:r w:rsidRPr="00AB6BEA">
        <w:rPr>
          <w:b/>
          <w:bCs/>
        </w:rPr>
        <w:t>2.2 The Specter of Presentism: The Historian's Cardinal Sin</w:t>
      </w:r>
      <w:bookmarkEnd w:id="40"/>
    </w:p>
    <w:p w14:paraId="5942D216" w14:textId="77777777" w:rsidR="00905C61" w:rsidRDefault="00905C61" w:rsidP="00905C61">
      <w:pPr>
        <w:rPr>
          <w:rFonts w:eastAsia="Times New Roman" w:cs="Arial"/>
          <w:color w:val="1F1F1F"/>
          <w:sz w:val="24"/>
          <w:szCs w:val="24"/>
          <w:bdr w:val="none" w:sz="0" w:space="0" w:color="auto" w:frame="1"/>
        </w:rPr>
      </w:pPr>
      <w:r w:rsidRPr="00AB6BEA">
        <w:rPr>
          <w:rFonts w:eastAsia="Times New Roman" w:cs="Arial"/>
          <w:color w:val="1F1F1F"/>
          <w:sz w:val="24"/>
          <w:szCs w:val="24"/>
          <w:bdr w:val="none" w:sz="0" w:space="0" w:color="auto" w:frame="1"/>
        </w:rPr>
        <w:lastRenderedPageBreak/>
        <w:t>A defining feature of the professional identity of modern historians is a deep-seated suspicion of "presentism." The term is pejoratively defined as the anachronistic imposition of modern perspectives, values, and concerns onto the past. It is often deployed as a "slur" or "term of abuse" to critique work that is perceived as biased or distorted by contemporary preoccupations. This allergy to presentism is a direct legacy of the nineteenth-century professionalisation of history, which was founded on the positivist ideal of objectivity and the conviction that the past should be studied "for its own sake and not in order to advance other agendas". Within this tradition, anachronism is often regarded as the "most heinous sin of the historian".</w:t>
      </w:r>
    </w:p>
    <w:p w14:paraId="73826A35" w14:textId="77777777" w:rsidR="00905C61" w:rsidRPr="00AB6BEA" w:rsidRDefault="00905C61" w:rsidP="00905C61">
      <w:pPr>
        <w:rPr>
          <w:rFonts w:eastAsia="Times New Roman" w:cs="Arial"/>
          <w:color w:val="1F1F1F"/>
          <w:sz w:val="24"/>
          <w:szCs w:val="24"/>
        </w:rPr>
      </w:pPr>
    </w:p>
    <w:p w14:paraId="6D3179BF" w14:textId="77777777" w:rsidR="00905C61" w:rsidRDefault="00905C61" w:rsidP="00905C61">
      <w:pPr>
        <w:rPr>
          <w:rFonts w:eastAsia="Times New Roman" w:cs="Arial"/>
          <w:color w:val="1F1F1F"/>
          <w:sz w:val="24"/>
          <w:szCs w:val="24"/>
          <w:bdr w:val="none" w:sz="0" w:space="0" w:color="auto" w:frame="1"/>
        </w:rPr>
      </w:pPr>
      <w:r w:rsidRPr="00AB6BEA">
        <w:rPr>
          <w:rFonts w:eastAsia="Times New Roman" w:cs="Arial"/>
          <w:color w:val="1F1F1F"/>
          <w:sz w:val="24"/>
          <w:szCs w:val="24"/>
          <w:bdr w:val="none" w:sz="0" w:space="0" w:color="auto" w:frame="1"/>
        </w:rPr>
        <w:t>This traditional view has been subject to debate. Some scholars now distinguish between a "bad" presentism that distorts the past and a "good" or unavoidable presentism that uses the concerns of the present to motivate historical inquiry and aims not just for knowledge but for justice. This creates a fundamental tension between the "historicist," who seeks to understand the world as it was, and the "presentist," who seeks to use the past to change the world as it is. This fault line runs directly through the debate over ESD.</w:t>
      </w:r>
    </w:p>
    <w:p w14:paraId="1E189664" w14:textId="77777777" w:rsidR="00905C61" w:rsidRPr="00AB6BEA" w:rsidRDefault="00905C61" w:rsidP="00905C61">
      <w:pPr>
        <w:rPr>
          <w:rFonts w:eastAsia="Times New Roman" w:cs="Arial"/>
          <w:color w:val="1F1F1F"/>
          <w:sz w:val="24"/>
          <w:szCs w:val="24"/>
        </w:rPr>
      </w:pPr>
    </w:p>
    <w:p w14:paraId="304E3380" w14:textId="77777777" w:rsidR="00905C61" w:rsidRPr="00AB6BEA" w:rsidRDefault="00905C61" w:rsidP="00905C61">
      <w:pPr>
        <w:spacing w:after="150"/>
        <w:rPr>
          <w:rFonts w:eastAsia="Times New Roman" w:cs="Arial"/>
          <w:color w:val="1F1F1F"/>
          <w:sz w:val="24"/>
          <w:szCs w:val="24"/>
        </w:rPr>
      </w:pPr>
      <w:r w:rsidRPr="00AB6BEA">
        <w:rPr>
          <w:rFonts w:eastAsia="Times New Roman" w:cs="Arial"/>
          <w:color w:val="1F1F1F"/>
          <w:sz w:val="24"/>
          <w:szCs w:val="24"/>
        </w:rPr>
        <w:t>The QAA's dual role as the steward of both the History Benchmark Statement, with its implicit critique of presentism, and the ESD Guidance, with its explicitly future-facing and normative agenda, creates a structural conflict within the UK's quality assurance system. Historians can legitimately use one QAA-endorsed framework, which champions disciplinary integrity and respect for historical context, to critique another QAA-endorsed framework that they perceive as promoting anachronism and activism. The conflict is not merely between a discipline and an external policy, but a contradiction embedded within the policy-making body itself.</w:t>
      </w:r>
    </w:p>
    <w:p w14:paraId="431A7FAE" w14:textId="77777777" w:rsidR="00905C61" w:rsidRPr="00AB6BEA" w:rsidRDefault="00905C61" w:rsidP="00905C61">
      <w:pPr>
        <w:pStyle w:val="Heading3"/>
        <w:rPr>
          <w:b/>
          <w:bCs/>
        </w:rPr>
      </w:pPr>
      <w:bookmarkStart w:id="41" w:name="_Toc229750466"/>
      <w:r w:rsidRPr="00AB6BEA">
        <w:rPr>
          <w:b/>
          <w:bCs/>
        </w:rPr>
        <w:t>2.3 Professional Standards and Ethics</w:t>
      </w:r>
      <w:bookmarkEnd w:id="41"/>
    </w:p>
    <w:p w14:paraId="6AA1094E" w14:textId="77777777" w:rsidR="00905C61" w:rsidRDefault="00905C61" w:rsidP="00905C61">
      <w:pPr>
        <w:rPr>
          <w:rFonts w:eastAsia="Times New Roman" w:cs="Arial"/>
          <w:color w:val="1F1F1F"/>
          <w:sz w:val="24"/>
          <w:szCs w:val="24"/>
          <w:bdr w:val="none" w:sz="0" w:space="0" w:color="auto" w:frame="1"/>
        </w:rPr>
      </w:pPr>
      <w:r w:rsidRPr="00AB6BEA">
        <w:rPr>
          <w:rFonts w:eastAsia="Times New Roman" w:cs="Arial"/>
          <w:color w:val="1F1F1F"/>
          <w:sz w:val="24"/>
          <w:szCs w:val="24"/>
          <w:bdr w:val="none" w:sz="0" w:space="0" w:color="auto" w:frame="1"/>
        </w:rPr>
        <w:t>The professional conduct of historians is governed by principles that reinforce the discipline's core identity. Codes of conduct from bodies like the National Council on Public History and ethics procedures in university departments emphasize honesty, rigour, transparency, accountability, and the integrity of research. Historians are ethically bound to present evidence fairly and to adhere to strict protocols when dealing with sensitive materials or human subjects, such as in oral history. These standards reinforce a professional culture that values evidence-based inquiry and intellectual integrity above other considerations.</w:t>
      </w:r>
    </w:p>
    <w:p w14:paraId="3EEEE009" w14:textId="77777777" w:rsidR="00905C61" w:rsidRPr="00AB6BEA" w:rsidRDefault="00905C61" w:rsidP="00905C61">
      <w:pPr>
        <w:rPr>
          <w:rFonts w:eastAsia="Times New Roman" w:cs="Arial"/>
          <w:color w:val="1F1F1F"/>
          <w:sz w:val="24"/>
          <w:szCs w:val="24"/>
        </w:rPr>
      </w:pPr>
    </w:p>
    <w:p w14:paraId="6D1585EB" w14:textId="77777777" w:rsidR="00905C61" w:rsidRPr="00AB6BEA" w:rsidRDefault="00905C61" w:rsidP="00905C61">
      <w:pPr>
        <w:pStyle w:val="Heading2"/>
        <w:rPr>
          <w:b/>
          <w:bCs/>
        </w:rPr>
      </w:pPr>
      <w:bookmarkStart w:id="42" w:name="_Toc229750467"/>
      <w:r w:rsidRPr="00AB6BEA">
        <w:rPr>
          <w:b/>
          <w:bCs/>
        </w:rPr>
        <w:t>Section 3: A Spectrum of Perspectives: History Lecturers on Education for Sustainability</w:t>
      </w:r>
      <w:bookmarkEnd w:id="42"/>
    </w:p>
    <w:p w14:paraId="6DBF819A" w14:textId="77777777" w:rsidR="00905C61" w:rsidRPr="00AB6BEA" w:rsidRDefault="00905C61" w:rsidP="00905C61">
      <w:pPr>
        <w:spacing w:after="150"/>
        <w:rPr>
          <w:rFonts w:eastAsia="Times New Roman" w:cs="Arial"/>
          <w:color w:val="1F1F1F"/>
          <w:sz w:val="24"/>
          <w:szCs w:val="24"/>
        </w:rPr>
      </w:pPr>
      <w:r w:rsidRPr="00AB6BEA">
        <w:rPr>
          <w:rFonts w:eastAsia="Times New Roman" w:cs="Arial"/>
          <w:color w:val="1F1F1F"/>
          <w:sz w:val="24"/>
          <w:szCs w:val="24"/>
        </w:rPr>
        <w:lastRenderedPageBreak/>
        <w:t>Situated between the top-down mandate for ESD and the deep-rooted identity of their discipline, History lecturers in UK universities are likely to adopt a range of stances. These can be conceptualised as five archetypal perspectives, each representing a coherent worldview grounded in the principles and tensions previously established.</w:t>
      </w:r>
    </w:p>
    <w:p w14:paraId="66DBED19" w14:textId="77777777" w:rsidR="00905C61" w:rsidRPr="00AB6BEA" w:rsidRDefault="00905C61" w:rsidP="00905C61">
      <w:pPr>
        <w:pStyle w:val="Heading3"/>
        <w:rPr>
          <w:b/>
          <w:bCs/>
        </w:rPr>
      </w:pPr>
      <w:bookmarkStart w:id="43" w:name="_Toc229750468"/>
      <w:r w:rsidRPr="00AB6BEA">
        <w:rPr>
          <w:b/>
          <w:bCs/>
        </w:rPr>
        <w:t>3.1 The Disciplinary Purist (The Skeptic)</w:t>
      </w:r>
      <w:bookmarkEnd w:id="43"/>
    </w:p>
    <w:p w14:paraId="1E23D78A" w14:textId="77777777" w:rsidR="00905C61" w:rsidRPr="00AB6BEA" w:rsidRDefault="00905C61" w:rsidP="00905C61">
      <w:pPr>
        <w:spacing w:after="150"/>
        <w:rPr>
          <w:rFonts w:eastAsia="Times New Roman" w:cs="Arial"/>
          <w:color w:val="1F1F1F"/>
          <w:sz w:val="24"/>
          <w:szCs w:val="24"/>
        </w:rPr>
      </w:pPr>
      <w:r w:rsidRPr="00AB6BEA">
        <w:rPr>
          <w:rFonts w:eastAsia="Times New Roman" w:cs="Arial"/>
          <w:color w:val="1F1F1F"/>
          <w:sz w:val="24"/>
          <w:szCs w:val="24"/>
        </w:rPr>
        <w:t>This perspective views ESD as a fundamentally ideological imposition that corrupts the core purpose of historical inquiry. For the Purist, ESD represents a dangerous form of "bad" presentism that threatens the integrity of the discipline.</w:t>
      </w:r>
    </w:p>
    <w:p w14:paraId="60107B7C" w14:textId="77777777" w:rsidR="00905C61" w:rsidRPr="00AB6BEA" w:rsidRDefault="00905C61" w:rsidP="00905C61">
      <w:pPr>
        <w:rPr>
          <w:rFonts w:eastAsia="Times New Roman" w:cs="Arial"/>
          <w:color w:val="1F1F1F"/>
          <w:sz w:val="24"/>
          <w:szCs w:val="24"/>
          <w:bdr w:val="none" w:sz="0" w:space="0" w:color="auto" w:frame="1"/>
        </w:rPr>
      </w:pPr>
      <w:r w:rsidRPr="00AB6BEA">
        <w:rPr>
          <w:rFonts w:eastAsia="Times New Roman" w:cs="Arial"/>
          <w:color w:val="1F1F1F"/>
          <w:sz w:val="24"/>
          <w:szCs w:val="24"/>
          <w:bdr w:val="none" w:sz="0" w:space="0" w:color="auto" w:frame="1"/>
        </w:rPr>
        <w:t xml:space="preserve">The reasoning is rooted in a defence of the historian's primary professional obligations. ESD's explicit focus on equipping students to solve present and future problems is seen as a direct violation of the principle of understanding the past in its own context and respecting its "otherness". It encourages students to judge historical actors and societies by the standards of twenty-first-century sustainability goals, an approach the Purist sees as the very definition of anachronistic distortion. Furthermore, the call within the ESD framework for students to develop "normative competency" and "agency for a sustainable future" is perceived as a direct assault on scholarly objectivity. It contravenes the professional commitment to detached, evidence-based analysis and the ideal of studying the past for its own sake, not to "advance other agendas". From this viewpoint, ESD instrumentalises history, reducing its complex and multifaceted nature to a simple repository of cautionary tales for the present. The Purist aligns with the "historicist" goal of seeking </w:t>
      </w:r>
      <w:proofErr w:type="gramStart"/>
      <w:r w:rsidRPr="00AB6BEA">
        <w:rPr>
          <w:rFonts w:eastAsia="Times New Roman" w:cs="Arial"/>
          <w:color w:val="1F1F1F"/>
          <w:sz w:val="24"/>
          <w:szCs w:val="24"/>
          <w:bdr w:val="none" w:sz="0" w:space="0" w:color="auto" w:frame="1"/>
        </w:rPr>
        <w:t>knowledge, and</w:t>
      </w:r>
      <w:proofErr w:type="gramEnd"/>
      <w:r w:rsidRPr="00AB6BEA">
        <w:rPr>
          <w:rFonts w:eastAsia="Times New Roman" w:cs="Arial"/>
          <w:color w:val="1F1F1F"/>
          <w:sz w:val="24"/>
          <w:szCs w:val="24"/>
          <w:bdr w:val="none" w:sz="0" w:space="0" w:color="auto" w:frame="1"/>
        </w:rPr>
        <w:t xml:space="preserve"> rejects the "presentist" goal of pursuing justice or political change through their teaching. Finally, the generic competency framework of ESD is often viewed as a form of pedagogical jargon, alien to the discipline, which risks creating a "national curriculum" by stealth and constraining the academic freedom that historians value.</w:t>
      </w:r>
    </w:p>
    <w:p w14:paraId="735E2048" w14:textId="77777777" w:rsidR="00905C61" w:rsidRPr="00AB6BEA" w:rsidRDefault="00905C61" w:rsidP="00905C61">
      <w:pPr>
        <w:pStyle w:val="Heading3"/>
        <w:rPr>
          <w:b/>
          <w:bCs/>
        </w:rPr>
      </w:pPr>
      <w:bookmarkStart w:id="44" w:name="_Toc229750469"/>
      <w:r w:rsidRPr="00AB6BEA">
        <w:rPr>
          <w:b/>
          <w:bCs/>
        </w:rPr>
        <w:t>3.2 The Pragmatic Accommodator (The Compliant)</w:t>
      </w:r>
      <w:bookmarkEnd w:id="44"/>
    </w:p>
    <w:p w14:paraId="7D095AFF" w14:textId="77777777" w:rsidR="00905C61" w:rsidRPr="00AB6BEA" w:rsidRDefault="00905C61" w:rsidP="00905C61">
      <w:pPr>
        <w:spacing w:after="150"/>
        <w:rPr>
          <w:rFonts w:eastAsia="Times New Roman" w:cs="Arial"/>
          <w:color w:val="1F1F1F"/>
          <w:sz w:val="24"/>
          <w:szCs w:val="24"/>
        </w:rPr>
      </w:pPr>
      <w:r w:rsidRPr="00AB6BEA">
        <w:rPr>
          <w:rFonts w:eastAsia="Times New Roman" w:cs="Arial"/>
          <w:color w:val="1F1F1F"/>
          <w:sz w:val="24"/>
          <w:szCs w:val="24"/>
        </w:rPr>
        <w:t>The Pragmatic Accommodator approaches ESD not as an intellectual movement to be embraced or rejected, but as an institutional reality that must be navigated for professional and strategic reasons. This perspective is driven by an awareness of the managerial and quality assurance frameworks within which modern universities operate.</w:t>
      </w:r>
    </w:p>
    <w:p w14:paraId="6AF4D79A" w14:textId="77777777" w:rsidR="00905C61" w:rsidRPr="00AB6BEA" w:rsidRDefault="00905C61" w:rsidP="00905C61">
      <w:pPr>
        <w:rPr>
          <w:rFonts w:eastAsia="Times New Roman" w:cs="Arial"/>
          <w:color w:val="1F1F1F"/>
          <w:sz w:val="24"/>
          <w:szCs w:val="24"/>
          <w:bdr w:val="none" w:sz="0" w:space="0" w:color="auto" w:frame="1"/>
        </w:rPr>
      </w:pPr>
      <w:r w:rsidRPr="00AB6BEA">
        <w:rPr>
          <w:rFonts w:eastAsia="Times New Roman" w:cs="Arial"/>
          <w:color w:val="1F1F1F"/>
          <w:sz w:val="24"/>
          <w:szCs w:val="24"/>
          <w:bdr w:val="none" w:sz="0" w:space="0" w:color="auto" w:frame="1"/>
        </w:rPr>
        <w:t xml:space="preserve">The Accommodator acknowledges that ESD is now an explicit part of the QAA's remit and is being written into institutional quality codes and strategic plans. Compliance is therefore understood as a necessary condition for successful course validation, review, and departmental standing. This lecturer is also acutely aware of the dual meaning of "sustainability" in higher education. They recognise that their department's </w:t>
      </w:r>
      <w:r w:rsidRPr="00AB6BEA">
        <w:rPr>
          <w:rFonts w:eastAsia="Times New Roman" w:cs="Arial"/>
          <w:i/>
          <w:iCs/>
          <w:color w:val="1F1F1F"/>
          <w:sz w:val="24"/>
          <w:szCs w:val="24"/>
          <w:bdr w:val="none" w:sz="0" w:space="0" w:color="auto" w:frame="1"/>
        </w:rPr>
        <w:t>financial</w:t>
      </w:r>
      <w:r w:rsidRPr="00AB6BEA">
        <w:rPr>
          <w:rFonts w:eastAsia="Times New Roman" w:cs="Arial"/>
          <w:color w:val="1F1F1F"/>
          <w:sz w:val="24"/>
          <w:szCs w:val="24"/>
          <w:bdr w:val="none" w:sz="0" w:space="0" w:color="auto" w:frame="1"/>
        </w:rPr>
        <w:t xml:space="preserve"> sustainability may depend on its ability to demonstrate alignment with university-wide initiatives like ESD, which are increasingly used in student recruitment and institutional branding. The path of least resistance is to engage in a mapping exercise. Existing module content is reframed to align with ESD terminology. A course on the Industrial Revolution, for instance, can be described in the module guide as exploring the </w:t>
      </w:r>
      <w:r w:rsidRPr="00AB6BEA">
        <w:rPr>
          <w:rFonts w:eastAsia="Times New Roman" w:cs="Arial"/>
          <w:color w:val="1F1F1F"/>
          <w:sz w:val="24"/>
          <w:szCs w:val="24"/>
          <w:bdr w:val="none" w:sz="0" w:space="0" w:color="auto" w:frame="1"/>
        </w:rPr>
        <w:lastRenderedPageBreak/>
        <w:t>historical roots of unsustainable production. The analytical and debating skills developed in a seminar can be mapped directly onto ESD competencies like "critical thinking" or "collaborative competency". This approach requires minimal change to the actual content or pedagogy of the course, focusing instead on a re-articulation of learning outcomes to satisfy external requirements.</w:t>
      </w:r>
    </w:p>
    <w:p w14:paraId="4E002F99" w14:textId="77777777" w:rsidR="00905C61" w:rsidRPr="00AB6BEA" w:rsidRDefault="00905C61" w:rsidP="00905C61">
      <w:pPr>
        <w:pStyle w:val="Heading3"/>
        <w:rPr>
          <w:b/>
          <w:bCs/>
        </w:rPr>
      </w:pPr>
      <w:bookmarkStart w:id="45" w:name="_Toc229750470"/>
      <w:r w:rsidRPr="00AB6BEA">
        <w:rPr>
          <w:b/>
          <w:bCs/>
        </w:rPr>
        <w:t>3.3 The Cautious Integrator (The Engaged)</w:t>
      </w:r>
      <w:bookmarkEnd w:id="45"/>
    </w:p>
    <w:p w14:paraId="782ED5C6" w14:textId="77777777" w:rsidR="00905C61" w:rsidRDefault="00905C61" w:rsidP="00905C61">
      <w:pPr>
        <w:rPr>
          <w:rFonts w:eastAsia="Times New Roman" w:cs="Arial"/>
          <w:color w:val="1F1F1F"/>
          <w:sz w:val="24"/>
          <w:szCs w:val="24"/>
          <w:bdr w:val="none" w:sz="0" w:space="0" w:color="auto" w:frame="1"/>
        </w:rPr>
      </w:pPr>
      <w:r w:rsidRPr="00AB6BEA">
        <w:rPr>
          <w:rFonts w:eastAsia="Times New Roman" w:cs="Arial"/>
          <w:color w:val="1F1F1F"/>
          <w:sz w:val="24"/>
          <w:szCs w:val="24"/>
          <w:bdr w:val="none" w:sz="0" w:space="0" w:color="auto" w:frame="1"/>
        </w:rPr>
        <w:t>This lecturer believes that themes related to sustainability can offer new and intellectually stimulating avenues for historical inquiry, but only if they are approached with disciplinary rigour and are "authentic to the discipline". The Cautious Integrator rejects a superficial, "bolt-on" approach, seeking instead to integrate ESD themes where they arise organically from the historical evidence.</w:t>
      </w:r>
    </w:p>
    <w:p w14:paraId="37CBFAED" w14:textId="77777777" w:rsidR="00905C61" w:rsidRPr="00AB6BEA" w:rsidRDefault="00905C61" w:rsidP="00905C61">
      <w:pPr>
        <w:rPr>
          <w:rFonts w:eastAsia="Times New Roman" w:cs="Arial"/>
          <w:color w:val="1F1F1F"/>
          <w:sz w:val="24"/>
          <w:szCs w:val="24"/>
        </w:rPr>
      </w:pPr>
    </w:p>
    <w:p w14:paraId="27662274" w14:textId="77777777" w:rsidR="00905C61" w:rsidRPr="00AB6BEA" w:rsidRDefault="00905C61" w:rsidP="00905C61">
      <w:pPr>
        <w:rPr>
          <w:rFonts w:eastAsia="Times New Roman" w:cs="Arial"/>
          <w:color w:val="1F1F1F"/>
          <w:sz w:val="24"/>
          <w:szCs w:val="24"/>
          <w:bdr w:val="none" w:sz="0" w:space="0" w:color="auto" w:frame="1"/>
        </w:rPr>
      </w:pPr>
      <w:r w:rsidRPr="00AB6BEA">
        <w:rPr>
          <w:rFonts w:eastAsia="Times New Roman" w:cs="Arial"/>
          <w:color w:val="1F1F1F"/>
          <w:sz w:val="24"/>
          <w:szCs w:val="24"/>
          <w:bdr w:val="none" w:sz="0" w:space="0" w:color="auto" w:frame="1"/>
        </w:rPr>
        <w:t xml:space="preserve">For this historian, the goal is not to use history to solve today's problems, but to historicise the very concepts of sustainability. A course on the British Empire might be an ideal place to explore the history of resource extraction, the environmental consequences of colonial policies, or the clash between imperial and indigenous land management systems. This approach uses themes from the sustainability discourse to ask new and more nuanced </w:t>
      </w:r>
      <w:r w:rsidRPr="00AB6BEA">
        <w:rPr>
          <w:rFonts w:eastAsia="Times New Roman" w:cs="Arial"/>
          <w:i/>
          <w:iCs/>
          <w:color w:val="1F1F1F"/>
          <w:sz w:val="24"/>
          <w:szCs w:val="24"/>
          <w:bdr w:val="none" w:sz="0" w:space="0" w:color="auto" w:frame="1"/>
        </w:rPr>
        <w:t>historical</w:t>
      </w:r>
      <w:r w:rsidRPr="00AB6BEA">
        <w:rPr>
          <w:rFonts w:eastAsia="Times New Roman" w:cs="Arial"/>
          <w:color w:val="1F1F1F"/>
          <w:sz w:val="24"/>
          <w:szCs w:val="24"/>
          <w:bdr w:val="none" w:sz="0" w:space="0" w:color="auto" w:frame="1"/>
        </w:rPr>
        <w:t xml:space="preserve"> questions, thereby maintaining disciplinary integrity. The Integrator also sees a powerful synergy between traditional historical skills and the ESD competency framework. The historian's craft of sifting through biased, incomplete, and contradictory primary sources is a masterclass in "critical thinking". The analysis of the complex interplay of political, economic, and social factors in any major historical event is a profound exercise in "systems thinking". While engaging with these topics, the Cautious Integrator would remain vigilant about maintaining critical distance, insisting on contextualising past actions and values to avoid simplistic moral judgments and navigate the fine line between engaged scholarship and distorting presentism.</w:t>
      </w:r>
    </w:p>
    <w:p w14:paraId="14447324" w14:textId="77777777" w:rsidR="00905C61" w:rsidRPr="00AB6BEA" w:rsidRDefault="00905C61" w:rsidP="00905C61">
      <w:pPr>
        <w:pStyle w:val="Heading3"/>
        <w:rPr>
          <w:b/>
          <w:bCs/>
        </w:rPr>
      </w:pPr>
      <w:bookmarkStart w:id="46" w:name="_Toc229750471"/>
      <w:r w:rsidRPr="00AB6BEA">
        <w:rPr>
          <w:b/>
          <w:bCs/>
        </w:rPr>
        <w:t>3.4 The Environmental Historian (The Specialist)</w:t>
      </w:r>
      <w:bookmarkEnd w:id="46"/>
    </w:p>
    <w:p w14:paraId="2101EBFF" w14:textId="77777777" w:rsidR="00905C61" w:rsidRPr="00AB6BEA" w:rsidRDefault="00905C61" w:rsidP="00905C61">
      <w:pPr>
        <w:spacing w:after="150"/>
        <w:rPr>
          <w:rFonts w:eastAsia="Times New Roman" w:cs="Arial"/>
          <w:color w:val="1F1F1F"/>
          <w:sz w:val="24"/>
          <w:szCs w:val="24"/>
        </w:rPr>
      </w:pPr>
      <w:r w:rsidRPr="00AB6BEA">
        <w:rPr>
          <w:rFonts w:eastAsia="Times New Roman" w:cs="Arial"/>
          <w:color w:val="1F1F1F"/>
          <w:sz w:val="24"/>
          <w:szCs w:val="24"/>
        </w:rPr>
        <w:t>For the Environmental Historian, the institutional push for ESD is not an imposition but a welcome validation of a sub-discipline that is already deeply engaged with these issues. This perspective sees ESD as providing a valuable common framework and institutional legitimacy for their existing work.</w:t>
      </w:r>
    </w:p>
    <w:p w14:paraId="61C746CA" w14:textId="77777777" w:rsidR="00905C61" w:rsidRPr="00AB6BEA" w:rsidRDefault="00905C61" w:rsidP="00905C61">
      <w:pPr>
        <w:rPr>
          <w:rFonts w:eastAsia="Times New Roman" w:cs="Arial"/>
          <w:color w:val="1F1F1F"/>
          <w:sz w:val="24"/>
          <w:szCs w:val="24"/>
          <w:bdr w:val="none" w:sz="0" w:space="0" w:color="auto" w:frame="1"/>
        </w:rPr>
      </w:pPr>
      <w:r w:rsidRPr="00AB6BEA">
        <w:rPr>
          <w:rFonts w:eastAsia="Times New Roman" w:cs="Arial"/>
          <w:color w:val="1F1F1F"/>
          <w:sz w:val="24"/>
          <w:szCs w:val="24"/>
          <w:bdr w:val="none" w:sz="0" w:space="0" w:color="auto" w:frame="1"/>
        </w:rPr>
        <w:t xml:space="preserve">The alignment is natural and obvious. Environmental History, which focuses on the interactions between human societies and the non-human world, is inherently concerned with the core themes of ESD. Research centres and modules dedicated to this field already exist across the UK, exploring topics from historical climatology to the environmental impact of empires. The field is also already profoundly interdisciplinary, frequently drawing on methodologies from geography, archaeology, climatology, and the life sciences. The cross-disciplinary nature of ESD therefore </w:t>
      </w:r>
      <w:r w:rsidRPr="00AB6BEA">
        <w:rPr>
          <w:rFonts w:eastAsia="Times New Roman" w:cs="Arial"/>
          <w:color w:val="1F1F1F"/>
          <w:sz w:val="24"/>
          <w:szCs w:val="24"/>
          <w:bdr w:val="none" w:sz="0" w:space="0" w:color="auto" w:frame="1"/>
        </w:rPr>
        <w:lastRenderedPageBreak/>
        <w:t xml:space="preserve">feels familiar and productive, rather than alien or threatening. The institutional mandate for ESD is seen as an opportunity. It can bring increased visibility, new resources for teaching and research, and possibilities for inter-faculty collaboration with departments like Geography or Environmental Science. This lecturer is perfectly positioned to act as a bridge between the broader discipline of History and the university's sustainability agenda, often leading the development of new curricula, such as the joint </w:t>
      </w:r>
      <w:proofErr w:type="gramStart"/>
      <w:r w:rsidRPr="00AB6BEA">
        <w:rPr>
          <w:rFonts w:eastAsia="Times New Roman" w:cs="Arial"/>
          <w:color w:val="1F1F1F"/>
          <w:sz w:val="24"/>
          <w:szCs w:val="24"/>
          <w:bdr w:val="none" w:sz="0" w:space="0" w:color="auto" w:frame="1"/>
        </w:rPr>
        <w:t>honours</w:t>
      </w:r>
      <w:proofErr w:type="gramEnd"/>
      <w:r w:rsidRPr="00AB6BEA">
        <w:rPr>
          <w:rFonts w:eastAsia="Times New Roman" w:cs="Arial"/>
          <w:color w:val="1F1F1F"/>
          <w:sz w:val="24"/>
          <w:szCs w:val="24"/>
          <w:bdr w:val="none" w:sz="0" w:space="0" w:color="auto" w:frame="1"/>
        </w:rPr>
        <w:t xml:space="preserve"> degree in History and Global Sustainable Development offered at the University of Warwick.</w:t>
      </w:r>
    </w:p>
    <w:p w14:paraId="34F39338" w14:textId="77777777" w:rsidR="00905C61" w:rsidRPr="00AB6BEA" w:rsidRDefault="00905C61" w:rsidP="00905C61">
      <w:pPr>
        <w:pStyle w:val="Heading3"/>
        <w:rPr>
          <w:b/>
          <w:bCs/>
        </w:rPr>
      </w:pPr>
      <w:bookmarkStart w:id="47" w:name="_Toc229750472"/>
      <w:r w:rsidRPr="00AB6BEA">
        <w:rPr>
          <w:b/>
          <w:bCs/>
        </w:rPr>
        <w:t>3.5 The Public Historian / Activist Scholar (The Advocate)</w:t>
      </w:r>
      <w:bookmarkEnd w:id="47"/>
    </w:p>
    <w:p w14:paraId="7F638B07" w14:textId="77777777" w:rsidR="00905C61" w:rsidRPr="00AB6BEA" w:rsidRDefault="00905C61" w:rsidP="00905C61">
      <w:pPr>
        <w:spacing w:after="150"/>
        <w:rPr>
          <w:rFonts w:eastAsia="Times New Roman" w:cs="Arial"/>
          <w:color w:val="1F1F1F"/>
          <w:sz w:val="24"/>
          <w:szCs w:val="24"/>
        </w:rPr>
      </w:pPr>
      <w:r w:rsidRPr="00AB6BEA">
        <w:rPr>
          <w:rFonts w:eastAsia="Times New Roman" w:cs="Arial"/>
          <w:color w:val="1F1F1F"/>
          <w:sz w:val="24"/>
          <w:szCs w:val="24"/>
        </w:rPr>
        <w:t>This perspective asserts that the discipline of History has a moral and civic responsibility to contribute to solving the world's most pressing challenges. For the Advocate, ESD provides an essential and welcome framework for fulfilling this public duty.</w:t>
      </w:r>
    </w:p>
    <w:p w14:paraId="28D99AE2" w14:textId="77777777" w:rsidR="00905C61" w:rsidRDefault="00905C61" w:rsidP="00905C61">
      <w:pPr>
        <w:rPr>
          <w:rFonts w:eastAsia="Times New Roman" w:cs="Arial"/>
          <w:color w:val="1F1F1F"/>
          <w:sz w:val="24"/>
          <w:szCs w:val="24"/>
          <w:bdr w:val="none" w:sz="0" w:space="0" w:color="auto" w:frame="1"/>
        </w:rPr>
      </w:pPr>
      <w:r w:rsidRPr="00AB6BEA">
        <w:rPr>
          <w:rFonts w:eastAsia="Times New Roman" w:cs="Arial"/>
          <w:color w:val="1F1F1F"/>
          <w:sz w:val="24"/>
          <w:szCs w:val="24"/>
          <w:bdr w:val="none" w:sz="0" w:space="0" w:color="auto" w:frame="1"/>
        </w:rPr>
        <w:t xml:space="preserve">This view explicitly embraces a form of "good presentism," arguing that the </w:t>
      </w:r>
      <w:proofErr w:type="gramStart"/>
      <w:r w:rsidRPr="00AB6BEA">
        <w:rPr>
          <w:rFonts w:eastAsia="Times New Roman" w:cs="Arial"/>
          <w:color w:val="1F1F1F"/>
          <w:sz w:val="24"/>
          <w:szCs w:val="24"/>
          <w:bdr w:val="none" w:sz="0" w:space="0" w:color="auto" w:frame="1"/>
        </w:rPr>
        <w:t>ultimate goal</w:t>
      </w:r>
      <w:proofErr w:type="gramEnd"/>
      <w:r w:rsidRPr="00AB6BEA">
        <w:rPr>
          <w:rFonts w:eastAsia="Times New Roman" w:cs="Arial"/>
          <w:color w:val="1F1F1F"/>
          <w:sz w:val="24"/>
          <w:szCs w:val="24"/>
          <w:bdr w:val="none" w:sz="0" w:space="0" w:color="auto" w:frame="1"/>
        </w:rPr>
        <w:t xml:space="preserve"> of historical study should be not just knowledge, but also justice and positive societal change. The Advocate believes that a deep historical understanding of the roots of current crises—such as climate change, global inequality, or social injustice—is indispensable for informing effective future action. They align enthusiastically with ESD's "educational change agenda" and its goal of fostering student agency. The aim is to empower students to use their historical knowledge to become active, critical, and engaged citizens who can contribute to building a better world. This perspective is often linked to the field of public history, which emphasizes the historian's responsibility to engage with and serve communities beyond the academy. The focus within ESD on community engagement and addressing real-world problems is therefore a natural fit. Finally, the Advocate argues that for the discipline of History to remain relevant and valued in the twenty-first century, it </w:t>
      </w:r>
      <w:r w:rsidRPr="00AB6BEA">
        <w:rPr>
          <w:rFonts w:eastAsia="Times New Roman" w:cs="Arial"/>
          <w:i/>
          <w:iCs/>
          <w:color w:val="1F1F1F"/>
          <w:sz w:val="24"/>
          <w:szCs w:val="24"/>
          <w:bdr w:val="none" w:sz="0" w:space="0" w:color="auto" w:frame="1"/>
        </w:rPr>
        <w:t>must</w:t>
      </w:r>
      <w:r w:rsidRPr="00AB6BEA">
        <w:rPr>
          <w:rFonts w:eastAsia="Times New Roman" w:cs="Arial"/>
          <w:color w:val="1F1F1F"/>
          <w:sz w:val="24"/>
          <w:szCs w:val="24"/>
          <w:bdr w:val="none" w:sz="0" w:space="0" w:color="auto" w:frame="1"/>
        </w:rPr>
        <w:t xml:space="preserve"> demonstrate its direct applicability to contemporary issues. Engaging with ESD is thus not only a moral imperative but also a pragmatic strategy for ensuring the discipline's continued vitality.</w:t>
      </w:r>
    </w:p>
    <w:p w14:paraId="3F179603" w14:textId="77777777" w:rsidR="00905C61" w:rsidRPr="00AB6BEA" w:rsidRDefault="00905C61" w:rsidP="00905C61">
      <w:pPr>
        <w:rPr>
          <w:rFonts w:eastAsia="Times New Roman" w:cs="Arial"/>
          <w:color w:val="1F1F1F"/>
          <w:sz w:val="24"/>
          <w:szCs w:val="24"/>
        </w:rPr>
      </w:pPr>
    </w:p>
    <w:p w14:paraId="06E2B6A1" w14:textId="77777777" w:rsidR="00905C61" w:rsidRPr="00AB6BEA" w:rsidRDefault="00905C61" w:rsidP="00905C61">
      <w:pPr>
        <w:pStyle w:val="Heading2"/>
        <w:rPr>
          <w:b/>
          <w:bCs/>
        </w:rPr>
      </w:pPr>
      <w:bookmarkStart w:id="48" w:name="_Toc229750473"/>
      <w:r w:rsidRPr="00AB6BEA">
        <w:rPr>
          <w:b/>
          <w:bCs/>
        </w:rPr>
        <w:t>Section 4: Analysis of Core Tensions and Synergies</w:t>
      </w:r>
      <w:bookmarkEnd w:id="48"/>
    </w:p>
    <w:p w14:paraId="4284E12E" w14:textId="77777777" w:rsidR="00905C61" w:rsidRPr="00AB6BEA" w:rsidRDefault="00905C61" w:rsidP="00905C61">
      <w:pPr>
        <w:spacing w:after="150"/>
        <w:rPr>
          <w:rFonts w:eastAsia="Times New Roman" w:cs="Arial"/>
          <w:color w:val="1F1F1F"/>
          <w:sz w:val="24"/>
          <w:szCs w:val="24"/>
        </w:rPr>
      </w:pPr>
      <w:r w:rsidRPr="00AB6BEA">
        <w:rPr>
          <w:rFonts w:eastAsia="Times New Roman" w:cs="Arial"/>
          <w:color w:val="1F1F1F"/>
          <w:sz w:val="24"/>
          <w:szCs w:val="24"/>
        </w:rPr>
        <w:t>The spectrum of perspectives reveals a set of fundamental tensions and potential synergies between the discipline of History and the Education for Sustainability agenda. These points of conflict and convergence define the landscape for any attempt at meaningful integration.</w:t>
      </w:r>
    </w:p>
    <w:p w14:paraId="7EBF7F5E" w14:textId="77777777" w:rsidR="00905C61" w:rsidRPr="00AB6BEA" w:rsidRDefault="00905C61" w:rsidP="00905C61">
      <w:pPr>
        <w:pStyle w:val="Heading3"/>
        <w:rPr>
          <w:b/>
          <w:bCs/>
        </w:rPr>
      </w:pPr>
      <w:bookmarkStart w:id="49" w:name="_Toc229750474"/>
      <w:r w:rsidRPr="00AB6BEA">
        <w:rPr>
          <w:b/>
          <w:bCs/>
        </w:rPr>
        <w:t>4.1 Key Tensions: A Disciplinary Standoff</w:t>
      </w:r>
      <w:bookmarkEnd w:id="49"/>
    </w:p>
    <w:p w14:paraId="13863B4D" w14:textId="77777777" w:rsidR="00905C61" w:rsidRPr="00AB6BEA" w:rsidRDefault="00905C61" w:rsidP="00905C61">
      <w:pPr>
        <w:spacing w:after="150"/>
        <w:rPr>
          <w:rFonts w:eastAsia="Times New Roman" w:cs="Arial"/>
          <w:color w:val="1F1F1F"/>
          <w:sz w:val="24"/>
          <w:szCs w:val="24"/>
        </w:rPr>
      </w:pPr>
      <w:r w:rsidRPr="00AB6BEA">
        <w:rPr>
          <w:rFonts w:eastAsia="Times New Roman" w:cs="Arial"/>
          <w:color w:val="1F1F1F"/>
          <w:sz w:val="24"/>
          <w:szCs w:val="24"/>
        </w:rPr>
        <w:t>Three core tensions emerge from the analysis:</w:t>
      </w:r>
    </w:p>
    <w:p w14:paraId="1F9DC015" w14:textId="77777777" w:rsidR="00905C61" w:rsidRPr="00AB6BEA" w:rsidRDefault="00905C61" w:rsidP="00905C61">
      <w:pPr>
        <w:numPr>
          <w:ilvl w:val="0"/>
          <w:numId w:val="3"/>
        </w:numPr>
        <w:rPr>
          <w:rFonts w:eastAsia="Times New Roman" w:cs="Arial"/>
          <w:color w:val="1F1F1F"/>
          <w:sz w:val="24"/>
          <w:szCs w:val="24"/>
        </w:rPr>
      </w:pPr>
      <w:r w:rsidRPr="00AB6BEA">
        <w:rPr>
          <w:rFonts w:eastAsia="Times New Roman" w:cs="Arial"/>
          <w:b/>
          <w:bCs/>
          <w:color w:val="1F1F1F"/>
          <w:sz w:val="24"/>
          <w:szCs w:val="24"/>
          <w:bdr w:val="none" w:sz="0" w:space="0" w:color="auto" w:frame="1"/>
        </w:rPr>
        <w:t>Presentism vs. Historical Context:</w:t>
      </w:r>
      <w:r w:rsidRPr="00AB6BEA">
        <w:rPr>
          <w:rFonts w:eastAsia="Times New Roman" w:cs="Arial"/>
          <w:color w:val="1F1F1F"/>
          <w:sz w:val="24"/>
          <w:szCs w:val="24"/>
          <w:bdr w:val="none" w:sz="0" w:space="0" w:color="auto" w:frame="1"/>
        </w:rPr>
        <w:t xml:space="preserve"> This is the central philosophical conflict. ESD's forward-looking, problem-solving orientation is fundamentally at odds with History's core </w:t>
      </w:r>
      <w:r w:rsidRPr="00AB6BEA">
        <w:rPr>
          <w:rFonts w:eastAsia="Times New Roman" w:cs="Arial"/>
          <w:color w:val="1F1F1F"/>
          <w:sz w:val="24"/>
          <w:szCs w:val="24"/>
          <w:bdr w:val="none" w:sz="0" w:space="0" w:color="auto" w:frame="1"/>
        </w:rPr>
        <w:lastRenderedPageBreak/>
        <w:t>professional commitment to understanding the past on its own terms, respecting its "otherness," and rigorously avoiding anachronism.</w:t>
      </w:r>
    </w:p>
    <w:p w14:paraId="01DEA792" w14:textId="77777777" w:rsidR="00905C61" w:rsidRPr="00AB6BEA" w:rsidRDefault="00905C61" w:rsidP="00905C61">
      <w:pPr>
        <w:numPr>
          <w:ilvl w:val="0"/>
          <w:numId w:val="3"/>
        </w:numPr>
        <w:rPr>
          <w:rFonts w:eastAsia="Times New Roman" w:cs="Arial"/>
          <w:color w:val="1F1F1F"/>
          <w:sz w:val="24"/>
          <w:szCs w:val="24"/>
        </w:rPr>
      </w:pPr>
      <w:r w:rsidRPr="00AB6BEA">
        <w:rPr>
          <w:rFonts w:eastAsia="Times New Roman" w:cs="Arial"/>
          <w:b/>
          <w:bCs/>
          <w:color w:val="1F1F1F"/>
          <w:sz w:val="24"/>
          <w:szCs w:val="24"/>
          <w:bdr w:val="none" w:sz="0" w:space="0" w:color="auto" w:frame="1"/>
        </w:rPr>
        <w:t>Activism vs. Objectivity:</w:t>
      </w:r>
      <w:r w:rsidRPr="00AB6BEA">
        <w:rPr>
          <w:rFonts w:eastAsia="Times New Roman" w:cs="Arial"/>
          <w:color w:val="1F1F1F"/>
          <w:sz w:val="24"/>
          <w:szCs w:val="24"/>
          <w:bdr w:val="none" w:sz="0" w:space="0" w:color="auto" w:frame="1"/>
        </w:rPr>
        <w:t xml:space="preserve"> ESD's explicit goal of empowering students for action and to "transform society" challenges the traditional scholarly ideal of the detached, objective observer whose primary loyalty is to the evidence, not to a predetermined political or social agenda.</w:t>
      </w:r>
    </w:p>
    <w:p w14:paraId="55CF3985" w14:textId="77777777" w:rsidR="00905C61" w:rsidRPr="00AB6BEA" w:rsidRDefault="00905C61" w:rsidP="00905C61">
      <w:pPr>
        <w:numPr>
          <w:ilvl w:val="0"/>
          <w:numId w:val="3"/>
        </w:numPr>
        <w:rPr>
          <w:rFonts w:eastAsia="Times New Roman" w:cs="Arial"/>
          <w:color w:val="1F1F1F"/>
          <w:sz w:val="24"/>
          <w:szCs w:val="24"/>
        </w:rPr>
      </w:pPr>
      <w:r w:rsidRPr="00AB6BEA">
        <w:rPr>
          <w:rFonts w:eastAsia="Times New Roman" w:cs="Arial"/>
          <w:b/>
          <w:bCs/>
          <w:color w:val="1F1F1F"/>
          <w:sz w:val="24"/>
          <w:szCs w:val="24"/>
          <w:bdr w:val="none" w:sz="0" w:space="0" w:color="auto" w:frame="1"/>
        </w:rPr>
        <w:t>Universal Competencies vs. Disciplinary Authenticity:</w:t>
      </w:r>
      <w:r w:rsidRPr="00AB6BEA">
        <w:rPr>
          <w:rFonts w:eastAsia="Times New Roman" w:cs="Arial"/>
          <w:color w:val="1F1F1F"/>
          <w:sz w:val="24"/>
          <w:szCs w:val="24"/>
          <w:bdr w:val="none" w:sz="0" w:space="0" w:color="auto" w:frame="1"/>
        </w:rPr>
        <w:t xml:space="preserve"> The imposition of a generic, cross-disciplinary competency framework can be perceived as a threat to the unique, deeply rooted methodologies of historical practice. The critical question is whether these competencies can be integrated in a way that is truly "authentic to the discipline".</w:t>
      </w:r>
    </w:p>
    <w:p w14:paraId="09DE86FA" w14:textId="77777777" w:rsidR="00905C61" w:rsidRPr="00AB6BEA" w:rsidRDefault="00905C61" w:rsidP="00905C61">
      <w:pPr>
        <w:pStyle w:val="Heading3"/>
        <w:rPr>
          <w:b/>
          <w:bCs/>
        </w:rPr>
      </w:pPr>
      <w:bookmarkStart w:id="50" w:name="_Toc229750475"/>
      <w:r w:rsidRPr="00AB6BEA">
        <w:rPr>
          <w:b/>
          <w:bCs/>
        </w:rPr>
        <w:t>4.2 Key Synergies: Finding Common Ground</w:t>
      </w:r>
      <w:bookmarkEnd w:id="50"/>
    </w:p>
    <w:p w14:paraId="38ECDF44" w14:textId="77777777" w:rsidR="00905C61" w:rsidRPr="00AB6BEA" w:rsidRDefault="00905C61" w:rsidP="00905C61">
      <w:pPr>
        <w:spacing w:after="150"/>
        <w:rPr>
          <w:rFonts w:eastAsia="Times New Roman" w:cs="Arial"/>
          <w:color w:val="1F1F1F"/>
          <w:sz w:val="24"/>
          <w:szCs w:val="24"/>
        </w:rPr>
      </w:pPr>
      <w:r w:rsidRPr="00AB6BEA">
        <w:rPr>
          <w:rFonts w:eastAsia="Times New Roman" w:cs="Arial"/>
          <w:color w:val="1F1F1F"/>
          <w:sz w:val="24"/>
          <w:szCs w:val="24"/>
        </w:rPr>
        <w:t>Despite these tensions, there are significant areas of synergy that provide a foundation for productive engagement:</w:t>
      </w:r>
    </w:p>
    <w:p w14:paraId="723E0140" w14:textId="77777777" w:rsidR="00905C61" w:rsidRPr="00AB6BEA" w:rsidRDefault="00905C61" w:rsidP="00905C61">
      <w:pPr>
        <w:numPr>
          <w:ilvl w:val="0"/>
          <w:numId w:val="4"/>
        </w:numPr>
        <w:rPr>
          <w:rFonts w:eastAsia="Times New Roman" w:cs="Arial"/>
          <w:color w:val="1F1F1F"/>
          <w:sz w:val="24"/>
          <w:szCs w:val="24"/>
        </w:rPr>
      </w:pPr>
      <w:r w:rsidRPr="00AB6BEA">
        <w:rPr>
          <w:rFonts w:eastAsia="Times New Roman" w:cs="Arial"/>
          <w:b/>
          <w:bCs/>
          <w:color w:val="1F1F1F"/>
          <w:sz w:val="24"/>
          <w:szCs w:val="24"/>
          <w:bdr w:val="none" w:sz="0" w:space="0" w:color="auto" w:frame="1"/>
        </w:rPr>
        <w:t>The Primacy of Critical Thinking:</w:t>
      </w:r>
      <w:r w:rsidRPr="00AB6BEA">
        <w:rPr>
          <w:rFonts w:eastAsia="Times New Roman" w:cs="Arial"/>
          <w:color w:val="1F1F1F"/>
          <w:sz w:val="24"/>
          <w:szCs w:val="24"/>
          <w:bdr w:val="none" w:sz="0" w:space="0" w:color="auto" w:frame="1"/>
        </w:rPr>
        <w:t xml:space="preserve"> Both ESD and History place a supreme value on critical thinking. The ESD guidance lists it as a key competency, while the History Benchmark Statement is, in effect, a detailed blueprint for developing critical thinking through the rigorous evaluation of sources, arguments, and interpretations. This shared principle is the most powerful point of convergence.</w:t>
      </w:r>
    </w:p>
    <w:p w14:paraId="4FC2F460" w14:textId="77777777" w:rsidR="00905C61" w:rsidRPr="00AB6BEA" w:rsidRDefault="00905C61" w:rsidP="00905C61">
      <w:pPr>
        <w:numPr>
          <w:ilvl w:val="0"/>
          <w:numId w:val="4"/>
        </w:numPr>
        <w:rPr>
          <w:rFonts w:eastAsia="Times New Roman" w:cs="Arial"/>
          <w:color w:val="1F1F1F"/>
          <w:sz w:val="24"/>
          <w:szCs w:val="24"/>
        </w:rPr>
      </w:pPr>
      <w:r w:rsidRPr="00AB6BEA">
        <w:rPr>
          <w:rFonts w:eastAsia="Times New Roman" w:cs="Arial"/>
          <w:b/>
          <w:bCs/>
          <w:color w:val="1F1F1F"/>
          <w:sz w:val="24"/>
          <w:szCs w:val="24"/>
          <w:bdr w:val="none" w:sz="0" w:space="0" w:color="auto" w:frame="1"/>
        </w:rPr>
        <w:t>The Inevitability of Systems Thinking:</w:t>
      </w:r>
      <w:r w:rsidRPr="00AB6BEA">
        <w:rPr>
          <w:rFonts w:eastAsia="Times New Roman" w:cs="Arial"/>
          <w:color w:val="1F1F1F"/>
          <w:sz w:val="24"/>
          <w:szCs w:val="24"/>
          <w:bdr w:val="none" w:sz="0" w:space="0" w:color="auto" w:frame="1"/>
        </w:rPr>
        <w:t xml:space="preserve"> University-level historical study inherently involves the analysis of complex systems—the dynamic interplay of social, economic, political, cultural, and environmental forces over time. This practice aligns directly with the ESD competency of "systems thinking," offering a clear and authentic bridge for integration without compromising disciplinary methods.</w:t>
      </w:r>
    </w:p>
    <w:p w14:paraId="0525F7F2" w14:textId="77777777" w:rsidR="00905C61" w:rsidRPr="00AB6BEA" w:rsidRDefault="00905C61" w:rsidP="00905C61">
      <w:pPr>
        <w:numPr>
          <w:ilvl w:val="0"/>
          <w:numId w:val="4"/>
        </w:numPr>
        <w:rPr>
          <w:rFonts w:eastAsia="Times New Roman" w:cs="Arial"/>
          <w:color w:val="1F1F1F"/>
          <w:sz w:val="24"/>
          <w:szCs w:val="24"/>
        </w:rPr>
      </w:pPr>
      <w:r w:rsidRPr="00AB6BEA">
        <w:rPr>
          <w:rFonts w:eastAsia="Times New Roman" w:cs="Arial"/>
          <w:b/>
          <w:bCs/>
          <w:color w:val="1F1F1F"/>
          <w:sz w:val="24"/>
          <w:szCs w:val="24"/>
          <w:bdr w:val="none" w:sz="0" w:space="0" w:color="auto" w:frame="1"/>
        </w:rPr>
        <w:t>Historicising "Normative Competency":</w:t>
      </w:r>
      <w:r w:rsidRPr="00AB6BEA">
        <w:rPr>
          <w:rFonts w:eastAsia="Times New Roman" w:cs="Arial"/>
          <w:color w:val="1F1F1F"/>
          <w:sz w:val="24"/>
          <w:szCs w:val="24"/>
          <w:bdr w:val="none" w:sz="0" w:space="0" w:color="auto" w:frame="1"/>
        </w:rPr>
        <w:t xml:space="preserve"> While the term "normative competency" may sound like a call for activism to a historian, it can be re-interpreted through a historical lens. It can be framed as the study of how different societies have developed, contested, and changed their norms and values over time—a core activity of social and cultural history that is central to understanding the past.</w:t>
      </w:r>
    </w:p>
    <w:p w14:paraId="1CA5B610" w14:textId="77777777" w:rsidR="00905C61" w:rsidRDefault="00905C61" w:rsidP="00905C61">
      <w:pPr>
        <w:spacing w:after="150"/>
        <w:rPr>
          <w:rFonts w:eastAsia="Times New Roman" w:cs="Arial"/>
          <w:color w:val="1F1F1F"/>
          <w:sz w:val="24"/>
          <w:szCs w:val="24"/>
        </w:rPr>
      </w:pPr>
    </w:p>
    <w:p w14:paraId="1C4651AA" w14:textId="77777777" w:rsidR="00905C61" w:rsidRPr="00AB6BEA" w:rsidRDefault="00905C61" w:rsidP="00905C61">
      <w:pPr>
        <w:spacing w:after="150"/>
        <w:rPr>
          <w:rFonts w:eastAsia="Times New Roman" w:cs="Arial"/>
          <w:color w:val="1F1F1F"/>
          <w:sz w:val="24"/>
          <w:szCs w:val="24"/>
        </w:rPr>
      </w:pPr>
      <w:r w:rsidRPr="00AB6BEA">
        <w:rPr>
          <w:rFonts w:eastAsia="Times New Roman" w:cs="Arial"/>
          <w:color w:val="1F1F1F"/>
          <w:sz w:val="24"/>
          <w:szCs w:val="24"/>
        </w:rPr>
        <w:t>To facilitate dialogue between institutional leaders promoting ESD and academic historians, it is useful to create a "translation device." The following table maps the policy-driven language of the ESD competency framework onto the discipline-specific skills and practices codified in the History Benchmark Statement. It demonstrates that in many cases, historians are already teaching these competencies, albeit under a different name.</w:t>
      </w:r>
    </w:p>
    <w:p w14:paraId="50B7B608" w14:textId="77777777" w:rsidR="00905C61" w:rsidRPr="00AB6BEA" w:rsidRDefault="00905C61" w:rsidP="00905C61">
      <w:pPr>
        <w:pStyle w:val="Heading4"/>
        <w:rPr>
          <w:b/>
          <w:bCs/>
        </w:rPr>
      </w:pPr>
      <w:r w:rsidRPr="00AB6BEA">
        <w:rPr>
          <w:b/>
          <w:bCs/>
        </w:rPr>
        <w:lastRenderedPageBreak/>
        <w:t>Table 1: Mapping ESD Competencies to Historical Skills: A Tool for Translation</w:t>
      </w:r>
    </w:p>
    <w:tbl>
      <w:tblPr>
        <w:tblW w:w="0" w:type="auto"/>
        <w:tblCellSpacing w:w="15" w:type="dxa"/>
        <w:tblCellMar>
          <w:left w:w="0" w:type="dxa"/>
          <w:right w:w="0" w:type="dxa"/>
        </w:tblCellMar>
        <w:tblLook w:val="04A0" w:firstRow="1" w:lastRow="0" w:firstColumn="1" w:lastColumn="0" w:noHBand="0" w:noVBand="1"/>
      </w:tblPr>
      <w:tblGrid>
        <w:gridCol w:w="2393"/>
        <w:gridCol w:w="5240"/>
        <w:gridCol w:w="1711"/>
      </w:tblGrid>
      <w:tr w:rsidR="00905C61" w:rsidRPr="00AB6BEA" w14:paraId="05DF7B95" w14:textId="77777777" w:rsidTr="00413AC0">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CF317D" w14:textId="77777777" w:rsidR="00905C61" w:rsidRPr="00AB6BEA" w:rsidRDefault="00905C61" w:rsidP="00413AC0">
            <w:pPr>
              <w:rPr>
                <w:rFonts w:eastAsia="Times New Roman" w:cs="Arial"/>
                <w:color w:val="1F1F1F"/>
                <w:sz w:val="24"/>
                <w:szCs w:val="24"/>
              </w:rPr>
            </w:pPr>
            <w:r w:rsidRPr="00AB6BEA">
              <w:rPr>
                <w:rFonts w:eastAsia="Times New Roman" w:cs="Arial"/>
                <w:b/>
                <w:bCs/>
                <w:color w:val="1F1F1F"/>
                <w:sz w:val="24"/>
                <w:szCs w:val="24"/>
                <w:bdr w:val="none" w:sz="0" w:space="0" w:color="auto" w:frame="1"/>
              </w:rPr>
              <w:t>ESD Competency (QAA/Advance HE)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AA676B" w14:textId="77777777" w:rsidR="00905C61" w:rsidRPr="00AB6BEA" w:rsidRDefault="00905C61" w:rsidP="00413AC0">
            <w:pPr>
              <w:rPr>
                <w:rFonts w:eastAsia="Times New Roman" w:cs="Arial"/>
                <w:color w:val="1F1F1F"/>
                <w:sz w:val="24"/>
                <w:szCs w:val="24"/>
              </w:rPr>
            </w:pPr>
            <w:r w:rsidRPr="00AB6BEA">
              <w:rPr>
                <w:rFonts w:eastAsia="Times New Roman" w:cs="Arial"/>
                <w:b/>
                <w:bCs/>
                <w:color w:val="1F1F1F"/>
                <w:sz w:val="24"/>
                <w:szCs w:val="24"/>
                <w:bdr w:val="none" w:sz="0" w:space="0" w:color="auto" w:frame="1"/>
              </w:rPr>
              <w:t>Manifestation in the History Curriculum (QAA History Benchmark)</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4E5A00" w14:textId="77777777" w:rsidR="00905C61" w:rsidRPr="00AB6BEA" w:rsidRDefault="00905C61" w:rsidP="00413AC0">
            <w:pPr>
              <w:rPr>
                <w:rFonts w:eastAsia="Times New Roman" w:cs="Arial"/>
                <w:color w:val="1F1F1F"/>
                <w:sz w:val="24"/>
                <w:szCs w:val="24"/>
              </w:rPr>
            </w:pPr>
            <w:r w:rsidRPr="00AB6BEA">
              <w:rPr>
                <w:rFonts w:eastAsia="Times New Roman" w:cs="Arial"/>
                <w:b/>
                <w:bCs/>
                <w:color w:val="1F1F1F"/>
                <w:sz w:val="24"/>
                <w:szCs w:val="24"/>
                <w:bdr w:val="none" w:sz="0" w:space="0" w:color="auto" w:frame="1"/>
              </w:rPr>
              <w:t>Supporting Sources</w:t>
            </w:r>
          </w:p>
        </w:tc>
      </w:tr>
      <w:tr w:rsidR="00905C61" w:rsidRPr="00AB6BEA" w14:paraId="4D226B27" w14:textId="77777777" w:rsidTr="00413AC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94C4D7" w14:textId="77777777" w:rsidR="00905C61" w:rsidRPr="00AB6BEA" w:rsidRDefault="00905C61" w:rsidP="00413AC0">
            <w:pPr>
              <w:rPr>
                <w:rFonts w:eastAsia="Times New Roman" w:cs="Arial"/>
                <w:color w:val="1F1F1F"/>
                <w:sz w:val="24"/>
                <w:szCs w:val="24"/>
              </w:rPr>
            </w:pPr>
            <w:r w:rsidRPr="00AB6BEA">
              <w:rPr>
                <w:rFonts w:eastAsia="Times New Roman" w:cs="Arial"/>
                <w:b/>
                <w:bCs/>
                <w:color w:val="1F1F1F"/>
                <w:sz w:val="24"/>
                <w:szCs w:val="24"/>
                <w:bdr w:val="none" w:sz="0" w:space="0" w:color="auto" w:frame="1"/>
              </w:rPr>
              <w:t>Systems Thinking</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505169" w14:textId="77777777" w:rsidR="00905C61" w:rsidRPr="00AB6BEA" w:rsidRDefault="00905C61" w:rsidP="00413AC0">
            <w:pPr>
              <w:rPr>
                <w:rFonts w:eastAsia="Times New Roman" w:cs="Arial"/>
                <w:color w:val="1F1F1F"/>
                <w:sz w:val="24"/>
                <w:szCs w:val="24"/>
              </w:rPr>
            </w:pPr>
            <w:r w:rsidRPr="00AB6BEA">
              <w:rPr>
                <w:rFonts w:eastAsia="Times New Roman" w:cs="Arial"/>
                <w:color w:val="1F1F1F"/>
                <w:sz w:val="24"/>
                <w:szCs w:val="24"/>
                <w:bdr w:val="none" w:sz="0" w:space="0" w:color="auto" w:frame="1"/>
              </w:rPr>
              <w:t>Analysing the interconnectedness of political, social, economic, and cultural factors; understanding long-term trends, causal chains, and the complexity of past societies.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4FF2CD" w14:textId="77777777" w:rsidR="00905C61" w:rsidRPr="00AB6BEA" w:rsidRDefault="00905C61" w:rsidP="00413AC0">
            <w:pPr>
              <w:rPr>
                <w:rFonts w:eastAsia="Times New Roman" w:cs="Arial"/>
                <w:color w:val="1F1F1F"/>
                <w:sz w:val="24"/>
                <w:szCs w:val="24"/>
              </w:rPr>
            </w:pPr>
          </w:p>
        </w:tc>
      </w:tr>
      <w:tr w:rsidR="00905C61" w:rsidRPr="00AB6BEA" w14:paraId="3D9F5483" w14:textId="77777777" w:rsidTr="00413AC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75985A" w14:textId="77777777" w:rsidR="00905C61" w:rsidRPr="00AB6BEA" w:rsidRDefault="00905C61" w:rsidP="00413AC0">
            <w:pPr>
              <w:rPr>
                <w:rFonts w:eastAsia="Times New Roman" w:cs="Arial"/>
                <w:color w:val="1F1F1F"/>
                <w:sz w:val="24"/>
                <w:szCs w:val="24"/>
              </w:rPr>
            </w:pPr>
            <w:r w:rsidRPr="00AB6BEA">
              <w:rPr>
                <w:rFonts w:eastAsia="Times New Roman" w:cs="Arial"/>
                <w:b/>
                <w:bCs/>
                <w:color w:val="1F1F1F"/>
                <w:sz w:val="24"/>
                <w:szCs w:val="24"/>
                <w:bdr w:val="none" w:sz="0" w:space="0" w:color="auto" w:frame="1"/>
              </w:rPr>
              <w:t>Critical Thinking</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627EBA" w14:textId="77777777" w:rsidR="00905C61" w:rsidRPr="00AB6BEA" w:rsidRDefault="00905C61" w:rsidP="00413AC0">
            <w:pPr>
              <w:rPr>
                <w:rFonts w:eastAsia="Times New Roman" w:cs="Arial"/>
                <w:color w:val="1F1F1F"/>
                <w:sz w:val="24"/>
                <w:szCs w:val="24"/>
              </w:rPr>
            </w:pPr>
            <w:r w:rsidRPr="00AB6BEA">
              <w:rPr>
                <w:rFonts w:eastAsia="Times New Roman" w:cs="Arial"/>
                <w:color w:val="1F1F1F"/>
                <w:sz w:val="24"/>
                <w:szCs w:val="24"/>
                <w:bdr w:val="none" w:sz="0" w:space="0" w:color="auto" w:frame="1"/>
              </w:rPr>
              <w:t>Evaluating primary sources for bias, purpose, and reliability; deconstructing conflicting historical interpretations; questioning norms and practices of past societies.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A46ABC" w14:textId="77777777" w:rsidR="00905C61" w:rsidRPr="00AB6BEA" w:rsidRDefault="00905C61" w:rsidP="00413AC0">
            <w:pPr>
              <w:rPr>
                <w:rFonts w:eastAsia="Times New Roman" w:cs="Arial"/>
                <w:color w:val="1F1F1F"/>
                <w:sz w:val="24"/>
                <w:szCs w:val="24"/>
              </w:rPr>
            </w:pPr>
          </w:p>
        </w:tc>
      </w:tr>
      <w:tr w:rsidR="00905C61" w:rsidRPr="00AB6BEA" w14:paraId="2654E31C" w14:textId="77777777" w:rsidTr="00413AC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79F17F" w14:textId="77777777" w:rsidR="00905C61" w:rsidRPr="00AB6BEA" w:rsidRDefault="00905C61" w:rsidP="00413AC0">
            <w:pPr>
              <w:rPr>
                <w:rFonts w:eastAsia="Times New Roman" w:cs="Arial"/>
                <w:color w:val="1F1F1F"/>
                <w:sz w:val="24"/>
                <w:szCs w:val="24"/>
              </w:rPr>
            </w:pPr>
            <w:r w:rsidRPr="00AB6BEA">
              <w:rPr>
                <w:rFonts w:eastAsia="Times New Roman" w:cs="Arial"/>
                <w:b/>
                <w:bCs/>
                <w:color w:val="1F1F1F"/>
                <w:sz w:val="24"/>
                <w:szCs w:val="24"/>
                <w:bdr w:val="none" w:sz="0" w:space="0" w:color="auto" w:frame="1"/>
              </w:rPr>
              <w:t>Anticipatory Competency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3248AF" w14:textId="77777777" w:rsidR="00905C61" w:rsidRPr="00AB6BEA" w:rsidRDefault="00905C61" w:rsidP="00413AC0">
            <w:pPr>
              <w:rPr>
                <w:rFonts w:eastAsia="Times New Roman" w:cs="Arial"/>
                <w:color w:val="1F1F1F"/>
                <w:sz w:val="24"/>
                <w:szCs w:val="24"/>
              </w:rPr>
            </w:pPr>
            <w:r w:rsidRPr="00AB6BEA">
              <w:rPr>
                <w:rFonts w:eastAsia="Times New Roman" w:cs="Arial"/>
                <w:color w:val="1F1F1F"/>
                <w:sz w:val="24"/>
                <w:szCs w:val="24"/>
                <w:bdr w:val="none" w:sz="0" w:space="0" w:color="auto" w:frame="1"/>
              </w:rPr>
              <w:t>Studying past societies' responses to crises (environmental, political, economic) to understand the consequences of actions and the nature of risk and change over time.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1B6094" w14:textId="77777777" w:rsidR="00905C61" w:rsidRPr="00AB6BEA" w:rsidRDefault="00905C61" w:rsidP="00413AC0">
            <w:pPr>
              <w:rPr>
                <w:rFonts w:eastAsia="Times New Roman" w:cs="Arial"/>
                <w:color w:val="1F1F1F"/>
                <w:sz w:val="24"/>
                <w:szCs w:val="24"/>
              </w:rPr>
            </w:pPr>
          </w:p>
        </w:tc>
      </w:tr>
      <w:tr w:rsidR="00905C61" w:rsidRPr="00AB6BEA" w14:paraId="5002471A" w14:textId="77777777" w:rsidTr="00413AC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997EBE" w14:textId="77777777" w:rsidR="00905C61" w:rsidRPr="00AB6BEA" w:rsidRDefault="00905C61" w:rsidP="00413AC0">
            <w:pPr>
              <w:rPr>
                <w:rFonts w:eastAsia="Times New Roman" w:cs="Arial"/>
                <w:color w:val="1F1F1F"/>
                <w:sz w:val="24"/>
                <w:szCs w:val="24"/>
              </w:rPr>
            </w:pPr>
            <w:r w:rsidRPr="00AB6BEA">
              <w:rPr>
                <w:rFonts w:eastAsia="Times New Roman" w:cs="Arial"/>
                <w:b/>
                <w:bCs/>
                <w:color w:val="1F1F1F"/>
                <w:sz w:val="24"/>
                <w:szCs w:val="24"/>
                <w:bdr w:val="none" w:sz="0" w:space="0" w:color="auto" w:frame="1"/>
              </w:rPr>
              <w:t>Normative Competency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A00323" w14:textId="77777777" w:rsidR="00905C61" w:rsidRPr="00AB6BEA" w:rsidRDefault="00905C61" w:rsidP="00413AC0">
            <w:pPr>
              <w:rPr>
                <w:rFonts w:eastAsia="Times New Roman" w:cs="Arial"/>
                <w:color w:val="1F1F1F"/>
                <w:sz w:val="24"/>
                <w:szCs w:val="24"/>
              </w:rPr>
            </w:pPr>
            <w:r w:rsidRPr="00AB6BEA">
              <w:rPr>
                <w:rFonts w:eastAsia="Times New Roman" w:cs="Arial"/>
                <w:color w:val="1F1F1F"/>
                <w:sz w:val="24"/>
                <w:szCs w:val="24"/>
                <w:bdr w:val="none" w:sz="0" w:space="0" w:color="auto" w:frame="1"/>
              </w:rPr>
              <w:t>Reflecting on the development of different value systems, ethical frameworks, and societal norms over time and in different cultural contexts, understanding their historical contingency.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A50D76" w14:textId="77777777" w:rsidR="00905C61" w:rsidRPr="00AB6BEA" w:rsidRDefault="00905C61" w:rsidP="00413AC0">
            <w:pPr>
              <w:rPr>
                <w:rFonts w:eastAsia="Times New Roman" w:cs="Arial"/>
                <w:color w:val="1F1F1F"/>
                <w:sz w:val="24"/>
                <w:szCs w:val="24"/>
              </w:rPr>
            </w:pPr>
          </w:p>
        </w:tc>
      </w:tr>
      <w:tr w:rsidR="00905C61" w:rsidRPr="00AB6BEA" w14:paraId="40F8700A" w14:textId="77777777" w:rsidTr="00413AC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6E851E" w14:textId="77777777" w:rsidR="00905C61" w:rsidRPr="00AB6BEA" w:rsidRDefault="00905C61" w:rsidP="00413AC0">
            <w:pPr>
              <w:rPr>
                <w:rFonts w:eastAsia="Times New Roman" w:cs="Arial"/>
                <w:color w:val="1F1F1F"/>
                <w:sz w:val="24"/>
                <w:szCs w:val="24"/>
              </w:rPr>
            </w:pPr>
            <w:r w:rsidRPr="00AB6BEA">
              <w:rPr>
                <w:rFonts w:eastAsia="Times New Roman" w:cs="Arial"/>
                <w:b/>
                <w:bCs/>
                <w:color w:val="1F1F1F"/>
                <w:sz w:val="24"/>
                <w:szCs w:val="24"/>
                <w:bdr w:val="none" w:sz="0" w:space="0" w:color="auto" w:frame="1"/>
              </w:rPr>
              <w:t>Strategic &amp; Collaborative Competency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F58D1D" w14:textId="77777777" w:rsidR="00905C61" w:rsidRPr="00AB6BEA" w:rsidRDefault="00905C61" w:rsidP="00413AC0">
            <w:pPr>
              <w:rPr>
                <w:rFonts w:eastAsia="Times New Roman" w:cs="Arial"/>
                <w:color w:val="1F1F1F"/>
                <w:sz w:val="24"/>
                <w:szCs w:val="24"/>
              </w:rPr>
            </w:pPr>
            <w:r w:rsidRPr="00AB6BEA">
              <w:rPr>
                <w:rFonts w:eastAsia="Times New Roman" w:cs="Arial"/>
                <w:color w:val="1F1F1F"/>
                <w:sz w:val="24"/>
                <w:szCs w:val="24"/>
                <w:bdr w:val="none" w:sz="0" w:space="0" w:color="auto" w:frame="1"/>
              </w:rPr>
              <w:t>Developed through seminar discussions, group presentations, and peer feedback, fostering skills in marshalling evidence, constructing arguments, and engaging in collaborative inquiry.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337ABD" w14:textId="77777777" w:rsidR="00905C61" w:rsidRPr="00AB6BEA" w:rsidRDefault="00905C61" w:rsidP="00413AC0">
            <w:pPr>
              <w:rPr>
                <w:rFonts w:eastAsia="Times New Roman" w:cs="Arial"/>
                <w:color w:val="1F1F1F"/>
                <w:sz w:val="24"/>
                <w:szCs w:val="24"/>
              </w:rPr>
            </w:pPr>
          </w:p>
        </w:tc>
      </w:tr>
      <w:tr w:rsidR="00905C61" w:rsidRPr="00AB6BEA" w14:paraId="36D6B6FC" w14:textId="77777777" w:rsidTr="00413AC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EEFF22" w14:textId="77777777" w:rsidR="00905C61" w:rsidRPr="00AB6BEA" w:rsidRDefault="00905C61" w:rsidP="00413AC0">
            <w:pPr>
              <w:rPr>
                <w:rFonts w:eastAsia="Times New Roman" w:cs="Arial"/>
                <w:color w:val="1F1F1F"/>
                <w:sz w:val="24"/>
                <w:szCs w:val="24"/>
              </w:rPr>
            </w:pPr>
            <w:r w:rsidRPr="00AB6BEA">
              <w:rPr>
                <w:rFonts w:eastAsia="Times New Roman" w:cs="Arial"/>
                <w:b/>
                <w:bCs/>
                <w:color w:val="1F1F1F"/>
                <w:sz w:val="24"/>
                <w:szCs w:val="24"/>
                <w:bdr w:val="none" w:sz="0" w:space="0" w:color="auto" w:frame="1"/>
              </w:rPr>
              <w:t>Self-Awareness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BE8A7B" w14:textId="77777777" w:rsidR="00905C61" w:rsidRPr="00AB6BEA" w:rsidRDefault="00905C61" w:rsidP="00413AC0">
            <w:pPr>
              <w:rPr>
                <w:rFonts w:eastAsia="Times New Roman" w:cs="Arial"/>
                <w:color w:val="1F1F1F"/>
                <w:sz w:val="24"/>
                <w:szCs w:val="24"/>
              </w:rPr>
            </w:pPr>
            <w:r w:rsidRPr="00AB6BEA">
              <w:rPr>
                <w:rFonts w:eastAsia="Times New Roman" w:cs="Arial"/>
                <w:color w:val="1F1F1F"/>
                <w:sz w:val="24"/>
                <w:szCs w:val="24"/>
                <w:bdr w:val="none" w:sz="0" w:space="0" w:color="auto" w:frame="1"/>
              </w:rPr>
              <w:t>Reflecting on the nature of history itself (historiography), the positionality of the historian, and the ethical responsibilities of interpreting and representing the past.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D33CF8" w14:textId="77777777" w:rsidR="00905C61" w:rsidRPr="00AB6BEA" w:rsidRDefault="00905C61" w:rsidP="00413AC0">
            <w:pPr>
              <w:rPr>
                <w:rFonts w:eastAsia="Times New Roman" w:cs="Arial"/>
                <w:color w:val="1F1F1F"/>
                <w:sz w:val="24"/>
                <w:szCs w:val="24"/>
              </w:rPr>
            </w:pPr>
          </w:p>
        </w:tc>
      </w:tr>
      <w:tr w:rsidR="00905C61" w:rsidRPr="00AB6BEA" w14:paraId="118513F2" w14:textId="77777777" w:rsidTr="00413AC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36A08F" w14:textId="77777777" w:rsidR="00905C61" w:rsidRPr="00AB6BEA" w:rsidRDefault="00905C61" w:rsidP="00413AC0">
            <w:pPr>
              <w:rPr>
                <w:rFonts w:eastAsia="Times New Roman" w:cs="Arial"/>
                <w:color w:val="1F1F1F"/>
                <w:sz w:val="24"/>
                <w:szCs w:val="24"/>
              </w:rPr>
            </w:pPr>
            <w:r w:rsidRPr="00AB6BEA">
              <w:rPr>
                <w:rFonts w:eastAsia="Times New Roman" w:cs="Arial"/>
                <w:b/>
                <w:bCs/>
                <w:color w:val="1F1F1F"/>
                <w:sz w:val="24"/>
                <w:szCs w:val="24"/>
                <w:bdr w:val="none" w:sz="0" w:space="0" w:color="auto" w:frame="1"/>
              </w:rPr>
              <w:lastRenderedPageBreak/>
              <w:t>Integrated Problem-Solving</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BA84EF" w14:textId="77777777" w:rsidR="00905C61" w:rsidRPr="00AB6BEA" w:rsidRDefault="00905C61" w:rsidP="00413AC0">
            <w:pPr>
              <w:rPr>
                <w:rFonts w:eastAsia="Times New Roman" w:cs="Arial"/>
                <w:color w:val="1F1F1F"/>
                <w:sz w:val="24"/>
                <w:szCs w:val="24"/>
              </w:rPr>
            </w:pPr>
            <w:r w:rsidRPr="00AB6BEA">
              <w:rPr>
                <w:rFonts w:eastAsia="Times New Roman" w:cs="Arial"/>
                <w:color w:val="1F1F1F"/>
                <w:sz w:val="24"/>
                <w:szCs w:val="24"/>
                <w:bdr w:val="none" w:sz="0" w:space="0" w:color="auto" w:frame="1"/>
              </w:rPr>
              <w:t>Synthesising diverse and often contradictory evidence (textual, material, visual) to construct a coherent and nuanced historical account or argument in an extended piece of work.</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8AAFC0" w14:textId="77777777" w:rsidR="00905C61" w:rsidRPr="00AB6BEA" w:rsidRDefault="00905C61" w:rsidP="00413AC0">
            <w:pPr>
              <w:rPr>
                <w:rFonts w:eastAsia="Times New Roman" w:cs="Arial"/>
                <w:color w:val="1F1F1F"/>
                <w:sz w:val="24"/>
                <w:szCs w:val="24"/>
              </w:rPr>
            </w:pPr>
          </w:p>
        </w:tc>
      </w:tr>
    </w:tbl>
    <w:p w14:paraId="395AF16C" w14:textId="77777777" w:rsidR="00905C61" w:rsidRDefault="00905C61" w:rsidP="00905C61">
      <w:pPr>
        <w:pStyle w:val="Heading2"/>
        <w:rPr>
          <w:b/>
          <w:bCs/>
        </w:rPr>
      </w:pPr>
    </w:p>
    <w:p w14:paraId="70EC9326" w14:textId="77777777" w:rsidR="00905C61" w:rsidRPr="00AB6BEA" w:rsidRDefault="00905C61" w:rsidP="00905C61">
      <w:pPr>
        <w:pStyle w:val="Heading2"/>
        <w:rPr>
          <w:b/>
          <w:bCs/>
        </w:rPr>
      </w:pPr>
      <w:bookmarkStart w:id="51" w:name="_Toc229750476"/>
      <w:r w:rsidRPr="00AB6BEA">
        <w:rPr>
          <w:b/>
          <w:bCs/>
        </w:rPr>
        <w:t>Section 5: Implications for Curriculum Development and Institutional Dialogue</w:t>
      </w:r>
      <w:bookmarkEnd w:id="51"/>
    </w:p>
    <w:p w14:paraId="3ED60D9E" w14:textId="77777777" w:rsidR="00905C61" w:rsidRPr="00AB6BEA" w:rsidRDefault="00905C61" w:rsidP="00905C61">
      <w:pPr>
        <w:spacing w:after="150"/>
        <w:rPr>
          <w:rFonts w:eastAsia="Times New Roman" w:cs="Arial"/>
          <w:color w:val="1F1F1F"/>
          <w:sz w:val="24"/>
          <w:szCs w:val="24"/>
        </w:rPr>
      </w:pPr>
      <w:r w:rsidRPr="00AB6BEA">
        <w:rPr>
          <w:rFonts w:eastAsia="Times New Roman" w:cs="Arial"/>
          <w:color w:val="1F1F1F"/>
          <w:sz w:val="24"/>
          <w:szCs w:val="24"/>
        </w:rPr>
        <w:t>The analysis of these perspectives, tensions, and synergies leads to a series of actionable implications for History departments, institutional leaders, and policymakers seeking to navigate the integration of ESD into the curriculum.</w:t>
      </w:r>
    </w:p>
    <w:p w14:paraId="34D54722" w14:textId="77777777" w:rsidR="00905C61" w:rsidRPr="00AB6BEA" w:rsidRDefault="00905C61" w:rsidP="00905C61">
      <w:pPr>
        <w:pStyle w:val="Heading3"/>
        <w:rPr>
          <w:b/>
          <w:bCs/>
        </w:rPr>
      </w:pPr>
      <w:bookmarkStart w:id="52" w:name="_Toc229750477"/>
      <w:r w:rsidRPr="00AB6BEA">
        <w:rPr>
          <w:b/>
          <w:bCs/>
        </w:rPr>
        <w:t>5.1 For Curriculum Designers and History Departments</w:t>
      </w:r>
      <w:bookmarkEnd w:id="52"/>
    </w:p>
    <w:p w14:paraId="7516A9EE" w14:textId="77777777" w:rsidR="00905C61" w:rsidRPr="00AB6BEA" w:rsidRDefault="00905C61" w:rsidP="00905C61">
      <w:pPr>
        <w:spacing w:after="150"/>
        <w:rPr>
          <w:rFonts w:eastAsia="Times New Roman" w:cs="Arial"/>
          <w:color w:val="1F1F1F"/>
          <w:sz w:val="24"/>
          <w:szCs w:val="24"/>
        </w:rPr>
      </w:pPr>
      <w:r w:rsidRPr="00AB6BEA">
        <w:rPr>
          <w:rFonts w:eastAsia="Times New Roman" w:cs="Arial"/>
          <w:color w:val="1F1F1F"/>
          <w:sz w:val="24"/>
          <w:szCs w:val="24"/>
        </w:rPr>
        <w:t xml:space="preserve">History departments can engage with the ESD agenda proactively while safeguarding disciplinary integrity. The greatest risk is not outright opposition from "Disciplinary Purists," but rather superficial compliance from "Pragmatic Accommodators." Such an approach, which involves merely </w:t>
      </w:r>
      <w:proofErr w:type="spellStart"/>
      <w:r w:rsidRPr="00AB6BEA">
        <w:rPr>
          <w:rFonts w:eastAsia="Times New Roman" w:cs="Arial"/>
          <w:color w:val="1F1F1F"/>
          <w:sz w:val="24"/>
          <w:szCs w:val="24"/>
        </w:rPr>
        <w:t>relabeling</w:t>
      </w:r>
      <w:proofErr w:type="spellEnd"/>
      <w:r w:rsidRPr="00AB6BEA">
        <w:rPr>
          <w:rFonts w:eastAsia="Times New Roman" w:cs="Arial"/>
          <w:color w:val="1F1F1F"/>
          <w:sz w:val="24"/>
          <w:szCs w:val="24"/>
        </w:rPr>
        <w:t xml:space="preserve"> existing content, creates a "Potemkin curriculum" that appears sustainable on paper but fails to deliver the transformative educational goals of ESD, while potentially devaluing the intellectual rigour of the history modules themselves. To foster authentic engagement, departments should:</w:t>
      </w:r>
    </w:p>
    <w:p w14:paraId="018213B7" w14:textId="77777777" w:rsidR="00905C61" w:rsidRPr="00AB6BEA" w:rsidRDefault="00905C61" w:rsidP="00905C61">
      <w:pPr>
        <w:numPr>
          <w:ilvl w:val="0"/>
          <w:numId w:val="5"/>
        </w:numPr>
        <w:rPr>
          <w:rFonts w:eastAsia="Times New Roman" w:cs="Arial"/>
          <w:color w:val="1F1F1F"/>
          <w:sz w:val="24"/>
          <w:szCs w:val="24"/>
        </w:rPr>
      </w:pPr>
      <w:r w:rsidRPr="00AB6BEA">
        <w:rPr>
          <w:rFonts w:eastAsia="Times New Roman" w:cs="Arial"/>
          <w:b/>
          <w:bCs/>
          <w:color w:val="1F1F1F"/>
          <w:sz w:val="24"/>
          <w:szCs w:val="24"/>
          <w:bdr w:val="none" w:sz="0" w:space="0" w:color="auto" w:frame="1"/>
        </w:rPr>
        <w:t>Lead with Synergy:</w:t>
      </w:r>
      <w:r w:rsidRPr="00AB6BEA">
        <w:rPr>
          <w:rFonts w:eastAsia="Times New Roman" w:cs="Arial"/>
          <w:color w:val="1F1F1F"/>
          <w:sz w:val="24"/>
          <w:szCs w:val="24"/>
        </w:rPr>
        <w:t xml:space="preserve"> Frame the integration of ESD around the shared commitment to critical and systems thinking. This presents ESD not as a replacement for historical method, but as a lens that can be applied </w:t>
      </w:r>
      <w:r w:rsidRPr="00AB6BEA">
        <w:rPr>
          <w:rFonts w:eastAsia="Times New Roman" w:cs="Arial"/>
          <w:i/>
          <w:iCs/>
          <w:color w:val="1F1F1F"/>
          <w:sz w:val="24"/>
          <w:szCs w:val="24"/>
          <w:bdr w:val="none" w:sz="0" w:space="0" w:color="auto" w:frame="1"/>
        </w:rPr>
        <w:t>using</w:t>
      </w:r>
      <w:r w:rsidRPr="00AB6BEA">
        <w:rPr>
          <w:rFonts w:eastAsia="Times New Roman" w:cs="Arial"/>
          <w:color w:val="1F1F1F"/>
          <w:sz w:val="24"/>
          <w:szCs w:val="24"/>
        </w:rPr>
        <w:t xml:space="preserve"> historical method.</w:t>
      </w:r>
    </w:p>
    <w:p w14:paraId="763AF785" w14:textId="77777777" w:rsidR="00905C61" w:rsidRPr="00AB6BEA" w:rsidRDefault="00905C61" w:rsidP="00905C61">
      <w:pPr>
        <w:numPr>
          <w:ilvl w:val="0"/>
          <w:numId w:val="5"/>
        </w:numPr>
        <w:rPr>
          <w:rFonts w:eastAsia="Times New Roman" w:cs="Arial"/>
          <w:color w:val="1F1F1F"/>
          <w:sz w:val="24"/>
          <w:szCs w:val="24"/>
        </w:rPr>
      </w:pPr>
      <w:r w:rsidRPr="00AB6BEA">
        <w:rPr>
          <w:rFonts w:eastAsia="Times New Roman" w:cs="Arial"/>
          <w:b/>
          <w:bCs/>
          <w:color w:val="1F1F1F"/>
          <w:sz w:val="24"/>
          <w:szCs w:val="24"/>
          <w:bdr w:val="none" w:sz="0" w:space="0" w:color="auto" w:frame="1"/>
        </w:rPr>
        <w:t>Leverage Environmental History:</w:t>
      </w:r>
      <w:r w:rsidRPr="00AB6BEA">
        <w:rPr>
          <w:rFonts w:eastAsia="Times New Roman" w:cs="Arial"/>
          <w:color w:val="1F1F1F"/>
          <w:sz w:val="24"/>
          <w:szCs w:val="24"/>
          <w:bdr w:val="none" w:sz="0" w:space="0" w:color="auto" w:frame="1"/>
        </w:rPr>
        <w:t xml:space="preserve"> Utilise the expertise within the sub-discipline of Environmental History as a natural starting point and a centre of excellence. However, care should be taken to avoid "siloing" sustainability, encouraging all colleagues to consider how themes of resource, climate, and society apply to their specialist areas.</w:t>
      </w:r>
    </w:p>
    <w:p w14:paraId="4F369151" w14:textId="77777777" w:rsidR="00905C61" w:rsidRPr="00AB6BEA" w:rsidRDefault="00905C61" w:rsidP="00905C61">
      <w:pPr>
        <w:numPr>
          <w:ilvl w:val="0"/>
          <w:numId w:val="5"/>
        </w:numPr>
        <w:rPr>
          <w:rFonts w:eastAsia="Times New Roman" w:cs="Arial"/>
          <w:color w:val="1F1F1F"/>
          <w:sz w:val="24"/>
          <w:szCs w:val="24"/>
        </w:rPr>
      </w:pPr>
      <w:r w:rsidRPr="00AB6BEA">
        <w:rPr>
          <w:rFonts w:eastAsia="Times New Roman" w:cs="Arial"/>
          <w:b/>
          <w:bCs/>
          <w:color w:val="1F1F1F"/>
          <w:sz w:val="24"/>
          <w:szCs w:val="24"/>
          <w:bdr w:val="none" w:sz="0" w:space="0" w:color="auto" w:frame="1"/>
        </w:rPr>
        <w:t>Focus on "Historicising Sustainability":</w:t>
      </w:r>
      <w:r w:rsidRPr="00AB6BEA">
        <w:rPr>
          <w:rFonts w:eastAsia="Times New Roman" w:cs="Arial"/>
          <w:color w:val="1F1F1F"/>
          <w:sz w:val="24"/>
          <w:szCs w:val="24"/>
          <w:bdr w:val="none" w:sz="0" w:space="0" w:color="auto" w:frame="1"/>
        </w:rPr>
        <w:t xml:space="preserve"> Develop content around historical questions, such as "How did early modern cities manage waste?" or "What was the social impact of the Little Ice Age?" This approach maintains disciplinary rigour while directly addressing ESD themes, with the joint degree at Warwick serving as a powerful model.</w:t>
      </w:r>
    </w:p>
    <w:p w14:paraId="7B71BA4C" w14:textId="77777777" w:rsidR="00905C61" w:rsidRPr="00AB6BEA" w:rsidRDefault="00905C61" w:rsidP="00905C61">
      <w:pPr>
        <w:numPr>
          <w:ilvl w:val="0"/>
          <w:numId w:val="5"/>
        </w:numPr>
        <w:rPr>
          <w:rFonts w:eastAsia="Times New Roman" w:cs="Arial"/>
          <w:color w:val="1F1F1F"/>
          <w:sz w:val="24"/>
          <w:szCs w:val="24"/>
        </w:rPr>
      </w:pPr>
      <w:r w:rsidRPr="00AB6BEA">
        <w:rPr>
          <w:rFonts w:eastAsia="Times New Roman" w:cs="Arial"/>
          <w:b/>
          <w:bCs/>
          <w:color w:val="1F1F1F"/>
          <w:sz w:val="24"/>
          <w:szCs w:val="24"/>
          <w:bdr w:val="none" w:sz="0" w:space="0" w:color="auto" w:frame="1"/>
        </w:rPr>
        <w:lastRenderedPageBreak/>
        <w:t>Acknowledge the Debate:</w:t>
      </w:r>
      <w:r w:rsidRPr="00AB6BEA">
        <w:rPr>
          <w:rFonts w:eastAsia="Times New Roman" w:cs="Arial"/>
          <w:color w:val="1F1F1F"/>
          <w:sz w:val="24"/>
          <w:szCs w:val="24"/>
          <w:bdr w:val="none" w:sz="0" w:space="0" w:color="auto" w:frame="1"/>
        </w:rPr>
        <w:t xml:space="preserve"> Explicitly teach the historiographical debate around presentism. This allows students to engage critically with the very tensions at the heart of this issue, transforming a potential pitfall into a sophisticated learning opportunity about the nature of historical knowledge.</w:t>
      </w:r>
    </w:p>
    <w:p w14:paraId="5504E8B3" w14:textId="77777777" w:rsidR="00905C61" w:rsidRPr="00AB6BEA" w:rsidRDefault="00905C61" w:rsidP="00905C61">
      <w:pPr>
        <w:pStyle w:val="Heading3"/>
        <w:rPr>
          <w:b/>
          <w:bCs/>
        </w:rPr>
      </w:pPr>
      <w:bookmarkStart w:id="53" w:name="_Toc229750478"/>
      <w:r w:rsidRPr="00AB6BEA">
        <w:rPr>
          <w:b/>
          <w:bCs/>
        </w:rPr>
        <w:t>5.2 For Institutional Leaders and Policy Makers</w:t>
      </w:r>
      <w:bookmarkEnd w:id="53"/>
    </w:p>
    <w:p w14:paraId="385FF4DE" w14:textId="77777777" w:rsidR="00905C61" w:rsidRPr="00AB6BEA" w:rsidRDefault="00905C61" w:rsidP="00905C61">
      <w:pPr>
        <w:spacing w:after="150"/>
        <w:rPr>
          <w:rFonts w:eastAsia="Times New Roman" w:cs="Arial"/>
          <w:color w:val="1F1F1F"/>
          <w:sz w:val="24"/>
          <w:szCs w:val="24"/>
        </w:rPr>
      </w:pPr>
      <w:r w:rsidRPr="00AB6BEA">
        <w:rPr>
          <w:rFonts w:eastAsia="Times New Roman" w:cs="Arial"/>
          <w:color w:val="1F1F1F"/>
          <w:sz w:val="24"/>
          <w:szCs w:val="24"/>
        </w:rPr>
        <w:t>To foster genuine buy-in and avoid tokenistic compliance, institutional leaders must engage with the specific disciplinary culture of History. A one-size-fits-all mandate is likely to be counterproductive. Instead, they should:</w:t>
      </w:r>
    </w:p>
    <w:p w14:paraId="5441BA52" w14:textId="77777777" w:rsidR="00905C61" w:rsidRPr="00AB6BEA" w:rsidRDefault="00905C61" w:rsidP="00905C61">
      <w:pPr>
        <w:numPr>
          <w:ilvl w:val="0"/>
          <w:numId w:val="6"/>
        </w:numPr>
        <w:rPr>
          <w:rFonts w:eastAsia="Times New Roman" w:cs="Arial"/>
          <w:color w:val="1F1F1F"/>
          <w:sz w:val="24"/>
          <w:szCs w:val="24"/>
        </w:rPr>
      </w:pPr>
      <w:r w:rsidRPr="00AB6BEA">
        <w:rPr>
          <w:rFonts w:eastAsia="Times New Roman" w:cs="Arial"/>
          <w:b/>
          <w:bCs/>
          <w:color w:val="1F1F1F"/>
          <w:sz w:val="24"/>
          <w:szCs w:val="24"/>
          <w:bdr w:val="none" w:sz="0" w:space="0" w:color="auto" w:frame="1"/>
        </w:rPr>
        <w:t>Use a Disciplinary Dialect:</w:t>
      </w:r>
      <w:r w:rsidRPr="00AB6BEA">
        <w:rPr>
          <w:rFonts w:eastAsia="Times New Roman" w:cs="Arial"/>
          <w:color w:val="1F1F1F"/>
          <w:sz w:val="24"/>
          <w:szCs w:val="24"/>
        </w:rPr>
        <w:t xml:space="preserve"> When engaging with History departments, use the language of the discipline. The "translation device" in Table 1 can be a valuable tool for demonstrating how ESD enhances skills that historians already value, rather than imposing an alien framework.</w:t>
      </w:r>
    </w:p>
    <w:p w14:paraId="7895B52D" w14:textId="77777777" w:rsidR="00905C61" w:rsidRPr="00AB6BEA" w:rsidRDefault="00905C61" w:rsidP="00905C61">
      <w:pPr>
        <w:numPr>
          <w:ilvl w:val="0"/>
          <w:numId w:val="6"/>
        </w:numPr>
        <w:rPr>
          <w:rFonts w:eastAsia="Times New Roman" w:cs="Arial"/>
          <w:color w:val="1F1F1F"/>
          <w:sz w:val="24"/>
          <w:szCs w:val="24"/>
        </w:rPr>
      </w:pPr>
      <w:r w:rsidRPr="00AB6BEA">
        <w:rPr>
          <w:rFonts w:eastAsia="Times New Roman" w:cs="Arial"/>
          <w:b/>
          <w:bCs/>
          <w:color w:val="1F1F1F"/>
          <w:sz w:val="24"/>
          <w:szCs w:val="24"/>
          <w:bdr w:val="none" w:sz="0" w:space="0" w:color="auto" w:frame="1"/>
        </w:rPr>
        <w:t>Avoid a One-Size-Fits-All Mandate:</w:t>
      </w:r>
      <w:r w:rsidRPr="00AB6BEA">
        <w:rPr>
          <w:rFonts w:eastAsia="Times New Roman" w:cs="Arial"/>
          <w:color w:val="1F1F1F"/>
          <w:sz w:val="24"/>
          <w:szCs w:val="24"/>
          <w:bdr w:val="none" w:sz="0" w:space="0" w:color="auto" w:frame="1"/>
        </w:rPr>
        <w:t xml:space="preserve"> Recognise the legitimate disciplinary concerns about presentism and objectivity. Support and champion "authentic" integration that respects the discipline's methodologies, rather than enforcing crude, metric-based compliance that encourages superficial box-ticking.</w:t>
      </w:r>
    </w:p>
    <w:p w14:paraId="225473F0" w14:textId="77777777" w:rsidR="00905C61" w:rsidRPr="00AB6BEA" w:rsidRDefault="00905C61" w:rsidP="00905C61">
      <w:pPr>
        <w:numPr>
          <w:ilvl w:val="0"/>
          <w:numId w:val="6"/>
        </w:numPr>
        <w:rPr>
          <w:rFonts w:eastAsia="Times New Roman" w:cs="Arial"/>
          <w:color w:val="1F1F1F"/>
          <w:sz w:val="24"/>
          <w:szCs w:val="24"/>
        </w:rPr>
      </w:pPr>
      <w:r w:rsidRPr="00AB6BEA">
        <w:rPr>
          <w:rFonts w:eastAsia="Times New Roman" w:cs="Arial"/>
          <w:b/>
          <w:bCs/>
          <w:color w:val="1F1F1F"/>
          <w:sz w:val="24"/>
          <w:szCs w:val="24"/>
          <w:bdr w:val="none" w:sz="0" w:space="0" w:color="auto" w:frame="1"/>
        </w:rPr>
        <w:t>Resource and Reward:</w:t>
      </w:r>
      <w:r w:rsidRPr="00AB6BEA">
        <w:rPr>
          <w:rFonts w:eastAsia="Times New Roman" w:cs="Arial"/>
          <w:color w:val="1F1F1F"/>
          <w:sz w:val="24"/>
          <w:szCs w:val="24"/>
          <w:bdr w:val="none" w:sz="0" w:space="0" w:color="auto" w:frame="1"/>
        </w:rPr>
        <w:t xml:space="preserve"> As advocated by Advance HE, provide tangible support for staff development, interdisciplinary projects, and curriculum redesign. Acknowledge and reward good practice where ESD has been integrated in ways that are intellectually robust and </w:t>
      </w:r>
      <w:proofErr w:type="gramStart"/>
      <w:r w:rsidRPr="00AB6BEA">
        <w:rPr>
          <w:rFonts w:eastAsia="Times New Roman" w:cs="Arial"/>
          <w:color w:val="1F1F1F"/>
          <w:sz w:val="24"/>
          <w:szCs w:val="24"/>
          <w:bdr w:val="none" w:sz="0" w:space="0" w:color="auto" w:frame="1"/>
        </w:rPr>
        <w:t>discipline-appropriate</w:t>
      </w:r>
      <w:proofErr w:type="gramEnd"/>
      <w:r w:rsidRPr="00AB6BEA">
        <w:rPr>
          <w:rFonts w:eastAsia="Times New Roman" w:cs="Arial"/>
          <w:color w:val="1F1F1F"/>
          <w:sz w:val="24"/>
          <w:szCs w:val="24"/>
          <w:bdr w:val="none" w:sz="0" w:space="0" w:color="auto" w:frame="1"/>
        </w:rPr>
        <w:t>.</w:t>
      </w:r>
    </w:p>
    <w:p w14:paraId="1CF089F1" w14:textId="77777777" w:rsidR="00905C61" w:rsidRDefault="00905C61" w:rsidP="00905C61">
      <w:pPr>
        <w:spacing w:after="150"/>
        <w:rPr>
          <w:rFonts w:eastAsia="Times New Roman" w:cs="Arial"/>
          <w:color w:val="1F1F1F"/>
          <w:sz w:val="24"/>
          <w:szCs w:val="24"/>
        </w:rPr>
      </w:pPr>
    </w:p>
    <w:p w14:paraId="52E8AE87" w14:textId="77777777" w:rsidR="00905C61" w:rsidRPr="00AB6BEA" w:rsidRDefault="00905C61" w:rsidP="00905C61">
      <w:pPr>
        <w:spacing w:after="150"/>
        <w:rPr>
          <w:rFonts w:eastAsia="Times New Roman" w:cs="Arial"/>
          <w:color w:val="1F1F1F"/>
          <w:sz w:val="24"/>
          <w:szCs w:val="24"/>
        </w:rPr>
      </w:pPr>
      <w:r w:rsidRPr="00AB6BEA">
        <w:rPr>
          <w:rFonts w:eastAsia="Times New Roman" w:cs="Arial"/>
          <w:color w:val="1F1F1F"/>
          <w:sz w:val="24"/>
          <w:szCs w:val="24"/>
        </w:rPr>
        <w:t xml:space="preserve">Ultimately, the debate over ESD within History is a microcosm of a larger, existential conversation within the humanities about their public role in the twenty-first century. It forces a confrontation with a fundamental question: is the primary purpose of a history education to understand the past for its own sake, or is it to use that understanding to help shape a better future? How a department, and the </w:t>
      </w:r>
      <w:proofErr w:type="gramStart"/>
      <w:r w:rsidRPr="00AB6BEA">
        <w:rPr>
          <w:rFonts w:eastAsia="Times New Roman" w:cs="Arial"/>
          <w:color w:val="1F1F1F"/>
          <w:sz w:val="24"/>
          <w:szCs w:val="24"/>
        </w:rPr>
        <w:t>discipline as a whole, responds</w:t>
      </w:r>
      <w:proofErr w:type="gramEnd"/>
      <w:r w:rsidRPr="00AB6BEA">
        <w:rPr>
          <w:rFonts w:eastAsia="Times New Roman" w:cs="Arial"/>
          <w:color w:val="1F1F1F"/>
          <w:sz w:val="24"/>
          <w:szCs w:val="24"/>
        </w:rPr>
        <w:t xml:space="preserve"> to the ESD mandate is therefore indicative of its broader philosophical stance on the purpose of historical education in the modern world, making this a profoundly important diagnostic issue for the future of the discipline.</w:t>
      </w:r>
    </w:p>
    <w:p w14:paraId="437C51ED" w14:textId="7E63FB23" w:rsidR="00905C61" w:rsidRPr="00825D96" w:rsidRDefault="00905C61" w:rsidP="00905C61">
      <w:pPr>
        <w:pStyle w:val="Heading2"/>
      </w:pPr>
      <w:bookmarkStart w:id="54" w:name="_Toc229750479"/>
      <w:r>
        <w:t>List of Sources Used</w:t>
      </w:r>
      <w:r w:rsidR="001F29D1">
        <w:t xml:space="preserve"> by Google G</w:t>
      </w:r>
      <w:r w:rsidR="00392AE2">
        <w:t>e</w:t>
      </w:r>
      <w:r w:rsidR="001F29D1">
        <w:t>mini</w:t>
      </w:r>
      <w:bookmarkEnd w:id="54"/>
    </w:p>
    <w:p w14:paraId="135FC59F" w14:textId="77777777" w:rsidR="00905C61" w:rsidRDefault="00905C61" w:rsidP="00905C61">
      <w:pPr>
        <w:rPr>
          <w:sz w:val="24"/>
          <w:szCs w:val="24"/>
        </w:rPr>
      </w:pPr>
    </w:p>
    <w:p w14:paraId="5C2D140A"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Advance HE and Quality Assurance Agency for Higher Education (QAA). (2021). </w:t>
      </w:r>
      <w:r w:rsidRPr="00825D96">
        <w:rPr>
          <w:rFonts w:eastAsia="Times New Roman" w:cs="Arial"/>
          <w:i/>
          <w:iCs/>
          <w:color w:val="1F1F1F"/>
          <w:sz w:val="20"/>
          <w:szCs w:val="20"/>
          <w:bdr w:val="none" w:sz="0" w:space="0" w:color="auto" w:frame="1"/>
        </w:rPr>
        <w:t>Education for Sustainable Development Guidance</w:t>
      </w:r>
      <w:r w:rsidRPr="00825D96">
        <w:rPr>
          <w:rFonts w:eastAsia="Times New Roman" w:cs="Arial"/>
          <w:color w:val="1F1F1F"/>
          <w:sz w:val="20"/>
          <w:szCs w:val="20"/>
        </w:rPr>
        <w:t>.</w:t>
      </w:r>
    </w:p>
    <w:p w14:paraId="4866B513"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lastRenderedPageBreak/>
        <w:t xml:space="preserve">Quality Assurance Agency for Higher Education (QAA). (2021). </w:t>
      </w:r>
      <w:r w:rsidRPr="00825D96">
        <w:rPr>
          <w:rFonts w:eastAsia="Times New Roman" w:cs="Arial"/>
          <w:i/>
          <w:iCs/>
          <w:color w:val="1F1F1F"/>
          <w:sz w:val="20"/>
          <w:szCs w:val="20"/>
          <w:bdr w:val="none" w:sz="0" w:space="0" w:color="auto" w:frame="1"/>
        </w:rPr>
        <w:t>ESD Guidance: Defining Sustainability and Tripartite Frameworks</w:t>
      </w:r>
      <w:r w:rsidRPr="00825D96">
        <w:rPr>
          <w:rFonts w:eastAsia="Times New Roman" w:cs="Arial"/>
          <w:color w:val="1F1F1F"/>
          <w:sz w:val="20"/>
          <w:szCs w:val="20"/>
        </w:rPr>
        <w:t>.</w:t>
      </w:r>
    </w:p>
    <w:p w14:paraId="273D73E5"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UNESCO. (2017). </w:t>
      </w:r>
      <w:r w:rsidRPr="00825D96">
        <w:rPr>
          <w:rFonts w:eastAsia="Times New Roman" w:cs="Arial"/>
          <w:i/>
          <w:iCs/>
          <w:color w:val="1F1F1F"/>
          <w:sz w:val="20"/>
          <w:szCs w:val="20"/>
          <w:bdr w:val="none" w:sz="0" w:space="0" w:color="auto" w:frame="1"/>
        </w:rPr>
        <w:t>Education for Sustainable Development Goals: Learning Objectives and Key Competencies</w:t>
      </w:r>
      <w:r w:rsidRPr="00825D96">
        <w:rPr>
          <w:rFonts w:eastAsia="Times New Roman" w:cs="Arial"/>
          <w:color w:val="1F1F1F"/>
          <w:sz w:val="20"/>
          <w:szCs w:val="20"/>
        </w:rPr>
        <w:t>.</w:t>
      </w:r>
    </w:p>
    <w:p w14:paraId="7B93D16F"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Advance HE. (2021). </w:t>
      </w:r>
      <w:r w:rsidRPr="00825D96">
        <w:rPr>
          <w:rFonts w:eastAsia="Times New Roman" w:cs="Arial"/>
          <w:i/>
          <w:iCs/>
          <w:color w:val="1F1F1F"/>
          <w:sz w:val="20"/>
          <w:szCs w:val="20"/>
          <w:bdr w:val="none" w:sz="0" w:space="0" w:color="auto" w:frame="1"/>
        </w:rPr>
        <w:t>ESD Guidance: Environmental, Social, and Economic Pillars</w:t>
      </w:r>
      <w:r w:rsidRPr="00825D96">
        <w:rPr>
          <w:rFonts w:eastAsia="Times New Roman" w:cs="Arial"/>
          <w:color w:val="1F1F1F"/>
          <w:sz w:val="20"/>
          <w:szCs w:val="20"/>
        </w:rPr>
        <w:t>.</w:t>
      </w:r>
    </w:p>
    <w:p w14:paraId="70D686D5"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Advance HE and QAA. (2021). </w:t>
      </w:r>
      <w:r w:rsidRPr="00825D96">
        <w:rPr>
          <w:rFonts w:eastAsia="Times New Roman" w:cs="Arial"/>
          <w:i/>
          <w:iCs/>
          <w:color w:val="1F1F1F"/>
          <w:sz w:val="20"/>
          <w:szCs w:val="20"/>
          <w:bdr w:val="none" w:sz="0" w:space="0" w:color="auto" w:frame="1"/>
        </w:rPr>
        <w:t>ESD Guidance: Educational Change Agenda and Critical Pedagogy</w:t>
      </w:r>
      <w:r w:rsidRPr="00825D96">
        <w:rPr>
          <w:rFonts w:eastAsia="Times New Roman" w:cs="Arial"/>
          <w:color w:val="1F1F1F"/>
          <w:sz w:val="20"/>
          <w:szCs w:val="20"/>
        </w:rPr>
        <w:t>.</w:t>
      </w:r>
    </w:p>
    <w:p w14:paraId="70FF8ECA"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Advance HE. (2021). </w:t>
      </w:r>
      <w:r w:rsidRPr="00825D96">
        <w:rPr>
          <w:rFonts w:eastAsia="Times New Roman" w:cs="Arial"/>
          <w:i/>
          <w:iCs/>
          <w:color w:val="1F1F1F"/>
          <w:sz w:val="20"/>
          <w:szCs w:val="20"/>
          <w:bdr w:val="none" w:sz="0" w:space="0" w:color="auto" w:frame="1"/>
        </w:rPr>
        <w:t>Practice Guides to support Education for Sustainable Development in Higher Education</w:t>
      </w:r>
      <w:r w:rsidRPr="00825D96">
        <w:rPr>
          <w:rFonts w:eastAsia="Times New Roman" w:cs="Arial"/>
          <w:color w:val="1F1F1F"/>
          <w:sz w:val="20"/>
          <w:szCs w:val="20"/>
        </w:rPr>
        <w:t>.</w:t>
      </w:r>
    </w:p>
    <w:p w14:paraId="1715CD80"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Advance HE. (2021). </w:t>
      </w:r>
      <w:r w:rsidRPr="00825D96">
        <w:rPr>
          <w:rFonts w:eastAsia="Times New Roman" w:cs="Arial"/>
          <w:i/>
          <w:iCs/>
          <w:color w:val="1F1F1F"/>
          <w:sz w:val="20"/>
          <w:szCs w:val="20"/>
          <w:bdr w:val="none" w:sz="0" w:space="0" w:color="auto" w:frame="1"/>
        </w:rPr>
        <w:t>ESD Framework: Connecting Strategic Priorities and Employability</w:t>
      </w:r>
      <w:r w:rsidRPr="00825D96">
        <w:rPr>
          <w:rFonts w:eastAsia="Times New Roman" w:cs="Arial"/>
          <w:color w:val="1F1F1F"/>
          <w:sz w:val="20"/>
          <w:szCs w:val="20"/>
        </w:rPr>
        <w:t>.</w:t>
      </w:r>
    </w:p>
    <w:p w14:paraId="3A79738E"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Students Organising for Sustainability (SOS-UK). (2020). </w:t>
      </w:r>
      <w:r w:rsidRPr="00825D96">
        <w:rPr>
          <w:rFonts w:eastAsia="Times New Roman" w:cs="Arial"/>
          <w:i/>
          <w:iCs/>
          <w:color w:val="1F1F1F"/>
          <w:sz w:val="20"/>
          <w:szCs w:val="20"/>
          <w:bdr w:val="none" w:sz="0" w:space="0" w:color="auto" w:frame="1"/>
        </w:rPr>
        <w:t>Sustainability Skills Survey Results</w:t>
      </w:r>
      <w:r w:rsidRPr="00825D96">
        <w:rPr>
          <w:rFonts w:eastAsia="Times New Roman" w:cs="Arial"/>
          <w:color w:val="1F1F1F"/>
          <w:sz w:val="20"/>
          <w:szCs w:val="20"/>
        </w:rPr>
        <w:t>.</w:t>
      </w:r>
    </w:p>
    <w:p w14:paraId="6052D012"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University of Reading. (2021). </w:t>
      </w:r>
      <w:r w:rsidRPr="00825D96">
        <w:rPr>
          <w:rFonts w:eastAsia="Times New Roman" w:cs="Arial"/>
          <w:i/>
          <w:iCs/>
          <w:color w:val="1F1F1F"/>
          <w:sz w:val="20"/>
          <w:szCs w:val="20"/>
          <w:bdr w:val="none" w:sz="0" w:space="0" w:color="auto" w:frame="1"/>
        </w:rPr>
        <w:t>National Metrics and Student Demand for Sustainable Development</w:t>
      </w:r>
      <w:r w:rsidRPr="00825D96">
        <w:rPr>
          <w:rFonts w:eastAsia="Times New Roman" w:cs="Arial"/>
          <w:color w:val="1F1F1F"/>
          <w:sz w:val="20"/>
          <w:szCs w:val="20"/>
        </w:rPr>
        <w:t>.</w:t>
      </w:r>
    </w:p>
    <w:p w14:paraId="6405394C"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University of Reading. (2020). </w:t>
      </w:r>
      <w:r w:rsidRPr="00825D96">
        <w:rPr>
          <w:rFonts w:eastAsia="Times New Roman" w:cs="Arial"/>
          <w:i/>
          <w:iCs/>
          <w:color w:val="1F1F1F"/>
          <w:sz w:val="20"/>
          <w:szCs w:val="20"/>
          <w:bdr w:val="none" w:sz="0" w:space="0" w:color="auto" w:frame="1"/>
        </w:rPr>
        <w:t>Sustainability Strategic Plan 2020-2026</w:t>
      </w:r>
      <w:r w:rsidRPr="00825D96">
        <w:rPr>
          <w:rFonts w:eastAsia="Times New Roman" w:cs="Arial"/>
          <w:color w:val="1F1F1F"/>
          <w:sz w:val="20"/>
          <w:szCs w:val="20"/>
        </w:rPr>
        <w:t>.</w:t>
      </w:r>
    </w:p>
    <w:p w14:paraId="377414FE"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Quality Assurance Agency for Higher Education (QAA). (2021). </w:t>
      </w:r>
      <w:r w:rsidRPr="00825D96">
        <w:rPr>
          <w:rFonts w:eastAsia="Times New Roman" w:cs="Arial"/>
          <w:i/>
          <w:iCs/>
          <w:color w:val="1F1F1F"/>
          <w:sz w:val="20"/>
          <w:szCs w:val="20"/>
          <w:bdr w:val="none" w:sz="0" w:space="0" w:color="auto" w:frame="1"/>
        </w:rPr>
        <w:t>Strategic Positioning of ESD in Institutional Quality Codes</w:t>
      </w:r>
      <w:r w:rsidRPr="00825D96">
        <w:rPr>
          <w:rFonts w:eastAsia="Times New Roman" w:cs="Arial"/>
          <w:color w:val="1F1F1F"/>
          <w:sz w:val="20"/>
          <w:szCs w:val="20"/>
        </w:rPr>
        <w:t>.</w:t>
      </w:r>
    </w:p>
    <w:p w14:paraId="7B561BD4"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Advance HE. (2021). </w:t>
      </w:r>
      <w:r w:rsidRPr="00825D96">
        <w:rPr>
          <w:rFonts w:eastAsia="Times New Roman" w:cs="Arial"/>
          <w:i/>
          <w:iCs/>
          <w:color w:val="1F1F1F"/>
          <w:sz w:val="20"/>
          <w:szCs w:val="20"/>
          <w:bdr w:val="none" w:sz="0" w:space="0" w:color="auto" w:frame="1"/>
        </w:rPr>
        <w:t>Fostering Student Agency and Citizenship for a Sustainable Future</w:t>
      </w:r>
      <w:r w:rsidRPr="00825D96">
        <w:rPr>
          <w:rFonts w:eastAsia="Times New Roman" w:cs="Arial"/>
          <w:color w:val="1F1F1F"/>
          <w:sz w:val="20"/>
          <w:szCs w:val="20"/>
        </w:rPr>
        <w:t>.</w:t>
      </w:r>
    </w:p>
    <w:p w14:paraId="31767FC4"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Advance HE. (2021). </w:t>
      </w:r>
      <w:r w:rsidRPr="00825D96">
        <w:rPr>
          <w:rFonts w:eastAsia="Times New Roman" w:cs="Arial"/>
          <w:i/>
          <w:iCs/>
          <w:color w:val="1F1F1F"/>
          <w:sz w:val="20"/>
          <w:szCs w:val="20"/>
          <w:bdr w:val="none" w:sz="0" w:space="0" w:color="auto" w:frame="1"/>
        </w:rPr>
        <w:t>Mapping and Evaluating Staff and Student Engagement with ESD</w:t>
      </w:r>
      <w:r w:rsidRPr="00825D96">
        <w:rPr>
          <w:rFonts w:eastAsia="Times New Roman" w:cs="Arial"/>
          <w:color w:val="1F1F1F"/>
          <w:sz w:val="20"/>
          <w:szCs w:val="20"/>
        </w:rPr>
        <w:t>.</w:t>
      </w:r>
    </w:p>
    <w:p w14:paraId="2A103D53"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Quality Assurance Agency for Higher Education (QAA). (2022). </w:t>
      </w:r>
      <w:r w:rsidRPr="00825D96">
        <w:rPr>
          <w:rFonts w:eastAsia="Times New Roman" w:cs="Arial"/>
          <w:i/>
          <w:iCs/>
          <w:color w:val="1F1F1F"/>
          <w:sz w:val="20"/>
          <w:szCs w:val="20"/>
          <w:bdr w:val="none" w:sz="0" w:space="0" w:color="auto" w:frame="1"/>
        </w:rPr>
        <w:t>Subject Benchmark Statement for History</w:t>
      </w:r>
      <w:r w:rsidRPr="00825D96">
        <w:rPr>
          <w:rFonts w:eastAsia="Times New Roman" w:cs="Arial"/>
          <w:color w:val="1F1F1F"/>
          <w:sz w:val="20"/>
          <w:szCs w:val="20"/>
        </w:rPr>
        <w:t>.</w:t>
      </w:r>
    </w:p>
    <w:p w14:paraId="4C0D58B1"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Fulton, E. (2022). </w:t>
      </w:r>
      <w:r w:rsidRPr="00825D96">
        <w:rPr>
          <w:rFonts w:eastAsia="Times New Roman" w:cs="Arial"/>
          <w:i/>
          <w:iCs/>
          <w:color w:val="1F1F1F"/>
          <w:sz w:val="20"/>
          <w:szCs w:val="20"/>
          <w:bdr w:val="none" w:sz="0" w:space="0" w:color="auto" w:frame="1"/>
        </w:rPr>
        <w:t>Chair's Statement: 2022 History Benchmark Statement Advisory Group</w:t>
      </w:r>
      <w:r w:rsidRPr="00825D96">
        <w:rPr>
          <w:rFonts w:eastAsia="Times New Roman" w:cs="Arial"/>
          <w:color w:val="1F1F1F"/>
          <w:sz w:val="20"/>
          <w:szCs w:val="20"/>
        </w:rPr>
        <w:t>.</w:t>
      </w:r>
    </w:p>
    <w:p w14:paraId="37105957"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Stott, V. (2022). </w:t>
      </w:r>
      <w:r w:rsidRPr="00825D96">
        <w:rPr>
          <w:rFonts w:eastAsia="Times New Roman" w:cs="Arial"/>
          <w:i/>
          <w:iCs/>
          <w:color w:val="1F1F1F"/>
          <w:sz w:val="20"/>
          <w:szCs w:val="20"/>
          <w:bdr w:val="none" w:sz="0" w:space="0" w:color="auto" w:frame="1"/>
        </w:rPr>
        <w:t>Response to Criticism of Subject Benchmark Statement Restrictiveness</w:t>
      </w:r>
      <w:r w:rsidRPr="00825D96">
        <w:rPr>
          <w:rFonts w:eastAsia="Times New Roman" w:cs="Arial"/>
          <w:color w:val="1F1F1F"/>
          <w:sz w:val="20"/>
          <w:szCs w:val="20"/>
        </w:rPr>
        <w:t>.</w:t>
      </w:r>
    </w:p>
    <w:p w14:paraId="09402CAF"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Quality Assurance Agency for Higher Education (QAA). (2022). </w:t>
      </w:r>
      <w:r w:rsidRPr="00825D96">
        <w:rPr>
          <w:rFonts w:eastAsia="Times New Roman" w:cs="Arial"/>
          <w:i/>
          <w:iCs/>
          <w:color w:val="1F1F1F"/>
          <w:sz w:val="20"/>
          <w:szCs w:val="20"/>
          <w:bdr w:val="none" w:sz="0" w:space="0" w:color="auto" w:frame="1"/>
        </w:rPr>
        <w:t>Nature of Study and Academic Standards: History</w:t>
      </w:r>
      <w:r w:rsidRPr="00825D96">
        <w:rPr>
          <w:rFonts w:eastAsia="Times New Roman" w:cs="Arial"/>
          <w:color w:val="1F1F1F"/>
          <w:sz w:val="20"/>
          <w:szCs w:val="20"/>
        </w:rPr>
        <w:t>.</w:t>
      </w:r>
    </w:p>
    <w:p w14:paraId="7DFEF363"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Quality Assurance Agency for Higher Education (QAA). (2022). </w:t>
      </w:r>
      <w:r w:rsidRPr="00825D96">
        <w:rPr>
          <w:rFonts w:eastAsia="Times New Roman" w:cs="Arial"/>
          <w:i/>
          <w:iCs/>
          <w:color w:val="1F1F1F"/>
          <w:sz w:val="20"/>
          <w:szCs w:val="20"/>
          <w:bdr w:val="none" w:sz="0" w:space="0" w:color="auto" w:frame="1"/>
        </w:rPr>
        <w:t>History Subject Benchmark Statement: Core Methodologies and evidence analysis</w:t>
      </w:r>
      <w:r w:rsidRPr="00825D96">
        <w:rPr>
          <w:rFonts w:eastAsia="Times New Roman" w:cs="Arial"/>
          <w:color w:val="1F1F1F"/>
          <w:sz w:val="20"/>
          <w:szCs w:val="20"/>
        </w:rPr>
        <w:t>.</w:t>
      </w:r>
    </w:p>
    <w:p w14:paraId="38CC178C"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Royal Historical Society (RHS). (2024). </w:t>
      </w:r>
      <w:r w:rsidRPr="00825D96">
        <w:rPr>
          <w:rFonts w:eastAsia="Times New Roman" w:cs="Arial"/>
          <w:i/>
          <w:iCs/>
          <w:color w:val="1F1F1F"/>
          <w:sz w:val="20"/>
          <w:szCs w:val="20"/>
          <w:bdr w:val="none" w:sz="0" w:space="0" w:color="auto" w:frame="1"/>
        </w:rPr>
        <w:t>History and Sustainability: Thinking like a Historian and Deconstructing Narratives</w:t>
      </w:r>
      <w:r w:rsidRPr="00825D96">
        <w:rPr>
          <w:rFonts w:eastAsia="Times New Roman" w:cs="Arial"/>
          <w:color w:val="1F1F1F"/>
          <w:sz w:val="20"/>
          <w:szCs w:val="20"/>
        </w:rPr>
        <w:t>.</w:t>
      </w:r>
    </w:p>
    <w:p w14:paraId="08B035FF"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Royal Historical Society (RHS). (2022). </w:t>
      </w:r>
      <w:r w:rsidRPr="00825D96">
        <w:rPr>
          <w:rFonts w:eastAsia="Times New Roman" w:cs="Arial"/>
          <w:i/>
          <w:iCs/>
          <w:color w:val="1F1F1F"/>
          <w:sz w:val="20"/>
          <w:szCs w:val="20"/>
          <w:bdr w:val="none" w:sz="0" w:space="0" w:color="auto" w:frame="1"/>
        </w:rPr>
        <w:t>Reflecting on Value Systems and Norms in Historical Contexts</w:t>
      </w:r>
      <w:r w:rsidRPr="00825D96">
        <w:rPr>
          <w:rFonts w:eastAsia="Times New Roman" w:cs="Arial"/>
          <w:color w:val="1F1F1F"/>
          <w:sz w:val="20"/>
          <w:szCs w:val="20"/>
        </w:rPr>
        <w:t>.</w:t>
      </w:r>
    </w:p>
    <w:p w14:paraId="6B142CD5"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White, R. M., Kemp, S., Price, E. A. C., &amp; Longhurst, J. W. S. (Eds.). (2025). </w:t>
      </w:r>
      <w:r w:rsidRPr="00825D96">
        <w:rPr>
          <w:rFonts w:eastAsia="Times New Roman" w:cs="Arial"/>
          <w:i/>
          <w:iCs/>
          <w:color w:val="1F1F1F"/>
          <w:sz w:val="20"/>
          <w:szCs w:val="20"/>
          <w:bdr w:val="none" w:sz="0" w:space="0" w:color="auto" w:frame="1"/>
        </w:rPr>
        <w:t>Perspectives and Practices of Education for Sustainable Development</w:t>
      </w:r>
      <w:r w:rsidRPr="00825D96">
        <w:rPr>
          <w:rFonts w:eastAsia="Times New Roman" w:cs="Arial"/>
          <w:color w:val="1F1F1F"/>
          <w:sz w:val="20"/>
          <w:szCs w:val="20"/>
        </w:rPr>
        <w:t>.</w:t>
      </w:r>
    </w:p>
    <w:p w14:paraId="0008E63D"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White, R. M., &amp; </w:t>
      </w:r>
      <w:proofErr w:type="spellStart"/>
      <w:r w:rsidRPr="00825D96">
        <w:rPr>
          <w:rFonts w:eastAsia="Times New Roman" w:cs="Arial"/>
          <w:color w:val="1F1F1F"/>
          <w:sz w:val="20"/>
          <w:szCs w:val="20"/>
        </w:rPr>
        <w:t>Preist</w:t>
      </w:r>
      <w:proofErr w:type="spellEnd"/>
      <w:r w:rsidRPr="00825D96">
        <w:rPr>
          <w:rFonts w:eastAsia="Times New Roman" w:cs="Arial"/>
          <w:color w:val="1F1F1F"/>
          <w:sz w:val="20"/>
          <w:szCs w:val="20"/>
        </w:rPr>
        <w:t xml:space="preserve">, C. (2025). </w:t>
      </w:r>
      <w:r w:rsidRPr="00825D96">
        <w:rPr>
          <w:rFonts w:eastAsia="Times New Roman" w:cs="Arial"/>
          <w:i/>
          <w:iCs/>
          <w:color w:val="1F1F1F"/>
          <w:sz w:val="20"/>
          <w:szCs w:val="20"/>
          <w:bdr w:val="none" w:sz="0" w:space="0" w:color="auto" w:frame="1"/>
        </w:rPr>
        <w:t>ESD: From Disciplinary to Transdisciplinary Approaches</w:t>
      </w:r>
      <w:r w:rsidRPr="00825D96">
        <w:rPr>
          <w:rFonts w:eastAsia="Times New Roman" w:cs="Arial"/>
          <w:color w:val="1F1F1F"/>
          <w:sz w:val="20"/>
          <w:szCs w:val="20"/>
        </w:rPr>
        <w:t>.</w:t>
      </w:r>
    </w:p>
    <w:p w14:paraId="70755333"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National Council on Public History. (2022). </w:t>
      </w:r>
      <w:r w:rsidRPr="00825D96">
        <w:rPr>
          <w:rFonts w:eastAsia="Times New Roman" w:cs="Arial"/>
          <w:i/>
          <w:iCs/>
          <w:color w:val="1F1F1F"/>
          <w:sz w:val="20"/>
          <w:szCs w:val="20"/>
          <w:bdr w:val="none" w:sz="0" w:space="0" w:color="auto" w:frame="1"/>
        </w:rPr>
        <w:t>Ethics and Professional Conduct for Historians</w:t>
      </w:r>
      <w:r w:rsidRPr="00825D96">
        <w:rPr>
          <w:rFonts w:eastAsia="Times New Roman" w:cs="Arial"/>
          <w:color w:val="1F1F1F"/>
          <w:sz w:val="20"/>
          <w:szCs w:val="20"/>
        </w:rPr>
        <w:t>.</w:t>
      </w:r>
    </w:p>
    <w:p w14:paraId="6005CFB3"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Royal Historical Society (RHS). (2023). </w:t>
      </w:r>
      <w:r w:rsidRPr="00825D96">
        <w:rPr>
          <w:rFonts w:eastAsia="Times New Roman" w:cs="Arial"/>
          <w:i/>
          <w:iCs/>
          <w:color w:val="1F1F1F"/>
          <w:sz w:val="20"/>
          <w:szCs w:val="20"/>
          <w:bdr w:val="none" w:sz="0" w:space="0" w:color="auto" w:frame="1"/>
        </w:rPr>
        <w:t>Annual Report: Advocacy and Support for Historical Research</w:t>
      </w:r>
      <w:r w:rsidRPr="00825D96">
        <w:rPr>
          <w:rFonts w:eastAsia="Times New Roman" w:cs="Arial"/>
          <w:color w:val="1F1F1F"/>
          <w:sz w:val="20"/>
          <w:szCs w:val="20"/>
        </w:rPr>
        <w:t>.</w:t>
      </w:r>
    </w:p>
    <w:p w14:paraId="59FDFD63"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Royal Historical Society (RHS). (2023). </w:t>
      </w:r>
      <w:r w:rsidRPr="00825D96">
        <w:rPr>
          <w:rFonts w:eastAsia="Times New Roman" w:cs="Arial"/>
          <w:i/>
          <w:iCs/>
          <w:color w:val="1F1F1F"/>
          <w:sz w:val="20"/>
          <w:szCs w:val="20"/>
          <w:bdr w:val="none" w:sz="0" w:space="0" w:color="auto" w:frame="1"/>
        </w:rPr>
        <w:t>Trustees' Report on Ethical Rigour and Transparency</w:t>
      </w:r>
      <w:r w:rsidRPr="00825D96">
        <w:rPr>
          <w:rFonts w:eastAsia="Times New Roman" w:cs="Arial"/>
          <w:color w:val="1F1F1F"/>
          <w:sz w:val="20"/>
          <w:szCs w:val="20"/>
        </w:rPr>
        <w:t>.</w:t>
      </w:r>
    </w:p>
    <w:p w14:paraId="7FEEA65D"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lastRenderedPageBreak/>
        <w:t xml:space="preserve">RHS, History UK, and Historical Association. (2024). </w:t>
      </w:r>
      <w:r w:rsidRPr="00825D96">
        <w:rPr>
          <w:rFonts w:eastAsia="Times New Roman" w:cs="Arial"/>
          <w:i/>
          <w:iCs/>
          <w:color w:val="1F1F1F"/>
          <w:sz w:val="20"/>
          <w:szCs w:val="20"/>
          <w:bdr w:val="none" w:sz="0" w:space="0" w:color="auto" w:frame="1"/>
        </w:rPr>
        <w:t>Protecting What Matters: Joint Statement on History Teaching and Social Cohesion</w:t>
      </w:r>
      <w:r w:rsidRPr="00825D96">
        <w:rPr>
          <w:rFonts w:eastAsia="Times New Roman" w:cs="Arial"/>
          <w:color w:val="1F1F1F"/>
          <w:sz w:val="20"/>
          <w:szCs w:val="20"/>
        </w:rPr>
        <w:t>.</w:t>
      </w:r>
    </w:p>
    <w:p w14:paraId="0171311B"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Quality Assurance Agency for Higher Education (QAA). (2022). </w:t>
      </w:r>
      <w:r w:rsidRPr="00825D96">
        <w:rPr>
          <w:rFonts w:eastAsia="Times New Roman" w:cs="Arial"/>
          <w:i/>
          <w:iCs/>
          <w:color w:val="1F1F1F"/>
          <w:sz w:val="20"/>
          <w:szCs w:val="20"/>
          <w:bdr w:val="none" w:sz="0" w:space="0" w:color="auto" w:frame="1"/>
        </w:rPr>
        <w:t>Institutional Review and Quality Codes for Sustainability Integration</w:t>
      </w:r>
      <w:r w:rsidRPr="00825D96">
        <w:rPr>
          <w:rFonts w:eastAsia="Times New Roman" w:cs="Arial"/>
          <w:color w:val="1F1F1F"/>
          <w:sz w:val="20"/>
          <w:szCs w:val="20"/>
        </w:rPr>
        <w:t>.</w:t>
      </w:r>
    </w:p>
    <w:p w14:paraId="6E757AE6"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University of Reading. (2024). </w:t>
      </w:r>
      <w:r w:rsidRPr="00825D96">
        <w:rPr>
          <w:rFonts w:eastAsia="Times New Roman" w:cs="Arial"/>
          <w:i/>
          <w:iCs/>
          <w:color w:val="1F1F1F"/>
          <w:sz w:val="20"/>
          <w:szCs w:val="20"/>
          <w:bdr w:val="none" w:sz="0" w:space="0" w:color="auto" w:frame="1"/>
        </w:rPr>
        <w:t>ESD Ratings and Institutional Success in National Metrics</w:t>
      </w:r>
      <w:r w:rsidRPr="00825D96">
        <w:rPr>
          <w:rFonts w:eastAsia="Times New Roman" w:cs="Arial"/>
          <w:color w:val="1F1F1F"/>
          <w:sz w:val="20"/>
          <w:szCs w:val="20"/>
        </w:rPr>
        <w:t>.</w:t>
      </w:r>
    </w:p>
    <w:p w14:paraId="2BF8BC33"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University of Reading. (2023). </w:t>
      </w:r>
      <w:r w:rsidRPr="00825D96">
        <w:rPr>
          <w:rFonts w:eastAsia="Times New Roman" w:cs="Arial"/>
          <w:i/>
          <w:iCs/>
          <w:color w:val="1F1F1F"/>
          <w:sz w:val="20"/>
          <w:szCs w:val="20"/>
          <w:bdr w:val="none" w:sz="0" w:space="0" w:color="auto" w:frame="1"/>
        </w:rPr>
        <w:t>ESD as an Organising Principle in Higher Education</w:t>
      </w:r>
      <w:r w:rsidRPr="00825D96">
        <w:rPr>
          <w:rFonts w:eastAsia="Times New Roman" w:cs="Arial"/>
          <w:color w:val="1F1F1F"/>
          <w:sz w:val="20"/>
          <w:szCs w:val="20"/>
        </w:rPr>
        <w:t>.</w:t>
      </w:r>
    </w:p>
    <w:p w14:paraId="0058AC19"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SOAS, University of London. (2024). </w:t>
      </w:r>
      <w:r w:rsidRPr="00825D96">
        <w:rPr>
          <w:rFonts w:eastAsia="Times New Roman" w:cs="Arial"/>
          <w:i/>
          <w:iCs/>
          <w:color w:val="1F1F1F"/>
          <w:sz w:val="20"/>
          <w:szCs w:val="20"/>
          <w:bdr w:val="none" w:sz="0" w:space="0" w:color="auto" w:frame="1"/>
        </w:rPr>
        <w:t>Teaching History Inclusively: Case Study on Empire, Resource Extraction, and Education</w:t>
      </w:r>
      <w:r w:rsidRPr="00825D96">
        <w:rPr>
          <w:rFonts w:eastAsia="Times New Roman" w:cs="Arial"/>
          <w:color w:val="1F1F1F"/>
          <w:sz w:val="20"/>
          <w:szCs w:val="20"/>
        </w:rPr>
        <w:t>.</w:t>
      </w:r>
    </w:p>
    <w:p w14:paraId="64CEFE11"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Institution of Environmental Sciences (IES). (2022). </w:t>
      </w:r>
      <w:r w:rsidRPr="00825D96">
        <w:rPr>
          <w:rFonts w:eastAsia="Times New Roman" w:cs="Arial"/>
          <w:i/>
          <w:iCs/>
          <w:color w:val="1F1F1F"/>
          <w:sz w:val="20"/>
          <w:szCs w:val="20"/>
          <w:bdr w:val="none" w:sz="0" w:space="0" w:color="auto" w:frame="1"/>
        </w:rPr>
        <w:t>50 Years of Environmental Science: A Historical Perspective</w:t>
      </w:r>
      <w:r w:rsidRPr="00825D96">
        <w:rPr>
          <w:rFonts w:eastAsia="Times New Roman" w:cs="Arial"/>
          <w:color w:val="1F1F1F"/>
          <w:sz w:val="20"/>
          <w:szCs w:val="20"/>
        </w:rPr>
        <w:t>.</w:t>
      </w:r>
    </w:p>
    <w:p w14:paraId="73F5BAD9"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Institution of Environmental Sciences (IES). (2022). </w:t>
      </w:r>
      <w:r w:rsidRPr="00825D96">
        <w:rPr>
          <w:rFonts w:eastAsia="Times New Roman" w:cs="Arial"/>
          <w:i/>
          <w:iCs/>
          <w:color w:val="1F1F1F"/>
          <w:sz w:val="20"/>
          <w:szCs w:val="20"/>
          <w:bdr w:val="none" w:sz="0" w:space="0" w:color="auto" w:frame="1"/>
        </w:rPr>
        <w:t>Causes, Consequences and Solutions: The Rise of Environmental Science Since 1972</w:t>
      </w:r>
      <w:r w:rsidRPr="00825D96">
        <w:rPr>
          <w:rFonts w:eastAsia="Times New Roman" w:cs="Arial"/>
          <w:color w:val="1F1F1F"/>
          <w:sz w:val="20"/>
          <w:szCs w:val="20"/>
        </w:rPr>
        <w:t>.</w:t>
      </w:r>
    </w:p>
    <w:p w14:paraId="350E1BE8"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University of Kentucky. (2018). </w:t>
      </w:r>
      <w:r w:rsidRPr="00825D96">
        <w:rPr>
          <w:rFonts w:eastAsia="Times New Roman" w:cs="Arial"/>
          <w:i/>
          <w:iCs/>
          <w:color w:val="1F1F1F"/>
          <w:sz w:val="20"/>
          <w:szCs w:val="20"/>
          <w:bdr w:val="none" w:sz="0" w:space="0" w:color="auto" w:frame="1"/>
        </w:rPr>
        <w:t>Environmental Humanities Initiative and Interdisciplinary Research Centres</w:t>
      </w:r>
      <w:r w:rsidRPr="00825D96">
        <w:rPr>
          <w:rFonts w:eastAsia="Times New Roman" w:cs="Arial"/>
          <w:color w:val="1F1F1F"/>
          <w:sz w:val="20"/>
          <w:szCs w:val="20"/>
        </w:rPr>
        <w:t>.</w:t>
      </w:r>
    </w:p>
    <w:p w14:paraId="79515D88"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Cambridge Elements. (2024). </w:t>
      </w:r>
      <w:r w:rsidRPr="00825D96">
        <w:rPr>
          <w:rFonts w:eastAsia="Times New Roman" w:cs="Arial"/>
          <w:i/>
          <w:iCs/>
          <w:color w:val="1F1F1F"/>
          <w:sz w:val="20"/>
          <w:szCs w:val="20"/>
          <w:bdr w:val="none" w:sz="0" w:space="0" w:color="auto" w:frame="1"/>
        </w:rPr>
        <w:t>Environmental Humanities and Species History Awareness</w:t>
      </w:r>
      <w:r w:rsidRPr="00825D96">
        <w:rPr>
          <w:rFonts w:eastAsia="Times New Roman" w:cs="Arial"/>
          <w:color w:val="1F1F1F"/>
          <w:sz w:val="20"/>
          <w:szCs w:val="20"/>
        </w:rPr>
        <w:t>.</w:t>
      </w:r>
    </w:p>
    <w:p w14:paraId="417E2AD5"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Routledge. (2025). </w:t>
      </w:r>
      <w:r w:rsidRPr="00825D96">
        <w:rPr>
          <w:rFonts w:eastAsia="Times New Roman" w:cs="Arial"/>
          <w:i/>
          <w:iCs/>
          <w:color w:val="1F1F1F"/>
          <w:sz w:val="20"/>
          <w:szCs w:val="20"/>
          <w:bdr w:val="none" w:sz="0" w:space="0" w:color="auto" w:frame="1"/>
        </w:rPr>
        <w:t>Environmental Humanities Series: Interdisciplinary Lenses on Sustainability</w:t>
      </w:r>
      <w:r w:rsidRPr="00825D96">
        <w:rPr>
          <w:rFonts w:eastAsia="Times New Roman" w:cs="Arial"/>
          <w:color w:val="1F1F1F"/>
          <w:sz w:val="20"/>
          <w:szCs w:val="20"/>
        </w:rPr>
        <w:t>.</w:t>
      </w:r>
    </w:p>
    <w:p w14:paraId="203E13F5"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Quality Assurance Agency for Higher Education (QAA). (2022). </w:t>
      </w:r>
      <w:r w:rsidRPr="00825D96">
        <w:rPr>
          <w:rFonts w:eastAsia="Times New Roman" w:cs="Arial"/>
          <w:i/>
          <w:iCs/>
          <w:color w:val="1F1F1F"/>
          <w:sz w:val="20"/>
          <w:szCs w:val="20"/>
          <w:bdr w:val="none" w:sz="0" w:space="0" w:color="auto" w:frame="1"/>
        </w:rPr>
        <w:t>Curriculum Design and Review: Collaborative Enhancement Projects (University of Warwick/UWE)</w:t>
      </w:r>
      <w:r w:rsidRPr="00825D96">
        <w:rPr>
          <w:rFonts w:eastAsia="Times New Roman" w:cs="Arial"/>
          <w:color w:val="1F1F1F"/>
          <w:sz w:val="20"/>
          <w:szCs w:val="20"/>
        </w:rPr>
        <w:t>.</w:t>
      </w:r>
    </w:p>
    <w:p w14:paraId="08906B09"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White, R. M. (2025). </w:t>
      </w:r>
      <w:r w:rsidRPr="00825D96">
        <w:rPr>
          <w:rFonts w:eastAsia="Times New Roman" w:cs="Arial"/>
          <w:i/>
          <w:iCs/>
          <w:color w:val="1F1F1F"/>
          <w:sz w:val="20"/>
          <w:szCs w:val="20"/>
          <w:bdr w:val="none" w:sz="0" w:space="0" w:color="auto" w:frame="1"/>
        </w:rPr>
        <w:t>Conclusions: Creating Hope Through Education for Future Generations</w:t>
      </w:r>
      <w:r w:rsidRPr="00825D96">
        <w:rPr>
          <w:rFonts w:eastAsia="Times New Roman" w:cs="Arial"/>
          <w:color w:val="1F1F1F"/>
          <w:sz w:val="20"/>
          <w:szCs w:val="20"/>
        </w:rPr>
        <w:t>.</w:t>
      </w:r>
    </w:p>
    <w:p w14:paraId="2766E142"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REF 2021. (2021). </w:t>
      </w:r>
      <w:r w:rsidRPr="00825D96">
        <w:rPr>
          <w:rFonts w:eastAsia="Times New Roman" w:cs="Arial"/>
          <w:i/>
          <w:iCs/>
          <w:color w:val="1F1F1F"/>
          <w:sz w:val="20"/>
          <w:szCs w:val="20"/>
          <w:bdr w:val="none" w:sz="0" w:space="0" w:color="auto" w:frame="1"/>
        </w:rPr>
        <w:t>Environment Statement: Public History, Heritage, and Civic Mission</w:t>
      </w:r>
      <w:r w:rsidRPr="00825D96">
        <w:rPr>
          <w:rFonts w:eastAsia="Times New Roman" w:cs="Arial"/>
          <w:color w:val="1F1F1F"/>
          <w:sz w:val="20"/>
          <w:szCs w:val="20"/>
        </w:rPr>
        <w:t>.</w:t>
      </w:r>
    </w:p>
    <w:p w14:paraId="30DC622A"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University of the West of England (UWE). (2024). </w:t>
      </w:r>
      <w:r w:rsidRPr="00825D96">
        <w:rPr>
          <w:rFonts w:eastAsia="Times New Roman" w:cs="Arial"/>
          <w:i/>
          <w:iCs/>
          <w:color w:val="1F1F1F"/>
          <w:sz w:val="20"/>
          <w:szCs w:val="20"/>
          <w:bdr w:val="none" w:sz="0" w:space="0" w:color="auto" w:frame="1"/>
        </w:rPr>
        <w:t>History in ICT for Sustainability Teaching and Skills Mapping</w:t>
      </w:r>
      <w:r w:rsidRPr="00825D96">
        <w:rPr>
          <w:rFonts w:eastAsia="Times New Roman" w:cs="Arial"/>
          <w:color w:val="1F1F1F"/>
          <w:sz w:val="20"/>
          <w:szCs w:val="20"/>
        </w:rPr>
        <w:t>.</w:t>
      </w:r>
    </w:p>
    <w:p w14:paraId="11AEC026" w14:textId="77777777" w:rsidR="00905C61" w:rsidRPr="00825D96" w:rsidRDefault="00905C61" w:rsidP="00905C61">
      <w:pPr>
        <w:numPr>
          <w:ilvl w:val="0"/>
          <w:numId w:val="7"/>
        </w:numPr>
        <w:rPr>
          <w:rFonts w:eastAsia="Times New Roman" w:cs="Arial"/>
          <w:color w:val="1F1F1F"/>
          <w:sz w:val="20"/>
          <w:szCs w:val="20"/>
        </w:rPr>
      </w:pPr>
      <w:r w:rsidRPr="00825D96">
        <w:rPr>
          <w:rFonts w:eastAsia="Times New Roman" w:cs="Arial"/>
          <w:color w:val="1F1F1F"/>
          <w:sz w:val="20"/>
          <w:szCs w:val="20"/>
        </w:rPr>
        <w:t xml:space="preserve">Royal Historical Society and University of the West of England. (2024). </w:t>
      </w:r>
      <w:r w:rsidRPr="00825D96">
        <w:rPr>
          <w:rFonts w:eastAsia="Times New Roman" w:cs="Arial"/>
          <w:i/>
          <w:iCs/>
          <w:color w:val="1F1F1F"/>
          <w:sz w:val="20"/>
          <w:szCs w:val="20"/>
          <w:bdr w:val="none" w:sz="0" w:space="0" w:color="auto" w:frame="1"/>
        </w:rPr>
        <w:t>Learning Together: History and Sustainability in ICT Students</w:t>
      </w:r>
      <w:r w:rsidRPr="00825D96">
        <w:rPr>
          <w:rFonts w:eastAsia="Times New Roman" w:cs="Arial"/>
          <w:color w:val="1F1F1F"/>
          <w:sz w:val="20"/>
          <w:szCs w:val="20"/>
        </w:rPr>
        <w:t>.</w:t>
      </w:r>
    </w:p>
    <w:p w14:paraId="780E31F1" w14:textId="77777777" w:rsidR="00905C61" w:rsidRPr="00AB6BEA" w:rsidRDefault="00905C61" w:rsidP="00905C61">
      <w:pPr>
        <w:rPr>
          <w:sz w:val="24"/>
          <w:szCs w:val="24"/>
        </w:rPr>
      </w:pPr>
    </w:p>
    <w:p w14:paraId="0A85D801" w14:textId="77777777" w:rsidR="00905C61" w:rsidRDefault="00905C61">
      <w:pPr>
        <w:rPr>
          <w:rFonts w:asciiTheme="minorHAnsi" w:hAnsiTheme="minorHAnsi"/>
          <w:sz w:val="24"/>
          <w:szCs w:val="24"/>
        </w:rPr>
      </w:pPr>
    </w:p>
    <w:p w14:paraId="5D10A119" w14:textId="77777777" w:rsidR="00905C61" w:rsidRDefault="00905C61">
      <w:pPr>
        <w:rPr>
          <w:rFonts w:asciiTheme="minorHAnsi" w:hAnsiTheme="minorHAnsi"/>
          <w:sz w:val="24"/>
          <w:szCs w:val="24"/>
        </w:rPr>
      </w:pPr>
    </w:p>
    <w:p w14:paraId="61565203" w14:textId="77777777" w:rsidR="00905C61" w:rsidRDefault="00905C61">
      <w:pPr>
        <w:rPr>
          <w:rFonts w:asciiTheme="minorHAnsi" w:hAnsiTheme="minorHAnsi"/>
          <w:sz w:val="24"/>
          <w:szCs w:val="24"/>
        </w:rPr>
      </w:pPr>
    </w:p>
    <w:p w14:paraId="41E4A8DC" w14:textId="77777777" w:rsidR="00905C61" w:rsidRDefault="00905C61">
      <w:pPr>
        <w:rPr>
          <w:rFonts w:asciiTheme="minorHAnsi" w:hAnsiTheme="minorHAnsi"/>
          <w:sz w:val="24"/>
          <w:szCs w:val="24"/>
        </w:rPr>
      </w:pPr>
    </w:p>
    <w:p w14:paraId="2CBDFB81" w14:textId="77777777" w:rsidR="00905C61" w:rsidRDefault="00905C61">
      <w:pPr>
        <w:rPr>
          <w:rFonts w:asciiTheme="minorHAnsi" w:hAnsiTheme="minorHAnsi"/>
          <w:sz w:val="24"/>
          <w:szCs w:val="24"/>
        </w:rPr>
      </w:pPr>
    </w:p>
    <w:p w14:paraId="63316A90" w14:textId="77777777" w:rsidR="00905C61" w:rsidRDefault="00905C61">
      <w:pPr>
        <w:rPr>
          <w:rFonts w:asciiTheme="minorHAnsi" w:hAnsiTheme="minorHAnsi"/>
          <w:sz w:val="24"/>
          <w:szCs w:val="24"/>
        </w:rPr>
      </w:pPr>
    </w:p>
    <w:p w14:paraId="09DF2CD7" w14:textId="77777777" w:rsidR="00905C61" w:rsidRDefault="00905C61">
      <w:pPr>
        <w:rPr>
          <w:rFonts w:asciiTheme="minorHAnsi" w:hAnsiTheme="minorHAnsi"/>
          <w:sz w:val="24"/>
          <w:szCs w:val="24"/>
        </w:rPr>
      </w:pPr>
    </w:p>
    <w:p w14:paraId="2C6981F5" w14:textId="77777777" w:rsidR="00905C61" w:rsidRDefault="00905C61" w:rsidP="00905C61">
      <w:pPr>
        <w:pStyle w:val="Heading1"/>
      </w:pPr>
      <w:bookmarkStart w:id="55" w:name="_Toc229750480"/>
      <w:r>
        <w:lastRenderedPageBreak/>
        <w:t>Appendix 2: The Concourse – statements generated from the Google Gemini ‘Deep Research’ report, Notebook LM and Google Gemini’s Canvas tool.</w:t>
      </w:r>
      <w:bookmarkEnd w:id="55"/>
    </w:p>
    <w:p w14:paraId="66AB5B42" w14:textId="77777777" w:rsidR="00905C61" w:rsidRPr="0025409A" w:rsidRDefault="00905C61" w:rsidP="00905C61">
      <w:pPr>
        <w:pStyle w:val="Heading2"/>
      </w:pPr>
      <w:bookmarkStart w:id="56" w:name="_Toc229750481"/>
      <w:r w:rsidRPr="00C4377F">
        <w:t>Gemini concourse generated from Deep Research report</w:t>
      </w:r>
      <w:bookmarkEnd w:id="56"/>
    </w:p>
    <w:p w14:paraId="56D8E936" w14:textId="77777777" w:rsidR="00905C61" w:rsidRPr="0025409A" w:rsidRDefault="00FB2AF6" w:rsidP="00905C61">
      <w:pPr>
        <w:spacing w:after="120" w:line="240" w:lineRule="auto"/>
        <w:rPr>
          <w:rFonts w:eastAsia="Times New Roman" w:cs="Arial"/>
          <w:color w:val="1B1C1D"/>
        </w:rPr>
      </w:pPr>
      <w:r>
        <w:rPr>
          <w:rFonts w:eastAsia="Times New Roman" w:cs="Arial"/>
          <w:noProof/>
          <w:color w:val="1B1C1D"/>
        </w:rPr>
      </w:r>
      <w:r w:rsidR="00FB2AF6">
        <w:rPr>
          <w:rFonts w:eastAsia="Times New Roman" w:cs="Arial"/>
          <w:noProof/>
          <w:color w:val="1B1C1D"/>
        </w:rPr>
        <w:pict w14:anchorId="5B919F5A">
          <v:rect id="_x0000_i1028" alt="" style="width:468pt;height:.05pt;mso-width-percent:0;mso-height-percent:0;mso-width-percent:0;mso-height-percent:0" o:hralign="center" o:hrstd="t" o:hrnoshade="t" o:hr="t" fillcolor="gray" stroked="f"/>
        </w:pict>
      </w:r>
    </w:p>
    <w:p w14:paraId="5A77AE95" w14:textId="77777777" w:rsidR="00905C61" w:rsidRPr="0025409A" w:rsidRDefault="00905C61" w:rsidP="00905C61">
      <w:pPr>
        <w:spacing w:after="120" w:line="240" w:lineRule="auto"/>
        <w:outlineLvl w:val="1"/>
        <w:rPr>
          <w:rFonts w:eastAsia="Times New Roman" w:cs="Arial"/>
          <w:b/>
          <w:bCs/>
          <w:color w:val="1B1C1D"/>
        </w:rPr>
      </w:pPr>
      <w:bookmarkStart w:id="57" w:name="_Toc229750482"/>
      <w:r w:rsidRPr="0025409A">
        <w:rPr>
          <w:rFonts w:eastAsia="Times New Roman" w:cs="Arial"/>
          <w:b/>
          <w:bCs/>
          <w:color w:val="1B1C1D"/>
        </w:rPr>
        <w:t>Expanded Concourse of Statements</w:t>
      </w:r>
      <w:bookmarkEnd w:id="57"/>
    </w:p>
    <w:p w14:paraId="3C716E89"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Education for Sustainability is fundamentally an ideological agenda being imposed on the discipline, not a genuine educational one</w:t>
      </w:r>
      <w:r w:rsidRPr="0025409A">
        <w:rPr>
          <w:rFonts w:eastAsia="Times New Roman" w:cs="Arial"/>
          <w:color w:val="1B1C1D"/>
        </w:rPr>
        <w:t>.</w:t>
      </w:r>
    </w:p>
    <w:p w14:paraId="66AA4087"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My primary professional duty is to teach the past on its own terms, not to use it to solve the problems of the present and future</w:t>
      </w:r>
      <w:r w:rsidRPr="0025409A">
        <w:rPr>
          <w:rFonts w:eastAsia="Times New Roman" w:cs="Arial"/>
          <w:color w:val="1B1C1D"/>
        </w:rPr>
        <w:t>.</w:t>
      </w:r>
    </w:p>
    <w:p w14:paraId="2C7A752D"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The call for students to develop 'normative competency' is a direct assault on the core historical principle of scholarly objectivity</w:t>
      </w:r>
      <w:r w:rsidRPr="0025409A">
        <w:rPr>
          <w:rFonts w:eastAsia="Times New Roman" w:cs="Arial"/>
          <w:color w:val="1B1C1D"/>
        </w:rPr>
        <w:t>.</w:t>
      </w:r>
    </w:p>
    <w:p w14:paraId="70EE1C08"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Ultimately, ESD instrumentalises history, reducing its complexity to a simple repository of cautionary tales for today</w:t>
      </w:r>
      <w:r w:rsidRPr="0025409A">
        <w:rPr>
          <w:rFonts w:eastAsia="Times New Roman" w:cs="Arial"/>
          <w:color w:val="1B1C1D"/>
        </w:rPr>
        <w:t>.</w:t>
      </w:r>
    </w:p>
    <w:p w14:paraId="79B65331"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Teaching history through the lens of 21st-century sustainability goals is the very definition of anachronism—the historian's most heinous sin</w:t>
      </w:r>
      <w:r w:rsidRPr="0025409A">
        <w:rPr>
          <w:rFonts w:eastAsia="Times New Roman" w:cs="Arial"/>
          <w:color w:val="1B1C1D"/>
        </w:rPr>
        <w:t>.</w:t>
      </w:r>
    </w:p>
    <w:p w14:paraId="62A27B68"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The language of ESD, with its focus on 'competencies', is just meaningless pedagogical jargon that is alien to the historian's craft</w:t>
      </w:r>
      <w:r w:rsidRPr="0025409A">
        <w:rPr>
          <w:rFonts w:eastAsia="Times New Roman" w:cs="Arial"/>
          <w:color w:val="1B1C1D"/>
        </w:rPr>
        <w:t>.</w:t>
      </w:r>
    </w:p>
    <w:p w14:paraId="0E652152"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Whether I personally agree with it or not, engaging with the ESD agenda is now a professional necessity for course validation and departmental survival</w:t>
      </w:r>
      <w:r w:rsidRPr="0025409A">
        <w:rPr>
          <w:rFonts w:eastAsia="Times New Roman" w:cs="Arial"/>
          <w:color w:val="1B1C1D"/>
        </w:rPr>
        <w:t>.</w:t>
      </w:r>
    </w:p>
    <w:p w14:paraId="58BC06C7"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Frankly, this is a box-ticking exercise; the most efficient way to deal with the mandate is to simply map our existing course content onto the required terminology</w:t>
      </w:r>
      <w:r w:rsidRPr="0025409A">
        <w:rPr>
          <w:rFonts w:eastAsia="Times New Roman" w:cs="Arial"/>
          <w:color w:val="1B1C1D"/>
        </w:rPr>
        <w:t>.</w:t>
      </w:r>
    </w:p>
    <w:p w14:paraId="405CDEC7"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Our department's financial sustainability partly depends on showing we are aligned with university-wide initiatives like ESD, which are important for recruitment</w:t>
      </w:r>
      <w:r w:rsidRPr="0025409A">
        <w:rPr>
          <w:rFonts w:eastAsia="Times New Roman" w:cs="Arial"/>
          <w:color w:val="1B1C1D"/>
        </w:rPr>
        <w:t>.</w:t>
      </w:r>
    </w:p>
    <w:p w14:paraId="45DB5401"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A superficial 'bolt-on' approach is worse than doing nothing; any engagement with sustainability must be intellectually rigorous and authentic to the discipline</w:t>
      </w:r>
      <w:r w:rsidRPr="0025409A">
        <w:rPr>
          <w:rFonts w:eastAsia="Times New Roman" w:cs="Arial"/>
          <w:color w:val="1B1C1D"/>
        </w:rPr>
        <w:t>.</w:t>
      </w:r>
    </w:p>
    <w:p w14:paraId="0A3290CB"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My role is to historicise the concept of 'sustainability' itself, not to use my teaching as a platform for environmental advocacy</w:t>
      </w:r>
      <w:r w:rsidRPr="0025409A">
        <w:rPr>
          <w:rFonts w:eastAsia="Times New Roman" w:cs="Arial"/>
          <w:color w:val="1B1C1D"/>
        </w:rPr>
        <w:t>.</w:t>
      </w:r>
    </w:p>
    <w:p w14:paraId="50E97AD6"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The core skills of a historian—rigorous source analysis and understanding complex causal factors—are already a masterclass in what ESD calls 'critical and systems thinking'</w:t>
      </w:r>
      <w:r w:rsidRPr="0025409A">
        <w:rPr>
          <w:rFonts w:eastAsia="Times New Roman" w:cs="Arial"/>
          <w:color w:val="1B1C1D"/>
        </w:rPr>
        <w:t>.</w:t>
      </w:r>
    </w:p>
    <w:p w14:paraId="281A3B56"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It is perfectly possible to explore historical themes of environmental impact and resource use while maintaining critical distance and avoiding simplistic moral judgements</w:t>
      </w:r>
      <w:r w:rsidRPr="0025409A">
        <w:rPr>
          <w:rFonts w:eastAsia="Times New Roman" w:cs="Arial"/>
          <w:color w:val="1B1C1D"/>
        </w:rPr>
        <w:t>.</w:t>
      </w:r>
    </w:p>
    <w:p w14:paraId="116312AF"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The institutional push for ESD is a welcome validation of the work that Environmental History as a sub-discipline has been engaged in for years</w:t>
      </w:r>
      <w:r w:rsidRPr="0025409A">
        <w:rPr>
          <w:rFonts w:eastAsia="Times New Roman" w:cs="Arial"/>
          <w:color w:val="1B1C1D"/>
        </w:rPr>
        <w:t>.</w:t>
      </w:r>
    </w:p>
    <w:p w14:paraId="20D07F25"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The interdisciplinary nature of ESD feels productive and familiar, not threatening; it's an opportunity for new collaborations and resources</w:t>
      </w:r>
      <w:r w:rsidRPr="0025409A">
        <w:rPr>
          <w:rFonts w:eastAsia="Times New Roman" w:cs="Arial"/>
          <w:color w:val="1B1C1D"/>
        </w:rPr>
        <w:t>.</w:t>
      </w:r>
    </w:p>
    <w:p w14:paraId="79AA716D"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The discipline of History has a clear moral and civic responsibility to contribute to solving the world's most pressing challenges, including the climate crisis</w:t>
      </w:r>
      <w:r w:rsidRPr="0025409A">
        <w:rPr>
          <w:rFonts w:eastAsia="Times New Roman" w:cs="Arial"/>
          <w:color w:val="1B1C1D"/>
        </w:rPr>
        <w:t>.</w:t>
      </w:r>
    </w:p>
    <w:p w14:paraId="1ACE4B46"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 xml:space="preserve">The </w:t>
      </w:r>
      <w:proofErr w:type="gramStart"/>
      <w:r w:rsidRPr="0025409A">
        <w:rPr>
          <w:rFonts w:eastAsia="Times New Roman" w:cs="Arial"/>
          <w:color w:val="1B1C1D"/>
          <w:bdr w:val="none" w:sz="0" w:space="0" w:color="auto" w:frame="1"/>
        </w:rPr>
        <w:t>ultimate goal</w:t>
      </w:r>
      <w:proofErr w:type="gramEnd"/>
      <w:r w:rsidRPr="0025409A">
        <w:rPr>
          <w:rFonts w:eastAsia="Times New Roman" w:cs="Arial"/>
          <w:color w:val="1B1C1D"/>
          <w:bdr w:val="none" w:sz="0" w:space="0" w:color="auto" w:frame="1"/>
        </w:rPr>
        <w:t xml:space="preserve"> of historical study should be not just knowledge for its own sake, but justice and positive societal change</w:t>
      </w:r>
      <w:r w:rsidRPr="0025409A">
        <w:rPr>
          <w:rFonts w:eastAsia="Times New Roman" w:cs="Arial"/>
          <w:color w:val="1B1C1D"/>
        </w:rPr>
        <w:t>.</w:t>
      </w:r>
    </w:p>
    <w:p w14:paraId="772A8CD3"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We must empower our students to use their historical knowledge to become active, engaged citizens capable of building a better worl</w:t>
      </w:r>
      <w:r>
        <w:rPr>
          <w:rFonts w:eastAsia="Times New Roman" w:cs="Arial"/>
          <w:color w:val="1B1C1D"/>
          <w:bdr w:val="none" w:sz="0" w:space="0" w:color="auto" w:frame="1"/>
        </w:rPr>
        <w:t>d</w:t>
      </w:r>
      <w:r w:rsidRPr="0025409A">
        <w:rPr>
          <w:rFonts w:eastAsia="Times New Roman" w:cs="Arial"/>
          <w:color w:val="1B1C1D"/>
        </w:rPr>
        <w:t>.</w:t>
      </w:r>
    </w:p>
    <w:p w14:paraId="36697709"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lastRenderedPageBreak/>
        <w:t>To remain relevant in the 21st century, our discipline must demonstrate its direct applicability to contemporary issues and real-world problems</w:t>
      </w:r>
      <w:r w:rsidRPr="0025409A">
        <w:rPr>
          <w:rFonts w:eastAsia="Times New Roman" w:cs="Arial"/>
          <w:color w:val="1B1C1D"/>
        </w:rPr>
        <w:t>.</w:t>
      </w:r>
    </w:p>
    <w:p w14:paraId="07085BD4"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A purely historicist approach is a dereliction of duty; we should embrace a 'good presentism' that explicitly connects the past to today's struggles for justice</w:t>
      </w:r>
      <w:r w:rsidRPr="0025409A">
        <w:rPr>
          <w:rFonts w:eastAsia="Times New Roman" w:cs="Arial"/>
          <w:color w:val="1B1C1D"/>
        </w:rPr>
        <w:t>.</w:t>
      </w:r>
    </w:p>
    <w:p w14:paraId="66B79966"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The QAA is promoting a structural conflict by championing an activist ESD agenda while its own History Benchmark Statement prizes detached objectivity</w:t>
      </w:r>
      <w:r w:rsidRPr="0025409A">
        <w:rPr>
          <w:rFonts w:eastAsia="Times New Roman" w:cs="Arial"/>
          <w:color w:val="1B1C1D"/>
        </w:rPr>
        <w:t>.</w:t>
      </w:r>
    </w:p>
    <w:p w14:paraId="2C84BF8A"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The biggest danger here isn't outright opposition, but rather superficial compliance that creates a 'Potemkin curriculum'—sustainable on paper but intellectually hollow</w:t>
      </w:r>
      <w:r w:rsidRPr="0025409A">
        <w:rPr>
          <w:rFonts w:eastAsia="Times New Roman" w:cs="Arial"/>
          <w:color w:val="1B1C1D"/>
        </w:rPr>
        <w:t>.</w:t>
      </w:r>
    </w:p>
    <w:p w14:paraId="7BB4D0AB"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 xml:space="preserve">This whole debate forces us to confront a fundamental question: is the purpose of a history education to understand the </w:t>
      </w:r>
      <w:proofErr w:type="gramStart"/>
      <w:r w:rsidRPr="0025409A">
        <w:rPr>
          <w:rFonts w:eastAsia="Times New Roman" w:cs="Arial"/>
          <w:color w:val="1B1C1D"/>
          <w:bdr w:val="none" w:sz="0" w:space="0" w:color="auto" w:frame="1"/>
        </w:rPr>
        <w:t>past, or</w:t>
      </w:r>
      <w:proofErr w:type="gramEnd"/>
      <w:r w:rsidRPr="0025409A">
        <w:rPr>
          <w:rFonts w:eastAsia="Times New Roman" w:cs="Arial"/>
          <w:color w:val="1B1C1D"/>
          <w:bdr w:val="none" w:sz="0" w:space="0" w:color="auto" w:frame="1"/>
        </w:rPr>
        <w:t xml:space="preserve"> is it to use that understanding to shape the </w:t>
      </w:r>
      <w:proofErr w:type="gramStart"/>
      <w:r w:rsidRPr="0025409A">
        <w:rPr>
          <w:rFonts w:eastAsia="Times New Roman" w:cs="Arial"/>
          <w:color w:val="1B1C1D"/>
          <w:bdr w:val="none" w:sz="0" w:space="0" w:color="auto" w:frame="1"/>
        </w:rPr>
        <w:t>future?</w:t>
      </w:r>
      <w:r w:rsidRPr="0025409A">
        <w:rPr>
          <w:rFonts w:eastAsia="Times New Roman" w:cs="Arial"/>
          <w:color w:val="1B1C1D"/>
        </w:rPr>
        <w:t>.</w:t>
      </w:r>
      <w:proofErr w:type="gramEnd"/>
    </w:p>
    <w:p w14:paraId="62B63185"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My specialist work in Environmental History is perfectly positioned to act as a bridge between the broader discipline and the university's sustainability agenda</w:t>
      </w:r>
      <w:r w:rsidRPr="0025409A">
        <w:rPr>
          <w:rFonts w:eastAsia="Times New Roman" w:cs="Arial"/>
          <w:color w:val="1B1C1D"/>
        </w:rPr>
        <w:t>.</w:t>
      </w:r>
    </w:p>
    <w:p w14:paraId="0296AFD5"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Forcing a generic competency framework onto our curriculum threatens the unique, deeply rooted methodologies of historical practice</w:t>
      </w:r>
      <w:r w:rsidRPr="0025409A">
        <w:rPr>
          <w:rFonts w:eastAsia="Times New Roman" w:cs="Arial"/>
          <w:color w:val="1B1C1D"/>
        </w:rPr>
        <w:t>.</w:t>
      </w:r>
    </w:p>
    <w:p w14:paraId="69E44329"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The ESD agenda is not a peripheral movement; it is a strategic priority being driven from the very top by bodies like the QAA and Advance HE</w:t>
      </w:r>
      <w:r w:rsidRPr="0025409A">
        <w:rPr>
          <w:rFonts w:eastAsia="Times New Roman" w:cs="Arial"/>
          <w:color w:val="1B1C1D"/>
        </w:rPr>
        <w:t>.</w:t>
      </w:r>
    </w:p>
    <w:p w14:paraId="74F1725B"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Significant student demand for sustainability in courses means we cannot simply ignore this issue</w:t>
      </w:r>
      <w:r w:rsidRPr="0025409A">
        <w:rPr>
          <w:rFonts w:eastAsia="Times New Roman" w:cs="Arial"/>
          <w:color w:val="1B1C1D"/>
        </w:rPr>
        <w:t>.</w:t>
      </w:r>
    </w:p>
    <w:p w14:paraId="6DBD0491"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My commitment to respecting the "otherness" of the past is fundamentally at odds with ESD's forward-looking, problem-solving orientation</w:t>
      </w:r>
      <w:r w:rsidRPr="0025409A">
        <w:rPr>
          <w:rFonts w:eastAsia="Times New Roman" w:cs="Arial"/>
          <w:color w:val="1B1C1D"/>
        </w:rPr>
        <w:t>.</w:t>
      </w:r>
    </w:p>
    <w:p w14:paraId="07652418"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The ESD mandate contravenes the professional ideal of studying the past for its own sake, not to "advance other agendas"</w:t>
      </w:r>
      <w:r w:rsidRPr="0025409A">
        <w:rPr>
          <w:rFonts w:eastAsia="Times New Roman" w:cs="Arial"/>
          <w:color w:val="1B1C1D"/>
        </w:rPr>
        <w:t>.</w:t>
      </w:r>
    </w:p>
    <w:p w14:paraId="4E26521C"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Non-engagement with ESD is a professional risk, as it's a deviation from both national and institutional expectations</w:t>
      </w:r>
      <w:r w:rsidRPr="0025409A">
        <w:rPr>
          <w:rFonts w:eastAsia="Times New Roman" w:cs="Arial"/>
          <w:color w:val="1B1C1D"/>
        </w:rPr>
        <w:t>.</w:t>
      </w:r>
    </w:p>
    <w:p w14:paraId="2F28C827"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This is less about changing what we teach and more about re-articulating learning outcomes to satisfy external quality assurance requirements</w:t>
      </w:r>
      <w:r w:rsidRPr="0025409A">
        <w:rPr>
          <w:rFonts w:eastAsia="Times New Roman" w:cs="Arial"/>
          <w:color w:val="1B1C1D"/>
        </w:rPr>
        <w:t>.</w:t>
      </w:r>
    </w:p>
    <w:p w14:paraId="4A933AB0"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The path of least resistance is to engage in a simple mapping exercise with minimal change to actual course content or pedagogy</w:t>
      </w:r>
      <w:r w:rsidRPr="0025409A">
        <w:rPr>
          <w:rFonts w:eastAsia="Times New Roman" w:cs="Arial"/>
          <w:color w:val="1B1C1D"/>
        </w:rPr>
        <w:t>.</w:t>
      </w:r>
    </w:p>
    <w:p w14:paraId="0D3F4676"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Sustainability themes must arise organically from the historical evidence; they cannot be forced onto topics where they don't belong</w:t>
      </w:r>
      <w:r w:rsidRPr="0025409A">
        <w:rPr>
          <w:rFonts w:eastAsia="Times New Roman" w:cs="Arial"/>
          <w:color w:val="1B1C1D"/>
        </w:rPr>
        <w:t>.</w:t>
      </w:r>
    </w:p>
    <w:p w14:paraId="4F7ECC25"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The ESD framework gives me valuable institutional legitimacy and a common language to describe the work I am already doing as an environmental historian</w:t>
      </w:r>
      <w:r w:rsidRPr="0025409A">
        <w:rPr>
          <w:rFonts w:eastAsia="Times New Roman" w:cs="Arial"/>
          <w:color w:val="1B1C1D"/>
        </w:rPr>
        <w:t>.</w:t>
      </w:r>
    </w:p>
    <w:p w14:paraId="4E6A98E2"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ESD's activist, future-oriented ethos creates an immediate and foundational tension with the retrospective nature of the historical profession</w:t>
      </w:r>
      <w:r w:rsidRPr="0025409A">
        <w:rPr>
          <w:rFonts w:eastAsia="Times New Roman" w:cs="Arial"/>
          <w:color w:val="1B1C1D"/>
        </w:rPr>
        <w:t>.</w:t>
      </w:r>
    </w:p>
    <w:p w14:paraId="6A77F017"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A deep historical understanding of the roots of the climate crisis is indispensable for informing effective future action</w:t>
      </w:r>
      <w:r w:rsidRPr="0025409A">
        <w:rPr>
          <w:rFonts w:eastAsia="Times New Roman" w:cs="Arial"/>
          <w:color w:val="1B1C1D"/>
        </w:rPr>
        <w:t>.</w:t>
      </w:r>
    </w:p>
    <w:p w14:paraId="164281F8"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For my teaching to be effective, I must empower learners to "create and pursue visions of a better world"</w:t>
      </w:r>
      <w:r w:rsidRPr="0025409A">
        <w:rPr>
          <w:rFonts w:eastAsia="Times New Roman" w:cs="Arial"/>
          <w:color w:val="1B1C1D"/>
        </w:rPr>
        <w:t>.</w:t>
      </w:r>
    </w:p>
    <w:p w14:paraId="1080B1E2"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My primary pedagogical aim is to foster an appreciation for the complexity and diversity of situations in the past, not to judge them by modern standards</w:t>
      </w:r>
      <w:r w:rsidRPr="0025409A">
        <w:rPr>
          <w:rFonts w:eastAsia="Times New Roman" w:cs="Arial"/>
          <w:color w:val="1B1C1D"/>
        </w:rPr>
        <w:t>.</w:t>
      </w:r>
    </w:p>
    <w:p w14:paraId="3434D3B7"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ESD is about much more than just environmentalism; it correctly links environmental issues with social and economic wellbeing</w:t>
      </w:r>
      <w:r w:rsidRPr="0025409A">
        <w:rPr>
          <w:rFonts w:eastAsia="Times New Roman" w:cs="Arial"/>
          <w:color w:val="1B1C1D"/>
        </w:rPr>
        <w:t>.</w:t>
      </w:r>
    </w:p>
    <w:p w14:paraId="69AAD830"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My professional ethics bind me to a rigorous, evidence-based inquiry, which is threatened by ESD’s normative, action-oriented goals</w:t>
      </w:r>
      <w:r w:rsidRPr="0025409A">
        <w:rPr>
          <w:rFonts w:eastAsia="Times New Roman" w:cs="Arial"/>
          <w:color w:val="1B1C1D"/>
        </w:rPr>
        <w:t>.</w:t>
      </w:r>
    </w:p>
    <w:p w14:paraId="5A3498EE"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There is a "good" presentism that rightly uses the concerns of the present to motivate historical inquiry and seek justice</w:t>
      </w:r>
      <w:r w:rsidRPr="0025409A">
        <w:rPr>
          <w:rFonts w:eastAsia="Times New Roman" w:cs="Arial"/>
          <w:color w:val="1B1C1D"/>
        </w:rPr>
        <w:t>.</w:t>
      </w:r>
    </w:p>
    <w:p w14:paraId="2EDBC717"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The ESD mandate provides a welcome opportunity for inter-faculty collaboration with departments like Geography or Environmental Science</w:t>
      </w:r>
      <w:r w:rsidRPr="0025409A">
        <w:rPr>
          <w:rFonts w:eastAsia="Times New Roman" w:cs="Arial"/>
          <w:color w:val="1B1C1D"/>
        </w:rPr>
        <w:t>.</w:t>
      </w:r>
    </w:p>
    <w:p w14:paraId="40719506"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lastRenderedPageBreak/>
        <w:t>My role as a historian extends beyond the academy; it involves serving and engaging with the wider community on pressing issues</w:t>
      </w:r>
      <w:r w:rsidRPr="0025409A">
        <w:rPr>
          <w:rFonts w:eastAsia="Times New Roman" w:cs="Arial"/>
          <w:color w:val="1B1C1D"/>
        </w:rPr>
        <w:t>.</w:t>
      </w:r>
    </w:p>
    <w:p w14:paraId="606ECE96"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The ESD agenda is part of a wider "educational change agenda" that I am enthusiastic to support</w:t>
      </w:r>
      <w:r w:rsidRPr="0025409A">
        <w:rPr>
          <w:rFonts w:eastAsia="Times New Roman" w:cs="Arial"/>
          <w:color w:val="1B1C1D"/>
        </w:rPr>
        <w:t>.</w:t>
      </w:r>
    </w:p>
    <w:p w14:paraId="15F82E4E"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To avoid tokenism, institutional leaders must speak our disciplinary dialect and respect our legitimate concerns about presentism</w:t>
      </w:r>
      <w:r w:rsidRPr="0025409A">
        <w:rPr>
          <w:rFonts w:eastAsia="Times New Roman" w:cs="Arial"/>
          <w:color w:val="1B1C1D"/>
        </w:rPr>
        <w:t>.</w:t>
      </w:r>
    </w:p>
    <w:p w14:paraId="6D1529B2"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We should explicitly teach the historiographical debate around presentism itself, turning this professional tension into a sophisticated learning opportunity</w:t>
      </w:r>
      <w:r w:rsidRPr="0025409A">
        <w:rPr>
          <w:rFonts w:eastAsia="Times New Roman" w:cs="Arial"/>
          <w:color w:val="1B1C1D"/>
        </w:rPr>
        <w:t>.</w:t>
      </w:r>
    </w:p>
    <w:p w14:paraId="5FED76D1"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This is a classic top-down mandate, and my response is driven by an awareness of the managerial frameworks in which modern universities operate</w:t>
      </w:r>
      <w:r w:rsidRPr="0025409A">
        <w:rPr>
          <w:rFonts w:eastAsia="Times New Roman" w:cs="Arial"/>
          <w:color w:val="1B1C1D"/>
        </w:rPr>
        <w:t>.</w:t>
      </w:r>
    </w:p>
    <w:p w14:paraId="33F41202"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The ESD push for "integrated problem-solving" is just another name for what historians do when we build a coherent argument from diverse and contradictory evidence</w:t>
      </w:r>
      <w:r w:rsidRPr="0025409A">
        <w:rPr>
          <w:rFonts w:eastAsia="Times New Roman" w:cs="Arial"/>
          <w:color w:val="1B1C1D"/>
        </w:rPr>
        <w:t>.</w:t>
      </w:r>
    </w:p>
    <w:p w14:paraId="3563A7A6" w14:textId="77777777" w:rsidR="00905C61" w:rsidRPr="0025409A"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I see my role as a defender of the discipline's integrity against the corrosive influence of present-day political fads</w:t>
      </w:r>
      <w:r w:rsidRPr="0025409A">
        <w:rPr>
          <w:rFonts w:eastAsia="Times New Roman" w:cs="Arial"/>
          <w:color w:val="1B1C1D"/>
        </w:rPr>
        <w:t>.</w:t>
      </w:r>
    </w:p>
    <w:p w14:paraId="4B236BBD" w14:textId="77777777" w:rsidR="00905C61" w:rsidRPr="00C4377F" w:rsidRDefault="00905C61" w:rsidP="00905C61">
      <w:pPr>
        <w:numPr>
          <w:ilvl w:val="0"/>
          <w:numId w:val="8"/>
        </w:numPr>
        <w:spacing w:after="0" w:line="240" w:lineRule="auto"/>
        <w:rPr>
          <w:rFonts w:eastAsia="Times New Roman" w:cs="Arial"/>
          <w:color w:val="1B1C1D"/>
        </w:rPr>
      </w:pPr>
      <w:r w:rsidRPr="0025409A">
        <w:rPr>
          <w:rFonts w:eastAsia="Times New Roman" w:cs="Arial"/>
          <w:color w:val="1B1C1D"/>
          <w:bdr w:val="none" w:sz="0" w:space="0" w:color="auto" w:frame="1"/>
        </w:rPr>
        <w:t>How our department responds to the ESD mandate is a diagnostic issue for the future of the discipline and its purpose in the modern world</w:t>
      </w:r>
      <w:r w:rsidRPr="0025409A">
        <w:rPr>
          <w:rFonts w:eastAsia="Times New Roman" w:cs="Arial"/>
          <w:color w:val="1B1C1D"/>
        </w:rPr>
        <w:t>.</w:t>
      </w:r>
    </w:p>
    <w:p w14:paraId="28E902BC" w14:textId="77777777" w:rsidR="00905C61" w:rsidRPr="00C4377F" w:rsidRDefault="00905C61" w:rsidP="00905C61">
      <w:pPr>
        <w:spacing w:after="0" w:line="240" w:lineRule="auto"/>
        <w:rPr>
          <w:rFonts w:eastAsia="Times New Roman" w:cs="Arial"/>
          <w:color w:val="1B1C1D"/>
        </w:rPr>
      </w:pPr>
    </w:p>
    <w:p w14:paraId="0E1AAE4E" w14:textId="77777777" w:rsidR="00905C61" w:rsidRPr="00C4377F" w:rsidRDefault="00905C61" w:rsidP="00905C61">
      <w:pPr>
        <w:spacing w:after="0" w:line="240" w:lineRule="auto"/>
        <w:rPr>
          <w:rFonts w:eastAsia="Times New Roman" w:cs="Arial"/>
          <w:color w:val="1B1C1D"/>
        </w:rPr>
      </w:pPr>
    </w:p>
    <w:p w14:paraId="309DAF2B" w14:textId="77777777" w:rsidR="00905C61" w:rsidRPr="00C4377F" w:rsidRDefault="00905C61" w:rsidP="00905C61">
      <w:pPr>
        <w:pStyle w:val="Heading2"/>
      </w:pPr>
      <w:bookmarkStart w:id="58" w:name="_Toc229750483"/>
      <w:r w:rsidRPr="00C4377F">
        <w:t>Notebook LM concourse from lit</w:t>
      </w:r>
      <w:r>
        <w:t>erature</w:t>
      </w:r>
      <w:r w:rsidRPr="00C4377F">
        <w:t xml:space="preserve"> review sources</w:t>
      </w:r>
      <w:bookmarkEnd w:id="58"/>
    </w:p>
    <w:p w14:paraId="2C55CD61" w14:textId="77777777" w:rsidR="00905C61" w:rsidRPr="00C4377F" w:rsidRDefault="00905C61" w:rsidP="00905C61">
      <w:pPr>
        <w:spacing w:after="0" w:line="240" w:lineRule="auto"/>
        <w:rPr>
          <w:rFonts w:eastAsia="Times New Roman" w:cs="Arial"/>
          <w:color w:val="1B1C1D"/>
        </w:rPr>
      </w:pPr>
    </w:p>
    <w:p w14:paraId="72B4C406" w14:textId="77777777" w:rsidR="00905C61" w:rsidRPr="0025409A" w:rsidRDefault="00905C61" w:rsidP="00905C61">
      <w:pPr>
        <w:spacing w:before="100" w:beforeAutospacing="1" w:after="100" w:afterAutospacing="1" w:line="240" w:lineRule="auto"/>
        <w:rPr>
          <w:rFonts w:eastAsia="Times New Roman" w:cs="Times New Roman"/>
        </w:rPr>
      </w:pPr>
      <w:r w:rsidRPr="0025409A">
        <w:rPr>
          <w:rFonts w:eastAsia="Times New Roman" w:cs="Times New Roman"/>
        </w:rPr>
        <w:t>Below is a generated concourse organized by key themes, drawing directly from the information presented in the articles:</w:t>
      </w:r>
    </w:p>
    <w:p w14:paraId="1BD10674" w14:textId="77777777" w:rsidR="00905C61" w:rsidRPr="0025409A" w:rsidRDefault="00FB2AF6" w:rsidP="00905C61">
      <w:pPr>
        <w:spacing w:after="0" w:line="240" w:lineRule="auto"/>
        <w:rPr>
          <w:rFonts w:eastAsia="Times New Roman" w:cs="Times New Roman"/>
        </w:rPr>
      </w:pPr>
      <w:r>
        <w:rPr>
          <w:rFonts w:eastAsia="Times New Roman" w:cs="Times New Roman"/>
          <w:noProof/>
        </w:rPr>
      </w:r>
      <w:r w:rsidR="00FB2AF6">
        <w:rPr>
          <w:rFonts w:eastAsia="Times New Roman" w:cs="Times New Roman"/>
          <w:noProof/>
        </w:rPr>
        <w:pict w14:anchorId="3C0B123C">
          <v:rect id="_x0000_i1027" alt="" style="width:468pt;height:.05pt;mso-width-percent:0;mso-height-percent:0;mso-width-percent:0;mso-height-percent:0" o:hralign="center" o:hrstd="t" o:hr="t" fillcolor="#a0a0a0" stroked="f"/>
        </w:pict>
      </w:r>
    </w:p>
    <w:p w14:paraId="3CF155C0" w14:textId="77777777" w:rsidR="00905C61" w:rsidRPr="0025409A" w:rsidRDefault="00905C61" w:rsidP="00905C61">
      <w:pPr>
        <w:spacing w:before="100" w:beforeAutospacing="1" w:after="100" w:afterAutospacing="1" w:line="240" w:lineRule="auto"/>
        <w:outlineLvl w:val="1"/>
        <w:rPr>
          <w:rFonts w:eastAsia="Times New Roman" w:cs="Times New Roman"/>
          <w:b/>
          <w:bCs/>
        </w:rPr>
      </w:pPr>
      <w:bookmarkStart w:id="59" w:name="_Toc229750484"/>
      <w:r w:rsidRPr="0025409A">
        <w:rPr>
          <w:rFonts w:eastAsia="Times New Roman" w:cs="Times New Roman"/>
          <w:b/>
          <w:bCs/>
        </w:rPr>
        <w:t xml:space="preserve">Concourse of Statements for a Q-Methodology Study on History Lecturers and </w:t>
      </w:r>
      <w:proofErr w:type="spellStart"/>
      <w:r w:rsidRPr="0025409A">
        <w:rPr>
          <w:rFonts w:eastAsia="Times New Roman" w:cs="Times New Roman"/>
          <w:b/>
          <w:bCs/>
        </w:rPr>
        <w:t>EfS</w:t>
      </w:r>
      <w:bookmarkEnd w:id="59"/>
      <w:proofErr w:type="spellEnd"/>
    </w:p>
    <w:p w14:paraId="117376C7" w14:textId="77777777" w:rsidR="00905C61" w:rsidRPr="0025409A" w:rsidRDefault="00905C61" w:rsidP="00905C61">
      <w:pPr>
        <w:spacing w:before="100" w:beforeAutospacing="1" w:after="100" w:afterAutospacing="1" w:line="240" w:lineRule="auto"/>
        <w:outlineLvl w:val="2"/>
        <w:rPr>
          <w:rFonts w:eastAsia="Times New Roman" w:cs="Times New Roman"/>
          <w:b/>
          <w:bCs/>
        </w:rPr>
      </w:pPr>
      <w:bookmarkStart w:id="60" w:name="_Toc229750485"/>
      <w:r w:rsidRPr="0025409A">
        <w:rPr>
          <w:rFonts w:eastAsia="Times New Roman" w:cs="Times New Roman"/>
          <w:b/>
          <w:bCs/>
        </w:rPr>
        <w:t>I. The Nature and Relevance of Education for Sustainability (</w:t>
      </w:r>
      <w:proofErr w:type="spellStart"/>
      <w:r w:rsidRPr="0025409A">
        <w:rPr>
          <w:rFonts w:eastAsia="Times New Roman" w:cs="Times New Roman"/>
          <w:b/>
          <w:bCs/>
        </w:rPr>
        <w:t>EfS</w:t>
      </w:r>
      <w:proofErr w:type="spellEnd"/>
      <w:r w:rsidRPr="0025409A">
        <w:rPr>
          <w:rFonts w:eastAsia="Times New Roman" w:cs="Times New Roman"/>
          <w:b/>
          <w:bCs/>
        </w:rPr>
        <w:t>) in History</w:t>
      </w:r>
      <w:bookmarkEnd w:id="60"/>
    </w:p>
    <w:p w14:paraId="15A06379" w14:textId="77777777" w:rsidR="00905C61" w:rsidRPr="0025409A" w:rsidRDefault="00905C61" w:rsidP="00905C61">
      <w:pPr>
        <w:numPr>
          <w:ilvl w:val="0"/>
          <w:numId w:val="9"/>
        </w:numPr>
        <w:spacing w:before="100" w:beforeAutospacing="1" w:after="100" w:afterAutospacing="1" w:line="240" w:lineRule="auto"/>
        <w:rPr>
          <w:rFonts w:eastAsia="Times New Roman" w:cs="Times New Roman"/>
        </w:rPr>
      </w:pPr>
      <w:r w:rsidRPr="0025409A">
        <w:rPr>
          <w:rFonts w:eastAsia="Times New Roman" w:cs="Times New Roman"/>
        </w:rPr>
        <w:t>Sustainability in higher education should not be an optional extra; it should underpin everything the university does.</w:t>
      </w:r>
    </w:p>
    <w:p w14:paraId="4514CEC1" w14:textId="77777777" w:rsidR="00905C61" w:rsidRPr="0025409A" w:rsidRDefault="00905C61" w:rsidP="00905C61">
      <w:pPr>
        <w:numPr>
          <w:ilvl w:val="0"/>
          <w:numId w:val="9"/>
        </w:numPr>
        <w:spacing w:before="100" w:beforeAutospacing="1" w:after="100" w:afterAutospacing="1" w:line="240" w:lineRule="auto"/>
        <w:rPr>
          <w:rFonts w:eastAsia="Times New Roman" w:cs="Times New Roman"/>
        </w:rPr>
      </w:pPr>
      <w:r w:rsidRPr="0025409A">
        <w:rPr>
          <w:rFonts w:eastAsia="Times New Roman" w:cs="Times New Roman"/>
        </w:rPr>
        <w:t>The perceived irrelevance of Education for Sustainable Development (ESD) to certain subject areas, including some in History, is a major barrier to its inclusion in the curriculum.</w:t>
      </w:r>
    </w:p>
    <w:p w14:paraId="4A4CABFD" w14:textId="77777777" w:rsidR="00905C61" w:rsidRPr="0025409A" w:rsidRDefault="00905C61" w:rsidP="00905C61">
      <w:pPr>
        <w:numPr>
          <w:ilvl w:val="0"/>
          <w:numId w:val="9"/>
        </w:numPr>
        <w:spacing w:before="100" w:beforeAutospacing="1" w:after="100" w:afterAutospacing="1" w:line="240" w:lineRule="auto"/>
        <w:rPr>
          <w:rFonts w:eastAsia="Times New Roman" w:cs="Times New Roman"/>
        </w:rPr>
      </w:pPr>
      <w:r w:rsidRPr="0025409A">
        <w:rPr>
          <w:rFonts w:eastAsia="Times New Roman" w:cs="Times New Roman"/>
        </w:rPr>
        <w:t>The decision on whether to include sustainable development in the curriculum depends heavily on the lecturer’s personal beliefs rather than solely the disciplinary context.</w:t>
      </w:r>
    </w:p>
    <w:p w14:paraId="7A6ED5A2" w14:textId="77777777" w:rsidR="00905C61" w:rsidRPr="0025409A" w:rsidRDefault="00905C61" w:rsidP="00905C61">
      <w:pPr>
        <w:numPr>
          <w:ilvl w:val="0"/>
          <w:numId w:val="9"/>
        </w:numPr>
        <w:spacing w:before="100" w:beforeAutospacing="1" w:after="100" w:afterAutospacing="1" w:line="240" w:lineRule="auto"/>
        <w:rPr>
          <w:rFonts w:eastAsia="Times New Roman" w:cs="Times New Roman"/>
        </w:rPr>
      </w:pPr>
      <w:r w:rsidRPr="0025409A">
        <w:rPr>
          <w:rFonts w:eastAsia="Times New Roman" w:cs="Times New Roman"/>
        </w:rPr>
        <w:t>History departments should integrate environmental subjects into their programs because youth climate change movements suggest keen demographic engagement among potential undergraduate students for environment-centred courses.</w:t>
      </w:r>
    </w:p>
    <w:p w14:paraId="0906A80F" w14:textId="77777777" w:rsidR="00905C61" w:rsidRPr="0025409A" w:rsidRDefault="00905C61" w:rsidP="00905C61">
      <w:pPr>
        <w:numPr>
          <w:ilvl w:val="0"/>
          <w:numId w:val="9"/>
        </w:numPr>
        <w:spacing w:before="100" w:beforeAutospacing="1" w:after="100" w:afterAutospacing="1" w:line="240" w:lineRule="auto"/>
        <w:rPr>
          <w:rFonts w:eastAsia="Times New Roman" w:cs="Times New Roman"/>
        </w:rPr>
      </w:pPr>
      <w:r w:rsidRPr="0025409A">
        <w:rPr>
          <w:rFonts w:eastAsia="Times New Roman" w:cs="Times New Roman"/>
        </w:rPr>
        <w:t>Academics in History, Classics, and Archaeology (HCA) disciplines must safeguard their freedom to ask critical questions about sustainability that might be constrained in disciplines focused on technology transfer or business interests.</w:t>
      </w:r>
    </w:p>
    <w:p w14:paraId="5F69F2D5" w14:textId="77777777" w:rsidR="00905C61" w:rsidRPr="0025409A" w:rsidRDefault="00905C61" w:rsidP="00905C61">
      <w:pPr>
        <w:numPr>
          <w:ilvl w:val="0"/>
          <w:numId w:val="9"/>
        </w:numPr>
        <w:spacing w:before="100" w:beforeAutospacing="1" w:after="100" w:afterAutospacing="1" w:line="240" w:lineRule="auto"/>
        <w:rPr>
          <w:rFonts w:eastAsia="Times New Roman" w:cs="Times New Roman"/>
        </w:rPr>
      </w:pPr>
      <w:r w:rsidRPr="0025409A">
        <w:rPr>
          <w:rFonts w:eastAsia="Times New Roman" w:cs="Times New Roman"/>
        </w:rPr>
        <w:t>Discussions around sustainability require going beyond simplistic critiques of science and looking for more constructive modes of engagement with the natural sciences.</w:t>
      </w:r>
    </w:p>
    <w:p w14:paraId="7E95B5BC" w14:textId="77777777" w:rsidR="00905C61" w:rsidRPr="0025409A" w:rsidRDefault="00905C61" w:rsidP="00905C61">
      <w:pPr>
        <w:numPr>
          <w:ilvl w:val="0"/>
          <w:numId w:val="9"/>
        </w:numPr>
        <w:spacing w:before="100" w:beforeAutospacing="1" w:after="100" w:afterAutospacing="1" w:line="240" w:lineRule="auto"/>
        <w:rPr>
          <w:rFonts w:eastAsia="Times New Roman" w:cs="Times New Roman"/>
        </w:rPr>
      </w:pPr>
      <w:r w:rsidRPr="0025409A">
        <w:rPr>
          <w:rFonts w:eastAsia="Times New Roman" w:cs="Times New Roman"/>
        </w:rPr>
        <w:t>The disciplines of History and Archaeology provide essential background for students to understand why 'sustainability' is important and to recognize that it is not a novel issue.</w:t>
      </w:r>
    </w:p>
    <w:p w14:paraId="5069DDC3" w14:textId="77777777" w:rsidR="00905C61" w:rsidRPr="0025409A" w:rsidRDefault="00905C61" w:rsidP="00905C61">
      <w:pPr>
        <w:numPr>
          <w:ilvl w:val="0"/>
          <w:numId w:val="9"/>
        </w:numPr>
        <w:spacing w:before="100" w:beforeAutospacing="1" w:after="100" w:afterAutospacing="1" w:line="240" w:lineRule="auto"/>
        <w:rPr>
          <w:rFonts w:eastAsia="Times New Roman" w:cs="Times New Roman"/>
        </w:rPr>
      </w:pPr>
      <w:r w:rsidRPr="0025409A">
        <w:rPr>
          <w:rFonts w:eastAsia="Times New Roman" w:cs="Times New Roman"/>
        </w:rPr>
        <w:lastRenderedPageBreak/>
        <w:t>Historical connections need to be made to contemporary questions of survival, drawing fully upon ancient and medieval historical and archaeological findings.</w:t>
      </w:r>
    </w:p>
    <w:p w14:paraId="086D7469" w14:textId="77777777" w:rsidR="00905C61" w:rsidRPr="0025409A" w:rsidRDefault="00905C61" w:rsidP="00905C61">
      <w:pPr>
        <w:numPr>
          <w:ilvl w:val="0"/>
          <w:numId w:val="9"/>
        </w:numPr>
        <w:spacing w:before="100" w:beforeAutospacing="1" w:after="100" w:afterAutospacing="1" w:line="240" w:lineRule="auto"/>
        <w:rPr>
          <w:rFonts w:eastAsia="Times New Roman" w:cs="Times New Roman"/>
        </w:rPr>
      </w:pPr>
      <w:r w:rsidRPr="0025409A">
        <w:rPr>
          <w:rFonts w:eastAsia="Times New Roman" w:cs="Times New Roman"/>
        </w:rPr>
        <w:t xml:space="preserve">Attempting to fit the wide variety of academic life within a </w:t>
      </w:r>
      <w:proofErr w:type="gramStart"/>
      <w:r w:rsidRPr="0025409A">
        <w:rPr>
          <w:rFonts w:eastAsia="Times New Roman" w:cs="Times New Roman"/>
        </w:rPr>
        <w:t>single ESD definition leads</w:t>
      </w:r>
      <w:proofErr w:type="gramEnd"/>
      <w:r w:rsidRPr="0025409A">
        <w:rPr>
          <w:rFonts w:eastAsia="Times New Roman" w:cs="Times New Roman"/>
        </w:rPr>
        <w:t xml:space="preserve"> to simplistic thinking.</w:t>
      </w:r>
    </w:p>
    <w:p w14:paraId="6A178934" w14:textId="77777777" w:rsidR="00905C61" w:rsidRPr="0025409A" w:rsidRDefault="00905C61" w:rsidP="00905C61">
      <w:pPr>
        <w:numPr>
          <w:ilvl w:val="0"/>
          <w:numId w:val="9"/>
        </w:numPr>
        <w:spacing w:before="100" w:beforeAutospacing="1" w:after="100" w:afterAutospacing="1" w:line="240" w:lineRule="auto"/>
        <w:rPr>
          <w:rFonts w:eastAsia="Times New Roman" w:cs="Times New Roman"/>
        </w:rPr>
      </w:pPr>
      <w:r w:rsidRPr="0025409A">
        <w:rPr>
          <w:rFonts w:eastAsia="Times New Roman" w:cs="Times New Roman"/>
        </w:rPr>
        <w:t>The concept of sustainability is ambiguous or "fuzzy," which allows for productive critical discussion and differing interpretations by academics.</w:t>
      </w:r>
    </w:p>
    <w:p w14:paraId="23F77E69" w14:textId="77777777" w:rsidR="00905C61" w:rsidRPr="0025409A" w:rsidRDefault="00905C61" w:rsidP="00905C61">
      <w:pPr>
        <w:spacing w:before="100" w:beforeAutospacing="1" w:after="100" w:afterAutospacing="1" w:line="240" w:lineRule="auto"/>
        <w:outlineLvl w:val="2"/>
        <w:rPr>
          <w:rFonts w:eastAsia="Times New Roman" w:cs="Times New Roman"/>
          <w:b/>
          <w:bCs/>
        </w:rPr>
      </w:pPr>
      <w:bookmarkStart w:id="61" w:name="_Toc229750486"/>
      <w:r w:rsidRPr="0025409A">
        <w:rPr>
          <w:rFonts w:eastAsia="Times New Roman" w:cs="Times New Roman"/>
          <w:b/>
          <w:bCs/>
        </w:rPr>
        <w:t>II. Pedagogical Approaches and Curriculum Design</w:t>
      </w:r>
      <w:bookmarkEnd w:id="61"/>
    </w:p>
    <w:p w14:paraId="68B958E9" w14:textId="77777777" w:rsidR="00905C61" w:rsidRPr="0025409A" w:rsidRDefault="00905C61" w:rsidP="00905C61">
      <w:pPr>
        <w:numPr>
          <w:ilvl w:val="0"/>
          <w:numId w:val="10"/>
        </w:numPr>
        <w:spacing w:before="100" w:beforeAutospacing="1" w:after="100" w:afterAutospacing="1" w:line="240" w:lineRule="auto"/>
        <w:rPr>
          <w:rFonts w:eastAsia="Times New Roman" w:cs="Times New Roman"/>
        </w:rPr>
      </w:pPr>
      <w:r w:rsidRPr="0025409A">
        <w:rPr>
          <w:rFonts w:eastAsia="Times New Roman" w:cs="Times New Roman"/>
        </w:rPr>
        <w:t>ESD requires a radical rethink of pedagogy, moving away from traditional, 'one-way' lecturing formats.</w:t>
      </w:r>
    </w:p>
    <w:p w14:paraId="2994C986" w14:textId="77777777" w:rsidR="00905C61" w:rsidRPr="0025409A" w:rsidRDefault="00905C61" w:rsidP="00905C61">
      <w:pPr>
        <w:numPr>
          <w:ilvl w:val="0"/>
          <w:numId w:val="10"/>
        </w:numPr>
        <w:spacing w:before="100" w:beforeAutospacing="1" w:after="100" w:afterAutospacing="1" w:line="240" w:lineRule="auto"/>
        <w:rPr>
          <w:rFonts w:eastAsia="Times New Roman" w:cs="Times New Roman"/>
        </w:rPr>
      </w:pPr>
      <w:r w:rsidRPr="0025409A">
        <w:rPr>
          <w:rFonts w:eastAsia="Times New Roman" w:cs="Times New Roman"/>
        </w:rPr>
        <w:t>Pedagogical approaches for ESD must promote active, participatory, experiential learning, engaging the head, heart, and hands.</w:t>
      </w:r>
    </w:p>
    <w:p w14:paraId="4C03DC37" w14:textId="77777777" w:rsidR="00905C61" w:rsidRPr="0025409A" w:rsidRDefault="00905C61" w:rsidP="00905C61">
      <w:pPr>
        <w:numPr>
          <w:ilvl w:val="0"/>
          <w:numId w:val="10"/>
        </w:numPr>
        <w:spacing w:before="100" w:beforeAutospacing="1" w:after="100" w:afterAutospacing="1" w:line="240" w:lineRule="auto"/>
        <w:rPr>
          <w:rFonts w:eastAsia="Times New Roman" w:cs="Times New Roman"/>
        </w:rPr>
      </w:pPr>
      <w:r w:rsidRPr="0025409A">
        <w:rPr>
          <w:rFonts w:eastAsia="Times New Roman" w:cs="Times New Roman"/>
        </w:rPr>
        <w:t>Teaching sustainability requires employing methods that encourage critical thinking, as these skills are often already valued and emphasized as graduate attributes.</w:t>
      </w:r>
    </w:p>
    <w:p w14:paraId="4B240F35" w14:textId="77777777" w:rsidR="00905C61" w:rsidRPr="0025409A" w:rsidRDefault="00905C61" w:rsidP="00905C61">
      <w:pPr>
        <w:numPr>
          <w:ilvl w:val="0"/>
          <w:numId w:val="10"/>
        </w:numPr>
        <w:spacing w:before="100" w:beforeAutospacing="1" w:after="100" w:afterAutospacing="1" w:line="240" w:lineRule="auto"/>
        <w:rPr>
          <w:rFonts w:eastAsia="Times New Roman" w:cs="Times New Roman"/>
        </w:rPr>
      </w:pPr>
      <w:r w:rsidRPr="0025409A">
        <w:rPr>
          <w:rFonts w:eastAsia="Times New Roman" w:cs="Times New Roman"/>
        </w:rPr>
        <w:t>Seminars and tutorials are important spaces where student-centred methods like discussions and critical thinking can be explored for ESD, even within conventional course structures.</w:t>
      </w:r>
    </w:p>
    <w:p w14:paraId="41684D4E" w14:textId="77777777" w:rsidR="00905C61" w:rsidRPr="0025409A" w:rsidRDefault="00905C61" w:rsidP="00905C61">
      <w:pPr>
        <w:numPr>
          <w:ilvl w:val="0"/>
          <w:numId w:val="10"/>
        </w:numPr>
        <w:spacing w:before="100" w:beforeAutospacing="1" w:after="100" w:afterAutospacing="1" w:line="240" w:lineRule="auto"/>
        <w:rPr>
          <w:rFonts w:eastAsia="Times New Roman" w:cs="Times New Roman"/>
        </w:rPr>
      </w:pPr>
      <w:r w:rsidRPr="0025409A">
        <w:rPr>
          <w:rFonts w:eastAsia="Times New Roman" w:cs="Times New Roman"/>
        </w:rPr>
        <w:t>Exposing students to different definitions of Sustainable Development (SD) is a useful way to stimulate debate and critical reflection in the classroom.</w:t>
      </w:r>
    </w:p>
    <w:p w14:paraId="596A7623" w14:textId="77777777" w:rsidR="00905C61" w:rsidRPr="0025409A" w:rsidRDefault="00905C61" w:rsidP="00905C61">
      <w:pPr>
        <w:numPr>
          <w:ilvl w:val="0"/>
          <w:numId w:val="10"/>
        </w:numPr>
        <w:spacing w:before="100" w:beforeAutospacing="1" w:after="100" w:afterAutospacing="1" w:line="240" w:lineRule="auto"/>
        <w:rPr>
          <w:rFonts w:eastAsia="Times New Roman" w:cs="Times New Roman"/>
        </w:rPr>
      </w:pPr>
      <w:r w:rsidRPr="0025409A">
        <w:rPr>
          <w:rFonts w:eastAsia="Times New Roman" w:cs="Times New Roman"/>
        </w:rPr>
        <w:t>For History students, combining historical information with scientific equipment on field trips can help overcome disadvantages in interpreting scientific data.</w:t>
      </w:r>
    </w:p>
    <w:p w14:paraId="6442FD85" w14:textId="77777777" w:rsidR="00905C61" w:rsidRPr="0025409A" w:rsidRDefault="00905C61" w:rsidP="00905C61">
      <w:pPr>
        <w:numPr>
          <w:ilvl w:val="0"/>
          <w:numId w:val="10"/>
        </w:numPr>
        <w:spacing w:before="100" w:beforeAutospacing="1" w:after="100" w:afterAutospacing="1" w:line="240" w:lineRule="auto"/>
        <w:rPr>
          <w:rFonts w:eastAsia="Times New Roman" w:cs="Times New Roman"/>
        </w:rPr>
      </w:pPr>
      <w:r w:rsidRPr="0025409A">
        <w:rPr>
          <w:rFonts w:eastAsia="Times New Roman" w:cs="Times New Roman"/>
        </w:rPr>
        <w:t>The challenge in History teaching is to move beyond passive, results-fixated methods that leave students ill-prepared for university study.</w:t>
      </w:r>
    </w:p>
    <w:p w14:paraId="7904CB3A" w14:textId="77777777" w:rsidR="00905C61" w:rsidRPr="0025409A" w:rsidRDefault="00905C61" w:rsidP="00905C61">
      <w:pPr>
        <w:numPr>
          <w:ilvl w:val="0"/>
          <w:numId w:val="10"/>
        </w:numPr>
        <w:spacing w:before="100" w:beforeAutospacing="1" w:after="100" w:afterAutospacing="1" w:line="240" w:lineRule="auto"/>
        <w:rPr>
          <w:rFonts w:eastAsia="Times New Roman" w:cs="Times New Roman"/>
        </w:rPr>
      </w:pPr>
      <w:r w:rsidRPr="0025409A">
        <w:rPr>
          <w:rFonts w:eastAsia="Times New Roman" w:cs="Times New Roman"/>
        </w:rPr>
        <w:t>Utilizing oral history interviewing requires students to expend far more thought on research processes and the creation of evidence than traditional historical study typically requires.</w:t>
      </w:r>
    </w:p>
    <w:p w14:paraId="47F57033" w14:textId="77777777" w:rsidR="00905C61" w:rsidRPr="0025409A" w:rsidRDefault="00905C61" w:rsidP="00905C61">
      <w:pPr>
        <w:numPr>
          <w:ilvl w:val="0"/>
          <w:numId w:val="10"/>
        </w:numPr>
        <w:spacing w:before="100" w:beforeAutospacing="1" w:after="100" w:afterAutospacing="1" w:line="240" w:lineRule="auto"/>
        <w:rPr>
          <w:rFonts w:eastAsia="Times New Roman" w:cs="Times New Roman"/>
        </w:rPr>
      </w:pPr>
      <w:r w:rsidRPr="0025409A">
        <w:rPr>
          <w:rFonts w:eastAsia="Times New Roman" w:cs="Times New Roman"/>
        </w:rPr>
        <w:t>Integrating sustainability can be achieved covertly or informally (through "second-best solutions") in teaching, such as through choice of resources or topics within existing modules, rather than formal curriculum redesign.</w:t>
      </w:r>
    </w:p>
    <w:p w14:paraId="2DDE1F3B" w14:textId="77777777" w:rsidR="00905C61" w:rsidRPr="0025409A" w:rsidRDefault="00905C61" w:rsidP="00905C61">
      <w:pPr>
        <w:numPr>
          <w:ilvl w:val="0"/>
          <w:numId w:val="10"/>
        </w:numPr>
        <w:spacing w:before="100" w:beforeAutospacing="1" w:after="100" w:afterAutospacing="1" w:line="240" w:lineRule="auto"/>
        <w:rPr>
          <w:rFonts w:eastAsia="Times New Roman" w:cs="Times New Roman"/>
        </w:rPr>
      </w:pPr>
      <w:r w:rsidRPr="0025409A">
        <w:rPr>
          <w:rFonts w:eastAsia="Times New Roman" w:cs="Times New Roman"/>
        </w:rPr>
        <w:t>When sustainability content is not assessed explicitly, students tend to view it as unimportant and may ignore it.</w:t>
      </w:r>
    </w:p>
    <w:p w14:paraId="3D60F7F2" w14:textId="77777777" w:rsidR="00905C61" w:rsidRPr="0025409A" w:rsidRDefault="00905C61" w:rsidP="00905C61">
      <w:pPr>
        <w:numPr>
          <w:ilvl w:val="0"/>
          <w:numId w:val="10"/>
        </w:numPr>
        <w:spacing w:before="100" w:beforeAutospacing="1" w:after="100" w:afterAutospacing="1" w:line="240" w:lineRule="auto"/>
        <w:rPr>
          <w:rFonts w:eastAsia="Times New Roman" w:cs="Times New Roman"/>
        </w:rPr>
      </w:pPr>
      <w:r w:rsidRPr="0025409A">
        <w:rPr>
          <w:rFonts w:eastAsia="Times New Roman" w:cs="Times New Roman"/>
        </w:rPr>
        <w:t>Developing 'sustainability literacy' means furnishing students with essential skills, rather than making the implicit connections to sustainable development crudely explicit.</w:t>
      </w:r>
    </w:p>
    <w:p w14:paraId="4C14CCC4" w14:textId="77777777" w:rsidR="00905C61" w:rsidRPr="0025409A" w:rsidRDefault="00905C61" w:rsidP="00905C61">
      <w:pPr>
        <w:numPr>
          <w:ilvl w:val="0"/>
          <w:numId w:val="10"/>
        </w:numPr>
        <w:spacing w:before="100" w:beforeAutospacing="1" w:after="100" w:afterAutospacing="1" w:line="240" w:lineRule="auto"/>
        <w:rPr>
          <w:rFonts w:eastAsia="Times New Roman" w:cs="Times New Roman"/>
        </w:rPr>
      </w:pPr>
      <w:r w:rsidRPr="0025409A">
        <w:rPr>
          <w:rFonts w:eastAsia="Times New Roman" w:cs="Times New Roman"/>
        </w:rPr>
        <w:t>The use of case studies can effectively bring sustainability issues into history curriculum that would not traditionally involve environment or sustainability issues.</w:t>
      </w:r>
    </w:p>
    <w:p w14:paraId="55004A7A" w14:textId="77777777" w:rsidR="00905C61" w:rsidRPr="0025409A" w:rsidRDefault="00905C61" w:rsidP="00905C61">
      <w:pPr>
        <w:spacing w:before="100" w:beforeAutospacing="1" w:after="100" w:afterAutospacing="1" w:line="240" w:lineRule="auto"/>
        <w:outlineLvl w:val="2"/>
        <w:rPr>
          <w:rFonts w:eastAsia="Times New Roman" w:cs="Times New Roman"/>
          <w:b/>
          <w:bCs/>
        </w:rPr>
      </w:pPr>
      <w:bookmarkStart w:id="62" w:name="_Toc229750487"/>
      <w:r w:rsidRPr="0025409A">
        <w:rPr>
          <w:rFonts w:eastAsia="Times New Roman" w:cs="Times New Roman"/>
          <w:b/>
          <w:bCs/>
        </w:rPr>
        <w:t>III. Institutional and Structural Barriers</w:t>
      </w:r>
      <w:bookmarkEnd w:id="62"/>
    </w:p>
    <w:p w14:paraId="07360AE8" w14:textId="77777777" w:rsidR="00905C61" w:rsidRPr="0025409A" w:rsidRDefault="00905C61" w:rsidP="00905C61">
      <w:pPr>
        <w:numPr>
          <w:ilvl w:val="0"/>
          <w:numId w:val="11"/>
        </w:numPr>
        <w:spacing w:before="100" w:beforeAutospacing="1" w:after="100" w:afterAutospacing="1" w:line="240" w:lineRule="auto"/>
        <w:rPr>
          <w:rFonts w:eastAsia="Times New Roman" w:cs="Times New Roman"/>
        </w:rPr>
      </w:pPr>
      <w:r w:rsidRPr="0025409A">
        <w:rPr>
          <w:rFonts w:eastAsia="Times New Roman" w:cs="Times New Roman"/>
        </w:rPr>
        <w:t>Institutional and sectoral barriers, such as audit processes and structures, are serious obstacles to the successful development of ESD.</w:t>
      </w:r>
    </w:p>
    <w:p w14:paraId="3F4D1EED" w14:textId="77777777" w:rsidR="00905C61" w:rsidRPr="0025409A" w:rsidRDefault="00905C61" w:rsidP="00905C61">
      <w:pPr>
        <w:numPr>
          <w:ilvl w:val="0"/>
          <w:numId w:val="11"/>
        </w:numPr>
        <w:spacing w:before="100" w:beforeAutospacing="1" w:after="100" w:afterAutospacing="1" w:line="240" w:lineRule="auto"/>
        <w:rPr>
          <w:rFonts w:eastAsia="Times New Roman" w:cs="Times New Roman"/>
        </w:rPr>
      </w:pPr>
      <w:r w:rsidRPr="0025409A">
        <w:rPr>
          <w:rFonts w:eastAsia="Times New Roman" w:cs="Times New Roman"/>
        </w:rPr>
        <w:t>The lack of consistency across higher education on how to assimilate students into university makes the transition difficult and contributes to high drop-out rates.</w:t>
      </w:r>
    </w:p>
    <w:p w14:paraId="0CA8503A" w14:textId="77777777" w:rsidR="00905C61" w:rsidRPr="0025409A" w:rsidRDefault="00905C61" w:rsidP="00905C61">
      <w:pPr>
        <w:numPr>
          <w:ilvl w:val="0"/>
          <w:numId w:val="11"/>
        </w:numPr>
        <w:spacing w:before="100" w:beforeAutospacing="1" w:after="100" w:afterAutospacing="1" w:line="240" w:lineRule="auto"/>
        <w:rPr>
          <w:rFonts w:eastAsia="Times New Roman" w:cs="Times New Roman"/>
        </w:rPr>
      </w:pPr>
      <w:r w:rsidRPr="0025409A">
        <w:rPr>
          <w:rFonts w:eastAsia="Times New Roman" w:cs="Times New Roman"/>
        </w:rPr>
        <w:t>Academics who champion sustainability are generally not sufficiently supported or incentivized by academic institutions.</w:t>
      </w:r>
    </w:p>
    <w:p w14:paraId="301A8AA7" w14:textId="77777777" w:rsidR="00905C61" w:rsidRPr="0025409A" w:rsidRDefault="00905C61" w:rsidP="00905C61">
      <w:pPr>
        <w:numPr>
          <w:ilvl w:val="0"/>
          <w:numId w:val="11"/>
        </w:numPr>
        <w:spacing w:before="100" w:beforeAutospacing="1" w:after="100" w:afterAutospacing="1" w:line="240" w:lineRule="auto"/>
        <w:rPr>
          <w:rFonts w:eastAsia="Times New Roman" w:cs="Times New Roman"/>
        </w:rPr>
      </w:pPr>
      <w:r w:rsidRPr="0025409A">
        <w:rPr>
          <w:rFonts w:eastAsia="Times New Roman" w:cs="Times New Roman"/>
        </w:rPr>
        <w:t>Academics often find the language of ESD inaccessible, contributing to a lack of shared understanding required for effective embedding strategies.</w:t>
      </w:r>
    </w:p>
    <w:p w14:paraId="0545EA62" w14:textId="77777777" w:rsidR="00905C61" w:rsidRPr="0025409A" w:rsidRDefault="00905C61" w:rsidP="00905C61">
      <w:pPr>
        <w:numPr>
          <w:ilvl w:val="0"/>
          <w:numId w:val="11"/>
        </w:numPr>
        <w:spacing w:before="100" w:beforeAutospacing="1" w:after="100" w:afterAutospacing="1" w:line="240" w:lineRule="auto"/>
        <w:rPr>
          <w:rFonts w:eastAsia="Times New Roman" w:cs="Times New Roman"/>
        </w:rPr>
      </w:pPr>
      <w:r w:rsidRPr="0025409A">
        <w:rPr>
          <w:rFonts w:eastAsia="Times New Roman" w:cs="Times New Roman"/>
        </w:rPr>
        <w:t>When teaching enthusiasts migrate from institutions, their implicit ESD teaching provision is usually lost due to a lack of curriculum embedding.</w:t>
      </w:r>
    </w:p>
    <w:p w14:paraId="663D708A" w14:textId="77777777" w:rsidR="00905C61" w:rsidRPr="0025409A" w:rsidRDefault="00905C61" w:rsidP="00905C61">
      <w:pPr>
        <w:numPr>
          <w:ilvl w:val="0"/>
          <w:numId w:val="11"/>
        </w:numPr>
        <w:spacing w:before="100" w:beforeAutospacing="1" w:after="100" w:afterAutospacing="1" w:line="240" w:lineRule="auto"/>
        <w:rPr>
          <w:rFonts w:eastAsia="Times New Roman" w:cs="Times New Roman"/>
        </w:rPr>
      </w:pPr>
      <w:r w:rsidRPr="0025409A">
        <w:rPr>
          <w:rFonts w:eastAsia="Times New Roman" w:cs="Times New Roman"/>
        </w:rPr>
        <w:lastRenderedPageBreak/>
        <w:t>Stronger institutional support, such as embedding SD in the university's mission statement and policies, would positively impact a lecturer's ability to include it in teaching.</w:t>
      </w:r>
    </w:p>
    <w:p w14:paraId="5E134E26" w14:textId="77777777" w:rsidR="00905C61" w:rsidRPr="0025409A" w:rsidRDefault="00905C61" w:rsidP="00905C61">
      <w:pPr>
        <w:numPr>
          <w:ilvl w:val="0"/>
          <w:numId w:val="11"/>
        </w:numPr>
        <w:spacing w:before="100" w:beforeAutospacing="1" w:after="100" w:afterAutospacing="1" w:line="240" w:lineRule="auto"/>
        <w:rPr>
          <w:rFonts w:eastAsia="Times New Roman" w:cs="Times New Roman"/>
        </w:rPr>
      </w:pPr>
      <w:r w:rsidRPr="0025409A">
        <w:rPr>
          <w:rFonts w:eastAsia="Times New Roman" w:cs="Times New Roman"/>
        </w:rPr>
        <w:t>Faculty and administrators often have uncoordinated goals regarding sustainability, making successful initiatives difficult to implement.</w:t>
      </w:r>
    </w:p>
    <w:p w14:paraId="25A9F6DA" w14:textId="77777777" w:rsidR="00905C61" w:rsidRPr="0025409A" w:rsidRDefault="00905C61" w:rsidP="00905C61">
      <w:pPr>
        <w:numPr>
          <w:ilvl w:val="0"/>
          <w:numId w:val="11"/>
        </w:numPr>
        <w:spacing w:before="100" w:beforeAutospacing="1" w:after="100" w:afterAutospacing="1" w:line="240" w:lineRule="auto"/>
        <w:rPr>
          <w:rFonts w:eastAsia="Times New Roman" w:cs="Times New Roman"/>
        </w:rPr>
      </w:pPr>
      <w:r w:rsidRPr="0025409A">
        <w:rPr>
          <w:rFonts w:eastAsia="Times New Roman" w:cs="Times New Roman"/>
        </w:rPr>
        <w:t>The institutional focus on scientific and economic productivity (rankings and benchmarking) has pushed teaching goals aside, making academics reluctant to engage with transformative ESD.</w:t>
      </w:r>
    </w:p>
    <w:p w14:paraId="046FC405" w14:textId="77777777" w:rsidR="00905C61" w:rsidRPr="0025409A" w:rsidRDefault="00905C61" w:rsidP="00905C61">
      <w:pPr>
        <w:numPr>
          <w:ilvl w:val="0"/>
          <w:numId w:val="11"/>
        </w:numPr>
        <w:spacing w:before="100" w:beforeAutospacing="1" w:after="100" w:afterAutospacing="1" w:line="240" w:lineRule="auto"/>
        <w:rPr>
          <w:rFonts w:eastAsia="Times New Roman" w:cs="Times New Roman"/>
        </w:rPr>
      </w:pPr>
      <w:r w:rsidRPr="0025409A">
        <w:rPr>
          <w:rFonts w:eastAsia="Times New Roman" w:cs="Times New Roman"/>
        </w:rPr>
        <w:t>Designing new courses or reviewing existing curricula provides necessary time for academics to integrate sustainability without increasing already high workloads.</w:t>
      </w:r>
    </w:p>
    <w:p w14:paraId="4EBF977B" w14:textId="77777777" w:rsidR="00905C61" w:rsidRPr="00C4377F" w:rsidRDefault="00905C61" w:rsidP="00905C61">
      <w:pPr>
        <w:numPr>
          <w:ilvl w:val="0"/>
          <w:numId w:val="11"/>
        </w:numPr>
        <w:spacing w:before="100" w:beforeAutospacing="1" w:after="100" w:afterAutospacing="1" w:line="240" w:lineRule="auto"/>
        <w:rPr>
          <w:rFonts w:eastAsia="Times New Roman" w:cs="Times New Roman"/>
        </w:rPr>
      </w:pPr>
      <w:r w:rsidRPr="0025409A">
        <w:rPr>
          <w:rFonts w:eastAsia="Times New Roman" w:cs="Times New Roman"/>
        </w:rPr>
        <w:t>There is a need for greater consistency and agreement in history departments on how best to teach the subject in ways that motivate today’s undergraduates and postgraduates.</w:t>
      </w:r>
    </w:p>
    <w:p w14:paraId="27233535" w14:textId="77777777" w:rsidR="00905C61" w:rsidRPr="00C4377F" w:rsidRDefault="00905C61" w:rsidP="00905C61">
      <w:pPr>
        <w:spacing w:before="100" w:beforeAutospacing="1" w:after="100" w:afterAutospacing="1" w:line="240" w:lineRule="auto"/>
        <w:rPr>
          <w:rFonts w:eastAsia="Times New Roman" w:cs="Times New Roman"/>
        </w:rPr>
      </w:pPr>
    </w:p>
    <w:p w14:paraId="0CBCFED6" w14:textId="77777777" w:rsidR="00905C61" w:rsidRPr="00C4377F" w:rsidRDefault="00905C61" w:rsidP="00905C61">
      <w:pPr>
        <w:pStyle w:val="Heading2"/>
      </w:pPr>
      <w:bookmarkStart w:id="63" w:name="_Toc229750488"/>
      <w:r>
        <w:t xml:space="preserve">Statements from </w:t>
      </w:r>
      <w:r w:rsidRPr="00C4377F">
        <w:t xml:space="preserve">Gemini interactive </w:t>
      </w:r>
      <w:r>
        <w:t xml:space="preserve">(‘Canvas’) </w:t>
      </w:r>
      <w:r w:rsidRPr="00C4377F">
        <w:t>tool</w:t>
      </w:r>
      <w:r>
        <w:t xml:space="preserve"> generated as the first iteration of the online Q-sort</w:t>
      </w:r>
      <w:bookmarkEnd w:id="63"/>
    </w:p>
    <w:p w14:paraId="4988FD48"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Sustainability should be integrated across all History modules</w:t>
      </w:r>
    </w:p>
    <w:p w14:paraId="27698D12" w14:textId="77777777" w:rsidR="00905C61" w:rsidRPr="00C4377F" w:rsidRDefault="00905C61" w:rsidP="00905C61">
      <w:pPr>
        <w:autoSpaceDE w:val="0"/>
        <w:autoSpaceDN w:val="0"/>
        <w:adjustRightInd w:val="0"/>
        <w:spacing w:after="0" w:line="240" w:lineRule="auto"/>
        <w:rPr>
          <w:rFonts w:cs="System Font"/>
          <w:lang w:val="en-US"/>
        </w:rPr>
      </w:pPr>
    </w:p>
    <w:p w14:paraId="1755C42F"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Environmental history is sufficient for addressing sustainability</w:t>
      </w:r>
    </w:p>
    <w:p w14:paraId="5053EDFB" w14:textId="77777777" w:rsidR="00905C61" w:rsidRPr="00C4377F" w:rsidRDefault="00905C61" w:rsidP="00905C61">
      <w:pPr>
        <w:autoSpaceDE w:val="0"/>
        <w:autoSpaceDN w:val="0"/>
        <w:adjustRightInd w:val="0"/>
        <w:spacing w:after="0" w:line="240" w:lineRule="auto"/>
        <w:rPr>
          <w:rFonts w:cs="System Font"/>
          <w:lang w:val="en-US"/>
        </w:rPr>
      </w:pPr>
    </w:p>
    <w:p w14:paraId="3EDD84C9"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 xml:space="preserve">Students expect sustainability content in their </w:t>
      </w:r>
      <w:proofErr w:type="gramStart"/>
      <w:r w:rsidRPr="00C4377F">
        <w:rPr>
          <w:rFonts w:cs="System Font"/>
          <w:lang w:val="en-US"/>
        </w:rPr>
        <w:t>History</w:t>
      </w:r>
      <w:proofErr w:type="gramEnd"/>
      <w:r w:rsidRPr="00C4377F">
        <w:rPr>
          <w:rFonts w:cs="System Font"/>
          <w:lang w:val="en-US"/>
        </w:rPr>
        <w:t xml:space="preserve"> degree</w:t>
      </w:r>
    </w:p>
    <w:p w14:paraId="533BDB40" w14:textId="77777777" w:rsidR="00905C61" w:rsidRPr="00C4377F" w:rsidRDefault="00905C61" w:rsidP="00905C61">
      <w:pPr>
        <w:autoSpaceDE w:val="0"/>
        <w:autoSpaceDN w:val="0"/>
        <w:adjustRightInd w:val="0"/>
        <w:spacing w:after="0" w:line="240" w:lineRule="auto"/>
        <w:rPr>
          <w:rFonts w:cs="System Font"/>
          <w:lang w:val="en-US"/>
        </w:rPr>
      </w:pPr>
    </w:p>
    <w:p w14:paraId="3A5703FC"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Teaching sustainability detracts from core historical content</w:t>
      </w:r>
    </w:p>
    <w:p w14:paraId="3740BD4E" w14:textId="77777777" w:rsidR="00905C61" w:rsidRPr="00C4377F" w:rsidRDefault="00905C61" w:rsidP="00905C61">
      <w:pPr>
        <w:autoSpaceDE w:val="0"/>
        <w:autoSpaceDN w:val="0"/>
        <w:adjustRightInd w:val="0"/>
        <w:spacing w:after="0" w:line="240" w:lineRule="auto"/>
        <w:rPr>
          <w:rFonts w:cs="System Font"/>
          <w:lang w:val="en-US"/>
        </w:rPr>
      </w:pPr>
    </w:p>
    <w:p w14:paraId="49AB1C3F"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I feel confident teaching sustainability-related topics</w:t>
      </w:r>
    </w:p>
    <w:p w14:paraId="44677E98" w14:textId="77777777" w:rsidR="00905C61" w:rsidRPr="00C4377F" w:rsidRDefault="00905C61" w:rsidP="00905C61">
      <w:pPr>
        <w:autoSpaceDE w:val="0"/>
        <w:autoSpaceDN w:val="0"/>
        <w:adjustRightInd w:val="0"/>
        <w:spacing w:after="0" w:line="240" w:lineRule="auto"/>
        <w:rPr>
          <w:rFonts w:cs="System Font"/>
          <w:lang w:val="en-US"/>
        </w:rPr>
      </w:pPr>
    </w:p>
    <w:p w14:paraId="517061AA"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Sustainability is relevant to understanding historical processes</w:t>
      </w:r>
    </w:p>
    <w:p w14:paraId="5F5F856E" w14:textId="77777777" w:rsidR="00905C61" w:rsidRPr="00C4377F" w:rsidRDefault="00905C61" w:rsidP="00905C61">
      <w:pPr>
        <w:autoSpaceDE w:val="0"/>
        <w:autoSpaceDN w:val="0"/>
        <w:adjustRightInd w:val="0"/>
        <w:spacing w:after="0" w:line="240" w:lineRule="auto"/>
        <w:rPr>
          <w:rFonts w:cs="System Font"/>
          <w:lang w:val="en-US"/>
        </w:rPr>
      </w:pPr>
    </w:p>
    <w:p w14:paraId="6E8EC285"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There is institutional pressure to include sustainability</w:t>
      </w:r>
    </w:p>
    <w:p w14:paraId="75C9684A" w14:textId="77777777" w:rsidR="00905C61" w:rsidRPr="00C4377F" w:rsidRDefault="00905C61" w:rsidP="00905C61">
      <w:pPr>
        <w:autoSpaceDE w:val="0"/>
        <w:autoSpaceDN w:val="0"/>
        <w:adjustRightInd w:val="0"/>
        <w:spacing w:after="0" w:line="240" w:lineRule="auto"/>
        <w:rPr>
          <w:rFonts w:cs="System Font"/>
          <w:lang w:val="en-US"/>
        </w:rPr>
      </w:pPr>
    </w:p>
    <w:p w14:paraId="4AB2E860"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Sustainability fits naturally within History pedagogy</w:t>
      </w:r>
    </w:p>
    <w:p w14:paraId="4C8990B4" w14:textId="77777777" w:rsidR="00905C61" w:rsidRPr="00C4377F" w:rsidRDefault="00905C61" w:rsidP="00905C61">
      <w:pPr>
        <w:autoSpaceDE w:val="0"/>
        <w:autoSpaceDN w:val="0"/>
        <w:adjustRightInd w:val="0"/>
        <w:spacing w:after="0" w:line="240" w:lineRule="auto"/>
        <w:rPr>
          <w:rFonts w:cs="System Font"/>
          <w:lang w:val="en-US"/>
        </w:rPr>
      </w:pPr>
    </w:p>
    <w:p w14:paraId="54811D76"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I need more training to teach sustainability effectively</w:t>
      </w:r>
    </w:p>
    <w:p w14:paraId="78540A0F" w14:textId="77777777" w:rsidR="00905C61" w:rsidRPr="00C4377F" w:rsidRDefault="00905C61" w:rsidP="00905C61">
      <w:pPr>
        <w:autoSpaceDE w:val="0"/>
        <w:autoSpaceDN w:val="0"/>
        <w:adjustRightInd w:val="0"/>
        <w:spacing w:after="0" w:line="240" w:lineRule="auto"/>
        <w:rPr>
          <w:rFonts w:cs="System Font"/>
          <w:lang w:val="en-US"/>
        </w:rPr>
      </w:pPr>
    </w:p>
    <w:p w14:paraId="4B12EB9E"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Sustainability enhances students' critical thinking skills</w:t>
      </w:r>
    </w:p>
    <w:p w14:paraId="2FE5E424" w14:textId="77777777" w:rsidR="00905C61" w:rsidRPr="00C4377F" w:rsidRDefault="00905C61" w:rsidP="00905C61">
      <w:pPr>
        <w:autoSpaceDE w:val="0"/>
        <w:autoSpaceDN w:val="0"/>
        <w:adjustRightInd w:val="0"/>
        <w:spacing w:after="0" w:line="240" w:lineRule="auto"/>
        <w:rPr>
          <w:rFonts w:cs="System Font"/>
          <w:lang w:val="en-US"/>
        </w:rPr>
      </w:pPr>
    </w:p>
    <w:p w14:paraId="216E0775"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Sustainability is a passing trend in higher education</w:t>
      </w:r>
    </w:p>
    <w:p w14:paraId="1520C6D5" w14:textId="77777777" w:rsidR="00905C61" w:rsidRPr="00C4377F" w:rsidRDefault="00905C61" w:rsidP="00905C61">
      <w:pPr>
        <w:autoSpaceDE w:val="0"/>
        <w:autoSpaceDN w:val="0"/>
        <w:adjustRightInd w:val="0"/>
        <w:spacing w:after="0" w:line="240" w:lineRule="auto"/>
        <w:rPr>
          <w:rFonts w:cs="System Font"/>
          <w:lang w:val="en-US"/>
        </w:rPr>
      </w:pPr>
    </w:p>
    <w:p w14:paraId="25789D1E"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Historical perspective is essential for sustainability education</w:t>
      </w:r>
    </w:p>
    <w:p w14:paraId="1F30432B" w14:textId="77777777" w:rsidR="00905C61" w:rsidRPr="00C4377F" w:rsidRDefault="00905C61" w:rsidP="00905C61">
      <w:pPr>
        <w:autoSpaceDE w:val="0"/>
        <w:autoSpaceDN w:val="0"/>
        <w:adjustRightInd w:val="0"/>
        <w:spacing w:after="0" w:line="240" w:lineRule="auto"/>
        <w:rPr>
          <w:rFonts w:cs="System Font"/>
          <w:lang w:val="en-US"/>
        </w:rPr>
      </w:pPr>
    </w:p>
    <w:p w14:paraId="198D961A"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Sustainability topics engage students more than traditional content</w:t>
      </w:r>
    </w:p>
    <w:p w14:paraId="67C40FE0" w14:textId="77777777" w:rsidR="00905C61" w:rsidRPr="00C4377F" w:rsidRDefault="00905C61" w:rsidP="00905C61">
      <w:pPr>
        <w:autoSpaceDE w:val="0"/>
        <w:autoSpaceDN w:val="0"/>
        <w:adjustRightInd w:val="0"/>
        <w:spacing w:after="0" w:line="240" w:lineRule="auto"/>
        <w:rPr>
          <w:rFonts w:cs="System Font"/>
          <w:lang w:val="en-US"/>
        </w:rPr>
      </w:pPr>
    </w:p>
    <w:p w14:paraId="67A1F990"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Disciplinary boundaries limit sustainability integration</w:t>
      </w:r>
    </w:p>
    <w:p w14:paraId="4BEFE673" w14:textId="77777777" w:rsidR="00905C61" w:rsidRPr="00C4377F" w:rsidRDefault="00905C61" w:rsidP="00905C61">
      <w:pPr>
        <w:autoSpaceDE w:val="0"/>
        <w:autoSpaceDN w:val="0"/>
        <w:adjustRightInd w:val="0"/>
        <w:spacing w:after="0" w:line="240" w:lineRule="auto"/>
        <w:rPr>
          <w:rFonts w:cs="System Font"/>
          <w:lang w:val="en-US"/>
        </w:rPr>
      </w:pPr>
    </w:p>
    <w:p w14:paraId="4D689B26"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Sustainability should be optional, not mandatory content</w:t>
      </w:r>
    </w:p>
    <w:p w14:paraId="4114E4AF" w14:textId="77777777" w:rsidR="00905C61" w:rsidRPr="00C4377F" w:rsidRDefault="00905C61" w:rsidP="00905C61">
      <w:pPr>
        <w:autoSpaceDE w:val="0"/>
        <w:autoSpaceDN w:val="0"/>
        <w:adjustRightInd w:val="0"/>
        <w:spacing w:after="0" w:line="240" w:lineRule="auto"/>
        <w:rPr>
          <w:rFonts w:cs="System Font"/>
          <w:lang w:val="en-US"/>
        </w:rPr>
      </w:pPr>
    </w:p>
    <w:p w14:paraId="5995EC48"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My research interests align with sustainability themes</w:t>
      </w:r>
    </w:p>
    <w:p w14:paraId="679676C5" w14:textId="77777777" w:rsidR="00905C61" w:rsidRPr="00C4377F" w:rsidRDefault="00905C61" w:rsidP="00905C61">
      <w:pPr>
        <w:autoSpaceDE w:val="0"/>
        <w:autoSpaceDN w:val="0"/>
        <w:adjustRightInd w:val="0"/>
        <w:spacing w:after="0" w:line="240" w:lineRule="auto"/>
        <w:rPr>
          <w:rFonts w:cs="System Font"/>
          <w:lang w:val="en-US"/>
        </w:rPr>
      </w:pPr>
    </w:p>
    <w:p w14:paraId="125763FF"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Colleagues are supportive of sustainability initiatives</w:t>
      </w:r>
    </w:p>
    <w:p w14:paraId="3DA3EDDA" w14:textId="77777777" w:rsidR="00905C61" w:rsidRPr="00C4377F" w:rsidRDefault="00905C61" w:rsidP="00905C61">
      <w:pPr>
        <w:autoSpaceDE w:val="0"/>
        <w:autoSpaceDN w:val="0"/>
        <w:adjustRightInd w:val="0"/>
        <w:spacing w:after="0" w:line="240" w:lineRule="auto"/>
        <w:rPr>
          <w:rFonts w:cs="System Font"/>
          <w:lang w:val="en-US"/>
        </w:rPr>
      </w:pPr>
    </w:p>
    <w:p w14:paraId="54E89138"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Assessment structures hinder sustainability teaching</w:t>
      </w:r>
    </w:p>
    <w:p w14:paraId="7918070E" w14:textId="77777777" w:rsidR="00905C61" w:rsidRPr="00C4377F" w:rsidRDefault="00905C61" w:rsidP="00905C61">
      <w:pPr>
        <w:autoSpaceDE w:val="0"/>
        <w:autoSpaceDN w:val="0"/>
        <w:adjustRightInd w:val="0"/>
        <w:spacing w:after="0" w:line="240" w:lineRule="auto"/>
        <w:rPr>
          <w:rFonts w:cs="System Font"/>
          <w:lang w:val="en-US"/>
        </w:rPr>
      </w:pPr>
    </w:p>
    <w:p w14:paraId="29D38BA3"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Sustainability education prepares students for future careers</w:t>
      </w:r>
    </w:p>
    <w:p w14:paraId="33A0C71B" w14:textId="77777777" w:rsidR="00905C61" w:rsidRPr="00C4377F" w:rsidRDefault="00905C61" w:rsidP="00905C61">
      <w:pPr>
        <w:autoSpaceDE w:val="0"/>
        <w:autoSpaceDN w:val="0"/>
        <w:adjustRightInd w:val="0"/>
        <w:spacing w:after="0" w:line="240" w:lineRule="auto"/>
        <w:rPr>
          <w:rFonts w:cs="System Font"/>
          <w:lang w:val="en-US"/>
        </w:rPr>
      </w:pPr>
    </w:p>
    <w:p w14:paraId="3A0316F3"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There are sufficient resources for teaching sustainability</w:t>
      </w:r>
    </w:p>
    <w:p w14:paraId="23942E56" w14:textId="77777777" w:rsidR="00905C61" w:rsidRPr="00C4377F" w:rsidRDefault="00905C61" w:rsidP="00905C61">
      <w:pPr>
        <w:autoSpaceDE w:val="0"/>
        <w:autoSpaceDN w:val="0"/>
        <w:adjustRightInd w:val="0"/>
        <w:spacing w:after="0" w:line="240" w:lineRule="auto"/>
        <w:rPr>
          <w:rFonts w:cs="System Font"/>
          <w:lang w:val="en-US"/>
        </w:rPr>
      </w:pPr>
    </w:p>
    <w:p w14:paraId="06C26CB7"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The historical discipline has a moral duty to address sustainability challenges</w:t>
      </w:r>
    </w:p>
    <w:p w14:paraId="6BD1694B" w14:textId="77777777" w:rsidR="00905C61" w:rsidRPr="00C4377F" w:rsidRDefault="00905C61" w:rsidP="00905C61">
      <w:pPr>
        <w:autoSpaceDE w:val="0"/>
        <w:autoSpaceDN w:val="0"/>
        <w:adjustRightInd w:val="0"/>
        <w:spacing w:after="0" w:line="240" w:lineRule="auto"/>
        <w:rPr>
          <w:rFonts w:cs="System Font"/>
          <w:lang w:val="en-US"/>
        </w:rPr>
      </w:pPr>
    </w:p>
    <w:p w14:paraId="5BC140A8"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Integrating sustainability is an opportunity to innovate History teaching methods</w:t>
      </w:r>
    </w:p>
    <w:p w14:paraId="1FDA41C7" w14:textId="77777777" w:rsidR="00905C61" w:rsidRPr="00C4377F" w:rsidRDefault="00905C61" w:rsidP="00905C61">
      <w:pPr>
        <w:autoSpaceDE w:val="0"/>
        <w:autoSpaceDN w:val="0"/>
        <w:adjustRightInd w:val="0"/>
        <w:spacing w:after="0" w:line="240" w:lineRule="auto"/>
        <w:rPr>
          <w:rFonts w:cs="System Font"/>
          <w:lang w:val="en-US"/>
        </w:rPr>
      </w:pPr>
    </w:p>
    <w:p w14:paraId="131A337B"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I worry about the political implications of teaching sustainability</w:t>
      </w:r>
    </w:p>
    <w:p w14:paraId="6F35B465" w14:textId="77777777" w:rsidR="00905C61" w:rsidRPr="00C4377F" w:rsidRDefault="00905C61" w:rsidP="00905C61">
      <w:pPr>
        <w:autoSpaceDE w:val="0"/>
        <w:autoSpaceDN w:val="0"/>
        <w:adjustRightInd w:val="0"/>
        <w:spacing w:after="0" w:line="240" w:lineRule="auto"/>
        <w:rPr>
          <w:rFonts w:cs="System Font"/>
          <w:lang w:val="en-US"/>
        </w:rPr>
      </w:pPr>
    </w:p>
    <w:p w14:paraId="7A56882A"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Current curriculum frameworks make it difficult to include sustainability</w:t>
      </w:r>
    </w:p>
    <w:p w14:paraId="64B2AEAA" w14:textId="77777777" w:rsidR="00905C61" w:rsidRPr="00C4377F" w:rsidRDefault="00905C61" w:rsidP="00905C61">
      <w:pPr>
        <w:autoSpaceDE w:val="0"/>
        <w:autoSpaceDN w:val="0"/>
        <w:adjustRightInd w:val="0"/>
        <w:spacing w:after="0" w:line="240" w:lineRule="auto"/>
        <w:rPr>
          <w:rFonts w:cs="System Font"/>
          <w:lang w:val="en-US"/>
        </w:rPr>
      </w:pPr>
    </w:p>
    <w:p w14:paraId="35E38FE4"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History provides unique insights into the long-term human-environment relationship</w:t>
      </w:r>
    </w:p>
    <w:p w14:paraId="7613F963" w14:textId="77777777" w:rsidR="00905C61" w:rsidRPr="00C4377F" w:rsidRDefault="00905C61" w:rsidP="00905C61">
      <w:pPr>
        <w:autoSpaceDE w:val="0"/>
        <w:autoSpaceDN w:val="0"/>
        <w:adjustRightInd w:val="0"/>
        <w:spacing w:after="0" w:line="240" w:lineRule="auto"/>
        <w:rPr>
          <w:rFonts w:cs="System Font"/>
          <w:lang w:val="en-US"/>
        </w:rPr>
      </w:pPr>
    </w:p>
    <w:p w14:paraId="775349D1"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Students' understanding of sustainability is too basic for academic treatment in History</w:t>
      </w:r>
    </w:p>
    <w:p w14:paraId="5143C4B2" w14:textId="77777777" w:rsidR="00905C61" w:rsidRPr="00C4377F" w:rsidRDefault="00905C61" w:rsidP="00905C61">
      <w:pPr>
        <w:autoSpaceDE w:val="0"/>
        <w:autoSpaceDN w:val="0"/>
        <w:adjustRightInd w:val="0"/>
        <w:spacing w:after="0" w:line="240" w:lineRule="auto"/>
        <w:rPr>
          <w:rFonts w:cs="System Font"/>
          <w:lang w:val="en-US"/>
        </w:rPr>
      </w:pPr>
    </w:p>
    <w:p w14:paraId="2FDDBE8D"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I am concerned that sustainability teaching may be seen as a form of activism</w:t>
      </w:r>
    </w:p>
    <w:p w14:paraId="68E3F18D" w14:textId="77777777" w:rsidR="00905C61" w:rsidRPr="00C4377F" w:rsidRDefault="00905C61" w:rsidP="00905C61">
      <w:pPr>
        <w:autoSpaceDE w:val="0"/>
        <w:autoSpaceDN w:val="0"/>
        <w:adjustRightInd w:val="0"/>
        <w:spacing w:after="0" w:line="240" w:lineRule="auto"/>
        <w:rPr>
          <w:rFonts w:cs="System Font"/>
          <w:lang w:val="en-US"/>
        </w:rPr>
      </w:pPr>
    </w:p>
    <w:p w14:paraId="0BB68F42"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Teaching sustainability attracts a more diverse range of students to History</w:t>
      </w:r>
    </w:p>
    <w:p w14:paraId="75A29311" w14:textId="77777777" w:rsidR="00905C61" w:rsidRPr="00C4377F" w:rsidRDefault="00905C61" w:rsidP="00905C61">
      <w:pPr>
        <w:autoSpaceDE w:val="0"/>
        <w:autoSpaceDN w:val="0"/>
        <w:adjustRightInd w:val="0"/>
        <w:spacing w:after="0" w:line="240" w:lineRule="auto"/>
        <w:rPr>
          <w:rFonts w:cs="System Font"/>
          <w:lang w:val="en-US"/>
        </w:rPr>
      </w:pPr>
    </w:p>
    <w:p w14:paraId="78F0E6F0"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There is not enough time in the syllabus to include sustainability content</w:t>
      </w:r>
    </w:p>
    <w:p w14:paraId="4CD87774" w14:textId="77777777" w:rsidR="00905C61" w:rsidRPr="00C4377F" w:rsidRDefault="00905C61" w:rsidP="00905C61">
      <w:pPr>
        <w:autoSpaceDE w:val="0"/>
        <w:autoSpaceDN w:val="0"/>
        <w:adjustRightInd w:val="0"/>
        <w:spacing w:after="0" w:line="240" w:lineRule="auto"/>
        <w:rPr>
          <w:rFonts w:cs="System Font"/>
          <w:lang w:val="en-US"/>
        </w:rPr>
      </w:pPr>
    </w:p>
    <w:p w14:paraId="276B7722"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The university should provide more central support for sustainability in teaching</w:t>
      </w:r>
    </w:p>
    <w:p w14:paraId="60C60C98" w14:textId="77777777" w:rsidR="00905C61" w:rsidRPr="00C4377F" w:rsidRDefault="00905C61" w:rsidP="00905C61">
      <w:pPr>
        <w:autoSpaceDE w:val="0"/>
        <w:autoSpaceDN w:val="0"/>
        <w:adjustRightInd w:val="0"/>
        <w:spacing w:after="0" w:line="240" w:lineRule="auto"/>
        <w:rPr>
          <w:rFonts w:cs="System Font"/>
          <w:lang w:val="en-US"/>
        </w:rPr>
      </w:pPr>
    </w:p>
    <w:p w14:paraId="28DE1ABB"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Historical research on environmental change can inform current sustainability policies</w:t>
      </w:r>
    </w:p>
    <w:p w14:paraId="6BB446E8" w14:textId="77777777" w:rsidR="00905C61" w:rsidRPr="00C4377F" w:rsidRDefault="00905C61" w:rsidP="00905C61">
      <w:pPr>
        <w:autoSpaceDE w:val="0"/>
        <w:autoSpaceDN w:val="0"/>
        <w:adjustRightInd w:val="0"/>
        <w:spacing w:after="0" w:line="240" w:lineRule="auto"/>
        <w:rPr>
          <w:rFonts w:cs="System Font"/>
          <w:lang w:val="en-US"/>
        </w:rPr>
      </w:pPr>
    </w:p>
    <w:p w14:paraId="7E111D5A"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The concept of sustainability is historically situated and has evolved over time</w:t>
      </w:r>
    </w:p>
    <w:p w14:paraId="719FF543" w14:textId="77777777" w:rsidR="00905C61" w:rsidRPr="00C4377F" w:rsidRDefault="00905C61" w:rsidP="00905C61">
      <w:pPr>
        <w:autoSpaceDE w:val="0"/>
        <w:autoSpaceDN w:val="0"/>
        <w:adjustRightInd w:val="0"/>
        <w:spacing w:after="0" w:line="240" w:lineRule="auto"/>
        <w:rPr>
          <w:rFonts w:cs="System Font"/>
          <w:lang w:val="en-US"/>
        </w:rPr>
      </w:pPr>
    </w:p>
    <w:p w14:paraId="2090F704"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Incorporating sustainability into History requires us to rethink what constitutes 'good' history</w:t>
      </w:r>
    </w:p>
    <w:p w14:paraId="746108AD" w14:textId="77777777" w:rsidR="00905C61" w:rsidRPr="00C4377F" w:rsidRDefault="00905C61" w:rsidP="00905C61">
      <w:pPr>
        <w:autoSpaceDE w:val="0"/>
        <w:autoSpaceDN w:val="0"/>
        <w:adjustRightInd w:val="0"/>
        <w:spacing w:after="0" w:line="240" w:lineRule="auto"/>
        <w:rPr>
          <w:rFonts w:cs="System Font"/>
          <w:lang w:val="en-US"/>
        </w:rPr>
      </w:pPr>
    </w:p>
    <w:p w14:paraId="4996C5D7" w14:textId="77777777" w:rsidR="00905C61" w:rsidRPr="00C4377F" w:rsidRDefault="00905C61" w:rsidP="00905C61">
      <w:pPr>
        <w:pStyle w:val="ListParagraph"/>
        <w:numPr>
          <w:ilvl w:val="0"/>
          <w:numId w:val="12"/>
        </w:numPr>
        <w:autoSpaceDE w:val="0"/>
        <w:autoSpaceDN w:val="0"/>
        <w:adjustRightInd w:val="0"/>
        <w:spacing w:after="0" w:line="240" w:lineRule="auto"/>
        <w:rPr>
          <w:rFonts w:cs="System Font"/>
          <w:lang w:val="en-US"/>
        </w:rPr>
      </w:pPr>
      <w:r w:rsidRPr="00C4377F">
        <w:rPr>
          <w:rFonts w:cs="System Font"/>
          <w:lang w:val="en-US"/>
        </w:rPr>
        <w:t>It is important to teach sustainability without promoting a specific political agenda</w:t>
      </w:r>
    </w:p>
    <w:p w14:paraId="38309FA6" w14:textId="77777777" w:rsidR="00905C61" w:rsidRPr="00C4377F" w:rsidRDefault="00905C61" w:rsidP="00905C61">
      <w:pPr>
        <w:rPr>
          <w:lang w:val="en-US"/>
        </w:rPr>
      </w:pPr>
    </w:p>
    <w:p w14:paraId="3C697547" w14:textId="77777777" w:rsidR="00905C61" w:rsidRPr="0025409A" w:rsidRDefault="00905C61" w:rsidP="00905C61">
      <w:pPr>
        <w:spacing w:after="0" w:line="240" w:lineRule="auto"/>
        <w:rPr>
          <w:rFonts w:eastAsia="Times New Roman" w:cs="Arial"/>
          <w:color w:val="1B1C1D"/>
        </w:rPr>
      </w:pPr>
    </w:p>
    <w:p w14:paraId="34C4F3B2" w14:textId="77777777" w:rsidR="00905C61" w:rsidRPr="00C4377F" w:rsidRDefault="00905C61" w:rsidP="00905C61"/>
    <w:p w14:paraId="7AC76AEC" w14:textId="77777777" w:rsidR="00905C61" w:rsidRDefault="00905C61">
      <w:pPr>
        <w:rPr>
          <w:rFonts w:asciiTheme="minorHAnsi" w:hAnsiTheme="minorHAnsi"/>
          <w:sz w:val="24"/>
          <w:szCs w:val="24"/>
        </w:rPr>
      </w:pPr>
    </w:p>
    <w:p w14:paraId="337D48BA" w14:textId="77777777" w:rsidR="00905C61" w:rsidRDefault="00905C61">
      <w:pPr>
        <w:rPr>
          <w:rFonts w:asciiTheme="minorHAnsi" w:hAnsiTheme="minorHAnsi"/>
          <w:sz w:val="24"/>
          <w:szCs w:val="24"/>
        </w:rPr>
      </w:pPr>
    </w:p>
    <w:p w14:paraId="283C66CF" w14:textId="77777777" w:rsidR="00905C61" w:rsidRDefault="00905C61">
      <w:pPr>
        <w:rPr>
          <w:rFonts w:asciiTheme="minorHAnsi" w:hAnsiTheme="minorHAnsi"/>
          <w:sz w:val="24"/>
          <w:szCs w:val="24"/>
        </w:rPr>
      </w:pPr>
    </w:p>
    <w:p w14:paraId="43DB60F0" w14:textId="77777777" w:rsidR="00905C61" w:rsidRDefault="00905C61">
      <w:pPr>
        <w:rPr>
          <w:rFonts w:asciiTheme="minorHAnsi" w:hAnsiTheme="minorHAnsi"/>
          <w:sz w:val="24"/>
          <w:szCs w:val="24"/>
        </w:rPr>
      </w:pPr>
    </w:p>
    <w:p w14:paraId="477651A2" w14:textId="77777777" w:rsidR="00905C61" w:rsidRDefault="00905C61" w:rsidP="00905C61">
      <w:pPr>
        <w:pStyle w:val="Heading1"/>
      </w:pPr>
      <w:bookmarkStart w:id="64" w:name="_Toc229750489"/>
      <w:r>
        <w:lastRenderedPageBreak/>
        <w:t>Appendix 3: The Q-set</w:t>
      </w:r>
      <w:bookmarkEnd w:id="64"/>
    </w:p>
    <w:p w14:paraId="21268B5F" w14:textId="77777777" w:rsidR="00905C61" w:rsidRPr="00AF4148" w:rsidRDefault="00905C61" w:rsidP="00905C61">
      <w:r>
        <w:t xml:space="preserve">The ‘Q-set’ (the statements to be ‘sorted’ by participants in the first stage of data collection) are listed below. </w:t>
      </w:r>
    </w:p>
    <w:p w14:paraId="5EBD74FB" w14:textId="77777777" w:rsidR="00905C61" w:rsidRPr="00997A19" w:rsidRDefault="00905C61" w:rsidP="00905C61">
      <w:pPr>
        <w:pStyle w:val="Heading2"/>
      </w:pPr>
      <w:bookmarkStart w:id="65" w:name="_Toc229750490"/>
      <w:r w:rsidRPr="00997A19">
        <w:t>Q-Set</w:t>
      </w:r>
      <w:bookmarkEnd w:id="65"/>
    </w:p>
    <w:p w14:paraId="253DA73D" w14:textId="77777777" w:rsidR="00905C61" w:rsidRPr="00C123D0" w:rsidRDefault="00905C61" w:rsidP="00905C61">
      <w:pPr>
        <w:pStyle w:val="ListParagraph"/>
        <w:numPr>
          <w:ilvl w:val="0"/>
          <w:numId w:val="13"/>
        </w:numPr>
        <w:spacing w:before="100" w:beforeAutospacing="1" w:after="100" w:afterAutospacing="1" w:line="240" w:lineRule="auto"/>
        <w:rPr>
          <w:rFonts w:eastAsia="Times New Roman" w:cs="Times New Roman"/>
          <w:color w:val="000000" w:themeColor="text1"/>
        </w:rPr>
      </w:pPr>
      <w:r w:rsidRPr="00997A19">
        <w:rPr>
          <w:rFonts w:eastAsia="Times New Roman" w:cs="Times New Roman"/>
          <w:color w:val="000000" w:themeColor="text1"/>
        </w:rPr>
        <w:t>The concept of sustainability is ambiguous or ‘fuzzy,’ which allows for productive critical discussion and differing interpretations by academics.</w:t>
      </w:r>
    </w:p>
    <w:p w14:paraId="494591C5" w14:textId="77777777" w:rsidR="00905C61" w:rsidRPr="00C123D0" w:rsidRDefault="00905C61" w:rsidP="00905C61">
      <w:pPr>
        <w:pStyle w:val="ListParagraph"/>
        <w:numPr>
          <w:ilvl w:val="0"/>
          <w:numId w:val="13"/>
        </w:numPr>
        <w:spacing w:before="100" w:beforeAutospacing="1" w:after="100" w:afterAutospacing="1" w:line="240" w:lineRule="auto"/>
        <w:rPr>
          <w:rFonts w:eastAsia="Times New Roman" w:cs="Times New Roman"/>
          <w:color w:val="000000" w:themeColor="text1"/>
        </w:rPr>
      </w:pPr>
      <w:r w:rsidRPr="00997A19">
        <w:rPr>
          <w:rFonts w:eastAsia="Times New Roman" w:cs="Times New Roman"/>
          <w:color w:val="000000" w:themeColor="text1"/>
        </w:rPr>
        <w:t>Integrating sustainability can be achieved covertly or informally in teaching, such as through adjustments to learning outcomes of teaching and learning approaches within existing modules, rather than formal curriculum redesign.</w:t>
      </w:r>
    </w:p>
    <w:p w14:paraId="0CF61EC4" w14:textId="77777777" w:rsidR="00905C61" w:rsidRPr="00C123D0" w:rsidRDefault="00905C61" w:rsidP="00905C61">
      <w:pPr>
        <w:pStyle w:val="ListParagraph"/>
        <w:numPr>
          <w:ilvl w:val="0"/>
          <w:numId w:val="13"/>
        </w:numPr>
        <w:spacing w:before="100" w:beforeAutospacing="1" w:after="100" w:afterAutospacing="1" w:line="240" w:lineRule="auto"/>
        <w:rPr>
          <w:rFonts w:eastAsia="Times New Roman" w:cs="Times New Roman"/>
          <w:color w:val="000000" w:themeColor="text1"/>
        </w:rPr>
      </w:pPr>
      <w:r w:rsidRPr="00997A19">
        <w:rPr>
          <w:rFonts w:eastAsia="Times New Roman" w:cs="Times New Roman"/>
          <w:color w:val="000000" w:themeColor="text1"/>
        </w:rPr>
        <w:t>Developing 'sustainability literacy' means furnishing students with essential skills, rather than making the implicit connections to sustainable development crudely explicit.</w:t>
      </w:r>
    </w:p>
    <w:p w14:paraId="590703C4" w14:textId="77777777" w:rsidR="00905C61" w:rsidRPr="00C123D0" w:rsidRDefault="00905C61" w:rsidP="00905C61">
      <w:pPr>
        <w:pStyle w:val="ListParagraph"/>
        <w:numPr>
          <w:ilvl w:val="0"/>
          <w:numId w:val="13"/>
        </w:numPr>
        <w:spacing w:before="100" w:beforeAutospacing="1" w:after="100" w:afterAutospacing="1" w:line="240" w:lineRule="auto"/>
        <w:rPr>
          <w:rFonts w:eastAsia="Times New Roman" w:cs="Times New Roman"/>
          <w:color w:val="000000" w:themeColor="text1"/>
        </w:rPr>
      </w:pPr>
      <w:r w:rsidRPr="00997A19">
        <w:rPr>
          <w:rFonts w:eastAsia="Times New Roman" w:cs="Times New Roman"/>
          <w:color w:val="000000" w:themeColor="text1"/>
        </w:rPr>
        <w:t xml:space="preserve">Academics often find the language of </w:t>
      </w:r>
      <w:proofErr w:type="spellStart"/>
      <w:r w:rsidRPr="00997A19">
        <w:rPr>
          <w:rFonts w:eastAsia="Times New Roman" w:cs="Times New Roman"/>
          <w:color w:val="000000" w:themeColor="text1"/>
        </w:rPr>
        <w:t>Sustainabilty</w:t>
      </w:r>
      <w:proofErr w:type="spellEnd"/>
      <w:r w:rsidRPr="00997A19">
        <w:rPr>
          <w:rFonts w:eastAsia="Times New Roman" w:cs="Times New Roman"/>
          <w:color w:val="000000" w:themeColor="text1"/>
        </w:rPr>
        <w:t>/Sustainable Development inconsistent, contributing to a lack of shared understanding required for effective embedding strategies.</w:t>
      </w:r>
    </w:p>
    <w:p w14:paraId="7D2869BD" w14:textId="77777777" w:rsidR="00905C61" w:rsidRPr="00C123D0" w:rsidRDefault="00905C61" w:rsidP="00905C61">
      <w:pPr>
        <w:pStyle w:val="ListParagraph"/>
        <w:numPr>
          <w:ilvl w:val="0"/>
          <w:numId w:val="13"/>
        </w:numPr>
        <w:spacing w:before="100" w:beforeAutospacing="1" w:after="100" w:afterAutospacing="1" w:line="240" w:lineRule="auto"/>
        <w:rPr>
          <w:rFonts w:eastAsia="Times New Roman" w:cs="Times New Roman"/>
          <w:color w:val="000000" w:themeColor="text1"/>
        </w:rPr>
      </w:pPr>
      <w:r w:rsidRPr="00997A19">
        <w:rPr>
          <w:rFonts w:eastAsia="Times New Roman" w:cs="Times New Roman"/>
          <w:color w:val="000000" w:themeColor="text1"/>
        </w:rPr>
        <w:t>There is a need for greater consistency and agreement in history departments on how best to teach the subject in ways that motivate today’s students.</w:t>
      </w:r>
    </w:p>
    <w:p w14:paraId="126D7B50" w14:textId="77777777" w:rsidR="00905C61" w:rsidRPr="00C123D0" w:rsidRDefault="00905C61" w:rsidP="00905C61">
      <w:pPr>
        <w:pStyle w:val="ListParagraph"/>
        <w:numPr>
          <w:ilvl w:val="0"/>
          <w:numId w:val="13"/>
        </w:numPr>
        <w:autoSpaceDE w:val="0"/>
        <w:autoSpaceDN w:val="0"/>
        <w:adjustRightInd w:val="0"/>
        <w:spacing w:after="0" w:line="240" w:lineRule="auto"/>
        <w:rPr>
          <w:rFonts w:cs="System Font"/>
          <w:color w:val="000000" w:themeColor="text1"/>
          <w:lang w:val="en-US"/>
        </w:rPr>
      </w:pPr>
      <w:r w:rsidRPr="00997A19">
        <w:rPr>
          <w:rFonts w:cs="System Font"/>
          <w:color w:val="000000" w:themeColor="text1"/>
          <w:lang w:val="en-US"/>
        </w:rPr>
        <w:t>Sustainability should be integrated across all History modules</w:t>
      </w:r>
      <w:r>
        <w:rPr>
          <w:rFonts w:cs="System Font"/>
          <w:color w:val="000000" w:themeColor="text1"/>
          <w:lang w:val="en-US"/>
        </w:rPr>
        <w:t>.</w:t>
      </w:r>
    </w:p>
    <w:p w14:paraId="0D206516" w14:textId="77777777" w:rsidR="00905C61" w:rsidRPr="00C123D0" w:rsidRDefault="00905C61" w:rsidP="00905C61">
      <w:pPr>
        <w:pStyle w:val="ListParagraph"/>
        <w:numPr>
          <w:ilvl w:val="0"/>
          <w:numId w:val="13"/>
        </w:numPr>
        <w:autoSpaceDE w:val="0"/>
        <w:autoSpaceDN w:val="0"/>
        <w:adjustRightInd w:val="0"/>
        <w:spacing w:after="0" w:line="240" w:lineRule="auto"/>
        <w:rPr>
          <w:rFonts w:cs="System Font"/>
          <w:color w:val="000000" w:themeColor="text1"/>
          <w:lang w:val="en-US"/>
        </w:rPr>
      </w:pPr>
      <w:r w:rsidRPr="00997A19">
        <w:rPr>
          <w:rFonts w:cs="System Font"/>
          <w:color w:val="000000" w:themeColor="text1"/>
          <w:lang w:val="en-US"/>
        </w:rPr>
        <w:t>Environmental history is sufficient for addressing sustainability.</w:t>
      </w:r>
    </w:p>
    <w:p w14:paraId="2ED2B93C" w14:textId="77777777" w:rsidR="00905C61" w:rsidRPr="00C123D0" w:rsidRDefault="00905C61" w:rsidP="00905C61">
      <w:pPr>
        <w:pStyle w:val="ListParagraph"/>
        <w:numPr>
          <w:ilvl w:val="0"/>
          <w:numId w:val="13"/>
        </w:numPr>
        <w:autoSpaceDE w:val="0"/>
        <w:autoSpaceDN w:val="0"/>
        <w:adjustRightInd w:val="0"/>
        <w:spacing w:after="0" w:line="240" w:lineRule="auto"/>
        <w:rPr>
          <w:rFonts w:cs="System Font"/>
          <w:color w:val="000000" w:themeColor="text1"/>
          <w:lang w:val="en-US"/>
        </w:rPr>
      </w:pPr>
      <w:r w:rsidRPr="00997A19">
        <w:rPr>
          <w:rFonts w:cs="System Font"/>
          <w:color w:val="000000" w:themeColor="text1"/>
          <w:lang w:val="en-US"/>
        </w:rPr>
        <w:t xml:space="preserve">Students expect sustainability content in their </w:t>
      </w:r>
      <w:proofErr w:type="gramStart"/>
      <w:r w:rsidRPr="00997A19">
        <w:rPr>
          <w:rFonts w:cs="System Font"/>
          <w:color w:val="000000" w:themeColor="text1"/>
          <w:lang w:val="en-US"/>
        </w:rPr>
        <w:t>History</w:t>
      </w:r>
      <w:proofErr w:type="gramEnd"/>
      <w:r w:rsidRPr="00997A19">
        <w:rPr>
          <w:rFonts w:cs="System Font"/>
          <w:color w:val="000000" w:themeColor="text1"/>
          <w:lang w:val="en-US"/>
        </w:rPr>
        <w:t xml:space="preserve"> degree.</w:t>
      </w:r>
    </w:p>
    <w:p w14:paraId="65190E22" w14:textId="77777777" w:rsidR="00905C61" w:rsidRPr="00C123D0" w:rsidRDefault="00905C61" w:rsidP="00905C61">
      <w:pPr>
        <w:pStyle w:val="ListParagraph"/>
        <w:numPr>
          <w:ilvl w:val="0"/>
          <w:numId w:val="13"/>
        </w:numPr>
        <w:autoSpaceDE w:val="0"/>
        <w:autoSpaceDN w:val="0"/>
        <w:adjustRightInd w:val="0"/>
        <w:spacing w:after="0" w:line="240" w:lineRule="auto"/>
        <w:rPr>
          <w:rFonts w:cs="System Font"/>
          <w:color w:val="000000" w:themeColor="text1"/>
          <w:lang w:val="en-US"/>
        </w:rPr>
      </w:pPr>
      <w:r w:rsidRPr="00997A19">
        <w:rPr>
          <w:rFonts w:cs="System Font"/>
          <w:color w:val="000000" w:themeColor="text1"/>
          <w:lang w:val="en-US"/>
        </w:rPr>
        <w:t>Teaching sustainability detracts from core historical content</w:t>
      </w:r>
    </w:p>
    <w:p w14:paraId="0D40184E" w14:textId="77777777" w:rsidR="00905C61" w:rsidRPr="00C123D0" w:rsidRDefault="00905C61" w:rsidP="00905C61">
      <w:pPr>
        <w:pStyle w:val="ListParagraph"/>
        <w:numPr>
          <w:ilvl w:val="0"/>
          <w:numId w:val="13"/>
        </w:numPr>
        <w:autoSpaceDE w:val="0"/>
        <w:autoSpaceDN w:val="0"/>
        <w:adjustRightInd w:val="0"/>
        <w:spacing w:after="0" w:line="240" w:lineRule="auto"/>
        <w:rPr>
          <w:rFonts w:cs="System Font"/>
          <w:color w:val="000000" w:themeColor="text1"/>
          <w:lang w:val="en-US"/>
        </w:rPr>
      </w:pPr>
      <w:r w:rsidRPr="00997A19">
        <w:rPr>
          <w:rFonts w:cs="System Font"/>
          <w:color w:val="000000" w:themeColor="text1"/>
          <w:lang w:val="en-US"/>
        </w:rPr>
        <w:t>I feel confident teaching sustainability-related topics.</w:t>
      </w:r>
    </w:p>
    <w:p w14:paraId="6EF115AA" w14:textId="77777777" w:rsidR="00905C61" w:rsidRPr="00C123D0" w:rsidRDefault="00905C61" w:rsidP="00905C61">
      <w:pPr>
        <w:pStyle w:val="ListParagraph"/>
        <w:numPr>
          <w:ilvl w:val="0"/>
          <w:numId w:val="13"/>
        </w:numPr>
        <w:autoSpaceDE w:val="0"/>
        <w:autoSpaceDN w:val="0"/>
        <w:adjustRightInd w:val="0"/>
        <w:spacing w:after="0" w:line="240" w:lineRule="auto"/>
        <w:rPr>
          <w:rFonts w:cs="System Font"/>
          <w:color w:val="000000" w:themeColor="text1"/>
          <w:lang w:val="en-US"/>
        </w:rPr>
      </w:pPr>
      <w:r w:rsidRPr="00997A19">
        <w:rPr>
          <w:rFonts w:cs="System Font"/>
          <w:color w:val="000000" w:themeColor="text1"/>
          <w:lang w:val="en-US"/>
        </w:rPr>
        <w:t>Sustainability fits naturally within current approaches to teaching History in higher education.</w:t>
      </w:r>
    </w:p>
    <w:p w14:paraId="31D916D7" w14:textId="77777777" w:rsidR="00905C61" w:rsidRPr="00C123D0" w:rsidRDefault="00905C61" w:rsidP="00905C61">
      <w:pPr>
        <w:pStyle w:val="ListParagraph"/>
        <w:numPr>
          <w:ilvl w:val="0"/>
          <w:numId w:val="13"/>
        </w:numPr>
        <w:autoSpaceDE w:val="0"/>
        <w:autoSpaceDN w:val="0"/>
        <w:adjustRightInd w:val="0"/>
        <w:spacing w:after="0" w:line="240" w:lineRule="auto"/>
        <w:rPr>
          <w:rFonts w:cs="System Font"/>
          <w:color w:val="000000" w:themeColor="text1"/>
          <w:lang w:val="en-US"/>
        </w:rPr>
      </w:pPr>
      <w:r w:rsidRPr="00997A19">
        <w:rPr>
          <w:rFonts w:cs="System Font"/>
          <w:color w:val="000000" w:themeColor="text1"/>
          <w:lang w:val="en-US"/>
        </w:rPr>
        <w:t>I need more training to teach sustainability effectively.</w:t>
      </w:r>
    </w:p>
    <w:p w14:paraId="704E0826" w14:textId="77777777" w:rsidR="00905C61" w:rsidRPr="00C123D0" w:rsidRDefault="00905C61" w:rsidP="00905C61">
      <w:pPr>
        <w:pStyle w:val="ListParagraph"/>
        <w:numPr>
          <w:ilvl w:val="0"/>
          <w:numId w:val="13"/>
        </w:numPr>
        <w:autoSpaceDE w:val="0"/>
        <w:autoSpaceDN w:val="0"/>
        <w:adjustRightInd w:val="0"/>
        <w:spacing w:after="0" w:line="240" w:lineRule="auto"/>
        <w:rPr>
          <w:rFonts w:cs="System Font"/>
          <w:color w:val="000000" w:themeColor="text1"/>
          <w:lang w:val="en-US"/>
        </w:rPr>
      </w:pPr>
      <w:r w:rsidRPr="00997A19">
        <w:rPr>
          <w:rFonts w:cs="System Font"/>
          <w:color w:val="000000" w:themeColor="text1"/>
          <w:lang w:val="en-US"/>
        </w:rPr>
        <w:t>Sustainability themes and approaches to teaching enhance students' critical thinking skills.</w:t>
      </w:r>
    </w:p>
    <w:p w14:paraId="7C9B9608" w14:textId="77777777" w:rsidR="00905C61" w:rsidRPr="00C123D0" w:rsidRDefault="00905C61" w:rsidP="00905C61">
      <w:pPr>
        <w:pStyle w:val="ListParagraph"/>
        <w:numPr>
          <w:ilvl w:val="0"/>
          <w:numId w:val="13"/>
        </w:numPr>
        <w:autoSpaceDE w:val="0"/>
        <w:autoSpaceDN w:val="0"/>
        <w:adjustRightInd w:val="0"/>
        <w:spacing w:after="0" w:line="240" w:lineRule="auto"/>
        <w:rPr>
          <w:rFonts w:cs="System Font"/>
          <w:color w:val="000000" w:themeColor="text1"/>
          <w:lang w:val="en-US"/>
        </w:rPr>
      </w:pPr>
      <w:r w:rsidRPr="00997A19">
        <w:rPr>
          <w:rFonts w:cs="System Font"/>
          <w:color w:val="000000" w:themeColor="text1"/>
          <w:lang w:val="en-US"/>
        </w:rPr>
        <w:t>Sustainability and sustainable development are passing trends in higher education.</w:t>
      </w:r>
    </w:p>
    <w:p w14:paraId="77D7B740" w14:textId="77777777" w:rsidR="00905C61" w:rsidRPr="00C123D0" w:rsidRDefault="00905C61" w:rsidP="00905C61">
      <w:pPr>
        <w:pStyle w:val="ListParagraph"/>
        <w:numPr>
          <w:ilvl w:val="0"/>
          <w:numId w:val="13"/>
        </w:numPr>
        <w:autoSpaceDE w:val="0"/>
        <w:autoSpaceDN w:val="0"/>
        <w:adjustRightInd w:val="0"/>
        <w:spacing w:after="0" w:line="240" w:lineRule="auto"/>
        <w:rPr>
          <w:rFonts w:cs="System Font"/>
          <w:color w:val="000000" w:themeColor="text1"/>
          <w:lang w:val="en-US"/>
        </w:rPr>
      </w:pPr>
      <w:r w:rsidRPr="00997A19">
        <w:rPr>
          <w:rFonts w:cs="System Font"/>
          <w:color w:val="000000" w:themeColor="text1"/>
          <w:lang w:val="en-US"/>
        </w:rPr>
        <w:t>Sustainability should be optional, not mandatory content.</w:t>
      </w:r>
    </w:p>
    <w:p w14:paraId="299E0651" w14:textId="77777777" w:rsidR="00905C61" w:rsidRPr="00C123D0" w:rsidRDefault="00905C61" w:rsidP="00905C61">
      <w:pPr>
        <w:pStyle w:val="ListParagraph"/>
        <w:numPr>
          <w:ilvl w:val="0"/>
          <w:numId w:val="13"/>
        </w:numPr>
        <w:autoSpaceDE w:val="0"/>
        <w:autoSpaceDN w:val="0"/>
        <w:adjustRightInd w:val="0"/>
        <w:spacing w:after="0" w:line="240" w:lineRule="auto"/>
        <w:rPr>
          <w:rFonts w:cs="System Font"/>
          <w:color w:val="000000" w:themeColor="text1"/>
          <w:lang w:val="en-US"/>
        </w:rPr>
      </w:pPr>
      <w:r w:rsidRPr="00997A19">
        <w:rPr>
          <w:rFonts w:cs="System Font"/>
          <w:color w:val="000000" w:themeColor="text1"/>
          <w:lang w:val="en-US"/>
        </w:rPr>
        <w:t>My research interests align with sustainability themes.</w:t>
      </w:r>
    </w:p>
    <w:p w14:paraId="2E6512D7" w14:textId="77777777" w:rsidR="00905C61" w:rsidRPr="00C123D0" w:rsidRDefault="00905C61" w:rsidP="00905C61">
      <w:pPr>
        <w:pStyle w:val="ListParagraph"/>
        <w:numPr>
          <w:ilvl w:val="0"/>
          <w:numId w:val="13"/>
        </w:numPr>
        <w:autoSpaceDE w:val="0"/>
        <w:autoSpaceDN w:val="0"/>
        <w:adjustRightInd w:val="0"/>
        <w:spacing w:after="0" w:line="240" w:lineRule="auto"/>
        <w:rPr>
          <w:rFonts w:cs="System Font"/>
          <w:color w:val="000000" w:themeColor="text1"/>
          <w:lang w:val="en-US"/>
        </w:rPr>
      </w:pPr>
      <w:r w:rsidRPr="00997A19">
        <w:rPr>
          <w:rFonts w:cs="System Font"/>
          <w:color w:val="000000" w:themeColor="text1"/>
          <w:lang w:val="en-US"/>
        </w:rPr>
        <w:t>Sustainability education prepares students for future careers.</w:t>
      </w:r>
    </w:p>
    <w:p w14:paraId="76908B88" w14:textId="77777777" w:rsidR="00905C61" w:rsidRPr="00C123D0" w:rsidRDefault="00905C61" w:rsidP="00905C61">
      <w:pPr>
        <w:pStyle w:val="ListParagraph"/>
        <w:numPr>
          <w:ilvl w:val="0"/>
          <w:numId w:val="13"/>
        </w:numPr>
        <w:autoSpaceDE w:val="0"/>
        <w:autoSpaceDN w:val="0"/>
        <w:adjustRightInd w:val="0"/>
        <w:spacing w:after="0" w:line="240" w:lineRule="auto"/>
        <w:rPr>
          <w:rFonts w:cs="System Font"/>
          <w:color w:val="000000" w:themeColor="text1"/>
          <w:lang w:val="en-US"/>
        </w:rPr>
      </w:pPr>
      <w:r w:rsidRPr="00997A19">
        <w:rPr>
          <w:rFonts w:cs="System Font"/>
          <w:color w:val="000000" w:themeColor="text1"/>
          <w:lang w:val="en-US"/>
        </w:rPr>
        <w:t>There are sufficient resources for embedding ESD in course and assessment design.</w:t>
      </w:r>
    </w:p>
    <w:p w14:paraId="2245E0E9" w14:textId="77777777" w:rsidR="00905C61" w:rsidRPr="00C123D0" w:rsidRDefault="00905C61" w:rsidP="00905C61">
      <w:pPr>
        <w:pStyle w:val="ListParagraph"/>
        <w:numPr>
          <w:ilvl w:val="0"/>
          <w:numId w:val="13"/>
        </w:numPr>
        <w:autoSpaceDE w:val="0"/>
        <w:autoSpaceDN w:val="0"/>
        <w:adjustRightInd w:val="0"/>
        <w:spacing w:after="0" w:line="240" w:lineRule="auto"/>
        <w:rPr>
          <w:rFonts w:cs="System Font"/>
          <w:color w:val="000000" w:themeColor="text1"/>
          <w:lang w:val="en-US"/>
        </w:rPr>
      </w:pPr>
      <w:r w:rsidRPr="00997A19">
        <w:rPr>
          <w:rFonts w:cs="System Font"/>
          <w:color w:val="000000" w:themeColor="text1"/>
          <w:lang w:val="en-US"/>
        </w:rPr>
        <w:t>The historical discipline has a moral duty to address sustainability challenges.</w:t>
      </w:r>
    </w:p>
    <w:p w14:paraId="6DD211E6" w14:textId="77777777" w:rsidR="00905C61" w:rsidRPr="00C123D0" w:rsidRDefault="00905C61" w:rsidP="00905C61">
      <w:pPr>
        <w:pStyle w:val="ListParagraph"/>
        <w:numPr>
          <w:ilvl w:val="0"/>
          <w:numId w:val="13"/>
        </w:numPr>
        <w:autoSpaceDE w:val="0"/>
        <w:autoSpaceDN w:val="0"/>
        <w:adjustRightInd w:val="0"/>
        <w:spacing w:after="0" w:line="240" w:lineRule="auto"/>
        <w:rPr>
          <w:rFonts w:cs="System Font"/>
          <w:color w:val="000000" w:themeColor="text1"/>
          <w:lang w:val="en-US"/>
        </w:rPr>
      </w:pPr>
      <w:r w:rsidRPr="00997A19">
        <w:rPr>
          <w:rFonts w:cs="System Font"/>
          <w:color w:val="000000" w:themeColor="text1"/>
          <w:lang w:val="en-US"/>
        </w:rPr>
        <w:t>Integrating sustainability is an opportunity to innovate History teaching methods.</w:t>
      </w:r>
    </w:p>
    <w:p w14:paraId="2F059ACB" w14:textId="77777777" w:rsidR="00905C61" w:rsidRPr="00C123D0" w:rsidRDefault="00905C61" w:rsidP="00905C61">
      <w:pPr>
        <w:pStyle w:val="ListParagraph"/>
        <w:numPr>
          <w:ilvl w:val="0"/>
          <w:numId w:val="13"/>
        </w:numPr>
        <w:autoSpaceDE w:val="0"/>
        <w:autoSpaceDN w:val="0"/>
        <w:adjustRightInd w:val="0"/>
        <w:spacing w:after="0" w:line="240" w:lineRule="auto"/>
        <w:rPr>
          <w:rFonts w:cs="System Font"/>
          <w:color w:val="000000" w:themeColor="text1"/>
          <w:lang w:val="en-US"/>
        </w:rPr>
      </w:pPr>
      <w:r w:rsidRPr="00997A19">
        <w:rPr>
          <w:rFonts w:cs="System Font"/>
          <w:color w:val="000000" w:themeColor="text1"/>
          <w:lang w:val="en-US"/>
        </w:rPr>
        <w:t>I worry about the political implications of teaching sustainability.</w:t>
      </w:r>
    </w:p>
    <w:p w14:paraId="0510295A" w14:textId="77777777" w:rsidR="00905C61" w:rsidRPr="00C123D0" w:rsidRDefault="00905C61" w:rsidP="00905C61">
      <w:pPr>
        <w:pStyle w:val="ListParagraph"/>
        <w:numPr>
          <w:ilvl w:val="0"/>
          <w:numId w:val="13"/>
        </w:numPr>
        <w:autoSpaceDE w:val="0"/>
        <w:autoSpaceDN w:val="0"/>
        <w:adjustRightInd w:val="0"/>
        <w:spacing w:after="0" w:line="240" w:lineRule="auto"/>
        <w:rPr>
          <w:rFonts w:cs="System Font"/>
          <w:color w:val="000000" w:themeColor="text1"/>
          <w:lang w:val="en-US"/>
        </w:rPr>
      </w:pPr>
      <w:r w:rsidRPr="00997A19">
        <w:rPr>
          <w:rFonts w:cs="System Font"/>
          <w:color w:val="000000" w:themeColor="text1"/>
          <w:lang w:val="en-US"/>
        </w:rPr>
        <w:t>History provides unique insights into the long-term human-environment relationship.</w:t>
      </w:r>
    </w:p>
    <w:p w14:paraId="580F1FBC" w14:textId="77777777" w:rsidR="00905C61" w:rsidRPr="00C123D0" w:rsidRDefault="00905C61" w:rsidP="00905C61">
      <w:pPr>
        <w:pStyle w:val="ListParagraph"/>
        <w:numPr>
          <w:ilvl w:val="0"/>
          <w:numId w:val="13"/>
        </w:numPr>
        <w:autoSpaceDE w:val="0"/>
        <w:autoSpaceDN w:val="0"/>
        <w:adjustRightInd w:val="0"/>
        <w:spacing w:after="0" w:line="240" w:lineRule="auto"/>
        <w:rPr>
          <w:rFonts w:cs="System Font"/>
          <w:color w:val="000000" w:themeColor="text1"/>
          <w:lang w:val="en-US"/>
        </w:rPr>
      </w:pPr>
      <w:r w:rsidRPr="00997A19">
        <w:rPr>
          <w:rFonts w:cs="System Font"/>
          <w:color w:val="000000" w:themeColor="text1"/>
          <w:lang w:val="en-US"/>
        </w:rPr>
        <w:t>There is not enough room in the syllabus to include sustainability content.</w:t>
      </w:r>
    </w:p>
    <w:p w14:paraId="5741586C" w14:textId="77777777" w:rsidR="00905C61" w:rsidRPr="00C123D0" w:rsidRDefault="00905C61" w:rsidP="00905C61">
      <w:pPr>
        <w:pStyle w:val="ListParagraph"/>
        <w:numPr>
          <w:ilvl w:val="0"/>
          <w:numId w:val="13"/>
        </w:numPr>
        <w:autoSpaceDE w:val="0"/>
        <w:autoSpaceDN w:val="0"/>
        <w:adjustRightInd w:val="0"/>
        <w:spacing w:after="0" w:line="240" w:lineRule="auto"/>
        <w:rPr>
          <w:rFonts w:cs="System Font"/>
          <w:color w:val="000000" w:themeColor="text1"/>
          <w:lang w:val="en-US"/>
        </w:rPr>
      </w:pPr>
      <w:r w:rsidRPr="00997A19">
        <w:rPr>
          <w:rFonts w:cs="System Font"/>
          <w:color w:val="000000" w:themeColor="text1"/>
          <w:lang w:val="en-US"/>
        </w:rPr>
        <w:t>Historical research on environmental change can inform current sustainability policies.</w:t>
      </w:r>
    </w:p>
    <w:p w14:paraId="00E9FB02" w14:textId="77777777" w:rsidR="00905C61" w:rsidRDefault="00905C61" w:rsidP="00905C61">
      <w:pPr>
        <w:pStyle w:val="ListParagraph"/>
        <w:numPr>
          <w:ilvl w:val="0"/>
          <w:numId w:val="13"/>
        </w:numPr>
        <w:autoSpaceDE w:val="0"/>
        <w:autoSpaceDN w:val="0"/>
        <w:adjustRightInd w:val="0"/>
        <w:spacing w:after="0" w:line="240" w:lineRule="auto"/>
        <w:rPr>
          <w:rFonts w:cs="System Font"/>
          <w:color w:val="000000" w:themeColor="text1"/>
          <w:lang w:val="en-US"/>
        </w:rPr>
      </w:pPr>
      <w:r w:rsidRPr="00997A19">
        <w:rPr>
          <w:rFonts w:cs="System Font"/>
          <w:color w:val="000000" w:themeColor="text1"/>
          <w:lang w:val="en-US"/>
        </w:rPr>
        <w:t>It is important to teach sustainability without promoting a specific political agenda.</w:t>
      </w:r>
    </w:p>
    <w:p w14:paraId="2B4F320D" w14:textId="77777777" w:rsidR="00905C61" w:rsidRPr="00C123D0" w:rsidRDefault="00905C61" w:rsidP="00905C61">
      <w:pPr>
        <w:pStyle w:val="ListParagraph"/>
        <w:numPr>
          <w:ilvl w:val="0"/>
          <w:numId w:val="13"/>
        </w:numPr>
        <w:autoSpaceDE w:val="0"/>
        <w:autoSpaceDN w:val="0"/>
        <w:adjustRightInd w:val="0"/>
        <w:spacing w:after="0" w:line="240" w:lineRule="auto"/>
        <w:rPr>
          <w:rFonts w:cs="System Font"/>
          <w:color w:val="000000" w:themeColor="text1"/>
          <w:lang w:val="en-US"/>
        </w:rPr>
      </w:pPr>
      <w:r w:rsidRPr="00C123D0">
        <w:rPr>
          <w:rFonts w:eastAsia="Times New Roman" w:cs="Arial"/>
          <w:color w:val="000000" w:themeColor="text1"/>
          <w:bdr w:val="none" w:sz="0" w:space="0" w:color="auto" w:frame="1"/>
        </w:rPr>
        <w:t>ESD is fundamentally an ideological agenda being imposed on academic disciplines, not a genuine educational one</w:t>
      </w:r>
      <w:r w:rsidRPr="00C123D0">
        <w:rPr>
          <w:rFonts w:eastAsia="Times New Roman" w:cs="Arial"/>
          <w:color w:val="000000" w:themeColor="text1"/>
        </w:rPr>
        <w:t>.</w:t>
      </w:r>
    </w:p>
    <w:p w14:paraId="183FEAA7" w14:textId="77777777" w:rsidR="00905C61" w:rsidRPr="00C123D0"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t>My primary professional duty is to teach the past on its own terms, not to use it to solve the problems of the present and future</w:t>
      </w:r>
      <w:r w:rsidRPr="00997A19">
        <w:rPr>
          <w:rFonts w:eastAsia="Times New Roman" w:cs="Arial"/>
          <w:color w:val="000000" w:themeColor="text1"/>
        </w:rPr>
        <w:t>.</w:t>
      </w:r>
    </w:p>
    <w:p w14:paraId="6719C40C" w14:textId="77777777" w:rsidR="00905C61" w:rsidRPr="00C123D0" w:rsidRDefault="00905C61" w:rsidP="00905C61">
      <w:pPr>
        <w:pStyle w:val="ListParagraph"/>
        <w:numPr>
          <w:ilvl w:val="0"/>
          <w:numId w:val="13"/>
        </w:numPr>
        <w:autoSpaceDE w:val="0"/>
        <w:autoSpaceDN w:val="0"/>
        <w:adjustRightInd w:val="0"/>
        <w:spacing w:after="0" w:line="240" w:lineRule="auto"/>
        <w:rPr>
          <w:rFonts w:eastAsia="Times New Roman" w:cs="Arial"/>
          <w:color w:val="000000" w:themeColor="text1"/>
          <w:bdr w:val="none" w:sz="0" w:space="0" w:color="auto" w:frame="1"/>
        </w:rPr>
      </w:pPr>
      <w:r w:rsidRPr="00997A19">
        <w:rPr>
          <w:rFonts w:eastAsia="Times New Roman" w:cs="Arial"/>
          <w:color w:val="000000" w:themeColor="text1"/>
          <w:bdr w:val="none" w:sz="0" w:space="0" w:color="auto" w:frame="1"/>
        </w:rPr>
        <w:t>Ultimately, ESD instrumentalises history, reducing its complexity to a simple repository of cautionary tales for today.</w:t>
      </w:r>
    </w:p>
    <w:p w14:paraId="6282EB78" w14:textId="77777777" w:rsidR="00905C61" w:rsidRPr="00C123D0"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t>Whether I personally agree with it or not, engaging with the ESD agenda is now a professional necessity for course validation and departmental survival</w:t>
      </w:r>
      <w:r w:rsidRPr="00997A19">
        <w:rPr>
          <w:rFonts w:eastAsia="Times New Roman" w:cs="Arial"/>
          <w:color w:val="000000" w:themeColor="text1"/>
        </w:rPr>
        <w:t>.</w:t>
      </w:r>
    </w:p>
    <w:p w14:paraId="53903A6D" w14:textId="77777777" w:rsidR="00905C61" w:rsidRPr="00C123D0"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lastRenderedPageBreak/>
        <w:t>A superficial 'bolt-on' approach is worse than doing nothing; any engagement with sustainability must be intellectually rigorous and authentic to the discipline</w:t>
      </w:r>
      <w:r w:rsidRPr="00997A19">
        <w:rPr>
          <w:rFonts w:eastAsia="Times New Roman" w:cs="Arial"/>
          <w:color w:val="000000" w:themeColor="text1"/>
        </w:rPr>
        <w:t>.</w:t>
      </w:r>
    </w:p>
    <w:p w14:paraId="5F1E4DA6" w14:textId="77777777" w:rsidR="00905C61" w:rsidRPr="00C123D0"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t>The core skills of a historian – rigorous source analysis and understanding complex causal factors – are already highly compatible with what ESD calls 'critical and systems thinking'</w:t>
      </w:r>
      <w:r w:rsidRPr="00997A19">
        <w:rPr>
          <w:rFonts w:eastAsia="Times New Roman" w:cs="Arial"/>
          <w:color w:val="000000" w:themeColor="text1"/>
        </w:rPr>
        <w:t>.</w:t>
      </w:r>
    </w:p>
    <w:p w14:paraId="2895C248" w14:textId="77777777" w:rsidR="00905C61" w:rsidRPr="00C123D0"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t>The discipline of History has a clear moral and civic responsibility to contribute to solving the world's most pressing challenges, including the climate crisis</w:t>
      </w:r>
      <w:r w:rsidRPr="00997A19">
        <w:rPr>
          <w:rFonts w:eastAsia="Times New Roman" w:cs="Arial"/>
          <w:color w:val="000000" w:themeColor="text1"/>
        </w:rPr>
        <w:t>.</w:t>
      </w:r>
    </w:p>
    <w:p w14:paraId="144B09FE" w14:textId="77777777" w:rsidR="00905C61" w:rsidRPr="00C123D0"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t xml:space="preserve">The </w:t>
      </w:r>
      <w:proofErr w:type="gramStart"/>
      <w:r w:rsidRPr="00997A19">
        <w:rPr>
          <w:rFonts w:eastAsia="Times New Roman" w:cs="Arial"/>
          <w:color w:val="000000" w:themeColor="text1"/>
          <w:bdr w:val="none" w:sz="0" w:space="0" w:color="auto" w:frame="1"/>
        </w:rPr>
        <w:t>ultimate goal</w:t>
      </w:r>
      <w:proofErr w:type="gramEnd"/>
      <w:r w:rsidRPr="00997A19">
        <w:rPr>
          <w:rFonts w:eastAsia="Times New Roman" w:cs="Arial"/>
          <w:color w:val="000000" w:themeColor="text1"/>
          <w:bdr w:val="none" w:sz="0" w:space="0" w:color="auto" w:frame="1"/>
        </w:rPr>
        <w:t xml:space="preserve"> of historical study should be not just knowledge for its own sake, but justice and positive societal change</w:t>
      </w:r>
      <w:r w:rsidRPr="00997A19">
        <w:rPr>
          <w:rFonts w:eastAsia="Times New Roman" w:cs="Arial"/>
          <w:color w:val="000000" w:themeColor="text1"/>
        </w:rPr>
        <w:t>.</w:t>
      </w:r>
    </w:p>
    <w:p w14:paraId="1DCB13D7" w14:textId="77777777" w:rsidR="00905C61" w:rsidRPr="00C123D0"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t>We must empower our students to use their historical knowledge to become active, engaged citizens capable of building a better world</w:t>
      </w:r>
      <w:r w:rsidRPr="00997A19">
        <w:rPr>
          <w:rFonts w:eastAsia="Times New Roman" w:cs="Arial"/>
          <w:color w:val="000000" w:themeColor="text1"/>
        </w:rPr>
        <w:t>.</w:t>
      </w:r>
    </w:p>
    <w:p w14:paraId="12C4EC49" w14:textId="77777777" w:rsidR="00905C61" w:rsidRPr="00C123D0"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t>To remain relevant in the 21st century, our discipline must demonstrate its direct applicability to contemporary issues and real-world problems</w:t>
      </w:r>
      <w:r w:rsidRPr="00997A19">
        <w:rPr>
          <w:rFonts w:eastAsia="Times New Roman" w:cs="Arial"/>
          <w:color w:val="000000" w:themeColor="text1"/>
        </w:rPr>
        <w:t>.</w:t>
      </w:r>
    </w:p>
    <w:p w14:paraId="27A96372" w14:textId="77777777" w:rsidR="00905C61" w:rsidRPr="00C123D0"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t>My specialist work in Environmental History is perfectly positioned to act as a bridge between the broader discipline and the university's sustainability agenda</w:t>
      </w:r>
      <w:r w:rsidRPr="00997A19">
        <w:rPr>
          <w:rFonts w:eastAsia="Times New Roman" w:cs="Arial"/>
          <w:color w:val="000000" w:themeColor="text1"/>
        </w:rPr>
        <w:t>.</w:t>
      </w:r>
    </w:p>
    <w:p w14:paraId="2858C55D" w14:textId="77777777" w:rsidR="00905C61" w:rsidRPr="00C123D0"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t>Forcing a generic competency framework, such as the ESD key competencies, onto our curriculum threatens the unique, deeply rooted methodologies of historical practice</w:t>
      </w:r>
      <w:r w:rsidRPr="00997A19">
        <w:rPr>
          <w:rFonts w:eastAsia="Times New Roman" w:cs="Arial"/>
          <w:color w:val="000000" w:themeColor="text1"/>
        </w:rPr>
        <w:t>.</w:t>
      </w:r>
    </w:p>
    <w:p w14:paraId="7098360E" w14:textId="77777777" w:rsidR="00905C61" w:rsidRPr="00C123D0"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t>Significant student demand for sustainability in courses means we cannot simply ignore this issue</w:t>
      </w:r>
      <w:r w:rsidRPr="00997A19">
        <w:rPr>
          <w:rFonts w:eastAsia="Times New Roman" w:cs="Arial"/>
          <w:color w:val="000000" w:themeColor="text1"/>
        </w:rPr>
        <w:t>.</w:t>
      </w:r>
    </w:p>
    <w:p w14:paraId="1A5EBCE9" w14:textId="77777777" w:rsidR="00905C61" w:rsidRPr="00C123D0"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t>My commitment to respecting the ‘otherness’ of the past is fundamentally at odds with ESD's forward-looking, problem-solving orientation</w:t>
      </w:r>
      <w:r w:rsidRPr="00997A19">
        <w:rPr>
          <w:rFonts w:eastAsia="Times New Roman" w:cs="Arial"/>
          <w:color w:val="000000" w:themeColor="text1"/>
        </w:rPr>
        <w:t>.</w:t>
      </w:r>
    </w:p>
    <w:p w14:paraId="3F81F9DB" w14:textId="77777777" w:rsidR="00905C61" w:rsidRPr="00C123D0"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t>Non-engagement with ESD is a professional risk, as it's a deviation from both national and institutional expectations</w:t>
      </w:r>
      <w:r w:rsidRPr="00997A19">
        <w:rPr>
          <w:rFonts w:eastAsia="Times New Roman" w:cs="Arial"/>
          <w:color w:val="000000" w:themeColor="text1"/>
        </w:rPr>
        <w:t>.</w:t>
      </w:r>
    </w:p>
    <w:p w14:paraId="785B1DC6" w14:textId="77777777" w:rsidR="00905C61" w:rsidRPr="00C123D0"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t>This is less about changing what we teach and more about re-articulating learning outcomes to satisfy external quality assurance requirements</w:t>
      </w:r>
      <w:r w:rsidRPr="00997A19">
        <w:rPr>
          <w:rFonts w:eastAsia="Times New Roman" w:cs="Arial"/>
          <w:color w:val="000000" w:themeColor="text1"/>
        </w:rPr>
        <w:t>.</w:t>
      </w:r>
    </w:p>
    <w:p w14:paraId="5A921F40" w14:textId="77777777" w:rsidR="00905C61" w:rsidRPr="00C123D0"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t>The path of least resistance is to engage in a simple mapping exercise with minimal change to actual course content or pedagogy</w:t>
      </w:r>
      <w:r w:rsidRPr="00997A19">
        <w:rPr>
          <w:rFonts w:eastAsia="Times New Roman" w:cs="Arial"/>
          <w:color w:val="000000" w:themeColor="text1"/>
        </w:rPr>
        <w:t>.</w:t>
      </w:r>
    </w:p>
    <w:p w14:paraId="32C5D0DD" w14:textId="77777777" w:rsidR="00905C61" w:rsidRPr="00C123D0"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t>Sustainability themes must arise organically from the historical evidence; they cannot be forced onto topics where they don't belong</w:t>
      </w:r>
      <w:r w:rsidRPr="00997A19">
        <w:rPr>
          <w:rFonts w:eastAsia="Times New Roman" w:cs="Arial"/>
          <w:color w:val="000000" w:themeColor="text1"/>
        </w:rPr>
        <w:t>.</w:t>
      </w:r>
    </w:p>
    <w:p w14:paraId="69EA765D" w14:textId="77777777" w:rsidR="00905C61" w:rsidRPr="00C123D0"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t>ESD's activist, future-oriented ethos creates an immediate and foundational tension with the retrospective nature of the historical profession</w:t>
      </w:r>
      <w:r w:rsidRPr="00997A19">
        <w:rPr>
          <w:rFonts w:eastAsia="Times New Roman" w:cs="Arial"/>
          <w:color w:val="000000" w:themeColor="text1"/>
        </w:rPr>
        <w:t>.</w:t>
      </w:r>
    </w:p>
    <w:p w14:paraId="62CBC3F2" w14:textId="77777777" w:rsidR="00905C61" w:rsidRPr="00C123D0"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t>A deep historical understanding of the roots of the climate crisis is indispensable for informing effective future action</w:t>
      </w:r>
      <w:r w:rsidRPr="00997A19">
        <w:rPr>
          <w:rFonts w:eastAsia="Times New Roman" w:cs="Arial"/>
          <w:color w:val="000000" w:themeColor="text1"/>
        </w:rPr>
        <w:t>.</w:t>
      </w:r>
    </w:p>
    <w:p w14:paraId="3E2905E9" w14:textId="77777777" w:rsidR="00905C61" w:rsidRPr="00C123D0"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t>Good presentism rightly uses the concerns of the present to motivate historical inquiry and seek justice</w:t>
      </w:r>
      <w:r w:rsidRPr="00997A19">
        <w:rPr>
          <w:rFonts w:eastAsia="Times New Roman" w:cs="Arial"/>
          <w:color w:val="000000" w:themeColor="text1"/>
        </w:rPr>
        <w:t>.</w:t>
      </w:r>
    </w:p>
    <w:p w14:paraId="46D4A42B" w14:textId="77777777" w:rsidR="00905C61" w:rsidRPr="00C123D0"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t>The ESD mandate provides a welcome opportunity for interdisciplinary collaboration</w:t>
      </w:r>
      <w:r w:rsidRPr="00997A19">
        <w:rPr>
          <w:rFonts w:eastAsia="Times New Roman" w:cs="Arial"/>
          <w:color w:val="000000" w:themeColor="text1"/>
        </w:rPr>
        <w:t>.</w:t>
      </w:r>
    </w:p>
    <w:p w14:paraId="66AAEE5E" w14:textId="77777777" w:rsidR="00905C61" w:rsidRPr="00C123D0"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t>The ESD agenda is part of a wider educational change agenda that I am enthusiastic to support</w:t>
      </w:r>
      <w:r w:rsidRPr="00997A19">
        <w:rPr>
          <w:rFonts w:eastAsia="Times New Roman" w:cs="Arial"/>
          <w:color w:val="000000" w:themeColor="text1"/>
        </w:rPr>
        <w:t>.</w:t>
      </w:r>
    </w:p>
    <w:p w14:paraId="468789CE" w14:textId="77777777" w:rsidR="00905C61" w:rsidRPr="00C123D0"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t>The ESD push for ‘integrated problem-solving' is just another name for what historians do when we build a coherent argument from diverse and contradictory evidence</w:t>
      </w:r>
      <w:r w:rsidRPr="00997A19">
        <w:rPr>
          <w:rFonts w:eastAsia="Times New Roman" w:cs="Arial"/>
          <w:color w:val="000000" w:themeColor="text1"/>
        </w:rPr>
        <w:t>.</w:t>
      </w:r>
    </w:p>
    <w:p w14:paraId="58BE6EC3" w14:textId="77777777" w:rsidR="00905C61" w:rsidRDefault="00905C61" w:rsidP="00905C61">
      <w:pPr>
        <w:pStyle w:val="ListParagraph"/>
        <w:numPr>
          <w:ilvl w:val="0"/>
          <w:numId w:val="13"/>
        </w:numPr>
        <w:spacing w:after="0" w:line="240" w:lineRule="auto"/>
        <w:rPr>
          <w:rFonts w:eastAsia="Times New Roman" w:cs="Arial"/>
          <w:color w:val="000000" w:themeColor="text1"/>
        </w:rPr>
      </w:pPr>
      <w:r w:rsidRPr="00997A19">
        <w:rPr>
          <w:rFonts w:eastAsia="Times New Roman" w:cs="Arial"/>
          <w:color w:val="000000" w:themeColor="text1"/>
          <w:bdr w:val="none" w:sz="0" w:space="0" w:color="auto" w:frame="1"/>
        </w:rPr>
        <w:t>How our department responds to the ESD mandate is a diagnostic issue for the future of the discipline and its purpose in the modern world</w:t>
      </w:r>
      <w:r w:rsidRPr="00997A19">
        <w:rPr>
          <w:rFonts w:eastAsia="Times New Roman" w:cs="Arial"/>
          <w:color w:val="000000" w:themeColor="text1"/>
        </w:rPr>
        <w:t>.</w:t>
      </w:r>
    </w:p>
    <w:p w14:paraId="1CAC2142" w14:textId="77777777" w:rsidR="00905C61" w:rsidRDefault="00905C61" w:rsidP="00905C61">
      <w:pPr>
        <w:pStyle w:val="ListParagraph"/>
        <w:numPr>
          <w:ilvl w:val="0"/>
          <w:numId w:val="13"/>
        </w:numPr>
        <w:spacing w:after="0" w:line="240" w:lineRule="auto"/>
        <w:rPr>
          <w:rFonts w:eastAsia="Times New Roman" w:cs="Arial"/>
          <w:color w:val="000000" w:themeColor="text1"/>
        </w:rPr>
      </w:pPr>
      <w:r>
        <w:rPr>
          <w:rFonts w:eastAsia="Times New Roman" w:cs="Arial"/>
          <w:color w:val="000000" w:themeColor="text1"/>
        </w:rPr>
        <w:t>The ESD mandate contravenes the professional ideal of studying the past for its own sake, rather than to advance other agendas.</w:t>
      </w:r>
    </w:p>
    <w:p w14:paraId="1284A278" w14:textId="77777777" w:rsidR="00905C61" w:rsidRDefault="00905C61" w:rsidP="00905C61">
      <w:pPr>
        <w:pStyle w:val="ListParagraph"/>
        <w:numPr>
          <w:ilvl w:val="0"/>
          <w:numId w:val="13"/>
        </w:numPr>
        <w:spacing w:after="0" w:line="240" w:lineRule="auto"/>
        <w:rPr>
          <w:rFonts w:eastAsia="Times New Roman" w:cs="Arial"/>
          <w:color w:val="000000" w:themeColor="text1"/>
        </w:rPr>
      </w:pPr>
      <w:r>
        <w:rPr>
          <w:rFonts w:eastAsia="Times New Roman" w:cs="Arial"/>
          <w:color w:val="000000" w:themeColor="text1"/>
        </w:rPr>
        <w:t>I can’t teach about sustainability without worrying about being accused of being an ‘activist’.</w:t>
      </w:r>
    </w:p>
    <w:p w14:paraId="05597FA2" w14:textId="77777777" w:rsidR="00905C61" w:rsidRDefault="00905C61" w:rsidP="00905C61"/>
    <w:p w14:paraId="16B4D950" w14:textId="77777777" w:rsidR="00905C61" w:rsidRDefault="00905C61">
      <w:pPr>
        <w:rPr>
          <w:rFonts w:asciiTheme="minorHAnsi" w:hAnsiTheme="minorHAnsi"/>
          <w:sz w:val="24"/>
          <w:szCs w:val="24"/>
        </w:rPr>
      </w:pPr>
    </w:p>
    <w:p w14:paraId="4C2E53B6" w14:textId="77777777" w:rsidR="00905C61" w:rsidRDefault="00905C61">
      <w:pPr>
        <w:rPr>
          <w:rFonts w:asciiTheme="minorHAnsi" w:hAnsiTheme="minorHAnsi"/>
          <w:sz w:val="24"/>
          <w:szCs w:val="24"/>
        </w:rPr>
      </w:pPr>
    </w:p>
    <w:p w14:paraId="0C23FF89" w14:textId="77777777" w:rsidR="00905C61" w:rsidRDefault="00905C61" w:rsidP="00905C61">
      <w:pPr>
        <w:pStyle w:val="Heading1"/>
      </w:pPr>
      <w:bookmarkStart w:id="66" w:name="_Toc229750491"/>
      <w:r>
        <w:lastRenderedPageBreak/>
        <w:t>Appendix 4: The Online Tool</w:t>
      </w:r>
      <w:bookmarkEnd w:id="66"/>
    </w:p>
    <w:p w14:paraId="5C0EE3DD" w14:textId="77777777" w:rsidR="00905C61" w:rsidRDefault="00905C61" w:rsidP="00905C61">
      <w:r>
        <w:t>The online Q-sort tool was created through a combination of natural language programming (Wang et al., 2023; Pickering et al., n.d.), in which I used the Google Gemini ‘Canvas’ tool and prose text prompting to produce a first iteration of the tool, and traditional coding on the React platform.</w:t>
      </w:r>
    </w:p>
    <w:p w14:paraId="42488D3C" w14:textId="77777777" w:rsidR="00905C61" w:rsidRDefault="00905C61" w:rsidP="00905C61">
      <w:r>
        <w:t xml:space="preserve">The online tool, which can be viewed and tested here: </w:t>
      </w:r>
      <w:hyperlink r:id="rId30" w:history="1">
        <w:r w:rsidRPr="00AF4148">
          <w:rPr>
            <w:rStyle w:val="Hyperlink"/>
          </w:rPr>
          <w:t>Q-Sort: Education for Sustainable Development in History</w:t>
        </w:r>
      </w:hyperlink>
      <w:r>
        <w:t>, allows the participant to first sort the statements into 3 categories (Disagree, Neutral, Agree), and then requires sorting onto the grid, representing a bell-shaped curve. An output of the Q-sort is illustrated in the screenshot below.</w:t>
      </w:r>
    </w:p>
    <w:p w14:paraId="5BDFEF60" w14:textId="0BD45C57" w:rsidR="00905C61" w:rsidRPr="00905C61" w:rsidRDefault="00905C61" w:rsidP="00905C61">
      <w:pPr>
        <w:jc w:val="center"/>
      </w:pPr>
      <w:r>
        <w:rPr>
          <w:rFonts w:eastAsia="Times New Roman" w:cs="Arial"/>
          <w:noProof/>
          <w:color w:val="000000" w:themeColor="text1"/>
        </w:rPr>
        <w:lastRenderedPageBreak/>
        <w:drawing>
          <wp:inline distT="0" distB="0" distL="0" distR="0" wp14:anchorId="0066D3DD" wp14:editId="03DA6715">
            <wp:extent cx="5718810" cy="8229600"/>
            <wp:effectExtent l="0" t="0" r="0" b="0"/>
            <wp:docPr id="20939030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903062" name="Picture 1" descr="A screenshot of a computer&#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5718810" cy="8229600"/>
                    </a:xfrm>
                    <a:prstGeom prst="rect">
                      <a:avLst/>
                    </a:prstGeom>
                  </pic:spPr>
                </pic:pic>
              </a:graphicData>
            </a:graphic>
          </wp:inline>
        </w:drawing>
      </w:r>
    </w:p>
    <w:sectPr w:rsidR="00905C61" w:rsidRPr="00905C61" w:rsidSect="00D24FA2">
      <w:footerReference w:type="default" r:id="rId32"/>
      <w:footerReference w:type="first" r:id="rId33"/>
      <w:pgSz w:w="12240" w:h="15840"/>
      <w:pgMar w:top="1440" w:right="1440" w:bottom="1440" w:left="144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4CD06" w14:textId="77777777" w:rsidR="008377E6" w:rsidRDefault="008377E6" w:rsidP="006F15E1">
      <w:pPr>
        <w:spacing w:after="0" w:line="240" w:lineRule="auto"/>
      </w:pPr>
      <w:r>
        <w:separator/>
      </w:r>
    </w:p>
  </w:endnote>
  <w:endnote w:type="continuationSeparator" w:id="0">
    <w:p w14:paraId="0DACC0B0" w14:textId="77777777" w:rsidR="008377E6" w:rsidRDefault="008377E6" w:rsidP="006F1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System 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5707371"/>
      <w:docPartObj>
        <w:docPartGallery w:val="Page Numbers (Bottom of Page)"/>
        <w:docPartUnique/>
      </w:docPartObj>
    </w:sdtPr>
    <w:sdtContent>
      <w:p w14:paraId="2EA347AD" w14:textId="5C449E59" w:rsidR="006F15E1" w:rsidRDefault="006F15E1" w:rsidP="00D24F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0E536D" w14:textId="77777777" w:rsidR="006F15E1" w:rsidRDefault="006F15E1" w:rsidP="006F15E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D3BDE" w14:textId="77777777" w:rsidR="006F15E1" w:rsidRDefault="006F15E1" w:rsidP="006F15E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65863794"/>
      <w:docPartObj>
        <w:docPartGallery w:val="Page Numbers (Bottom of Page)"/>
        <w:docPartUnique/>
      </w:docPartObj>
    </w:sdtPr>
    <w:sdtContent>
      <w:p w14:paraId="6D72DF80" w14:textId="6719095B" w:rsidR="00D24FA2" w:rsidRDefault="00D24FA2" w:rsidP="00961C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ABBA23" w14:textId="77777777" w:rsidR="00D24FA2" w:rsidRDefault="00D24FA2" w:rsidP="006F15E1">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45278676"/>
      <w:docPartObj>
        <w:docPartGallery w:val="Page Numbers (Bottom of Page)"/>
        <w:docPartUnique/>
      </w:docPartObj>
    </w:sdtPr>
    <w:sdtContent>
      <w:p w14:paraId="088E4FC7" w14:textId="22F5B929" w:rsidR="00D24FA2" w:rsidRDefault="00D24FA2" w:rsidP="00961C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AE4C06" w14:textId="77777777" w:rsidR="007F0CE8" w:rsidRDefault="007F0CE8" w:rsidP="00D24FA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3395E" w14:textId="77777777" w:rsidR="008377E6" w:rsidRDefault="008377E6" w:rsidP="006F15E1">
      <w:pPr>
        <w:spacing w:after="0" w:line="240" w:lineRule="auto"/>
      </w:pPr>
      <w:r>
        <w:separator/>
      </w:r>
    </w:p>
  </w:footnote>
  <w:footnote w:type="continuationSeparator" w:id="0">
    <w:p w14:paraId="592556B6" w14:textId="77777777" w:rsidR="008377E6" w:rsidRDefault="008377E6" w:rsidP="006F15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E68C9"/>
    <w:multiLevelType w:val="multilevel"/>
    <w:tmpl w:val="45C85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D228A8"/>
    <w:multiLevelType w:val="multilevel"/>
    <w:tmpl w:val="D05CD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403C60"/>
    <w:multiLevelType w:val="multilevel"/>
    <w:tmpl w:val="F6B8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F506C1"/>
    <w:multiLevelType w:val="multilevel"/>
    <w:tmpl w:val="B172D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7C57C6"/>
    <w:multiLevelType w:val="multilevel"/>
    <w:tmpl w:val="25688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DA2F1B"/>
    <w:multiLevelType w:val="hybridMultilevel"/>
    <w:tmpl w:val="BF606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E545DD"/>
    <w:multiLevelType w:val="hybridMultilevel"/>
    <w:tmpl w:val="E5E4E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D952F5"/>
    <w:multiLevelType w:val="multilevel"/>
    <w:tmpl w:val="6AD847D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143C6D"/>
    <w:multiLevelType w:val="multilevel"/>
    <w:tmpl w:val="BB265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4361297"/>
    <w:multiLevelType w:val="hybridMultilevel"/>
    <w:tmpl w:val="C5A87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A74759"/>
    <w:multiLevelType w:val="multilevel"/>
    <w:tmpl w:val="CFA0A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D23C84"/>
    <w:multiLevelType w:val="multilevel"/>
    <w:tmpl w:val="CD62AA8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F85549D"/>
    <w:multiLevelType w:val="multilevel"/>
    <w:tmpl w:val="A5C04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9920738">
    <w:abstractNumId w:val="9"/>
  </w:num>
  <w:num w:numId="2" w16cid:durableId="426393600">
    <w:abstractNumId w:val="1"/>
  </w:num>
  <w:num w:numId="3" w16cid:durableId="1640263387">
    <w:abstractNumId w:val="10"/>
  </w:num>
  <w:num w:numId="4" w16cid:durableId="1495492475">
    <w:abstractNumId w:val="4"/>
  </w:num>
  <w:num w:numId="5" w16cid:durableId="2094475423">
    <w:abstractNumId w:val="12"/>
  </w:num>
  <w:num w:numId="6" w16cid:durableId="409085867">
    <w:abstractNumId w:val="2"/>
  </w:num>
  <w:num w:numId="7" w16cid:durableId="1356999909">
    <w:abstractNumId w:val="3"/>
  </w:num>
  <w:num w:numId="8" w16cid:durableId="2022971529">
    <w:abstractNumId w:val="0"/>
  </w:num>
  <w:num w:numId="9" w16cid:durableId="1253054047">
    <w:abstractNumId w:val="8"/>
  </w:num>
  <w:num w:numId="10" w16cid:durableId="2008825908">
    <w:abstractNumId w:val="11"/>
  </w:num>
  <w:num w:numId="11" w16cid:durableId="570580670">
    <w:abstractNumId w:val="7"/>
  </w:num>
  <w:num w:numId="12" w16cid:durableId="86000104">
    <w:abstractNumId w:val="5"/>
  </w:num>
  <w:num w:numId="13" w16cid:durableId="1666038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D06"/>
    <w:rsid w:val="00056324"/>
    <w:rsid w:val="000D10AB"/>
    <w:rsid w:val="001712C0"/>
    <w:rsid w:val="001C0784"/>
    <w:rsid w:val="001F29D1"/>
    <w:rsid w:val="00392AE2"/>
    <w:rsid w:val="003937EF"/>
    <w:rsid w:val="00436BDA"/>
    <w:rsid w:val="004456E9"/>
    <w:rsid w:val="004934CD"/>
    <w:rsid w:val="005E001C"/>
    <w:rsid w:val="006310E0"/>
    <w:rsid w:val="006507D4"/>
    <w:rsid w:val="00693900"/>
    <w:rsid w:val="006B0708"/>
    <w:rsid w:val="006F15E1"/>
    <w:rsid w:val="006F46FE"/>
    <w:rsid w:val="00783F9B"/>
    <w:rsid w:val="007F0CE8"/>
    <w:rsid w:val="008377E6"/>
    <w:rsid w:val="00846D06"/>
    <w:rsid w:val="00881906"/>
    <w:rsid w:val="00905C61"/>
    <w:rsid w:val="009A7A56"/>
    <w:rsid w:val="00A07190"/>
    <w:rsid w:val="00A07EF4"/>
    <w:rsid w:val="00A4555F"/>
    <w:rsid w:val="00BD25FE"/>
    <w:rsid w:val="00CF474E"/>
    <w:rsid w:val="00D02BFC"/>
    <w:rsid w:val="00D24FA2"/>
    <w:rsid w:val="00D32585"/>
    <w:rsid w:val="00D448B2"/>
    <w:rsid w:val="00DF0286"/>
    <w:rsid w:val="00E67D46"/>
    <w:rsid w:val="00FA0A77"/>
    <w:rsid w:val="00FB2AF6"/>
    <w:rsid w:val="00FF59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C85C1"/>
  <w15:chartTrackingRefBased/>
  <w15:docId w15:val="{9524EC8A-9C8C-634D-BA67-D5A334EA9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ajorEastAsia" w:hAnsiTheme="majorHAnsi" w:cstheme="majorBidi"/>
        <w:sz w:val="22"/>
        <w:szCs w:val="22"/>
        <w:lang w:val="en-GB" w:eastAsia="zh-CN"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D06"/>
  </w:style>
  <w:style w:type="paragraph" w:styleId="Heading1">
    <w:name w:val="heading 1"/>
    <w:basedOn w:val="Normal"/>
    <w:next w:val="Normal"/>
    <w:link w:val="Heading1Char"/>
    <w:uiPriority w:val="9"/>
    <w:qFormat/>
    <w:rsid w:val="00846D06"/>
    <w:pPr>
      <w:pBdr>
        <w:bottom w:val="thinThickSmallGap" w:sz="12" w:space="1" w:color="BF4E14" w:themeColor="accent2" w:themeShade="BF"/>
      </w:pBdr>
      <w:spacing w:before="400"/>
      <w:jc w:val="center"/>
      <w:outlineLvl w:val="0"/>
    </w:pPr>
    <w:rPr>
      <w:caps/>
      <w:color w:val="80340D" w:themeColor="accent2" w:themeShade="80"/>
      <w:spacing w:val="20"/>
      <w:sz w:val="28"/>
      <w:szCs w:val="28"/>
    </w:rPr>
  </w:style>
  <w:style w:type="paragraph" w:styleId="Heading2">
    <w:name w:val="heading 2"/>
    <w:basedOn w:val="Normal"/>
    <w:next w:val="Normal"/>
    <w:link w:val="Heading2Char"/>
    <w:uiPriority w:val="9"/>
    <w:unhideWhenUsed/>
    <w:qFormat/>
    <w:rsid w:val="00846D06"/>
    <w:pPr>
      <w:pBdr>
        <w:bottom w:val="single" w:sz="4" w:space="1" w:color="7F340D" w:themeColor="accent2" w:themeShade="7F"/>
      </w:pBdr>
      <w:spacing w:before="400"/>
      <w:jc w:val="center"/>
      <w:outlineLvl w:val="1"/>
    </w:pPr>
    <w:rPr>
      <w:caps/>
      <w:color w:val="80340D" w:themeColor="accent2" w:themeShade="80"/>
      <w:spacing w:val="15"/>
      <w:sz w:val="24"/>
      <w:szCs w:val="24"/>
    </w:rPr>
  </w:style>
  <w:style w:type="paragraph" w:styleId="Heading3">
    <w:name w:val="heading 3"/>
    <w:basedOn w:val="Normal"/>
    <w:next w:val="Normal"/>
    <w:link w:val="Heading3Char"/>
    <w:uiPriority w:val="9"/>
    <w:unhideWhenUsed/>
    <w:qFormat/>
    <w:rsid w:val="00846D06"/>
    <w:pPr>
      <w:pBdr>
        <w:top w:val="dotted" w:sz="4" w:space="1" w:color="7F340D" w:themeColor="accent2" w:themeShade="7F"/>
        <w:bottom w:val="dotted" w:sz="4" w:space="1" w:color="7F340D" w:themeColor="accent2" w:themeShade="7F"/>
      </w:pBdr>
      <w:spacing w:before="300"/>
      <w:jc w:val="center"/>
      <w:outlineLvl w:val="2"/>
    </w:pPr>
    <w:rPr>
      <w:caps/>
      <w:color w:val="7F340D" w:themeColor="accent2" w:themeShade="7F"/>
      <w:sz w:val="24"/>
      <w:szCs w:val="24"/>
    </w:rPr>
  </w:style>
  <w:style w:type="paragraph" w:styleId="Heading4">
    <w:name w:val="heading 4"/>
    <w:basedOn w:val="Normal"/>
    <w:next w:val="Normal"/>
    <w:link w:val="Heading4Char"/>
    <w:uiPriority w:val="9"/>
    <w:unhideWhenUsed/>
    <w:qFormat/>
    <w:rsid w:val="00846D06"/>
    <w:pPr>
      <w:pBdr>
        <w:bottom w:val="dotted" w:sz="4" w:space="1" w:color="BF4E14" w:themeColor="accent2" w:themeShade="BF"/>
      </w:pBdr>
      <w:spacing w:after="120"/>
      <w:jc w:val="center"/>
      <w:outlineLvl w:val="3"/>
    </w:pPr>
    <w:rPr>
      <w:caps/>
      <w:color w:val="7F340D" w:themeColor="accent2" w:themeShade="7F"/>
      <w:spacing w:val="10"/>
    </w:rPr>
  </w:style>
  <w:style w:type="paragraph" w:styleId="Heading5">
    <w:name w:val="heading 5"/>
    <w:basedOn w:val="Normal"/>
    <w:next w:val="Normal"/>
    <w:link w:val="Heading5Char"/>
    <w:uiPriority w:val="9"/>
    <w:semiHidden/>
    <w:unhideWhenUsed/>
    <w:qFormat/>
    <w:rsid w:val="00846D06"/>
    <w:pPr>
      <w:spacing w:before="320" w:after="120"/>
      <w:jc w:val="center"/>
      <w:outlineLvl w:val="4"/>
    </w:pPr>
    <w:rPr>
      <w:caps/>
      <w:color w:val="7F340D" w:themeColor="accent2" w:themeShade="7F"/>
      <w:spacing w:val="10"/>
    </w:rPr>
  </w:style>
  <w:style w:type="paragraph" w:styleId="Heading6">
    <w:name w:val="heading 6"/>
    <w:basedOn w:val="Normal"/>
    <w:next w:val="Normal"/>
    <w:link w:val="Heading6Char"/>
    <w:uiPriority w:val="9"/>
    <w:semiHidden/>
    <w:unhideWhenUsed/>
    <w:qFormat/>
    <w:rsid w:val="00846D06"/>
    <w:pPr>
      <w:spacing w:after="120"/>
      <w:jc w:val="center"/>
      <w:outlineLvl w:val="5"/>
    </w:pPr>
    <w:rPr>
      <w:caps/>
      <w:color w:val="BF4E14" w:themeColor="accent2" w:themeShade="BF"/>
      <w:spacing w:val="10"/>
    </w:rPr>
  </w:style>
  <w:style w:type="paragraph" w:styleId="Heading7">
    <w:name w:val="heading 7"/>
    <w:basedOn w:val="Normal"/>
    <w:next w:val="Normal"/>
    <w:link w:val="Heading7Char"/>
    <w:uiPriority w:val="9"/>
    <w:semiHidden/>
    <w:unhideWhenUsed/>
    <w:qFormat/>
    <w:rsid w:val="00846D06"/>
    <w:pPr>
      <w:spacing w:after="120"/>
      <w:jc w:val="center"/>
      <w:outlineLvl w:val="6"/>
    </w:pPr>
    <w:rPr>
      <w:i/>
      <w:iCs/>
      <w:caps/>
      <w:color w:val="BF4E14" w:themeColor="accent2" w:themeShade="BF"/>
      <w:spacing w:val="10"/>
    </w:rPr>
  </w:style>
  <w:style w:type="paragraph" w:styleId="Heading8">
    <w:name w:val="heading 8"/>
    <w:basedOn w:val="Normal"/>
    <w:next w:val="Normal"/>
    <w:link w:val="Heading8Char"/>
    <w:uiPriority w:val="9"/>
    <w:semiHidden/>
    <w:unhideWhenUsed/>
    <w:qFormat/>
    <w:rsid w:val="00846D06"/>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846D06"/>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6D06"/>
    <w:rPr>
      <w:caps/>
      <w:color w:val="80340D" w:themeColor="accent2" w:themeShade="80"/>
      <w:spacing w:val="20"/>
      <w:sz w:val="28"/>
      <w:szCs w:val="28"/>
    </w:rPr>
  </w:style>
  <w:style w:type="character" w:customStyle="1" w:styleId="Heading2Char">
    <w:name w:val="Heading 2 Char"/>
    <w:basedOn w:val="DefaultParagraphFont"/>
    <w:link w:val="Heading2"/>
    <w:uiPriority w:val="9"/>
    <w:rsid w:val="00846D06"/>
    <w:rPr>
      <w:caps/>
      <w:color w:val="80340D" w:themeColor="accent2" w:themeShade="80"/>
      <w:spacing w:val="15"/>
      <w:sz w:val="24"/>
      <w:szCs w:val="24"/>
    </w:rPr>
  </w:style>
  <w:style w:type="character" w:customStyle="1" w:styleId="Heading3Char">
    <w:name w:val="Heading 3 Char"/>
    <w:basedOn w:val="DefaultParagraphFont"/>
    <w:link w:val="Heading3"/>
    <w:uiPriority w:val="9"/>
    <w:rsid w:val="00846D06"/>
    <w:rPr>
      <w:caps/>
      <w:color w:val="7F340D" w:themeColor="accent2" w:themeShade="7F"/>
      <w:sz w:val="24"/>
      <w:szCs w:val="24"/>
    </w:rPr>
  </w:style>
  <w:style w:type="character" w:customStyle="1" w:styleId="Heading4Char">
    <w:name w:val="Heading 4 Char"/>
    <w:basedOn w:val="DefaultParagraphFont"/>
    <w:link w:val="Heading4"/>
    <w:uiPriority w:val="9"/>
    <w:rsid w:val="00846D06"/>
    <w:rPr>
      <w:caps/>
      <w:color w:val="7F340D" w:themeColor="accent2" w:themeShade="7F"/>
      <w:spacing w:val="10"/>
    </w:rPr>
  </w:style>
  <w:style w:type="character" w:customStyle="1" w:styleId="Heading5Char">
    <w:name w:val="Heading 5 Char"/>
    <w:basedOn w:val="DefaultParagraphFont"/>
    <w:link w:val="Heading5"/>
    <w:uiPriority w:val="9"/>
    <w:semiHidden/>
    <w:rsid w:val="00846D06"/>
    <w:rPr>
      <w:caps/>
      <w:color w:val="7F340D" w:themeColor="accent2" w:themeShade="7F"/>
      <w:spacing w:val="10"/>
    </w:rPr>
  </w:style>
  <w:style w:type="character" w:customStyle="1" w:styleId="Heading6Char">
    <w:name w:val="Heading 6 Char"/>
    <w:basedOn w:val="DefaultParagraphFont"/>
    <w:link w:val="Heading6"/>
    <w:uiPriority w:val="9"/>
    <w:semiHidden/>
    <w:rsid w:val="00846D06"/>
    <w:rPr>
      <w:caps/>
      <w:color w:val="BF4E14" w:themeColor="accent2" w:themeShade="BF"/>
      <w:spacing w:val="10"/>
    </w:rPr>
  </w:style>
  <w:style w:type="character" w:customStyle="1" w:styleId="Heading7Char">
    <w:name w:val="Heading 7 Char"/>
    <w:basedOn w:val="DefaultParagraphFont"/>
    <w:link w:val="Heading7"/>
    <w:uiPriority w:val="9"/>
    <w:semiHidden/>
    <w:rsid w:val="00846D06"/>
    <w:rPr>
      <w:i/>
      <w:iCs/>
      <w:caps/>
      <w:color w:val="BF4E14" w:themeColor="accent2" w:themeShade="BF"/>
      <w:spacing w:val="10"/>
    </w:rPr>
  </w:style>
  <w:style w:type="character" w:customStyle="1" w:styleId="Heading8Char">
    <w:name w:val="Heading 8 Char"/>
    <w:basedOn w:val="DefaultParagraphFont"/>
    <w:link w:val="Heading8"/>
    <w:uiPriority w:val="9"/>
    <w:semiHidden/>
    <w:rsid w:val="00846D06"/>
    <w:rPr>
      <w:caps/>
      <w:spacing w:val="10"/>
      <w:sz w:val="20"/>
      <w:szCs w:val="20"/>
    </w:rPr>
  </w:style>
  <w:style w:type="character" w:customStyle="1" w:styleId="Heading9Char">
    <w:name w:val="Heading 9 Char"/>
    <w:basedOn w:val="DefaultParagraphFont"/>
    <w:link w:val="Heading9"/>
    <w:uiPriority w:val="9"/>
    <w:semiHidden/>
    <w:rsid w:val="00846D06"/>
    <w:rPr>
      <w:i/>
      <w:iCs/>
      <w:caps/>
      <w:spacing w:val="10"/>
      <w:sz w:val="20"/>
      <w:szCs w:val="20"/>
    </w:rPr>
  </w:style>
  <w:style w:type="paragraph" w:styleId="Title">
    <w:name w:val="Title"/>
    <w:basedOn w:val="Normal"/>
    <w:next w:val="Normal"/>
    <w:link w:val="TitleChar"/>
    <w:uiPriority w:val="10"/>
    <w:qFormat/>
    <w:rsid w:val="00846D06"/>
    <w:pPr>
      <w:pBdr>
        <w:top w:val="dotted" w:sz="2" w:space="1" w:color="80340D" w:themeColor="accent2" w:themeShade="80"/>
        <w:bottom w:val="dotted" w:sz="2" w:space="6" w:color="80340D" w:themeColor="accent2" w:themeShade="80"/>
      </w:pBdr>
      <w:spacing w:before="500" w:after="300" w:line="240" w:lineRule="auto"/>
      <w:jc w:val="center"/>
    </w:pPr>
    <w:rPr>
      <w:caps/>
      <w:color w:val="80340D" w:themeColor="accent2" w:themeShade="80"/>
      <w:spacing w:val="50"/>
      <w:sz w:val="44"/>
      <w:szCs w:val="44"/>
    </w:rPr>
  </w:style>
  <w:style w:type="character" w:customStyle="1" w:styleId="TitleChar">
    <w:name w:val="Title Char"/>
    <w:basedOn w:val="DefaultParagraphFont"/>
    <w:link w:val="Title"/>
    <w:uiPriority w:val="10"/>
    <w:rsid w:val="00846D06"/>
    <w:rPr>
      <w:caps/>
      <w:color w:val="80340D" w:themeColor="accent2" w:themeShade="80"/>
      <w:spacing w:val="50"/>
      <w:sz w:val="44"/>
      <w:szCs w:val="44"/>
    </w:rPr>
  </w:style>
  <w:style w:type="paragraph" w:styleId="Subtitle">
    <w:name w:val="Subtitle"/>
    <w:basedOn w:val="Normal"/>
    <w:next w:val="Normal"/>
    <w:link w:val="SubtitleChar"/>
    <w:uiPriority w:val="11"/>
    <w:qFormat/>
    <w:rsid w:val="00846D06"/>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846D06"/>
    <w:rPr>
      <w:caps/>
      <w:spacing w:val="20"/>
      <w:sz w:val="18"/>
      <w:szCs w:val="18"/>
    </w:rPr>
  </w:style>
  <w:style w:type="paragraph" w:styleId="Quote">
    <w:name w:val="Quote"/>
    <w:basedOn w:val="Normal"/>
    <w:next w:val="Normal"/>
    <w:link w:val="QuoteChar"/>
    <w:uiPriority w:val="29"/>
    <w:qFormat/>
    <w:rsid w:val="00846D06"/>
    <w:rPr>
      <w:i/>
      <w:iCs/>
    </w:rPr>
  </w:style>
  <w:style w:type="character" w:customStyle="1" w:styleId="QuoteChar">
    <w:name w:val="Quote Char"/>
    <w:basedOn w:val="DefaultParagraphFont"/>
    <w:link w:val="Quote"/>
    <w:uiPriority w:val="29"/>
    <w:rsid w:val="00846D06"/>
    <w:rPr>
      <w:i/>
      <w:iCs/>
    </w:rPr>
  </w:style>
  <w:style w:type="paragraph" w:styleId="ListParagraph">
    <w:name w:val="List Paragraph"/>
    <w:basedOn w:val="Normal"/>
    <w:uiPriority w:val="34"/>
    <w:qFormat/>
    <w:rsid w:val="00846D06"/>
    <w:pPr>
      <w:ind w:left="720"/>
      <w:contextualSpacing/>
    </w:pPr>
  </w:style>
  <w:style w:type="character" w:styleId="IntenseEmphasis">
    <w:name w:val="Intense Emphasis"/>
    <w:uiPriority w:val="21"/>
    <w:qFormat/>
    <w:rsid w:val="00846D06"/>
    <w:rPr>
      <w:i/>
      <w:iCs/>
      <w:caps/>
      <w:spacing w:val="10"/>
      <w:sz w:val="20"/>
      <w:szCs w:val="20"/>
    </w:rPr>
  </w:style>
  <w:style w:type="paragraph" w:styleId="IntenseQuote">
    <w:name w:val="Intense Quote"/>
    <w:basedOn w:val="Normal"/>
    <w:next w:val="Normal"/>
    <w:link w:val="IntenseQuoteChar"/>
    <w:uiPriority w:val="30"/>
    <w:qFormat/>
    <w:rsid w:val="00846D06"/>
    <w:pPr>
      <w:pBdr>
        <w:top w:val="dotted" w:sz="2" w:space="10" w:color="80340D" w:themeColor="accent2" w:themeShade="80"/>
        <w:bottom w:val="dotted" w:sz="2" w:space="4" w:color="80340D" w:themeColor="accent2" w:themeShade="80"/>
      </w:pBdr>
      <w:spacing w:before="160" w:line="300" w:lineRule="auto"/>
      <w:ind w:left="1440" w:right="1440"/>
    </w:pPr>
    <w:rPr>
      <w:caps/>
      <w:color w:val="7F340D" w:themeColor="accent2" w:themeShade="7F"/>
      <w:spacing w:val="5"/>
      <w:sz w:val="20"/>
      <w:szCs w:val="20"/>
    </w:rPr>
  </w:style>
  <w:style w:type="character" w:customStyle="1" w:styleId="IntenseQuoteChar">
    <w:name w:val="Intense Quote Char"/>
    <w:basedOn w:val="DefaultParagraphFont"/>
    <w:link w:val="IntenseQuote"/>
    <w:uiPriority w:val="30"/>
    <w:rsid w:val="00846D06"/>
    <w:rPr>
      <w:caps/>
      <w:color w:val="7F340D" w:themeColor="accent2" w:themeShade="7F"/>
      <w:spacing w:val="5"/>
      <w:sz w:val="20"/>
      <w:szCs w:val="20"/>
    </w:rPr>
  </w:style>
  <w:style w:type="character" w:styleId="IntenseReference">
    <w:name w:val="Intense Reference"/>
    <w:uiPriority w:val="32"/>
    <w:qFormat/>
    <w:rsid w:val="00846D06"/>
    <w:rPr>
      <w:rFonts w:asciiTheme="minorHAnsi" w:eastAsiaTheme="minorEastAsia" w:hAnsiTheme="minorHAnsi" w:cstheme="minorBidi"/>
      <w:b/>
      <w:bCs/>
      <w:i/>
      <w:iCs/>
      <w:color w:val="7F340D" w:themeColor="accent2" w:themeShade="7F"/>
    </w:rPr>
  </w:style>
  <w:style w:type="paragraph" w:styleId="Caption">
    <w:name w:val="caption"/>
    <w:basedOn w:val="Normal"/>
    <w:next w:val="Normal"/>
    <w:uiPriority w:val="35"/>
    <w:unhideWhenUsed/>
    <w:qFormat/>
    <w:rsid w:val="00846D06"/>
    <w:rPr>
      <w:caps/>
      <w:spacing w:val="10"/>
      <w:sz w:val="18"/>
      <w:szCs w:val="18"/>
    </w:rPr>
  </w:style>
  <w:style w:type="character" w:styleId="Strong">
    <w:name w:val="Strong"/>
    <w:uiPriority w:val="22"/>
    <w:qFormat/>
    <w:rsid w:val="00846D06"/>
    <w:rPr>
      <w:b/>
      <w:bCs/>
      <w:color w:val="BF4E14" w:themeColor="accent2" w:themeShade="BF"/>
      <w:spacing w:val="5"/>
    </w:rPr>
  </w:style>
  <w:style w:type="character" w:styleId="Emphasis">
    <w:name w:val="Emphasis"/>
    <w:uiPriority w:val="20"/>
    <w:qFormat/>
    <w:rsid w:val="00846D06"/>
    <w:rPr>
      <w:caps/>
      <w:spacing w:val="5"/>
      <w:sz w:val="20"/>
      <w:szCs w:val="20"/>
    </w:rPr>
  </w:style>
  <w:style w:type="paragraph" w:styleId="NoSpacing">
    <w:name w:val="No Spacing"/>
    <w:basedOn w:val="Normal"/>
    <w:link w:val="NoSpacingChar"/>
    <w:uiPriority w:val="1"/>
    <w:qFormat/>
    <w:rsid w:val="00846D06"/>
    <w:pPr>
      <w:spacing w:after="0" w:line="240" w:lineRule="auto"/>
    </w:pPr>
  </w:style>
  <w:style w:type="character" w:customStyle="1" w:styleId="NoSpacingChar">
    <w:name w:val="No Spacing Char"/>
    <w:basedOn w:val="DefaultParagraphFont"/>
    <w:link w:val="NoSpacing"/>
    <w:uiPriority w:val="1"/>
    <w:rsid w:val="00846D06"/>
  </w:style>
  <w:style w:type="character" w:styleId="SubtleEmphasis">
    <w:name w:val="Subtle Emphasis"/>
    <w:uiPriority w:val="19"/>
    <w:qFormat/>
    <w:rsid w:val="00846D06"/>
    <w:rPr>
      <w:i/>
      <w:iCs/>
    </w:rPr>
  </w:style>
  <w:style w:type="character" w:styleId="SubtleReference">
    <w:name w:val="Subtle Reference"/>
    <w:basedOn w:val="DefaultParagraphFont"/>
    <w:uiPriority w:val="31"/>
    <w:qFormat/>
    <w:rsid w:val="00846D06"/>
    <w:rPr>
      <w:rFonts w:asciiTheme="minorHAnsi" w:eastAsiaTheme="minorEastAsia" w:hAnsiTheme="minorHAnsi" w:cstheme="minorBidi"/>
      <w:i/>
      <w:iCs/>
      <w:color w:val="7F340D" w:themeColor="accent2" w:themeShade="7F"/>
    </w:rPr>
  </w:style>
  <w:style w:type="character" w:styleId="BookTitle">
    <w:name w:val="Book Title"/>
    <w:uiPriority w:val="33"/>
    <w:qFormat/>
    <w:rsid w:val="00846D06"/>
    <w:rPr>
      <w:caps/>
      <w:color w:val="7F340D" w:themeColor="accent2" w:themeShade="7F"/>
      <w:spacing w:val="5"/>
      <w:u w:color="7F340D" w:themeColor="accent2" w:themeShade="7F"/>
    </w:rPr>
  </w:style>
  <w:style w:type="paragraph" w:styleId="TOCHeading">
    <w:name w:val="TOC Heading"/>
    <w:basedOn w:val="Heading1"/>
    <w:next w:val="Normal"/>
    <w:uiPriority w:val="39"/>
    <w:unhideWhenUsed/>
    <w:qFormat/>
    <w:rsid w:val="00846D06"/>
    <w:pPr>
      <w:outlineLvl w:val="9"/>
    </w:pPr>
  </w:style>
  <w:style w:type="paragraph" w:styleId="Footer">
    <w:name w:val="footer"/>
    <w:basedOn w:val="Normal"/>
    <w:link w:val="FooterChar"/>
    <w:uiPriority w:val="99"/>
    <w:unhideWhenUsed/>
    <w:rsid w:val="006F15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15E1"/>
  </w:style>
  <w:style w:type="character" w:styleId="PageNumber">
    <w:name w:val="page number"/>
    <w:basedOn w:val="DefaultParagraphFont"/>
    <w:uiPriority w:val="99"/>
    <w:semiHidden/>
    <w:unhideWhenUsed/>
    <w:rsid w:val="006F15E1"/>
  </w:style>
  <w:style w:type="character" w:styleId="Hyperlink">
    <w:name w:val="Hyperlink"/>
    <w:basedOn w:val="DefaultParagraphFont"/>
    <w:uiPriority w:val="99"/>
    <w:unhideWhenUsed/>
    <w:rsid w:val="00905C61"/>
    <w:rPr>
      <w:color w:val="467886" w:themeColor="hyperlink"/>
      <w:u w:val="single"/>
    </w:rPr>
  </w:style>
  <w:style w:type="paragraph" w:styleId="TOC1">
    <w:name w:val="toc 1"/>
    <w:basedOn w:val="Normal"/>
    <w:next w:val="Normal"/>
    <w:autoRedefine/>
    <w:uiPriority w:val="39"/>
    <w:unhideWhenUsed/>
    <w:rsid w:val="00693900"/>
    <w:pPr>
      <w:spacing w:before="120" w:after="0"/>
    </w:pPr>
    <w:rPr>
      <w:rFonts w:asciiTheme="minorHAnsi" w:hAnsiTheme="minorHAnsi" w:cs="Times New Roman"/>
      <w:b/>
      <w:bCs/>
      <w:i/>
      <w:iCs/>
      <w:sz w:val="24"/>
      <w:szCs w:val="28"/>
    </w:rPr>
  </w:style>
  <w:style w:type="paragraph" w:styleId="TOC2">
    <w:name w:val="toc 2"/>
    <w:basedOn w:val="Normal"/>
    <w:next w:val="Normal"/>
    <w:autoRedefine/>
    <w:uiPriority w:val="39"/>
    <w:unhideWhenUsed/>
    <w:rsid w:val="00693900"/>
    <w:pPr>
      <w:spacing w:before="120" w:after="0"/>
      <w:ind w:left="220"/>
    </w:pPr>
    <w:rPr>
      <w:rFonts w:asciiTheme="minorHAnsi" w:hAnsiTheme="minorHAnsi" w:cs="Times New Roman"/>
      <w:b/>
      <w:bCs/>
      <w:szCs w:val="26"/>
    </w:rPr>
  </w:style>
  <w:style w:type="paragraph" w:styleId="TOC3">
    <w:name w:val="toc 3"/>
    <w:basedOn w:val="Normal"/>
    <w:next w:val="Normal"/>
    <w:autoRedefine/>
    <w:uiPriority w:val="39"/>
    <w:unhideWhenUsed/>
    <w:rsid w:val="00693900"/>
    <w:pPr>
      <w:spacing w:after="0"/>
      <w:ind w:left="440"/>
    </w:pPr>
    <w:rPr>
      <w:rFonts w:asciiTheme="minorHAnsi" w:hAnsiTheme="minorHAnsi" w:cs="Times New Roman"/>
      <w:sz w:val="20"/>
      <w:szCs w:val="24"/>
    </w:rPr>
  </w:style>
  <w:style w:type="paragraph" w:styleId="TOC4">
    <w:name w:val="toc 4"/>
    <w:basedOn w:val="Normal"/>
    <w:next w:val="Normal"/>
    <w:autoRedefine/>
    <w:uiPriority w:val="39"/>
    <w:semiHidden/>
    <w:unhideWhenUsed/>
    <w:rsid w:val="00693900"/>
    <w:pPr>
      <w:spacing w:after="0"/>
      <w:ind w:left="660"/>
    </w:pPr>
    <w:rPr>
      <w:rFonts w:asciiTheme="minorHAnsi" w:hAnsiTheme="minorHAnsi" w:cs="Times New Roman"/>
      <w:sz w:val="20"/>
      <w:szCs w:val="24"/>
    </w:rPr>
  </w:style>
  <w:style w:type="paragraph" w:styleId="TOC5">
    <w:name w:val="toc 5"/>
    <w:basedOn w:val="Normal"/>
    <w:next w:val="Normal"/>
    <w:autoRedefine/>
    <w:uiPriority w:val="39"/>
    <w:semiHidden/>
    <w:unhideWhenUsed/>
    <w:rsid w:val="00693900"/>
    <w:pPr>
      <w:spacing w:after="0"/>
      <w:ind w:left="880"/>
    </w:pPr>
    <w:rPr>
      <w:rFonts w:asciiTheme="minorHAnsi" w:hAnsiTheme="minorHAnsi" w:cs="Times New Roman"/>
      <w:sz w:val="20"/>
      <w:szCs w:val="24"/>
    </w:rPr>
  </w:style>
  <w:style w:type="paragraph" w:styleId="TOC6">
    <w:name w:val="toc 6"/>
    <w:basedOn w:val="Normal"/>
    <w:next w:val="Normal"/>
    <w:autoRedefine/>
    <w:uiPriority w:val="39"/>
    <w:semiHidden/>
    <w:unhideWhenUsed/>
    <w:rsid w:val="00693900"/>
    <w:pPr>
      <w:spacing w:after="0"/>
      <w:ind w:left="1100"/>
    </w:pPr>
    <w:rPr>
      <w:rFonts w:asciiTheme="minorHAnsi" w:hAnsiTheme="minorHAnsi" w:cs="Times New Roman"/>
      <w:sz w:val="20"/>
      <w:szCs w:val="24"/>
    </w:rPr>
  </w:style>
  <w:style w:type="paragraph" w:styleId="TOC7">
    <w:name w:val="toc 7"/>
    <w:basedOn w:val="Normal"/>
    <w:next w:val="Normal"/>
    <w:autoRedefine/>
    <w:uiPriority w:val="39"/>
    <w:semiHidden/>
    <w:unhideWhenUsed/>
    <w:rsid w:val="00693900"/>
    <w:pPr>
      <w:spacing w:after="0"/>
      <w:ind w:left="1320"/>
    </w:pPr>
    <w:rPr>
      <w:rFonts w:asciiTheme="minorHAnsi" w:hAnsiTheme="minorHAnsi" w:cs="Times New Roman"/>
      <w:sz w:val="20"/>
      <w:szCs w:val="24"/>
    </w:rPr>
  </w:style>
  <w:style w:type="paragraph" w:styleId="TOC8">
    <w:name w:val="toc 8"/>
    <w:basedOn w:val="Normal"/>
    <w:next w:val="Normal"/>
    <w:autoRedefine/>
    <w:uiPriority w:val="39"/>
    <w:semiHidden/>
    <w:unhideWhenUsed/>
    <w:rsid w:val="00693900"/>
    <w:pPr>
      <w:spacing w:after="0"/>
      <w:ind w:left="1540"/>
    </w:pPr>
    <w:rPr>
      <w:rFonts w:asciiTheme="minorHAnsi" w:hAnsiTheme="minorHAnsi" w:cs="Times New Roman"/>
      <w:sz w:val="20"/>
      <w:szCs w:val="24"/>
    </w:rPr>
  </w:style>
  <w:style w:type="paragraph" w:styleId="TOC9">
    <w:name w:val="toc 9"/>
    <w:basedOn w:val="Normal"/>
    <w:next w:val="Normal"/>
    <w:autoRedefine/>
    <w:uiPriority w:val="39"/>
    <w:semiHidden/>
    <w:unhideWhenUsed/>
    <w:rsid w:val="00693900"/>
    <w:pPr>
      <w:spacing w:after="0"/>
      <w:ind w:left="1760"/>
    </w:pPr>
    <w:rPr>
      <w:rFonts w:asciiTheme="minorHAnsi" w:hAnsiTheme="minorHAnsi" w:cs="Times New Roman"/>
      <w:sz w:val="20"/>
      <w:szCs w:val="24"/>
    </w:rPr>
  </w:style>
  <w:style w:type="paragraph" w:styleId="TableofFigures">
    <w:name w:val="table of figures"/>
    <w:basedOn w:val="Normal"/>
    <w:next w:val="Normal"/>
    <w:uiPriority w:val="99"/>
    <w:unhideWhenUsed/>
    <w:rsid w:val="00693900"/>
    <w:pPr>
      <w:spacing w:after="0"/>
    </w:pPr>
  </w:style>
  <w:style w:type="paragraph" w:styleId="Header">
    <w:name w:val="header"/>
    <w:basedOn w:val="Normal"/>
    <w:link w:val="HeaderChar"/>
    <w:uiPriority w:val="99"/>
    <w:unhideWhenUsed/>
    <w:rsid w:val="007F0C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0C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sas-space.sas.ac.uk/4321/1/History_teaching_in_Higher_Education_breaking_down_the_barriers_to_progression_and_dialogue.pdf" TargetMode="External"/><Relationship Id="rId26" Type="http://schemas.openxmlformats.org/officeDocument/2006/relationships/hyperlink" Target="https://schmolck.org/qmethod/" TargetMode="External"/><Relationship Id="rId3" Type="http://schemas.openxmlformats.org/officeDocument/2006/relationships/styles" Target="styles.xml"/><Relationship Id="rId21" Type="http://schemas.openxmlformats.org/officeDocument/2006/relationships/hyperlink" Target="https://cusp.ac.uk/wp-content/uploads/WP36%E2%80%94embedding-sustainability-in-higher-education.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hawnbanasick.github.io/ken-q-analysis/" TargetMode="External"/><Relationship Id="rId17" Type="http://schemas.openxmlformats.org/officeDocument/2006/relationships/hyperlink" Target="https://archives.history.ac.uk/makinghistory/resources/articles/teaching_of_history.html" TargetMode="External"/><Relationship Id="rId25" Type="http://schemas.openxmlformats.org/officeDocument/2006/relationships/hyperlink" Target="https://jonathansandling.com/q-methodology-complete-beginners-guide/"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shawnbanasick.github.io/ken-q-analysis/" TargetMode="External"/><Relationship Id="rId20" Type="http://schemas.openxmlformats.org/officeDocument/2006/relationships/hyperlink" Target="https://qmethodsoftware.com/" TargetMode="External"/><Relationship Id="rId29" Type="http://schemas.openxmlformats.org/officeDocument/2006/relationships/hyperlink" Target="https://notebooklm.google.com/notebook/cef4ec7d-148d-4cb4-b328-ef28f18ed5fa?authuser=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qaa.ac.uk/the-quality-code/subject-benchmark-statements/history"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advance-he.ac.uk/knowledge-hub/education-sustainable-development-guidance" TargetMode="External"/><Relationship Id="rId23" Type="http://schemas.openxmlformats.org/officeDocument/2006/relationships/hyperlink" Target="https://www.qaa.ac.uk/the-quality-code/subject-benchmark-statements" TargetMode="External"/><Relationship Id="rId28" Type="http://schemas.openxmlformats.org/officeDocument/2006/relationships/hyperlink" Target="https://qmethod.org/portfolio/van-exel-and-de-graaf-a-q-methodology-sneak-preview/" TargetMode="External"/><Relationship Id="rId10" Type="http://schemas.openxmlformats.org/officeDocument/2006/relationships/footer" Target="footer2.xml"/><Relationship Id="rId19" Type="http://schemas.openxmlformats.org/officeDocument/2006/relationships/hyperlink" Target="https://warwick.ac.uk/fac/cross_fac/heahistory/resources/br_brooks_esd_200604xx_01.pdf" TargetMode="External"/><Relationship Id="rId31"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hyperlink" Target="https://www.google.com/search?q=https://q-assessor.com&amp;authuser=1" TargetMode="External"/><Relationship Id="rId27" Type="http://schemas.openxmlformats.org/officeDocument/2006/relationships/hyperlink" Target="https://www.sussex.ac.uk/cweh/" TargetMode="External"/><Relationship Id="rId30" Type="http://schemas.openxmlformats.org/officeDocument/2006/relationships/hyperlink" Target="https://2577213.playcode.io/"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TRHarvard_.xsl" StyleName="Harvard - UHI CTR" Version="1"/>
</file>

<file path=customXml/itemProps1.xml><?xml version="1.0" encoding="utf-8"?>
<ds:datastoreItem xmlns:ds="http://schemas.openxmlformats.org/officeDocument/2006/customXml" ds:itemID="{B211B553-5DEF-4C45-9E3D-20BF51ED9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84</Pages>
  <Words>23860</Words>
  <Characters>136002</Characters>
  <Application>Microsoft Office Word</Application>
  <DocSecurity>0</DocSecurity>
  <Lines>1133</Lines>
  <Paragraphs>319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Bernardelli (2311581)</dc:creator>
  <cp:keywords/>
  <dc:description/>
  <cp:lastModifiedBy>Katy Bernardelli (2311581)</cp:lastModifiedBy>
  <cp:revision>11</cp:revision>
  <dcterms:created xsi:type="dcterms:W3CDTF">2026-05-14T15:26:00Z</dcterms:created>
  <dcterms:modified xsi:type="dcterms:W3CDTF">2026-06-01T13:03:00Z</dcterms:modified>
</cp:coreProperties>
</file>