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468F37" w14:textId="77777777" w:rsidR="00895325" w:rsidRPr="00895325" w:rsidRDefault="00895325" w:rsidP="00895325">
      <w:pPr>
        <w:spacing w:after="60" w:line="240" w:lineRule="auto"/>
        <w:rPr>
          <w:rFonts w:ascii="Times New Roman" w:eastAsia="Times New Roman" w:hAnsi="Times New Roman" w:cs="Times New Roman"/>
          <w:sz w:val="40"/>
          <w:szCs w:val="40"/>
          <w:lang w:eastAsia="en-GB"/>
        </w:rPr>
      </w:pPr>
      <w:r w:rsidRPr="00895325">
        <w:rPr>
          <w:rFonts w:ascii="Arial" w:eastAsia="Times New Roman" w:hAnsi="Arial" w:cs="Arial"/>
          <w:color w:val="000000"/>
          <w:sz w:val="40"/>
          <w:szCs w:val="40"/>
          <w:lang w:eastAsia="en-GB"/>
        </w:rPr>
        <w:t>The Offences Against the Person Act [1861] </w:t>
      </w:r>
    </w:p>
    <w:p w14:paraId="77F10EDD"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p>
    <w:p w14:paraId="75D424F9" w14:textId="78984C49"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In this essay, I will be researching the offenses against the person act 1861 and why it is an </w:t>
      </w:r>
      <w:r w:rsidRPr="00895325">
        <w:rPr>
          <w:rFonts w:ascii="Arial" w:eastAsia="Times New Roman" w:hAnsi="Arial" w:cs="Arial"/>
          <w:color w:val="000000"/>
          <w:lang w:eastAsia="en-GB"/>
        </w:rPr>
        <w:t>important Act</w:t>
      </w:r>
      <w:r w:rsidRPr="00895325">
        <w:rPr>
          <w:rFonts w:ascii="Arial" w:eastAsia="Times New Roman" w:hAnsi="Arial" w:cs="Arial"/>
          <w:color w:val="000000"/>
          <w:lang w:eastAsia="en-GB"/>
        </w:rPr>
        <w:t xml:space="preserve"> to consolidate and amend the Statute Law of England and Ireland to do with the Offences against the Person, Arguments for and against the order of this act will be discussed as It is one of a group of Acts sometimes referred to as the Criminal Law Consolidation Acts 1861, It was passed with the object of simplifying the law. This essay will be set out to explain the current law on non-fatal offenses with regards to the assault, battery, assault occasioning actual bodily harm under section 47, malicious </w:t>
      </w:r>
      <w:r w:rsidR="00D521A9" w:rsidRPr="00895325">
        <w:rPr>
          <w:rFonts w:ascii="Arial" w:eastAsia="Times New Roman" w:hAnsi="Arial" w:cs="Arial"/>
          <w:color w:val="000000"/>
          <w:lang w:eastAsia="en-GB"/>
        </w:rPr>
        <w:t>wounding,</w:t>
      </w:r>
      <w:r w:rsidRPr="00895325">
        <w:rPr>
          <w:rFonts w:ascii="Arial" w:eastAsia="Times New Roman" w:hAnsi="Arial" w:cs="Arial"/>
          <w:color w:val="000000"/>
          <w:lang w:eastAsia="en-GB"/>
        </w:rPr>
        <w:t xml:space="preserve"> or infliction of grievous bodily harm, under section 20, and wounding or causing grievous bodily harm with intent under section 18. </w:t>
      </w:r>
    </w:p>
    <w:p w14:paraId="669B6BDA" w14:textId="7A50328B"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In an article by Samantha Love, she states </w:t>
      </w:r>
      <w:r w:rsidRPr="00895325">
        <w:rPr>
          <w:rFonts w:ascii="Arial" w:eastAsia="Times New Roman" w:hAnsi="Arial" w:cs="Arial"/>
          <w:color w:val="000000"/>
          <w:lang w:eastAsia="en-GB"/>
        </w:rPr>
        <w:t>the</w:t>
      </w:r>
      <w:r w:rsidRPr="00895325">
        <w:rPr>
          <w:rFonts w:ascii="Arial" w:eastAsia="Times New Roman" w:hAnsi="Arial" w:cs="Arial"/>
          <w:color w:val="000000"/>
          <w:lang w:eastAsia="en-GB"/>
        </w:rPr>
        <w:t xml:space="preserve"> 1861 Act is a consolidation statute that has brought together existing law on injury to persons into one piece of legislation. As this is a method of keeping law up to date this can be very handy as the common law develops and becomes stable and old bits of legislation are being replaced gradually with separate legislation, it helps put everything in one place to make it easier for citizens to understand and lawyers to work with. The Offences Against the Person Act consolidated the 1828 Act of the same name and later statutes all </w:t>
      </w:r>
      <w:r w:rsidRPr="00895325">
        <w:rPr>
          <w:rFonts w:ascii="Arial" w:eastAsia="Times New Roman" w:hAnsi="Arial" w:cs="Arial"/>
          <w:color w:val="000000"/>
          <w:lang w:eastAsia="en-GB"/>
        </w:rPr>
        <w:t>together, Not</w:t>
      </w:r>
      <w:r w:rsidRPr="00895325">
        <w:rPr>
          <w:rFonts w:ascii="Arial" w:eastAsia="Times New Roman" w:hAnsi="Arial" w:cs="Arial"/>
          <w:color w:val="000000"/>
          <w:lang w:eastAsia="en-GB"/>
        </w:rPr>
        <w:t xml:space="preserve"> only is this a piece of old legislation it is also difficult to understand. If the aim of the law is to guide the conduct of citizens by deterring them from behaving in a certain way, the 1861 Act is not a particularly effective piece of legislation. She explains how we all know not to attack someone in the street, but the ins and outs of the statute can only be fully understood by a lawyer or somebody with a good textbook, a wide vocabulary, and a fair bit of time on their hands. Section 20 of the Act reads as: “Whosoever shall unlawfully and maliciously wound or inflict any grievous bodily harm upon any other person, either with or without any weapon or instrument, shall be guilty of a </w:t>
      </w:r>
      <w:r w:rsidRPr="00895325">
        <w:rPr>
          <w:rFonts w:ascii="Arial" w:eastAsia="Times New Roman" w:hAnsi="Arial" w:cs="Arial"/>
          <w:color w:val="000000"/>
          <w:lang w:eastAsia="en-GB"/>
        </w:rPr>
        <w:t>misdemeanour</w:t>
      </w:r>
      <w:r w:rsidRPr="00895325">
        <w:rPr>
          <w:rFonts w:ascii="Arial" w:eastAsia="Times New Roman" w:hAnsi="Arial" w:cs="Arial"/>
          <w:color w:val="000000"/>
          <w:lang w:eastAsia="en-GB"/>
        </w:rPr>
        <w:t xml:space="preserve">, and being convicted thereof shall be liable . . . to be kept in penal servitude”. </w:t>
      </w:r>
      <w:r w:rsidRPr="00895325">
        <w:rPr>
          <w:rFonts w:ascii="Arial" w:eastAsia="Times New Roman" w:hAnsi="Arial" w:cs="Arial"/>
          <w:color w:val="000000"/>
          <w:lang w:eastAsia="en-GB"/>
        </w:rPr>
        <w:t>It is</w:t>
      </w:r>
      <w:r w:rsidRPr="00895325">
        <w:rPr>
          <w:rFonts w:ascii="Arial" w:eastAsia="Times New Roman" w:hAnsi="Arial" w:cs="Arial"/>
          <w:color w:val="000000"/>
          <w:lang w:eastAsia="en-GB"/>
        </w:rPr>
        <w:t xml:space="preserve"> not exactly straight-talking </w:t>
      </w:r>
      <w:r w:rsidRPr="00895325">
        <w:rPr>
          <w:rFonts w:ascii="Arial" w:eastAsia="Times New Roman" w:hAnsi="Arial" w:cs="Arial"/>
          <w:color w:val="000000"/>
          <w:lang w:eastAsia="en-GB"/>
        </w:rPr>
        <w:t>language. This</w:t>
      </w:r>
      <w:r w:rsidRPr="00895325">
        <w:rPr>
          <w:rFonts w:ascii="Arial" w:eastAsia="Times New Roman" w:hAnsi="Arial" w:cs="Arial"/>
          <w:color w:val="000000"/>
          <w:lang w:eastAsia="en-GB"/>
        </w:rPr>
        <w:t xml:space="preserve"> act is often being judged as failing explicitly to address some injuries we see it </w:t>
      </w:r>
      <w:r w:rsidRPr="00895325">
        <w:rPr>
          <w:rFonts w:ascii="Arial" w:eastAsia="Times New Roman" w:hAnsi="Arial" w:cs="Arial"/>
          <w:color w:val="000000"/>
          <w:lang w:eastAsia="en-GB"/>
        </w:rPr>
        <w:t>known</w:t>
      </w:r>
      <w:r w:rsidRPr="00895325">
        <w:rPr>
          <w:rFonts w:ascii="Arial" w:eastAsia="Times New Roman" w:hAnsi="Arial" w:cs="Arial"/>
          <w:color w:val="000000"/>
          <w:lang w:eastAsia="en-GB"/>
        </w:rPr>
        <w:t xml:space="preserve"> as important, things like Emotional injuries. Although actual bodily harm is now accepted to include recognized psychiatric illnesses, it is not obvious on the face of the legislation it seems outdated to consider it as ‘bodily’ injury. </w:t>
      </w:r>
      <w:r w:rsidRPr="00895325">
        <w:rPr>
          <w:rFonts w:ascii="Arial" w:eastAsia="Times New Roman" w:hAnsi="Arial" w:cs="Arial"/>
          <w:color w:val="000000"/>
          <w:lang w:eastAsia="en-GB"/>
        </w:rPr>
        <w:t>There is</w:t>
      </w:r>
      <w:r w:rsidRPr="00895325">
        <w:rPr>
          <w:rFonts w:ascii="Arial" w:eastAsia="Times New Roman" w:hAnsi="Arial" w:cs="Arial"/>
          <w:color w:val="000000"/>
          <w:lang w:eastAsia="en-GB"/>
        </w:rPr>
        <w:t xml:space="preserve"> </w:t>
      </w:r>
      <w:proofErr w:type="spellStart"/>
      <w:r w:rsidRPr="00895325">
        <w:rPr>
          <w:rFonts w:ascii="Arial" w:eastAsia="Times New Roman" w:hAnsi="Arial" w:cs="Arial"/>
          <w:color w:val="000000"/>
          <w:lang w:eastAsia="en-GB"/>
        </w:rPr>
        <w:t>is</w:t>
      </w:r>
      <w:proofErr w:type="spellEnd"/>
      <w:r w:rsidRPr="00895325">
        <w:rPr>
          <w:rFonts w:ascii="Arial" w:eastAsia="Times New Roman" w:hAnsi="Arial" w:cs="Arial"/>
          <w:color w:val="000000"/>
          <w:lang w:eastAsia="en-GB"/>
        </w:rPr>
        <w:t xml:space="preserve"> a strange anomaly in the murder it is at no point prohibited by statute. Sections 1-3 did deal with the penalties for murder, but these were repealed when Wales and England abolished the death penalty, </w:t>
      </w:r>
      <w:r w:rsidR="0055054E" w:rsidRPr="00895325">
        <w:rPr>
          <w:rFonts w:ascii="Arial" w:eastAsia="Times New Roman" w:hAnsi="Arial" w:cs="Arial"/>
          <w:color w:val="000000"/>
          <w:lang w:eastAsia="en-GB"/>
        </w:rPr>
        <w:t>it</w:t>
      </w:r>
      <w:r w:rsidRPr="00895325">
        <w:rPr>
          <w:rFonts w:ascii="Arial" w:eastAsia="Times New Roman" w:hAnsi="Arial" w:cs="Arial"/>
          <w:color w:val="000000"/>
          <w:lang w:eastAsia="en-GB"/>
        </w:rPr>
        <w:t xml:space="preserve"> showed us that it is all a bit of a jumble. The good bit about the 1861 act it does still work, </w:t>
      </w:r>
      <w:r w:rsidR="0055054E" w:rsidRPr="00895325">
        <w:rPr>
          <w:rFonts w:ascii="Arial" w:eastAsia="Times New Roman" w:hAnsi="Arial" w:cs="Arial"/>
          <w:color w:val="000000"/>
          <w:lang w:eastAsia="en-GB"/>
        </w:rPr>
        <w:t>the</w:t>
      </w:r>
      <w:r w:rsidRPr="00895325">
        <w:rPr>
          <w:rFonts w:ascii="Arial" w:eastAsia="Times New Roman" w:hAnsi="Arial" w:cs="Arial"/>
          <w:color w:val="000000"/>
          <w:lang w:eastAsia="en-GB"/>
        </w:rPr>
        <w:t xml:space="preserve"> theoretical complaints may have about the lack of principle in parts of the legislation, and although some re-interpretations being necessary is to keep the legislation relatively fit for purpose, it is still in use every day to prosecute in England and Wales. There are various ways in which this can be achieved, all of which show that the flexibility of the legal system can /change the written law incrementally.</w:t>
      </w:r>
    </w:p>
    <w:p w14:paraId="73856CB9"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p>
    <w:p w14:paraId="60A8EFF0" w14:textId="4FF653CD"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The problem is </w:t>
      </w:r>
      <w:r w:rsidR="0055054E" w:rsidRPr="00895325">
        <w:rPr>
          <w:rFonts w:ascii="Arial" w:eastAsia="Times New Roman" w:hAnsi="Arial" w:cs="Arial"/>
          <w:color w:val="000000"/>
          <w:lang w:eastAsia="en-GB"/>
        </w:rPr>
        <w:t>the</w:t>
      </w:r>
      <w:r w:rsidRPr="00895325">
        <w:rPr>
          <w:rFonts w:ascii="Arial" w:eastAsia="Times New Roman" w:hAnsi="Arial" w:cs="Arial"/>
          <w:color w:val="000000"/>
          <w:lang w:eastAsia="en-GB"/>
        </w:rPr>
        <w:t xml:space="preserve"> main law in dealing with violent offenses is the Offences Against the Person Act 1861. It has 26,000 prosecutions every year. In addition, the offenses of assault and battery generate over 100,000 prosecutions a year. It has </w:t>
      </w:r>
      <w:r w:rsidR="0055054E" w:rsidRPr="00895325">
        <w:rPr>
          <w:rFonts w:ascii="Arial" w:eastAsia="Times New Roman" w:hAnsi="Arial" w:cs="Arial"/>
          <w:color w:val="000000"/>
          <w:lang w:eastAsia="en-GB"/>
        </w:rPr>
        <w:t>attracted</w:t>
      </w:r>
      <w:r w:rsidRPr="00895325">
        <w:rPr>
          <w:rFonts w:ascii="Arial" w:eastAsia="Times New Roman" w:hAnsi="Arial" w:cs="Arial"/>
          <w:color w:val="000000"/>
          <w:lang w:eastAsia="en-GB"/>
        </w:rPr>
        <w:t xml:space="preserve"> a lot of criticism on the offenses that are not clearly classified in order of seriousness, some offenses relate to narrowly specialized situations, or include complex lists of situations, rather than setting out a clear principle, the mental element of some offenses is not clearly expressed, and does not reflect the external elements of those offenses, the language is often archaic and obscure, there are references to obsolete legal concepts and procedures, which are only resolved by interpretation provisions in other statutes, changes to the law have left it in an incoherent and confusing state, with more provisions repealed than currently in force. This can make the law difficult to apply it can reduce accessibility and fair </w:t>
      </w:r>
      <w:r w:rsidR="0055054E" w:rsidRPr="00895325">
        <w:rPr>
          <w:rFonts w:ascii="Arial" w:eastAsia="Times New Roman" w:hAnsi="Arial" w:cs="Arial"/>
          <w:color w:val="000000"/>
          <w:lang w:eastAsia="en-GB"/>
        </w:rPr>
        <w:t>labelling</w:t>
      </w:r>
      <w:r w:rsidRPr="00895325">
        <w:rPr>
          <w:rFonts w:ascii="Arial" w:eastAsia="Times New Roman" w:hAnsi="Arial" w:cs="Arial"/>
          <w:color w:val="000000"/>
          <w:lang w:eastAsia="en-GB"/>
        </w:rPr>
        <w:t xml:space="preserve"> as it is at offs with the rules of law. </w:t>
      </w:r>
    </w:p>
    <w:p w14:paraId="4C09B868" w14:textId="77777777" w:rsidR="00895325" w:rsidRPr="00895325" w:rsidRDefault="00895325" w:rsidP="00895325">
      <w:pPr>
        <w:spacing w:after="6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sz w:val="52"/>
          <w:szCs w:val="52"/>
          <w:lang w:eastAsia="en-GB"/>
        </w:rPr>
        <w:lastRenderedPageBreak/>
        <w:t>              The project outcome</w:t>
      </w:r>
    </w:p>
    <w:p w14:paraId="2BF44F0A"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They proposed utilizing the Home Office’s 1998 draft Bill with a few amendments.</w:t>
      </w:r>
    </w:p>
    <w:p w14:paraId="568903A1"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This scoping project formed part of our Eleventh Programme of law reform.</w:t>
      </w:r>
    </w:p>
    <w:p w14:paraId="615D1EE3" w14:textId="1713A244"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They published a consultation paper in November 2014. They examined the current law, </w:t>
      </w:r>
      <w:r w:rsidR="0055054E" w:rsidRPr="00895325">
        <w:rPr>
          <w:rFonts w:ascii="Arial" w:eastAsia="Times New Roman" w:hAnsi="Arial" w:cs="Arial"/>
          <w:color w:val="000000"/>
          <w:lang w:eastAsia="en-GB"/>
        </w:rPr>
        <w:t>analysed</w:t>
      </w:r>
      <w:r w:rsidRPr="00895325">
        <w:rPr>
          <w:rFonts w:ascii="Arial" w:eastAsia="Times New Roman" w:hAnsi="Arial" w:cs="Arial"/>
          <w:color w:val="000000"/>
          <w:lang w:eastAsia="en-GB"/>
        </w:rPr>
        <w:t xml:space="preserve"> the problems, and then suggested some options for future reform.</w:t>
      </w:r>
    </w:p>
    <w:p w14:paraId="4C76DDC7"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It was for the need for increased efficiency in the Criminal Justice System. And legal developments in the years since it was drafted.</w:t>
      </w:r>
    </w:p>
    <w:p w14:paraId="07270A0A" w14:textId="01EDE7BF"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On consultation, there was broad agreement that reform of the law was necessary, with Lord Chief Justice of England and Wales, the Rt Hon the Lord Thomas of </w:t>
      </w:r>
      <w:r w:rsidR="0055054E" w:rsidRPr="00895325">
        <w:rPr>
          <w:rFonts w:ascii="Arial" w:eastAsia="Times New Roman" w:hAnsi="Arial" w:cs="Arial"/>
          <w:color w:val="000000"/>
          <w:lang w:eastAsia="en-GB"/>
        </w:rPr>
        <w:t>Combined</w:t>
      </w:r>
      <w:r w:rsidRPr="00895325">
        <w:rPr>
          <w:rFonts w:ascii="Arial" w:eastAsia="Times New Roman" w:hAnsi="Arial" w:cs="Arial"/>
          <w:color w:val="000000"/>
          <w:lang w:eastAsia="en-GB"/>
        </w:rPr>
        <w:t>, saying that “I recognize the problems identified in the paper in relation to the 1861 Offences Against the Person Act. The legislation is out of date and in some areas obsolete; new ways of offending are not adequately captured.”</w:t>
      </w:r>
    </w:p>
    <w:p w14:paraId="7FB8E6F0" w14:textId="1D86A3E2"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His Honour Judge Andrew </w:t>
      </w:r>
      <w:r w:rsidR="0055054E" w:rsidRPr="00895325">
        <w:rPr>
          <w:rFonts w:ascii="Arial" w:eastAsia="Times New Roman" w:hAnsi="Arial" w:cs="Arial"/>
          <w:color w:val="000000"/>
          <w:lang w:eastAsia="en-GB"/>
        </w:rPr>
        <w:t>Goyder</w:t>
      </w:r>
      <w:r w:rsidRPr="00895325">
        <w:rPr>
          <w:rFonts w:ascii="Arial" w:eastAsia="Times New Roman" w:hAnsi="Arial" w:cs="Arial"/>
          <w:color w:val="000000"/>
          <w:lang w:eastAsia="en-GB"/>
        </w:rPr>
        <w:t>, for the Council of HM Circuit Judges, said:</w:t>
      </w:r>
    </w:p>
    <w:p w14:paraId="73808610"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“Judges and juries have frequently to grapple with the problems of the current law contained in a statute that is now 154 years old.”</w:t>
      </w:r>
    </w:p>
    <w:p w14:paraId="24A3FDD7" w14:textId="025C1237"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Consultees also firmly agreed that we should </w:t>
      </w:r>
      <w:r w:rsidR="0055054E" w:rsidRPr="00895325">
        <w:rPr>
          <w:rFonts w:ascii="Arial" w:eastAsia="Times New Roman" w:hAnsi="Arial" w:cs="Arial"/>
          <w:color w:val="000000"/>
          <w:lang w:eastAsia="en-GB"/>
        </w:rPr>
        <w:t>be using</w:t>
      </w:r>
      <w:r w:rsidRPr="00895325">
        <w:rPr>
          <w:rFonts w:ascii="Arial" w:eastAsia="Times New Roman" w:hAnsi="Arial" w:cs="Arial"/>
          <w:color w:val="000000"/>
          <w:lang w:eastAsia="en-GB"/>
        </w:rPr>
        <w:t xml:space="preserve"> the Home Office’s 1998 draft Bill as a basis for reform, with certain modifications. The Lord Chief Justice had </w:t>
      </w:r>
      <w:r w:rsidR="0055054E" w:rsidRPr="00895325">
        <w:rPr>
          <w:rFonts w:ascii="Arial" w:eastAsia="Times New Roman" w:hAnsi="Arial" w:cs="Arial"/>
          <w:color w:val="000000"/>
          <w:lang w:eastAsia="en-GB"/>
        </w:rPr>
        <w:t>said “I</w:t>
      </w:r>
      <w:r w:rsidRPr="00895325">
        <w:rPr>
          <w:rFonts w:ascii="Arial" w:eastAsia="Times New Roman" w:hAnsi="Arial" w:cs="Arial"/>
          <w:color w:val="000000"/>
          <w:lang w:eastAsia="en-GB"/>
        </w:rPr>
        <w:t xml:space="preserve"> think it is sensible that you have based your discussion on the 1998 proposals for a draft </w:t>
      </w:r>
      <w:proofErr w:type="gramStart"/>
      <w:r w:rsidRPr="00895325">
        <w:rPr>
          <w:rFonts w:ascii="Arial" w:eastAsia="Times New Roman" w:hAnsi="Arial" w:cs="Arial"/>
          <w:color w:val="000000"/>
          <w:lang w:eastAsia="en-GB"/>
        </w:rPr>
        <w:t>Bill, and</w:t>
      </w:r>
      <w:proofErr w:type="gramEnd"/>
      <w:r w:rsidRPr="00895325">
        <w:rPr>
          <w:rFonts w:ascii="Arial" w:eastAsia="Times New Roman" w:hAnsi="Arial" w:cs="Arial"/>
          <w:color w:val="000000"/>
          <w:lang w:eastAsia="en-GB"/>
        </w:rPr>
        <w:t xml:space="preserve"> believe that this is a good model and a firm foundation on which to take forward long-overdue reform in this area.”</w:t>
      </w:r>
    </w:p>
    <w:p w14:paraId="424DD57B" w14:textId="77777777" w:rsidR="00895325" w:rsidRPr="00895325" w:rsidRDefault="00895325" w:rsidP="00895325">
      <w:pPr>
        <w:spacing w:after="6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sz w:val="52"/>
          <w:szCs w:val="52"/>
          <w:lang w:eastAsia="en-GB"/>
        </w:rPr>
        <w:t>              Recommendations</w:t>
      </w:r>
    </w:p>
    <w:p w14:paraId="3F03A840" w14:textId="2AFF8D4F"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 xml:space="preserve">The Law Commission recommended the adoption of a modified version of the Home Office’s 1998 draft Bill to replace the outdated Offences Against the Person Act 1861. A few modifications to the draft Bill to preserve the present position on disease transmission pending a wider review involving more input from healthcare professionals and bodies. </w:t>
      </w:r>
      <w:r w:rsidR="0055054E" w:rsidRPr="00895325">
        <w:rPr>
          <w:rFonts w:ascii="Arial" w:eastAsia="Times New Roman" w:hAnsi="Arial" w:cs="Arial"/>
          <w:color w:val="000000"/>
          <w:lang w:eastAsia="en-GB"/>
        </w:rPr>
        <w:t>Also,</w:t>
      </w:r>
      <w:r w:rsidRPr="00895325">
        <w:rPr>
          <w:rFonts w:ascii="Arial" w:eastAsia="Times New Roman" w:hAnsi="Arial" w:cs="Arial"/>
          <w:color w:val="000000"/>
          <w:lang w:eastAsia="en-GB"/>
        </w:rPr>
        <w:t xml:space="preserve"> to add a new summary-only offense of aggravated assault. This would be triable only in a magistrates’ court and carry a maximum sentence of 12 months. The new offense would appropriately then label those who do more than assault since they cause injury. By expanding the offense threats to kill it will also include threats to cause serious injury and threats trope this means all three would then be punishable for up to 10 years in prison. They would like to repeal 25 offenses to replace them with 15 new ones and more minor changes to things like maximum sentences.</w:t>
      </w:r>
    </w:p>
    <w:p w14:paraId="0A5A6D8E" w14:textId="77777777" w:rsidR="00895325" w:rsidRPr="00895325" w:rsidRDefault="00895325" w:rsidP="00895325">
      <w:pPr>
        <w:spacing w:after="240" w:line="240" w:lineRule="auto"/>
        <w:rPr>
          <w:rFonts w:ascii="Times New Roman" w:eastAsia="Times New Roman" w:hAnsi="Times New Roman" w:cs="Times New Roman"/>
          <w:sz w:val="24"/>
          <w:szCs w:val="24"/>
          <w:lang w:eastAsia="en-GB"/>
        </w:rPr>
      </w:pPr>
    </w:p>
    <w:p w14:paraId="4A298CF1"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t>On the government website, it tells us a Persons committing any common assault or battery may be imprisoned or compelled by two magistrates to pay fine and costs not exceeding it states that Where any person shall unlawfully assault or beat any other person, two justices of the peace, upon complaint by or on behalf of the party aggrieved, may hear and determine such offense, and the offender shall, upon conviction thereof before them, at the discretion of the justices, either be committed to the common goal or house of correction, there to be imprisoned for any term not exceeding 36 months, or else shall forfeit and pay such fine as shall appear to them to be met, not exceeding, together with costs (if ordered), the sum of £200 and if such fine as shall be so awarded, together with the costs (if ordered), shall not be paid, either immediately after the conviction or within such period as the said justices shall at the time of the conviction appoint, they may commit the offender to the common gaol or house of correction, there to be imprisoned, for any term not exceeding 36 months, unless such fine and costs are sooner paid.</w:t>
      </w:r>
    </w:p>
    <w:p w14:paraId="3710E7C5" w14:textId="77777777" w:rsidR="00895325" w:rsidRPr="00895325" w:rsidRDefault="00895325" w:rsidP="00895325">
      <w:pPr>
        <w:spacing w:after="0" w:line="240" w:lineRule="auto"/>
        <w:rPr>
          <w:rFonts w:ascii="Times New Roman" w:eastAsia="Times New Roman" w:hAnsi="Times New Roman" w:cs="Times New Roman"/>
          <w:sz w:val="24"/>
          <w:szCs w:val="24"/>
          <w:lang w:eastAsia="en-GB"/>
        </w:rPr>
      </w:pPr>
    </w:p>
    <w:p w14:paraId="1E9851D3" w14:textId="77777777" w:rsidR="00895325" w:rsidRPr="00895325" w:rsidRDefault="00895325" w:rsidP="00895325">
      <w:pPr>
        <w:spacing w:after="6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sz w:val="48"/>
          <w:szCs w:val="48"/>
          <w:lang w:eastAsia="en-GB"/>
        </w:rPr>
        <w:t>The problem of sentencing under the Act</w:t>
      </w:r>
    </w:p>
    <w:p w14:paraId="5487DCA6" w14:textId="57567456" w:rsidR="00895325" w:rsidRPr="00895325" w:rsidRDefault="00895325" w:rsidP="00895325">
      <w:pPr>
        <w:spacing w:after="0" w:line="240" w:lineRule="auto"/>
        <w:rPr>
          <w:rFonts w:ascii="Times New Roman" w:eastAsia="Times New Roman" w:hAnsi="Times New Roman" w:cs="Times New Roman"/>
          <w:sz w:val="24"/>
          <w:szCs w:val="24"/>
          <w:lang w:eastAsia="en-GB"/>
        </w:rPr>
      </w:pPr>
      <w:r w:rsidRPr="00895325">
        <w:rPr>
          <w:rFonts w:ascii="Arial" w:eastAsia="Times New Roman" w:hAnsi="Arial" w:cs="Arial"/>
          <w:color w:val="000000"/>
          <w:lang w:eastAsia="en-GB"/>
        </w:rPr>
        <w:lastRenderedPageBreak/>
        <w:t xml:space="preserve">The problem of Sentencing under the act is it can contribute to the problem facing nonfatal offenses against the person this is considered a graver offense in both theory and practice. Accepting justice and fairness require morally distinguishable offenses can be treated differently it would appear that the sentencing regime brings the substantive law into disrepute. As such, there is a logical case that it would be more suitable for s. 20 to have a higher maximum sentence than s. 47. In the same vein, it is noticeable that there is a large jump in sentencing between 20 </w:t>
      </w:r>
      <w:r w:rsidR="0055054E" w:rsidRPr="00895325">
        <w:rPr>
          <w:rFonts w:ascii="Arial" w:eastAsia="Times New Roman" w:hAnsi="Arial" w:cs="Arial"/>
          <w:color w:val="000000"/>
          <w:lang w:eastAsia="en-GB"/>
        </w:rPr>
        <w:t xml:space="preserve">and </w:t>
      </w:r>
      <w:r w:rsidR="001951D1" w:rsidRPr="00895325">
        <w:rPr>
          <w:rFonts w:ascii="Arial" w:eastAsia="Times New Roman" w:hAnsi="Arial" w:cs="Arial"/>
          <w:color w:val="000000"/>
          <w:lang w:eastAsia="en-GB"/>
        </w:rPr>
        <w:t>18. He</w:t>
      </w:r>
      <w:r w:rsidRPr="00895325">
        <w:rPr>
          <w:rFonts w:ascii="Arial" w:eastAsia="Times New Roman" w:hAnsi="Arial" w:cs="Arial"/>
          <w:color w:val="000000"/>
          <w:lang w:eastAsia="en-GB"/>
        </w:rPr>
        <w:t xml:space="preserve"> also argued that we need to challenge the view that there is a hierarchy of offenses under the Act. He suggests that ‘the assumption needs to be replaced with a sensitivity to the essential qualitative differences’ between the offenses, which stems from their ‘different basic themes’. That s. 47 has the same maximum sentence as s. 20, suggests neither is more serious nor less serious than each other. In support of his argument is the fact the Act groups offenses based on the harm done to the victim. The essential quality of a 47 offense, like the rest of the assault offenses, is an invasion of the victim’s bodily space by the defendant. By way of contrast, he notes that the doctrinal heritage of s. 18 and s. 20 offenses lay in personal violence. Thus, Gardner concludes that it would be erroneous to mistake the harm for the wrong. To some extent, we may concur with Gardner’s analysis because the Act does not attempt to create a logical hierarchy of offenses. But it may be suggested that this speaks to the heart of the problem in itself; that the offenses are grouped with no consideration of how they relate to each other seems to undermine the efficacy of prosecuting under the Offences Against the Person Act. As a matter of logic, it would seem fair that the sentencing regime should corroborate with the severity and extent of the harm and the culpability of men’s rea, irrespective of the precise theme of the offense. To that end, the mistake in Gardner’s analysis is that he overlooks how offenses of different themes relate to each other under the broader heading of non-fatal offenses against the person.</w:t>
      </w:r>
    </w:p>
    <w:p w14:paraId="3C4428A6" w14:textId="77777777" w:rsidR="009009B1" w:rsidRDefault="009009B1"/>
    <w:sectPr w:rsidR="009009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325"/>
    <w:rsid w:val="001951D1"/>
    <w:rsid w:val="0055054E"/>
    <w:rsid w:val="0078000C"/>
    <w:rsid w:val="00895325"/>
    <w:rsid w:val="009009B1"/>
    <w:rsid w:val="00D52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CFCF0"/>
  <w15:chartTrackingRefBased/>
  <w15:docId w15:val="{31FCBB19-8DED-4C60-B466-F0B24A3D7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4853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1520</Words>
  <Characters>8664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GEORGINA  BOWEN</dc:creator>
  <cp:keywords/>
  <dc:description/>
  <cp:lastModifiedBy>STACEY GEORGINA  BOWEN</cp:lastModifiedBy>
  <cp:revision>4</cp:revision>
  <dcterms:created xsi:type="dcterms:W3CDTF">2021-03-05T16:58:00Z</dcterms:created>
  <dcterms:modified xsi:type="dcterms:W3CDTF">2021-03-05T17:13:00Z</dcterms:modified>
</cp:coreProperties>
</file>